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314960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6" w:lineRule="exact"/>
        <w:rPr>
          <w:sz w:val="24"/>
          <w:szCs w:val="24"/>
          <w:color w:val="auto"/>
        </w:rPr>
      </w:pPr>
    </w:p>
    <w:p>
      <w:pPr>
        <w:ind w:left="660" w:hanging="245"/>
        <w:spacing w:after="0"/>
        <w:tabs>
          <w:tab w:leader="none" w:pos="66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QUARTERLY REPORT PURSUANT TO SECTION 13 OR 15(d) OF THE SECURITIES EXCHANGE ACT OF</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1934</w:t>
      </w:r>
    </w:p>
    <w:p>
      <w:pPr>
        <w:jc w:val="center"/>
        <w:spacing w:after="0"/>
        <w:rPr>
          <w:sz w:val="20"/>
          <w:szCs w:val="20"/>
          <w:color w:val="auto"/>
        </w:rPr>
      </w:pPr>
      <w:r>
        <w:rPr>
          <w:rFonts w:ascii="Arial" w:cs="Arial" w:eastAsia="Arial" w:hAnsi="Arial"/>
          <w:sz w:val="18"/>
          <w:szCs w:val="18"/>
          <w:b w:val="1"/>
          <w:bCs w:val="1"/>
          <w:color w:val="auto"/>
        </w:rPr>
        <w:t>For the Quarterly Period Ended September 30, 2020</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7" w:lineRule="exact"/>
        <w:rPr>
          <w:sz w:val="24"/>
          <w:szCs w:val="24"/>
          <w:color w:val="auto"/>
        </w:rPr>
      </w:pPr>
    </w:p>
    <w:p>
      <w:pPr>
        <w:ind w:left="5400" w:right="80" w:hanging="4992"/>
        <w:spacing w:after="0" w:line="256" w:lineRule="auto"/>
        <w:tabs>
          <w:tab w:leader="none" w:pos="648"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1" w:lineRule="exact"/>
        <w:rPr>
          <w:sz w:val="24"/>
          <w:szCs w:val="24"/>
          <w:color w:val="auto"/>
        </w:rPr>
      </w:pPr>
    </w:p>
    <w:p>
      <w:pPr>
        <w:ind w:left="342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1-15839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2439670</wp:posOffset>
            </wp:positionH>
            <wp:positionV relativeFrom="paragraph">
              <wp:posOffset>17145</wp:posOffset>
            </wp:positionV>
            <wp:extent cx="2263140" cy="7029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63140" cy="7029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ACTIVISION BLIZZARD, INC.</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280" w:type="dxa"/>
            <w:vAlign w:val="bottom"/>
            <w:tcBorders>
              <w:bottom w:val="single" w:sz="8" w:color="auto"/>
            </w:tcBorders>
          </w:tcPr>
          <w:p>
            <w:pPr>
              <w:jc w:val="center"/>
              <w:ind w:left="2070"/>
              <w:spacing w:after="0"/>
              <w:rPr>
                <w:sz w:val="20"/>
                <w:szCs w:val="20"/>
                <w:color w:val="auto"/>
              </w:rPr>
            </w:pPr>
            <w:r>
              <w:rPr>
                <w:rFonts w:ascii="Arial" w:cs="Arial" w:eastAsia="Arial" w:hAnsi="Arial"/>
                <w:sz w:val="18"/>
                <w:szCs w:val="18"/>
                <w:b w:val="1"/>
                <w:bCs w:val="1"/>
                <w:color w:val="auto"/>
                <w:w w:val="91"/>
              </w:rPr>
              <w:t>Delaware</w:t>
            </w:r>
          </w:p>
        </w:tc>
        <w:tc>
          <w:tcPr>
            <w:tcW w:w="16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5420" w:type="dxa"/>
            <w:vAlign w:val="bottom"/>
            <w:tcBorders>
              <w:bottom w:val="single" w:sz="8" w:color="auto"/>
            </w:tcBorders>
          </w:tcPr>
          <w:p>
            <w:pPr>
              <w:jc w:val="right"/>
              <w:ind w:right="2190"/>
              <w:spacing w:after="0"/>
              <w:rPr>
                <w:sz w:val="20"/>
                <w:szCs w:val="20"/>
                <w:color w:val="auto"/>
              </w:rPr>
            </w:pPr>
            <w:r>
              <w:rPr>
                <w:rFonts w:ascii="Arial" w:cs="Arial" w:eastAsia="Arial" w:hAnsi="Arial"/>
                <w:sz w:val="18"/>
                <w:szCs w:val="18"/>
                <w:b w:val="1"/>
                <w:bCs w:val="1"/>
                <w:color w:val="auto"/>
              </w:rPr>
              <w:t>95-4803544</w:t>
            </w:r>
          </w:p>
        </w:tc>
      </w:tr>
      <w:tr>
        <w:trPr>
          <w:trHeight w:val="224"/>
        </w:trPr>
        <w:tc>
          <w:tcPr>
            <w:tcW w:w="4960" w:type="dxa"/>
            <w:vAlign w:val="bottom"/>
            <w:gridSpan w:val="2"/>
          </w:tcPr>
          <w:p>
            <w:pPr>
              <w:jc w:val="center"/>
              <w:ind w:left="37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420" w:type="dxa"/>
            <w:vAlign w:val="bottom"/>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283"/>
        </w:trPr>
        <w:tc>
          <w:tcPr>
            <w:tcW w:w="3280" w:type="dxa"/>
            <w:vAlign w:val="bottom"/>
          </w:tcPr>
          <w:p>
            <w:pPr>
              <w:ind w:left="500"/>
              <w:spacing w:after="0"/>
              <w:rPr>
                <w:sz w:val="20"/>
                <w:szCs w:val="20"/>
                <w:color w:val="auto"/>
              </w:rPr>
            </w:pPr>
            <w:r>
              <w:rPr>
                <w:rFonts w:ascii="Arial" w:cs="Arial" w:eastAsia="Arial" w:hAnsi="Arial"/>
                <w:sz w:val="18"/>
                <w:szCs w:val="18"/>
                <w:b w:val="1"/>
                <w:bCs w:val="1"/>
                <w:color w:val="auto"/>
              </w:rPr>
              <w:t>3100 Ocean Park Boulevard</w:t>
            </w:r>
          </w:p>
        </w:tc>
        <w:tc>
          <w:tcPr>
            <w:tcW w:w="1680" w:type="dxa"/>
            <w:vAlign w:val="bottom"/>
          </w:tcPr>
          <w:p>
            <w:pPr>
              <w:ind w:left="200"/>
              <w:spacing w:after="0"/>
              <w:rPr>
                <w:sz w:val="20"/>
                <w:szCs w:val="20"/>
                <w:color w:val="auto"/>
              </w:rPr>
            </w:pPr>
            <w:r>
              <w:rPr>
                <w:rFonts w:ascii="Arial" w:cs="Arial" w:eastAsia="Arial" w:hAnsi="Arial"/>
                <w:sz w:val="18"/>
                <w:szCs w:val="18"/>
                <w:b w:val="1"/>
                <w:bCs w:val="1"/>
                <w:color w:val="auto"/>
              </w:rPr>
              <w:t>Santa Monica,</w:t>
            </w:r>
          </w:p>
        </w:tc>
        <w:tc>
          <w:tcPr>
            <w:tcW w:w="860" w:type="dxa"/>
            <w:vAlign w:val="bottom"/>
            <w:gridSpan w:val="2"/>
          </w:tcPr>
          <w:p>
            <w:pPr>
              <w:ind w:left="80"/>
              <w:spacing w:after="0"/>
              <w:rPr>
                <w:sz w:val="20"/>
                <w:szCs w:val="20"/>
                <w:color w:val="auto"/>
              </w:rPr>
            </w:pPr>
            <w:r>
              <w:rPr>
                <w:rFonts w:ascii="Arial" w:cs="Arial" w:eastAsia="Arial" w:hAnsi="Arial"/>
                <w:sz w:val="18"/>
                <w:szCs w:val="18"/>
                <w:b w:val="1"/>
                <w:bCs w:val="1"/>
                <w:color w:val="auto"/>
              </w:rPr>
              <w:t>CA</w:t>
            </w:r>
          </w:p>
        </w:tc>
        <w:tc>
          <w:tcPr>
            <w:tcW w:w="5420" w:type="dxa"/>
            <w:vAlign w:val="bottom"/>
          </w:tcPr>
          <w:p>
            <w:pPr>
              <w:jc w:val="right"/>
              <w:ind w:right="2390"/>
              <w:spacing w:after="0"/>
              <w:rPr>
                <w:sz w:val="20"/>
                <w:szCs w:val="20"/>
                <w:color w:val="auto"/>
              </w:rPr>
            </w:pPr>
            <w:r>
              <w:rPr>
                <w:rFonts w:ascii="Arial" w:cs="Arial" w:eastAsia="Arial" w:hAnsi="Arial"/>
                <w:sz w:val="18"/>
                <w:szCs w:val="18"/>
                <w:b w:val="1"/>
                <w:bCs w:val="1"/>
                <w:color w:val="auto"/>
              </w:rPr>
              <w:t>90405</w:t>
            </w:r>
          </w:p>
        </w:tc>
      </w:tr>
      <w:tr>
        <w:trPr>
          <w:trHeight w:val="224"/>
        </w:trPr>
        <w:tc>
          <w:tcPr>
            <w:tcW w:w="4960" w:type="dxa"/>
            <w:vAlign w:val="bottom"/>
            <w:tcBorders>
              <w:top w:val="single" w:sz="8" w:color="auto"/>
            </w:tcBorders>
            <w:gridSpan w:val="2"/>
          </w:tcPr>
          <w:p>
            <w:pPr>
              <w:jc w:val="center"/>
              <w:ind w:left="370"/>
              <w:spacing w:after="0"/>
              <w:rPr>
                <w:sz w:val="20"/>
                <w:szCs w:val="20"/>
                <w:color w:val="auto"/>
              </w:rPr>
            </w:pPr>
            <w:r>
              <w:rPr>
                <w:rFonts w:ascii="Arial" w:cs="Arial" w:eastAsia="Arial" w:hAnsi="Arial"/>
                <w:sz w:val="18"/>
                <w:szCs w:val="18"/>
                <w:color w:val="auto"/>
                <w:w w:val="92"/>
              </w:rPr>
              <w:t>(Address of principal executive offices)</w:t>
            </w:r>
          </w:p>
        </w:tc>
        <w:tc>
          <w:tcPr>
            <w:tcW w:w="46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5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29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(310) 255-2000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38"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400" w:type="dxa"/>
            <w:vAlign w:val="bottom"/>
            <w:gridSpan w:val="3"/>
          </w:tcPr>
          <w:p>
            <w:pPr>
              <w:jc w:val="center"/>
              <w:ind w:right="240"/>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2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40" w:type="dxa"/>
            <w:vAlign w:val="bottom"/>
          </w:tcPr>
          <w:p>
            <w:pPr>
              <w:spacing w:after="0"/>
              <w:rPr>
                <w:sz w:val="20"/>
                <w:szCs w:val="20"/>
                <w:color w:val="auto"/>
              </w:rPr>
            </w:pPr>
          </w:p>
        </w:tc>
      </w:tr>
      <w:tr>
        <w:trPr>
          <w:trHeight w:val="338"/>
        </w:trPr>
        <w:tc>
          <w:tcPr>
            <w:tcW w:w="20" w:type="dxa"/>
            <w:vAlign w:val="bottom"/>
          </w:tcPr>
          <w:p>
            <w:pPr>
              <w:spacing w:after="0"/>
              <w:rPr>
                <w:sz w:val="24"/>
                <w:szCs w:val="24"/>
                <w:color w:val="auto"/>
              </w:rPr>
            </w:pPr>
          </w:p>
        </w:tc>
        <w:tc>
          <w:tcPr>
            <w:tcW w:w="4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Title of each class</w:t>
            </w:r>
          </w:p>
        </w:tc>
        <w:tc>
          <w:tcPr>
            <w:tcW w:w="22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Trading Symbol(s)</w:t>
            </w:r>
          </w:p>
        </w:tc>
        <w:tc>
          <w:tcPr>
            <w:tcW w:w="454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20" w:type="dxa"/>
            <w:vAlign w:val="bottom"/>
          </w:tcPr>
          <w:p>
            <w:pPr>
              <w:spacing w:after="0"/>
              <w:rPr>
                <w:sz w:val="19"/>
                <w:szCs w:val="19"/>
                <w:color w:val="auto"/>
              </w:rPr>
            </w:pPr>
          </w:p>
        </w:tc>
        <w:tc>
          <w:tcPr>
            <w:tcW w:w="4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$0.000001 per share</w:t>
            </w:r>
          </w:p>
        </w:tc>
        <w:tc>
          <w:tcPr>
            <w:tcW w:w="220" w:type="dxa"/>
            <w:vAlign w:val="bottom"/>
          </w:tcPr>
          <w:p>
            <w:pPr>
              <w:spacing w:after="0"/>
              <w:rPr>
                <w:sz w:val="19"/>
                <w:szCs w:val="19"/>
                <w:color w:val="auto"/>
              </w:rPr>
            </w:pPr>
          </w:p>
        </w:tc>
        <w:tc>
          <w:tcPr>
            <w:tcW w:w="20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ATVI</w:t>
            </w:r>
          </w:p>
        </w:tc>
        <w:tc>
          <w:tcPr>
            <w:tcW w:w="220" w:type="dxa"/>
            <w:vAlign w:val="bottom"/>
          </w:tcPr>
          <w:p>
            <w:pPr>
              <w:spacing w:after="0"/>
              <w:rPr>
                <w:sz w:val="19"/>
                <w:szCs w:val="19"/>
                <w:color w:val="auto"/>
              </w:rPr>
            </w:pPr>
          </w:p>
        </w:tc>
        <w:tc>
          <w:tcPr>
            <w:tcW w:w="4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Nasdaq Global Select Market</w:t>
            </w:r>
          </w:p>
        </w:tc>
      </w:tr>
    </w:tbl>
    <w:p>
      <w:pPr>
        <w:spacing w:after="0" w:line="93" w:lineRule="exact"/>
        <w:rPr>
          <w:sz w:val="24"/>
          <w:szCs w:val="24"/>
          <w:color w:val="auto"/>
        </w:rPr>
      </w:pPr>
    </w:p>
    <w:p>
      <w:pPr>
        <w:ind w:right="6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ind w:right="4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120" w:firstLine="324"/>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33" w:right="339" w:bottom="1440" w:gutter="0" w:footer="0" w:header="0"/>
        </w:sectPr>
      </w:pPr>
    </w:p>
    <w:p>
      <w:pPr>
        <w:spacing w:after="0" w:line="211" w:lineRule="exact"/>
        <w:rPr>
          <w:sz w:val="24"/>
          <w:szCs w:val="24"/>
          <w:color w:val="auto"/>
        </w:rPr>
      </w:pPr>
    </w:p>
    <w:p>
      <w:pPr>
        <w:ind w:left="50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3" w:lineRule="exact"/>
        <w:rPr>
          <w:sz w:val="24"/>
          <w:szCs w:val="24"/>
          <w:color w:val="auto"/>
        </w:rPr>
      </w:pPr>
    </w:p>
    <w:p>
      <w:pPr>
        <w:sectPr>
          <w:pgSz w:w="11900" w:h="16838" w:orient="portrait"/>
          <w:cols w:equalWidth="0" w:num="6">
            <w:col w:w="2200" w:space="700"/>
            <w:col w:w="740" w:space="720"/>
            <w:col w:w="1620" w:space="720"/>
            <w:col w:w="880" w:space="720"/>
            <w:col w:w="1460" w:space="720"/>
            <w:col w:w="760"/>
          </w:cols>
          <w:pgMar w:left="320" w:top="233" w:right="339" w:bottom="1440" w:gutter="0" w:footer="0" w:header="0"/>
          <w:type w:val="continuous"/>
        </w:sectPr>
      </w:pPr>
    </w:p>
    <w:p>
      <w:pPr>
        <w:spacing w:after="0" w:line="46" w:lineRule="exact"/>
        <w:rPr>
          <w:sz w:val="24"/>
          <w:szCs w:val="24"/>
          <w:color w:val="auto"/>
        </w:rPr>
      </w:pPr>
    </w:p>
    <w:p>
      <w:pPr>
        <w:ind w:left="7940"/>
        <w:spacing w:after="0"/>
        <w:rPr>
          <w:sz w:val="20"/>
          <w:szCs w:val="20"/>
          <w:color w:val="auto"/>
        </w:rPr>
      </w:pPr>
      <w:r>
        <w:rPr>
          <w:rFonts w:ascii="Arial" w:cs="Arial" w:eastAsia="Arial" w:hAnsi="Arial"/>
          <w:sz w:val="16"/>
          <w:szCs w:val="16"/>
          <w:color w:val="auto"/>
        </w:rPr>
        <w:t>Smaller reporting company</w:t>
      </w:r>
    </w:p>
    <w:p>
      <w:pPr>
        <w:spacing w:after="0" w:line="59" w:lineRule="exact"/>
        <w:rPr>
          <w:sz w:val="24"/>
          <w:szCs w:val="24"/>
          <w:color w:val="auto"/>
        </w:rPr>
      </w:pPr>
    </w:p>
    <w:p>
      <w:pPr>
        <w:ind w:left="7940"/>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2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70" w:lineRule="exact"/>
        <w:rPr>
          <w:sz w:val="24"/>
          <w:szCs w:val="24"/>
          <w:color w:val="auto"/>
        </w:rPr>
      </w:pPr>
    </w:p>
    <w:p>
      <w:pPr>
        <w:sectPr>
          <w:pgSz w:w="11900" w:h="16838" w:orient="portrait"/>
          <w:cols w:equalWidth="0" w:num="2">
            <w:col w:w="9920" w:space="560"/>
            <w:col w:w="760"/>
          </w:cols>
          <w:pgMar w:left="320" w:top="233" w:right="339" w:bottom="1440" w:gutter="0" w:footer="0" w:header="0"/>
          <w:type w:val="continuous"/>
        </w:sectPr>
      </w:pPr>
    </w:p>
    <w:p>
      <w:pPr>
        <w:ind w:right="180"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left="340" w:right="1700"/>
        <w:spacing w:after="0" w:line="294"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The number of shares of the registrant’s Common Stock outstanding at October 22, 2020 was 772,857,185.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103505</wp:posOffset>
            </wp:positionV>
            <wp:extent cx="696087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0870" cy="1714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77470</wp:posOffset>
            </wp:positionV>
            <wp:extent cx="69608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60870" cy="889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76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0"/>
        </w:trPr>
        <w:tc>
          <w:tcPr>
            <w:tcW w:w="1280" w:type="dxa"/>
            <w:vAlign w:val="bottom"/>
            <w:tcBorders>
              <w:top w:val="single" w:sz="8" w:color="0000FF"/>
            </w:tcBorders>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520" w:type="dxa"/>
            <w:vAlign w:val="bottom"/>
            <w:gridSpan w:val="7"/>
          </w:tcPr>
          <w:p>
            <w:pPr>
              <w:jc w:val="center"/>
              <w:ind w:right="2720"/>
              <w:spacing w:after="0"/>
              <w:rPr>
                <w:sz w:val="20"/>
                <w:szCs w:val="20"/>
                <w:color w:val="auto"/>
              </w:rPr>
            </w:pPr>
            <w:r>
              <w:rPr>
                <w:rFonts w:ascii="Arial" w:cs="Arial" w:eastAsia="Arial" w:hAnsi="Arial"/>
                <w:sz w:val="18"/>
                <w:szCs w:val="18"/>
                <w:b w:val="1"/>
                <w:bCs w:val="1"/>
                <w:color w:val="auto"/>
              </w:rPr>
              <w:t>ACTIVISION BLIZZARD, INC. AND SUBSIDIARIES</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20" w:type="dxa"/>
            <w:vAlign w:val="bottom"/>
            <w:gridSpan w:val="6"/>
          </w:tcPr>
          <w:p>
            <w:pPr>
              <w:jc w:val="center"/>
              <w:ind w:right="3020"/>
              <w:spacing w:after="0"/>
              <w:rPr>
                <w:sz w:val="20"/>
                <w:szCs w:val="20"/>
                <w:color w:val="auto"/>
              </w:rPr>
            </w:pPr>
            <w:r>
              <w:rPr>
                <w:rFonts w:ascii="Arial" w:cs="Arial" w:eastAsia="Arial" w:hAnsi="Arial"/>
                <w:sz w:val="18"/>
                <w:szCs w:val="18"/>
                <w:b w:val="1"/>
                <w:bCs w:val="1"/>
                <w:color w:val="auto"/>
                <w:w w:val="89"/>
              </w:rPr>
              <w:t>Table of Contents</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1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980" w:type="dxa"/>
            <w:vAlign w:val="bottom"/>
            <w:gridSpan w:val="9"/>
          </w:tcPr>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Cautionary Statement</w:t>
              </w:r>
            </w:hyperlink>
          </w:p>
        </w:tc>
        <w:tc>
          <w:tcPr>
            <w:tcW w:w="460" w:type="dxa"/>
            <w:vAlign w:val="bottom"/>
          </w:tcPr>
          <w:p>
            <w:pPr>
              <w:jc w:val="right"/>
              <w:spacing w:after="0"/>
              <w:rPr>
                <w:rFonts w:ascii="Arial" w:cs="Arial" w:eastAsia="Arial" w:hAnsi="Arial"/>
                <w:sz w:val="18"/>
                <w:szCs w:val="18"/>
                <w:color w:val="0000FF"/>
              </w:rPr>
            </w:pPr>
            <w:hyperlink w:anchor="page2">
              <w:r>
                <w:rPr>
                  <w:rFonts w:ascii="Arial" w:cs="Arial" w:eastAsia="Arial" w:hAnsi="Arial"/>
                  <w:sz w:val="18"/>
                  <w:szCs w:val="18"/>
                  <w:color w:val="0000FF"/>
                </w:rPr>
                <w:t>3</w:t>
              </w:r>
            </w:hyperlink>
          </w:p>
        </w:tc>
        <w:tc>
          <w:tcPr>
            <w:tcW w:w="0" w:type="dxa"/>
            <w:vAlign w:val="bottom"/>
          </w:tcPr>
          <w:p>
            <w:pPr>
              <w:spacing w:after="0"/>
              <w:rPr>
                <w:sz w:val="1"/>
                <w:szCs w:val="1"/>
                <w:color w:val="auto"/>
              </w:rPr>
            </w:pPr>
          </w:p>
        </w:tc>
      </w:tr>
      <w:tr>
        <w:trPr>
          <w:trHeight w:val="459"/>
        </w:trPr>
        <w:tc>
          <w:tcPr>
            <w:tcW w:w="1760" w:type="dxa"/>
            <w:vAlign w:val="bottom"/>
            <w:gridSpan w:val="2"/>
          </w:tcPr>
          <w:p>
            <w:pPr>
              <w:ind w:left="2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PART I.</w:t>
              </w:r>
            </w:hyperlink>
          </w:p>
        </w:tc>
        <w:tc>
          <w:tcPr>
            <w:tcW w:w="8980" w:type="dxa"/>
            <w:vAlign w:val="bottom"/>
            <w:gridSpan w:val="9"/>
          </w:tcPr>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FINANCIAL INFORMATION</w:t>
              </w:r>
            </w:hyperlink>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60" w:type="dxa"/>
            <w:vAlign w:val="bottom"/>
            <w:gridSpan w:val="2"/>
          </w:tcPr>
          <w:p>
            <w:pPr>
              <w:ind w:left="2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Item 1.</w:t>
              </w:r>
            </w:hyperlink>
          </w:p>
        </w:tc>
        <w:tc>
          <w:tcPr>
            <w:tcW w:w="8980" w:type="dxa"/>
            <w:vAlign w:val="bottom"/>
            <w:gridSpan w:val="9"/>
          </w:tcPr>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Financial Statements (Unaudited)</w:t>
              </w:r>
            </w:hyperlink>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980" w:type="dxa"/>
            <w:vAlign w:val="bottom"/>
            <w:gridSpan w:val="9"/>
          </w:tcPr>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Condensed Consolidated Balance Sheets at September 30, 2020 and December 31, 2019</w:t>
              </w:r>
            </w:hyperlink>
          </w:p>
        </w:tc>
        <w:tc>
          <w:tcPr>
            <w:tcW w:w="460" w:type="dxa"/>
            <w:vAlign w:val="bottom"/>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4</w:t>
              </w:r>
            </w:hyperlink>
          </w:p>
        </w:tc>
        <w:tc>
          <w:tcPr>
            <w:tcW w:w="0" w:type="dxa"/>
            <w:vAlign w:val="bottom"/>
          </w:tcPr>
          <w:p>
            <w:pPr>
              <w:spacing w:after="0"/>
              <w:rPr>
                <w:sz w:val="1"/>
                <w:szCs w:val="1"/>
                <w:color w:val="auto"/>
              </w:rPr>
            </w:pPr>
          </w:p>
        </w:tc>
      </w:tr>
      <w:tr>
        <w:trPr>
          <w:trHeight w:val="418"/>
        </w:trPr>
        <w:tc>
          <w:tcPr>
            <w:tcW w:w="1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980" w:type="dxa"/>
            <w:vAlign w:val="bottom"/>
            <w:gridSpan w:val="9"/>
          </w:tcPr>
          <w:p>
            <w:pPr>
              <w:spacing w:after="0"/>
              <w:rPr>
                <w:rFonts w:ascii="Arial" w:cs="Arial" w:eastAsia="Arial" w:hAnsi="Arial"/>
                <w:sz w:val="18"/>
                <w:szCs w:val="18"/>
                <w:color w:val="0000FF"/>
                <w:w w:val="98"/>
              </w:rPr>
            </w:pPr>
            <w:hyperlink w:anchor="page4">
              <w:r>
                <w:rPr>
                  <w:rFonts w:ascii="Arial" w:cs="Arial" w:eastAsia="Arial" w:hAnsi="Arial"/>
                  <w:sz w:val="18"/>
                  <w:szCs w:val="18"/>
                  <w:color w:val="0000FF"/>
                  <w:w w:val="98"/>
                </w:rPr>
                <w:t>Condensed Consolidated Statements of Operations for the three and nine months ended September 30, 2020 and</w:t>
              </w:r>
            </w:hyperlink>
          </w:p>
        </w:tc>
        <w:tc>
          <w:tcPr>
            <w:tcW w:w="460" w:type="dxa"/>
            <w:vAlign w:val="bottom"/>
            <w:vMerge w:val="restart"/>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5</w:t>
              </w:r>
            </w:hyperlink>
          </w:p>
        </w:tc>
        <w:tc>
          <w:tcPr>
            <w:tcW w:w="0" w:type="dxa"/>
            <w:vAlign w:val="bottom"/>
          </w:tcPr>
          <w:p>
            <w:pPr>
              <w:spacing w:after="0"/>
              <w:rPr>
                <w:sz w:val="1"/>
                <w:szCs w:val="1"/>
                <w:color w:val="auto"/>
              </w:rPr>
            </w:pPr>
          </w:p>
        </w:tc>
      </w:tr>
      <w:tr>
        <w:trPr>
          <w:trHeight w:val="155"/>
        </w:trPr>
        <w:tc>
          <w:tcPr>
            <w:tcW w:w="1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6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8"/>
              </w:rPr>
            </w:pPr>
            <w:hyperlink w:anchor="page4">
              <w:r>
                <w:rPr>
                  <w:rFonts w:ascii="Arial" w:cs="Arial" w:eastAsia="Arial" w:hAnsi="Arial"/>
                  <w:sz w:val="18"/>
                  <w:szCs w:val="18"/>
                  <w:color w:val="0000FF"/>
                  <w:w w:val="88"/>
                </w:rPr>
                <w:t>September 30, 2019</w:t>
              </w:r>
            </w:hyperlink>
          </w:p>
        </w:tc>
        <w:tc>
          <w:tcPr>
            <w:tcW w:w="6640" w:type="dxa"/>
            <w:vAlign w:val="bottom"/>
            <w:tcBorders>
              <w:top w:val="single" w:sz="8" w:color="0000FF"/>
            </w:tcBorders>
            <w:gridSpan w:val="4"/>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39"/>
        </w:trPr>
        <w:tc>
          <w:tcPr>
            <w:tcW w:w="1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980" w:type="dxa"/>
            <w:vAlign w:val="bottom"/>
            <w:gridSpan w:val="9"/>
          </w:tcPr>
          <w:p>
            <w:pPr>
              <w:spacing w:after="0"/>
              <w:rPr>
                <w:rFonts w:ascii="Arial" w:cs="Arial" w:eastAsia="Arial" w:hAnsi="Arial"/>
                <w:sz w:val="18"/>
                <w:szCs w:val="18"/>
                <w:color w:val="0000FF"/>
                <w:w w:val="91"/>
              </w:rPr>
            </w:pPr>
            <w:hyperlink w:anchor="page5">
              <w:r>
                <w:rPr>
                  <w:rFonts w:ascii="Arial" w:cs="Arial" w:eastAsia="Arial" w:hAnsi="Arial"/>
                  <w:sz w:val="18"/>
                  <w:szCs w:val="18"/>
                  <w:color w:val="0000FF"/>
                  <w:w w:val="91"/>
                </w:rPr>
                <w:t>Condensed Consolidated Statements of Comprehensive Income for the three and nine months ended September 30, 2020</w:t>
              </w:r>
            </w:hyperlink>
          </w:p>
        </w:tc>
        <w:tc>
          <w:tcPr>
            <w:tcW w:w="460" w:type="dxa"/>
            <w:vAlign w:val="bottom"/>
            <w:vMerge w:val="restart"/>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6</w:t>
              </w:r>
            </w:hyperlink>
          </w:p>
        </w:tc>
        <w:tc>
          <w:tcPr>
            <w:tcW w:w="0" w:type="dxa"/>
            <w:vAlign w:val="bottom"/>
          </w:tcPr>
          <w:p>
            <w:pPr>
              <w:spacing w:after="0"/>
              <w:rPr>
                <w:sz w:val="1"/>
                <w:szCs w:val="1"/>
                <w:color w:val="auto"/>
              </w:rPr>
            </w:pPr>
          </w:p>
        </w:tc>
      </w:tr>
      <w:tr>
        <w:trPr>
          <w:trHeight w:val="155"/>
        </w:trPr>
        <w:tc>
          <w:tcPr>
            <w:tcW w:w="1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76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87"/>
              </w:rPr>
            </w:pPr>
            <w:hyperlink w:anchor="page5">
              <w:r>
                <w:rPr>
                  <w:rFonts w:ascii="Arial" w:cs="Arial" w:eastAsia="Arial" w:hAnsi="Arial"/>
                  <w:sz w:val="18"/>
                  <w:szCs w:val="18"/>
                  <w:color w:val="0000FF"/>
                  <w:w w:val="87"/>
                </w:rPr>
                <w:t>and September 30, 2019</w:t>
              </w:r>
            </w:hyperlink>
          </w:p>
        </w:tc>
        <w:tc>
          <w:tcPr>
            <w:tcW w:w="6960" w:type="dxa"/>
            <w:vAlign w:val="bottom"/>
            <w:tcBorders>
              <w:top w:val="single" w:sz="8" w:color="0000FF"/>
            </w:tcBorders>
            <w:gridSpan w:val="5"/>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39"/>
        </w:trPr>
        <w:tc>
          <w:tcPr>
            <w:tcW w:w="1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980" w:type="dxa"/>
            <w:vAlign w:val="bottom"/>
            <w:gridSpan w:val="9"/>
          </w:tcPr>
          <w:p>
            <w:pPr>
              <w:spacing w:after="0"/>
              <w:rPr>
                <w:rFonts w:ascii="Arial" w:cs="Arial" w:eastAsia="Arial" w:hAnsi="Arial"/>
                <w:sz w:val="18"/>
                <w:szCs w:val="18"/>
                <w:color w:val="0000FF"/>
                <w:w w:val="93"/>
              </w:rPr>
            </w:pPr>
            <w:hyperlink w:anchor="page6">
              <w:r>
                <w:rPr>
                  <w:rFonts w:ascii="Arial" w:cs="Arial" w:eastAsia="Arial" w:hAnsi="Arial"/>
                  <w:sz w:val="18"/>
                  <w:szCs w:val="18"/>
                  <w:color w:val="0000FF"/>
                  <w:w w:val="93"/>
                </w:rPr>
                <w:t>Condensed Consolidated Statements of Cash Flows for the nine months ended September 30, 2020 and September 30,</w:t>
              </w:r>
            </w:hyperlink>
          </w:p>
        </w:tc>
        <w:tc>
          <w:tcPr>
            <w:tcW w:w="460" w:type="dxa"/>
            <w:vAlign w:val="bottom"/>
            <w:vMerge w:val="restart"/>
          </w:tcPr>
          <w:p>
            <w:pPr>
              <w:jc w:val="right"/>
              <w:spacing w:after="0"/>
              <w:rPr>
                <w:rFonts w:ascii="Arial" w:cs="Arial" w:eastAsia="Arial" w:hAnsi="Arial"/>
                <w:sz w:val="18"/>
                <w:szCs w:val="18"/>
                <w:color w:val="0000FF"/>
              </w:rPr>
            </w:pPr>
            <w:hyperlink w:anchor="page6">
              <w:r>
                <w:rPr>
                  <w:rFonts w:ascii="Arial" w:cs="Arial" w:eastAsia="Arial" w:hAnsi="Arial"/>
                  <w:sz w:val="18"/>
                  <w:szCs w:val="18"/>
                  <w:color w:val="0000FF"/>
                </w:rPr>
                <w:t>7</w:t>
              </w:r>
            </w:hyperlink>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4"/>
              </w:rPr>
            </w:pPr>
            <w:hyperlink w:anchor="page6">
              <w:r>
                <w:rPr>
                  <w:rFonts w:ascii="Arial" w:cs="Arial" w:eastAsia="Arial" w:hAnsi="Arial"/>
                  <w:sz w:val="18"/>
                  <w:szCs w:val="18"/>
                  <w:color w:val="0000FF"/>
                  <w:w w:val="84"/>
                </w:rPr>
                <w:t>2019</w:t>
              </w:r>
            </w:hyperlink>
          </w:p>
        </w:tc>
        <w:tc>
          <w:tcPr>
            <w:tcW w:w="110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1480" w:type="dxa"/>
            <w:vAlign w:val="bottom"/>
            <w:tcBorders>
              <w:top w:val="single" w:sz="8" w:color="0000FF"/>
            </w:tcBorders>
          </w:tcPr>
          <w:p>
            <w:pPr>
              <w:spacing w:after="0"/>
              <w:rPr>
                <w:sz w:val="13"/>
                <w:szCs w:val="13"/>
                <w:color w:val="auto"/>
              </w:rPr>
            </w:pPr>
          </w:p>
        </w:tc>
        <w:tc>
          <w:tcPr>
            <w:tcW w:w="458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39"/>
        </w:trPr>
        <w:tc>
          <w:tcPr>
            <w:tcW w:w="1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980" w:type="dxa"/>
            <w:vAlign w:val="bottom"/>
            <w:gridSpan w:val="9"/>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Condensed Consolidated Statement of Changes in Shareholders’ Equity for the three and nine months ended</w:t>
              </w:r>
            </w:hyperlink>
          </w:p>
        </w:tc>
        <w:tc>
          <w:tcPr>
            <w:tcW w:w="460" w:type="dxa"/>
            <w:vAlign w:val="bottom"/>
            <w:vMerge w:val="restart"/>
          </w:tcPr>
          <w:p>
            <w:pPr>
              <w:jc w:val="right"/>
              <w:spacing w:after="0"/>
              <w:rPr>
                <w:rFonts w:ascii="Arial" w:cs="Arial" w:eastAsia="Arial" w:hAnsi="Arial"/>
                <w:sz w:val="18"/>
                <w:szCs w:val="18"/>
                <w:color w:val="0000FF"/>
              </w:rPr>
            </w:pPr>
            <w:hyperlink w:anchor="page7">
              <w:r>
                <w:rPr>
                  <w:rFonts w:ascii="Arial" w:cs="Arial" w:eastAsia="Arial" w:hAnsi="Arial"/>
                  <w:sz w:val="18"/>
                  <w:szCs w:val="18"/>
                  <w:color w:val="0000FF"/>
                </w:rPr>
                <w:t>8</w:t>
              </w:r>
            </w:hyperlink>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20" w:type="dxa"/>
            <w:vAlign w:val="bottom"/>
            <w:tcBorders>
              <w:top w:val="single" w:sz="8" w:color="0000FF"/>
            </w:tcBorders>
            <w:gridSpan w:val="5"/>
          </w:tcPr>
          <w:p>
            <w:pPr>
              <w:spacing w:after="0" w:line="156" w:lineRule="exact"/>
              <w:rPr>
                <w:rFonts w:ascii="Arial" w:cs="Arial" w:eastAsia="Arial" w:hAnsi="Arial"/>
                <w:sz w:val="18"/>
                <w:szCs w:val="18"/>
                <w:color w:val="0000FF"/>
              </w:rPr>
            </w:pPr>
            <w:hyperlink w:anchor="page7">
              <w:r>
                <w:rPr>
                  <w:rFonts w:ascii="Arial" w:cs="Arial" w:eastAsia="Arial" w:hAnsi="Arial"/>
                  <w:sz w:val="18"/>
                  <w:szCs w:val="18"/>
                  <w:color w:val="0000FF"/>
                </w:rPr>
                <w:t>September 30, 2020 and September 30, 2019</w:t>
              </w:r>
            </w:hyperlink>
          </w:p>
        </w:tc>
        <w:tc>
          <w:tcPr>
            <w:tcW w:w="1160" w:type="dxa"/>
            <w:vAlign w:val="bottom"/>
            <w:gridSpan w:val="4"/>
          </w:tcPr>
          <w:p>
            <w:pPr>
              <w:spacing w:after="0"/>
              <w:rPr>
                <w:sz w:val="13"/>
                <w:szCs w:val="13"/>
                <w:color w:val="auto"/>
              </w:rPr>
            </w:pPr>
          </w:p>
        </w:tc>
        <w:tc>
          <w:tcPr>
            <w:tcW w:w="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40" w:type="dxa"/>
            <w:vAlign w:val="bottom"/>
            <w:gridSpan w:val="4"/>
            <w:shd w:val="clear" w:color="auto" w:fill="0000FF"/>
          </w:tcPr>
          <w:p>
            <w:pPr>
              <w:spacing w:after="0" w:line="20" w:lineRule="exact"/>
              <w:rPr>
                <w:sz w:val="1"/>
                <w:szCs w:val="1"/>
                <w:color w:val="auto"/>
              </w:rPr>
            </w:pPr>
          </w:p>
        </w:tc>
        <w:tc>
          <w:tcPr>
            <w:tcW w:w="574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1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980" w:type="dxa"/>
            <w:vAlign w:val="bottom"/>
            <w:gridSpan w:val="9"/>
          </w:tcPr>
          <w:p>
            <w:pPr>
              <w:spacing w:after="0"/>
              <w:rPr>
                <w:rFonts w:ascii="Arial" w:cs="Arial" w:eastAsia="Arial" w:hAnsi="Arial"/>
                <w:sz w:val="18"/>
                <w:szCs w:val="18"/>
                <w:u w:val="single" w:color="auto"/>
                <w:color w:val="0000FF"/>
              </w:rPr>
            </w:pPr>
            <w:hyperlink w:anchor="page9">
              <w:r>
                <w:rPr>
                  <w:rFonts w:ascii="Arial" w:cs="Arial" w:eastAsia="Arial" w:hAnsi="Arial"/>
                  <w:sz w:val="18"/>
                  <w:szCs w:val="18"/>
                  <w:u w:val="single" w:color="auto"/>
                  <w:color w:val="0000FF"/>
                </w:rPr>
                <w:t>Notes to Condensed Consolidated Financial Statements</w:t>
              </w:r>
            </w:hyperlink>
          </w:p>
        </w:tc>
        <w:tc>
          <w:tcPr>
            <w:tcW w:w="460" w:type="dxa"/>
            <w:vAlign w:val="bottom"/>
          </w:tcPr>
          <w:p>
            <w:pPr>
              <w:jc w:val="right"/>
              <w:spacing w:after="0"/>
              <w:rPr>
                <w:rFonts w:ascii="Arial" w:cs="Arial" w:eastAsia="Arial" w:hAnsi="Arial"/>
                <w:sz w:val="18"/>
                <w:szCs w:val="18"/>
                <w:color w:val="0000FF"/>
              </w:rPr>
            </w:pPr>
            <w:hyperlink w:anchor="page9">
              <w:r>
                <w:rPr>
                  <w:rFonts w:ascii="Arial" w:cs="Arial" w:eastAsia="Arial" w:hAnsi="Arial"/>
                  <w:sz w:val="18"/>
                  <w:szCs w:val="18"/>
                  <w:color w:val="0000FF"/>
                </w:rPr>
                <w:t>10</w:t>
              </w:r>
            </w:hyperlink>
          </w:p>
        </w:tc>
        <w:tc>
          <w:tcPr>
            <w:tcW w:w="0" w:type="dxa"/>
            <w:vAlign w:val="bottom"/>
          </w:tcPr>
          <w:p>
            <w:pPr>
              <w:spacing w:after="0"/>
              <w:rPr>
                <w:sz w:val="1"/>
                <w:szCs w:val="1"/>
                <w:color w:val="auto"/>
              </w:rPr>
            </w:pPr>
          </w:p>
        </w:tc>
      </w:tr>
      <w:tr>
        <w:trPr>
          <w:trHeight w:val="459"/>
        </w:trPr>
        <w:tc>
          <w:tcPr>
            <w:tcW w:w="1760" w:type="dxa"/>
            <w:vAlign w:val="bottom"/>
            <w:gridSpan w:val="2"/>
          </w:tcPr>
          <w:p>
            <w:pPr>
              <w:ind w:left="20"/>
              <w:spacing w:after="0"/>
              <w:rPr>
                <w:rFonts w:ascii="Arial" w:cs="Arial" w:eastAsia="Arial" w:hAnsi="Arial"/>
                <w:sz w:val="18"/>
                <w:szCs w:val="18"/>
                <w:u w:val="single" w:color="auto"/>
                <w:color w:val="0000FF"/>
              </w:rPr>
            </w:pPr>
            <w:hyperlink w:anchor="page34">
              <w:r>
                <w:rPr>
                  <w:rFonts w:ascii="Arial" w:cs="Arial" w:eastAsia="Arial" w:hAnsi="Arial"/>
                  <w:sz w:val="18"/>
                  <w:szCs w:val="18"/>
                  <w:u w:val="single" w:color="auto"/>
                  <w:color w:val="0000FF"/>
                </w:rPr>
                <w:t>Item 2.</w:t>
              </w:r>
            </w:hyperlink>
          </w:p>
        </w:tc>
        <w:tc>
          <w:tcPr>
            <w:tcW w:w="8980" w:type="dxa"/>
            <w:vAlign w:val="bottom"/>
            <w:gridSpan w:val="9"/>
          </w:tcPr>
          <w:p>
            <w:pPr>
              <w:spacing w:after="0"/>
              <w:rPr>
                <w:rFonts w:ascii="Arial" w:cs="Arial" w:eastAsia="Arial" w:hAnsi="Arial"/>
                <w:sz w:val="18"/>
                <w:szCs w:val="18"/>
                <w:u w:val="single" w:color="auto"/>
                <w:color w:val="0000FF"/>
              </w:rPr>
            </w:pPr>
            <w:hyperlink w:anchor="page34">
              <w:r>
                <w:rPr>
                  <w:rFonts w:ascii="Arial" w:cs="Arial" w:eastAsia="Arial" w:hAnsi="Arial"/>
                  <w:sz w:val="18"/>
                  <w:szCs w:val="18"/>
                  <w:u w:val="single" w:color="auto"/>
                  <w:color w:val="0000FF"/>
                </w:rPr>
                <w:t>Management’s Discussion and Analysis of Financial Condition and Results of Operations</w:t>
              </w:r>
            </w:hyperlink>
          </w:p>
        </w:tc>
        <w:tc>
          <w:tcPr>
            <w:tcW w:w="460" w:type="dxa"/>
            <w:vAlign w:val="bottom"/>
          </w:tcPr>
          <w:p>
            <w:pPr>
              <w:jc w:val="right"/>
              <w:spacing w:after="0"/>
              <w:rPr>
                <w:rFonts w:ascii="Arial" w:cs="Arial" w:eastAsia="Arial" w:hAnsi="Arial"/>
                <w:sz w:val="18"/>
                <w:szCs w:val="18"/>
                <w:color w:val="0000FF"/>
              </w:rPr>
            </w:pPr>
            <w:hyperlink w:anchor="page34">
              <w:r>
                <w:rPr>
                  <w:rFonts w:ascii="Arial" w:cs="Arial" w:eastAsia="Arial" w:hAnsi="Arial"/>
                  <w:sz w:val="18"/>
                  <w:szCs w:val="18"/>
                  <w:color w:val="0000FF"/>
                </w:rPr>
                <w:t>35</w:t>
              </w:r>
            </w:hyperlink>
          </w:p>
        </w:tc>
        <w:tc>
          <w:tcPr>
            <w:tcW w:w="0" w:type="dxa"/>
            <w:vAlign w:val="bottom"/>
          </w:tcPr>
          <w:p>
            <w:pPr>
              <w:spacing w:after="0"/>
              <w:rPr>
                <w:sz w:val="1"/>
                <w:szCs w:val="1"/>
                <w:color w:val="auto"/>
              </w:rPr>
            </w:pPr>
          </w:p>
        </w:tc>
      </w:tr>
      <w:tr>
        <w:trPr>
          <w:trHeight w:val="459"/>
        </w:trPr>
        <w:tc>
          <w:tcPr>
            <w:tcW w:w="1760" w:type="dxa"/>
            <w:vAlign w:val="bottom"/>
            <w:gridSpan w:val="2"/>
          </w:tcPr>
          <w:p>
            <w:pPr>
              <w:ind w:left="20"/>
              <w:spacing w:after="0"/>
              <w:rPr>
                <w:rFonts w:ascii="Arial" w:cs="Arial" w:eastAsia="Arial" w:hAnsi="Arial"/>
                <w:sz w:val="18"/>
                <w:szCs w:val="18"/>
                <w:u w:val="single" w:color="auto"/>
                <w:color w:val="0000FF"/>
              </w:rPr>
            </w:pPr>
            <w:hyperlink w:anchor="page61">
              <w:r>
                <w:rPr>
                  <w:rFonts w:ascii="Arial" w:cs="Arial" w:eastAsia="Arial" w:hAnsi="Arial"/>
                  <w:sz w:val="18"/>
                  <w:szCs w:val="18"/>
                  <w:u w:val="single" w:color="auto"/>
                  <w:color w:val="0000FF"/>
                </w:rPr>
                <w:t>Item 3.</w:t>
              </w:r>
            </w:hyperlink>
          </w:p>
        </w:tc>
        <w:tc>
          <w:tcPr>
            <w:tcW w:w="8980" w:type="dxa"/>
            <w:vAlign w:val="bottom"/>
            <w:gridSpan w:val="9"/>
          </w:tcPr>
          <w:p>
            <w:pPr>
              <w:spacing w:after="0"/>
              <w:rPr>
                <w:rFonts w:ascii="Arial" w:cs="Arial" w:eastAsia="Arial" w:hAnsi="Arial"/>
                <w:sz w:val="18"/>
                <w:szCs w:val="18"/>
                <w:u w:val="single" w:color="auto"/>
                <w:color w:val="0000FF"/>
              </w:rPr>
            </w:pPr>
            <w:hyperlink w:anchor="page61">
              <w:r>
                <w:rPr>
                  <w:rFonts w:ascii="Arial" w:cs="Arial" w:eastAsia="Arial" w:hAnsi="Arial"/>
                  <w:sz w:val="18"/>
                  <w:szCs w:val="18"/>
                  <w:u w:val="single" w:color="auto"/>
                  <w:color w:val="0000FF"/>
                </w:rPr>
                <w:t>Quantitative and Qualitative Disclosures About Market Risk</w:t>
              </w:r>
            </w:hyperlink>
          </w:p>
        </w:tc>
        <w:tc>
          <w:tcPr>
            <w:tcW w:w="460" w:type="dxa"/>
            <w:vAlign w:val="bottom"/>
          </w:tcPr>
          <w:p>
            <w:pPr>
              <w:jc w:val="right"/>
              <w:spacing w:after="0"/>
              <w:rPr>
                <w:rFonts w:ascii="Arial" w:cs="Arial" w:eastAsia="Arial" w:hAnsi="Arial"/>
                <w:sz w:val="18"/>
                <w:szCs w:val="18"/>
                <w:color w:val="0000FF"/>
              </w:rPr>
            </w:pPr>
            <w:hyperlink w:anchor="page61">
              <w:r>
                <w:rPr>
                  <w:rFonts w:ascii="Arial" w:cs="Arial" w:eastAsia="Arial" w:hAnsi="Arial"/>
                  <w:sz w:val="18"/>
                  <w:szCs w:val="18"/>
                  <w:color w:val="0000FF"/>
                </w:rPr>
                <w:t>62</w:t>
              </w:r>
            </w:hyperlink>
          </w:p>
        </w:tc>
        <w:tc>
          <w:tcPr>
            <w:tcW w:w="0" w:type="dxa"/>
            <w:vAlign w:val="bottom"/>
          </w:tcPr>
          <w:p>
            <w:pPr>
              <w:spacing w:after="0"/>
              <w:rPr>
                <w:sz w:val="1"/>
                <w:szCs w:val="1"/>
                <w:color w:val="auto"/>
              </w:rPr>
            </w:pPr>
          </w:p>
        </w:tc>
      </w:tr>
      <w:tr>
        <w:trPr>
          <w:trHeight w:val="459"/>
        </w:trPr>
        <w:tc>
          <w:tcPr>
            <w:tcW w:w="1760" w:type="dxa"/>
            <w:vAlign w:val="bottom"/>
            <w:gridSpan w:val="2"/>
          </w:tcPr>
          <w:p>
            <w:pPr>
              <w:ind w:left="20"/>
              <w:spacing w:after="0"/>
              <w:rPr>
                <w:rFonts w:ascii="Arial" w:cs="Arial" w:eastAsia="Arial" w:hAnsi="Arial"/>
                <w:sz w:val="18"/>
                <w:szCs w:val="18"/>
                <w:u w:val="single" w:color="auto"/>
                <w:color w:val="0000FF"/>
              </w:rPr>
            </w:pPr>
            <w:hyperlink w:anchor="page63">
              <w:r>
                <w:rPr>
                  <w:rFonts w:ascii="Arial" w:cs="Arial" w:eastAsia="Arial" w:hAnsi="Arial"/>
                  <w:sz w:val="18"/>
                  <w:szCs w:val="18"/>
                  <w:u w:val="single" w:color="auto"/>
                  <w:color w:val="0000FF"/>
                </w:rPr>
                <w:t>Item 4.</w:t>
              </w:r>
            </w:hyperlink>
          </w:p>
        </w:tc>
        <w:tc>
          <w:tcPr>
            <w:tcW w:w="8980" w:type="dxa"/>
            <w:vAlign w:val="bottom"/>
            <w:gridSpan w:val="9"/>
          </w:tcPr>
          <w:p>
            <w:pPr>
              <w:spacing w:after="0"/>
              <w:rPr>
                <w:rFonts w:ascii="Arial" w:cs="Arial" w:eastAsia="Arial" w:hAnsi="Arial"/>
                <w:sz w:val="18"/>
                <w:szCs w:val="18"/>
                <w:u w:val="single" w:color="auto"/>
                <w:color w:val="0000FF"/>
              </w:rPr>
            </w:pPr>
            <w:hyperlink w:anchor="page63">
              <w:r>
                <w:rPr>
                  <w:rFonts w:ascii="Arial" w:cs="Arial" w:eastAsia="Arial" w:hAnsi="Arial"/>
                  <w:sz w:val="18"/>
                  <w:szCs w:val="18"/>
                  <w:u w:val="single" w:color="auto"/>
                  <w:color w:val="0000FF"/>
                </w:rPr>
                <w:t>Controls and Procedures</w:t>
              </w:r>
            </w:hyperlink>
          </w:p>
        </w:tc>
        <w:tc>
          <w:tcPr>
            <w:tcW w:w="460" w:type="dxa"/>
            <w:vAlign w:val="bottom"/>
          </w:tcPr>
          <w:p>
            <w:pPr>
              <w:jc w:val="right"/>
              <w:spacing w:after="0"/>
              <w:rPr>
                <w:rFonts w:ascii="Arial" w:cs="Arial" w:eastAsia="Arial" w:hAnsi="Arial"/>
                <w:sz w:val="18"/>
                <w:szCs w:val="18"/>
                <w:color w:val="0000FF"/>
              </w:rPr>
            </w:pPr>
            <w:hyperlink w:anchor="page63">
              <w:r>
                <w:rPr>
                  <w:rFonts w:ascii="Arial" w:cs="Arial" w:eastAsia="Arial" w:hAnsi="Arial"/>
                  <w:sz w:val="18"/>
                  <w:szCs w:val="18"/>
                  <w:color w:val="0000FF"/>
                </w:rPr>
                <w:t>63</w:t>
              </w:r>
            </w:hyperlink>
          </w:p>
        </w:tc>
        <w:tc>
          <w:tcPr>
            <w:tcW w:w="0" w:type="dxa"/>
            <w:vAlign w:val="bottom"/>
          </w:tcPr>
          <w:p>
            <w:pPr>
              <w:spacing w:after="0"/>
              <w:rPr>
                <w:sz w:val="1"/>
                <w:szCs w:val="1"/>
                <w:color w:val="auto"/>
              </w:rPr>
            </w:pPr>
          </w:p>
        </w:tc>
      </w:tr>
      <w:tr>
        <w:trPr>
          <w:trHeight w:val="459"/>
        </w:trPr>
        <w:tc>
          <w:tcPr>
            <w:tcW w:w="1760" w:type="dxa"/>
            <w:vAlign w:val="bottom"/>
            <w:gridSpan w:val="2"/>
          </w:tcPr>
          <w:p>
            <w:pPr>
              <w:ind w:left="20"/>
              <w:spacing w:after="0"/>
              <w:rPr>
                <w:rFonts w:ascii="Arial" w:cs="Arial" w:eastAsia="Arial" w:hAnsi="Arial"/>
                <w:sz w:val="18"/>
                <w:szCs w:val="18"/>
                <w:u w:val="single" w:color="auto"/>
                <w:color w:val="0000FF"/>
              </w:rPr>
            </w:pPr>
            <w:hyperlink w:anchor="page64">
              <w:r>
                <w:rPr>
                  <w:rFonts w:ascii="Arial" w:cs="Arial" w:eastAsia="Arial" w:hAnsi="Arial"/>
                  <w:sz w:val="18"/>
                  <w:szCs w:val="18"/>
                  <w:u w:val="single" w:color="auto"/>
                  <w:color w:val="0000FF"/>
                </w:rPr>
                <w:t>PART II.</w:t>
              </w:r>
            </w:hyperlink>
          </w:p>
        </w:tc>
        <w:tc>
          <w:tcPr>
            <w:tcW w:w="8980" w:type="dxa"/>
            <w:vAlign w:val="bottom"/>
            <w:gridSpan w:val="9"/>
          </w:tcPr>
          <w:p>
            <w:pPr>
              <w:spacing w:after="0"/>
              <w:rPr>
                <w:rFonts w:ascii="Arial" w:cs="Arial" w:eastAsia="Arial" w:hAnsi="Arial"/>
                <w:sz w:val="18"/>
                <w:szCs w:val="18"/>
                <w:u w:val="single" w:color="auto"/>
                <w:color w:val="0000FF"/>
              </w:rPr>
            </w:pPr>
            <w:hyperlink w:anchor="page64">
              <w:r>
                <w:rPr>
                  <w:rFonts w:ascii="Arial" w:cs="Arial" w:eastAsia="Arial" w:hAnsi="Arial"/>
                  <w:sz w:val="18"/>
                  <w:szCs w:val="18"/>
                  <w:u w:val="single" w:color="auto"/>
                  <w:color w:val="0000FF"/>
                </w:rPr>
                <w:t>OTHER INFORMATION</w:t>
              </w:r>
            </w:hyperlink>
          </w:p>
        </w:tc>
        <w:tc>
          <w:tcPr>
            <w:tcW w:w="460" w:type="dxa"/>
            <w:vAlign w:val="bottom"/>
          </w:tcPr>
          <w:p>
            <w:pPr>
              <w:jc w:val="right"/>
              <w:spacing w:after="0"/>
              <w:rPr>
                <w:rFonts w:ascii="Arial" w:cs="Arial" w:eastAsia="Arial" w:hAnsi="Arial"/>
                <w:sz w:val="18"/>
                <w:szCs w:val="18"/>
                <w:color w:val="0000FF"/>
              </w:rPr>
            </w:pPr>
            <w:hyperlink w:anchor="page64">
              <w:r>
                <w:rPr>
                  <w:rFonts w:ascii="Arial" w:cs="Arial" w:eastAsia="Arial" w:hAnsi="Arial"/>
                  <w:sz w:val="18"/>
                  <w:szCs w:val="18"/>
                  <w:color w:val="0000FF"/>
                </w:rPr>
                <w:t>64</w:t>
              </w:r>
            </w:hyperlink>
          </w:p>
        </w:tc>
        <w:tc>
          <w:tcPr>
            <w:tcW w:w="0" w:type="dxa"/>
            <w:vAlign w:val="bottom"/>
          </w:tcPr>
          <w:p>
            <w:pPr>
              <w:spacing w:after="0"/>
              <w:rPr>
                <w:sz w:val="1"/>
                <w:szCs w:val="1"/>
                <w:color w:val="auto"/>
              </w:rPr>
            </w:pPr>
          </w:p>
        </w:tc>
      </w:tr>
      <w:tr>
        <w:trPr>
          <w:trHeight w:val="459"/>
        </w:trPr>
        <w:tc>
          <w:tcPr>
            <w:tcW w:w="1760" w:type="dxa"/>
            <w:vAlign w:val="bottom"/>
            <w:gridSpan w:val="2"/>
          </w:tcPr>
          <w:p>
            <w:pPr>
              <w:ind w:left="20"/>
              <w:spacing w:after="0"/>
              <w:rPr>
                <w:rFonts w:ascii="Arial" w:cs="Arial" w:eastAsia="Arial" w:hAnsi="Arial"/>
                <w:sz w:val="18"/>
                <w:szCs w:val="18"/>
                <w:u w:val="single" w:color="auto"/>
                <w:color w:val="0000FF"/>
              </w:rPr>
            </w:pPr>
            <w:hyperlink w:anchor="page64">
              <w:r>
                <w:rPr>
                  <w:rFonts w:ascii="Arial" w:cs="Arial" w:eastAsia="Arial" w:hAnsi="Arial"/>
                  <w:sz w:val="18"/>
                  <w:szCs w:val="18"/>
                  <w:u w:val="single" w:color="auto"/>
                  <w:color w:val="0000FF"/>
                </w:rPr>
                <w:t>Item 1.</w:t>
              </w:r>
            </w:hyperlink>
          </w:p>
        </w:tc>
        <w:tc>
          <w:tcPr>
            <w:tcW w:w="8980" w:type="dxa"/>
            <w:vAlign w:val="bottom"/>
            <w:gridSpan w:val="9"/>
          </w:tcPr>
          <w:p>
            <w:pPr>
              <w:spacing w:after="0"/>
              <w:rPr>
                <w:rFonts w:ascii="Arial" w:cs="Arial" w:eastAsia="Arial" w:hAnsi="Arial"/>
                <w:sz w:val="18"/>
                <w:szCs w:val="18"/>
                <w:u w:val="single" w:color="auto"/>
                <w:color w:val="0000FF"/>
              </w:rPr>
            </w:pPr>
            <w:hyperlink w:anchor="page64">
              <w:r>
                <w:rPr>
                  <w:rFonts w:ascii="Arial" w:cs="Arial" w:eastAsia="Arial" w:hAnsi="Arial"/>
                  <w:sz w:val="18"/>
                  <w:szCs w:val="18"/>
                  <w:u w:val="single" w:color="auto"/>
                  <w:color w:val="0000FF"/>
                </w:rPr>
                <w:t>Legal Proceedings</w:t>
              </w:r>
            </w:hyperlink>
          </w:p>
        </w:tc>
        <w:tc>
          <w:tcPr>
            <w:tcW w:w="460" w:type="dxa"/>
            <w:vAlign w:val="bottom"/>
          </w:tcPr>
          <w:p>
            <w:pPr>
              <w:jc w:val="right"/>
              <w:spacing w:after="0"/>
              <w:rPr>
                <w:rFonts w:ascii="Arial" w:cs="Arial" w:eastAsia="Arial" w:hAnsi="Arial"/>
                <w:sz w:val="18"/>
                <w:szCs w:val="18"/>
                <w:color w:val="0000FF"/>
              </w:rPr>
            </w:pPr>
            <w:hyperlink w:anchor="page64">
              <w:r>
                <w:rPr>
                  <w:rFonts w:ascii="Arial" w:cs="Arial" w:eastAsia="Arial" w:hAnsi="Arial"/>
                  <w:sz w:val="18"/>
                  <w:szCs w:val="18"/>
                  <w:color w:val="0000FF"/>
                </w:rPr>
                <w:t>64</w:t>
              </w:r>
            </w:hyperlink>
          </w:p>
        </w:tc>
        <w:tc>
          <w:tcPr>
            <w:tcW w:w="0" w:type="dxa"/>
            <w:vAlign w:val="bottom"/>
          </w:tcPr>
          <w:p>
            <w:pPr>
              <w:spacing w:after="0"/>
              <w:rPr>
                <w:sz w:val="1"/>
                <w:szCs w:val="1"/>
                <w:color w:val="auto"/>
              </w:rPr>
            </w:pPr>
          </w:p>
        </w:tc>
      </w:tr>
      <w:tr>
        <w:trPr>
          <w:trHeight w:val="459"/>
        </w:trPr>
        <w:tc>
          <w:tcPr>
            <w:tcW w:w="1760" w:type="dxa"/>
            <w:vAlign w:val="bottom"/>
            <w:gridSpan w:val="2"/>
          </w:tcPr>
          <w:p>
            <w:pPr>
              <w:ind w:left="20"/>
              <w:spacing w:after="0"/>
              <w:rPr>
                <w:rFonts w:ascii="Arial" w:cs="Arial" w:eastAsia="Arial" w:hAnsi="Arial"/>
                <w:sz w:val="18"/>
                <w:szCs w:val="18"/>
                <w:u w:val="single" w:color="auto"/>
                <w:color w:val="0000FF"/>
              </w:rPr>
            </w:pPr>
            <w:hyperlink w:anchor="page64">
              <w:r>
                <w:rPr>
                  <w:rFonts w:ascii="Arial" w:cs="Arial" w:eastAsia="Arial" w:hAnsi="Arial"/>
                  <w:sz w:val="18"/>
                  <w:szCs w:val="18"/>
                  <w:u w:val="single" w:color="auto"/>
                  <w:color w:val="0000FF"/>
                </w:rPr>
                <w:t>Item 1A.</w:t>
              </w:r>
            </w:hyperlink>
          </w:p>
        </w:tc>
        <w:tc>
          <w:tcPr>
            <w:tcW w:w="8980" w:type="dxa"/>
            <w:vAlign w:val="bottom"/>
            <w:gridSpan w:val="9"/>
          </w:tcPr>
          <w:p>
            <w:pPr>
              <w:spacing w:after="0"/>
              <w:rPr>
                <w:rFonts w:ascii="Arial" w:cs="Arial" w:eastAsia="Arial" w:hAnsi="Arial"/>
                <w:sz w:val="18"/>
                <w:szCs w:val="18"/>
                <w:u w:val="single" w:color="auto"/>
                <w:color w:val="0000FF"/>
              </w:rPr>
            </w:pPr>
            <w:hyperlink w:anchor="page64">
              <w:r>
                <w:rPr>
                  <w:rFonts w:ascii="Arial" w:cs="Arial" w:eastAsia="Arial" w:hAnsi="Arial"/>
                  <w:sz w:val="18"/>
                  <w:szCs w:val="18"/>
                  <w:u w:val="single" w:color="auto"/>
                  <w:color w:val="0000FF"/>
                </w:rPr>
                <w:t>Risk Factors</w:t>
              </w:r>
            </w:hyperlink>
          </w:p>
        </w:tc>
        <w:tc>
          <w:tcPr>
            <w:tcW w:w="460" w:type="dxa"/>
            <w:vAlign w:val="bottom"/>
          </w:tcPr>
          <w:p>
            <w:pPr>
              <w:jc w:val="right"/>
              <w:spacing w:after="0"/>
              <w:rPr>
                <w:rFonts w:ascii="Arial" w:cs="Arial" w:eastAsia="Arial" w:hAnsi="Arial"/>
                <w:sz w:val="18"/>
                <w:szCs w:val="18"/>
                <w:color w:val="0000FF"/>
              </w:rPr>
            </w:pPr>
            <w:hyperlink w:anchor="page64">
              <w:r>
                <w:rPr>
                  <w:rFonts w:ascii="Arial" w:cs="Arial" w:eastAsia="Arial" w:hAnsi="Arial"/>
                  <w:sz w:val="18"/>
                  <w:szCs w:val="18"/>
                  <w:color w:val="0000FF"/>
                </w:rPr>
                <w:t>64</w:t>
              </w:r>
            </w:hyperlink>
          </w:p>
        </w:tc>
        <w:tc>
          <w:tcPr>
            <w:tcW w:w="0" w:type="dxa"/>
            <w:vAlign w:val="bottom"/>
          </w:tcPr>
          <w:p>
            <w:pPr>
              <w:spacing w:after="0"/>
              <w:rPr>
                <w:sz w:val="1"/>
                <w:szCs w:val="1"/>
                <w:color w:val="auto"/>
              </w:rPr>
            </w:pPr>
          </w:p>
        </w:tc>
      </w:tr>
      <w:tr>
        <w:trPr>
          <w:trHeight w:val="459"/>
        </w:trPr>
        <w:tc>
          <w:tcPr>
            <w:tcW w:w="1760" w:type="dxa"/>
            <w:vAlign w:val="bottom"/>
            <w:gridSpan w:val="2"/>
          </w:tcPr>
          <w:p>
            <w:pPr>
              <w:ind w:left="20"/>
              <w:spacing w:after="0"/>
              <w:rPr>
                <w:rFonts w:ascii="Arial" w:cs="Arial" w:eastAsia="Arial" w:hAnsi="Arial"/>
                <w:sz w:val="18"/>
                <w:szCs w:val="18"/>
                <w:u w:val="single" w:color="auto"/>
                <w:color w:val="0000FF"/>
              </w:rPr>
            </w:pPr>
            <w:hyperlink w:anchor="page64">
              <w:r>
                <w:rPr>
                  <w:rFonts w:ascii="Arial" w:cs="Arial" w:eastAsia="Arial" w:hAnsi="Arial"/>
                  <w:sz w:val="18"/>
                  <w:szCs w:val="18"/>
                  <w:u w:val="single" w:color="auto"/>
                  <w:color w:val="0000FF"/>
                </w:rPr>
                <w:t>Item 5.</w:t>
              </w:r>
            </w:hyperlink>
          </w:p>
        </w:tc>
        <w:tc>
          <w:tcPr>
            <w:tcW w:w="8980" w:type="dxa"/>
            <w:vAlign w:val="bottom"/>
            <w:gridSpan w:val="9"/>
          </w:tcPr>
          <w:p>
            <w:pPr>
              <w:spacing w:after="0"/>
              <w:rPr>
                <w:rFonts w:ascii="Arial" w:cs="Arial" w:eastAsia="Arial" w:hAnsi="Arial"/>
                <w:sz w:val="18"/>
                <w:szCs w:val="18"/>
                <w:u w:val="single" w:color="auto"/>
                <w:color w:val="0000FF"/>
              </w:rPr>
            </w:pPr>
            <w:hyperlink w:anchor="page64">
              <w:r>
                <w:rPr>
                  <w:rFonts w:ascii="Arial" w:cs="Arial" w:eastAsia="Arial" w:hAnsi="Arial"/>
                  <w:sz w:val="18"/>
                  <w:szCs w:val="18"/>
                  <w:u w:val="single" w:color="auto"/>
                  <w:color w:val="0000FF"/>
                </w:rPr>
                <w:t>Other Information</w:t>
              </w:r>
            </w:hyperlink>
          </w:p>
        </w:tc>
        <w:tc>
          <w:tcPr>
            <w:tcW w:w="460" w:type="dxa"/>
            <w:vAlign w:val="bottom"/>
          </w:tcPr>
          <w:p>
            <w:pPr>
              <w:jc w:val="right"/>
              <w:spacing w:after="0"/>
              <w:rPr>
                <w:rFonts w:ascii="Arial" w:cs="Arial" w:eastAsia="Arial" w:hAnsi="Arial"/>
                <w:sz w:val="18"/>
                <w:szCs w:val="18"/>
                <w:color w:val="0000FF"/>
              </w:rPr>
            </w:pPr>
            <w:hyperlink w:anchor="page64">
              <w:r>
                <w:rPr>
                  <w:rFonts w:ascii="Arial" w:cs="Arial" w:eastAsia="Arial" w:hAnsi="Arial"/>
                  <w:sz w:val="18"/>
                  <w:szCs w:val="18"/>
                  <w:color w:val="0000FF"/>
                </w:rPr>
                <w:t>65</w:t>
              </w:r>
            </w:hyperlink>
          </w:p>
        </w:tc>
        <w:tc>
          <w:tcPr>
            <w:tcW w:w="0" w:type="dxa"/>
            <w:vAlign w:val="bottom"/>
          </w:tcPr>
          <w:p>
            <w:pPr>
              <w:spacing w:after="0"/>
              <w:rPr>
                <w:sz w:val="1"/>
                <w:szCs w:val="1"/>
                <w:color w:val="auto"/>
              </w:rPr>
            </w:pPr>
          </w:p>
        </w:tc>
      </w:tr>
      <w:tr>
        <w:trPr>
          <w:trHeight w:val="445"/>
        </w:trPr>
        <w:tc>
          <w:tcPr>
            <w:tcW w:w="1760" w:type="dxa"/>
            <w:vAlign w:val="bottom"/>
            <w:gridSpan w:val="2"/>
          </w:tcPr>
          <w:p>
            <w:pPr>
              <w:ind w:left="20"/>
              <w:spacing w:after="0"/>
              <w:rPr>
                <w:rFonts w:ascii="Arial" w:cs="Arial" w:eastAsia="Arial" w:hAnsi="Arial"/>
                <w:sz w:val="18"/>
                <w:szCs w:val="18"/>
                <w:u w:val="single" w:color="auto"/>
                <w:color w:val="0000FF"/>
              </w:rPr>
            </w:pPr>
            <w:hyperlink w:anchor="page65">
              <w:r>
                <w:rPr>
                  <w:rFonts w:ascii="Arial" w:cs="Arial" w:eastAsia="Arial" w:hAnsi="Arial"/>
                  <w:sz w:val="18"/>
                  <w:szCs w:val="18"/>
                  <w:u w:val="single" w:color="auto"/>
                  <w:color w:val="0000FF"/>
                </w:rPr>
                <w:t>Item 6.</w:t>
              </w:r>
            </w:hyperlink>
          </w:p>
        </w:tc>
        <w:tc>
          <w:tcPr>
            <w:tcW w:w="8980" w:type="dxa"/>
            <w:vAlign w:val="bottom"/>
            <w:gridSpan w:val="9"/>
          </w:tcPr>
          <w:p>
            <w:pPr>
              <w:spacing w:after="0"/>
              <w:rPr>
                <w:rFonts w:ascii="Arial" w:cs="Arial" w:eastAsia="Arial" w:hAnsi="Arial"/>
                <w:sz w:val="18"/>
                <w:szCs w:val="18"/>
                <w:u w:val="single" w:color="auto"/>
                <w:color w:val="0000FF"/>
              </w:rPr>
            </w:pPr>
            <w:hyperlink w:anchor="page65">
              <w:r>
                <w:rPr>
                  <w:rFonts w:ascii="Arial" w:cs="Arial" w:eastAsia="Arial" w:hAnsi="Arial"/>
                  <w:sz w:val="18"/>
                  <w:szCs w:val="18"/>
                  <w:u w:val="single" w:color="auto"/>
                  <w:color w:val="0000FF"/>
                </w:rPr>
                <w:t>Exhibits</w:t>
              </w:r>
            </w:hyperlink>
          </w:p>
        </w:tc>
        <w:tc>
          <w:tcPr>
            <w:tcW w:w="460" w:type="dxa"/>
            <w:vAlign w:val="bottom"/>
          </w:tcPr>
          <w:p>
            <w:pPr>
              <w:jc w:val="right"/>
              <w:spacing w:after="0"/>
              <w:rPr>
                <w:rFonts w:ascii="Arial" w:cs="Arial" w:eastAsia="Arial" w:hAnsi="Arial"/>
                <w:sz w:val="18"/>
                <w:szCs w:val="18"/>
                <w:color w:val="0000FF"/>
              </w:rPr>
            </w:pPr>
            <w:hyperlink w:anchor="page65">
              <w:r>
                <w:rPr>
                  <w:rFonts w:ascii="Arial" w:cs="Arial" w:eastAsia="Arial" w:hAnsi="Arial"/>
                  <w:sz w:val="18"/>
                  <w:szCs w:val="18"/>
                  <w:color w:val="0000FF"/>
                </w:rPr>
                <w:t>65</w:t>
              </w:r>
            </w:hyperlink>
          </w:p>
        </w:tc>
        <w:tc>
          <w:tcPr>
            <w:tcW w:w="0" w:type="dxa"/>
            <w:vAlign w:val="bottom"/>
          </w:tcPr>
          <w:p>
            <w:pPr>
              <w:spacing w:after="0"/>
              <w:rPr>
                <w:sz w:val="1"/>
                <w:szCs w:val="1"/>
                <w:color w:val="auto"/>
              </w:rPr>
            </w:pPr>
          </w:p>
        </w:tc>
      </w:tr>
      <w:tr>
        <w:trPr>
          <w:trHeight w:val="459"/>
        </w:trPr>
        <w:tc>
          <w:tcPr>
            <w:tcW w:w="1760" w:type="dxa"/>
            <w:vAlign w:val="bottom"/>
            <w:gridSpan w:val="2"/>
          </w:tcPr>
          <w:p>
            <w:pPr>
              <w:ind w:left="20"/>
              <w:spacing w:after="0"/>
              <w:rPr>
                <w:rFonts w:ascii="Arial" w:cs="Arial" w:eastAsia="Arial" w:hAnsi="Arial"/>
                <w:sz w:val="18"/>
                <w:szCs w:val="18"/>
                <w:u w:val="single" w:color="auto"/>
                <w:color w:val="0000FF"/>
              </w:rPr>
            </w:pPr>
            <w:hyperlink w:anchor="page65">
              <w:r>
                <w:rPr>
                  <w:rFonts w:ascii="Arial" w:cs="Arial" w:eastAsia="Arial" w:hAnsi="Arial"/>
                  <w:sz w:val="18"/>
                  <w:szCs w:val="18"/>
                  <w:u w:val="single" w:color="auto"/>
                  <w:color w:val="0000FF"/>
                </w:rPr>
                <w:t>EXHIBIT INDEX</w:t>
              </w:r>
            </w:hyperlink>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jc w:val="right"/>
              <w:spacing w:after="0"/>
              <w:rPr>
                <w:rFonts w:ascii="Arial" w:cs="Arial" w:eastAsia="Arial" w:hAnsi="Arial"/>
                <w:sz w:val="18"/>
                <w:szCs w:val="18"/>
                <w:color w:val="0000FF"/>
              </w:rPr>
            </w:pPr>
            <w:hyperlink w:anchor="page65">
              <w:r>
                <w:rPr>
                  <w:rFonts w:ascii="Arial" w:cs="Arial" w:eastAsia="Arial" w:hAnsi="Arial"/>
                  <w:sz w:val="18"/>
                  <w:szCs w:val="18"/>
                  <w:color w:val="0000FF"/>
                </w:rPr>
                <w:t>66</w:t>
              </w:r>
            </w:hyperlink>
          </w:p>
        </w:tc>
        <w:tc>
          <w:tcPr>
            <w:tcW w:w="0" w:type="dxa"/>
            <w:vAlign w:val="bottom"/>
          </w:tcPr>
          <w:p>
            <w:pPr>
              <w:spacing w:after="0"/>
              <w:rPr>
                <w:sz w:val="1"/>
                <w:szCs w:val="1"/>
                <w:color w:val="auto"/>
              </w:rPr>
            </w:pPr>
          </w:p>
        </w:tc>
      </w:tr>
      <w:tr>
        <w:trPr>
          <w:trHeight w:val="446"/>
        </w:trPr>
        <w:tc>
          <w:tcPr>
            <w:tcW w:w="1760" w:type="dxa"/>
            <w:vAlign w:val="bottom"/>
            <w:gridSpan w:val="2"/>
          </w:tcPr>
          <w:p>
            <w:pPr>
              <w:ind w:left="20"/>
              <w:spacing w:after="0"/>
              <w:rPr>
                <w:rFonts w:ascii="Arial" w:cs="Arial" w:eastAsia="Arial" w:hAnsi="Arial"/>
                <w:sz w:val="18"/>
                <w:szCs w:val="18"/>
                <w:u w:val="single" w:color="auto"/>
                <w:color w:val="0000FF"/>
              </w:rPr>
            </w:pPr>
            <w:hyperlink w:anchor="page66">
              <w:r>
                <w:rPr>
                  <w:rFonts w:ascii="Arial" w:cs="Arial" w:eastAsia="Arial" w:hAnsi="Arial"/>
                  <w:sz w:val="18"/>
                  <w:szCs w:val="18"/>
                  <w:u w:val="single" w:color="auto"/>
                  <w:color w:val="0000FF"/>
                </w:rPr>
                <w:t>SIGNATURE</w:t>
              </w:r>
            </w:hyperlink>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jc w:val="right"/>
              <w:spacing w:after="0"/>
              <w:rPr>
                <w:rFonts w:ascii="Arial" w:cs="Arial" w:eastAsia="Arial" w:hAnsi="Arial"/>
                <w:sz w:val="18"/>
                <w:szCs w:val="18"/>
                <w:color w:val="0000FF"/>
              </w:rPr>
            </w:pPr>
            <w:hyperlink w:anchor="page66">
              <w:r>
                <w:rPr>
                  <w:rFonts w:ascii="Arial" w:cs="Arial" w:eastAsia="Arial" w:hAnsi="Arial"/>
                  <w:sz w:val="18"/>
                  <w:szCs w:val="18"/>
                  <w:color w:val="0000FF"/>
                </w:rPr>
                <w:t>67</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w:t>
      </w:r>
    </w:p>
    <w:p>
      <w:pPr>
        <w:spacing w:after="0" w:line="253" w:lineRule="exact"/>
        <w:rPr>
          <w:sz w:val="20"/>
          <w:szCs w:val="20"/>
          <w:color w:val="auto"/>
        </w:rPr>
      </w:pPr>
    </w:p>
    <w:p>
      <w:pPr>
        <w:ind w:firstLine="324"/>
        <w:spacing w:after="0" w:line="251" w:lineRule="auto"/>
        <w:rPr>
          <w:sz w:val="20"/>
          <w:szCs w:val="20"/>
          <w:color w:val="auto"/>
        </w:rPr>
      </w:pPr>
      <w:r>
        <w:rPr>
          <w:rFonts w:ascii="Arial" w:cs="Arial" w:eastAsia="Arial" w:hAnsi="Arial"/>
          <w:sz w:val="17"/>
          <w:szCs w:val="17"/>
          <w:i w:val="1"/>
          <w:iCs w:val="1"/>
          <w:color w:val="auto"/>
        </w:rPr>
        <w:t>This Quarterly Report on Form 10-Q contains, or incorporates by reference, certain forward-looking statements within the meaning of the Private Securities Litigation Reform Act of 1995. Such statements consist of any statement other than a recitation of historical facts and include, but are not limited to: (1) projections of revenues, expenses, income or loss, earnings or loss per share, cash flow, or other financial items; (2) statements of our plans and objectives, including those related to releases of products or services and restructuring activities; (3) statements of future financial or operating performance, including the impact of tax items thereon; and (4) statements of assumptions underlying such statements. Activision Blizzard, Inc. generally uses words such as “outlook,” “forecast,” “will,” “could,” “should,” “would,” “to be,” “plan,” “aims,” “believes,” “may,” “might,” “expects,” “intends,” “seeks,” “anticipates,” “estimate,” “future,” “positioned,” “potential,” “project,” “remain,” “scheduled,” “set to,” “subject to,” “upcoming,” and other similar words and expressions to help identify forward-looking statements. Forward-looking statements are subject to business and economic risks, reflect management’s current expectations, estimates, and projections about our business, and are inherently uncertain and difficult to predict.</w:t>
      </w:r>
    </w:p>
    <w:p>
      <w:pPr>
        <w:spacing w:after="0" w:line="226" w:lineRule="exact"/>
        <w:rPr>
          <w:sz w:val="20"/>
          <w:szCs w:val="20"/>
          <w:color w:val="auto"/>
        </w:rPr>
      </w:pPr>
    </w:p>
    <w:p>
      <w:pPr>
        <w:ind w:firstLine="324"/>
        <w:spacing w:after="0" w:line="265" w:lineRule="auto"/>
        <w:rPr>
          <w:sz w:val="20"/>
          <w:szCs w:val="20"/>
          <w:color w:val="auto"/>
        </w:rPr>
      </w:pPr>
      <w:r>
        <w:rPr>
          <w:rFonts w:ascii="Arial" w:cs="Arial" w:eastAsia="Arial" w:hAnsi="Arial"/>
          <w:sz w:val="16"/>
          <w:szCs w:val="16"/>
          <w:i w:val="1"/>
          <w:iCs w:val="1"/>
          <w:color w:val="auto"/>
        </w:rPr>
        <w:t>We caution that a number of important factors, many of which are beyond our control, could cause our actual future results and other future circumstances to differ materially from those expressed in any forward-looking statements. Such factors include, but are not limited to: the ongoing global impact of a novel strain of coronavirus which emerged in December 2019 (“COVID-19”) (including, without limitation, the potential for significant short- and long-term global unemployment and economic weakness and a resulting impact on global discretionary spending; potential strain on the retailers and distributors who sell our physical product to customers; effects on our ability to release our content in a timely manner; the impact of large-scale intervention by the Federal Reserve and other central banks around the world, including the impact on interest rates; and volatility in foreign exchange rates); our ability to consistently deliver popular, high-quality titles in a timely manner, which has been made more difficult as a result of the COVID-19 pandemic; concentration of revenue among a small number of franchises; our ability to satisfy the expectations of consumers with respect to our brands, games, services, and/or business practices; our ability to attract, retain and motivate skilled personnel; rapid changes in technology and industry standards; competition, including from other forms of entertainment; increasing importance of revenues derived from digital distribution channels; risks associated with the retail sales business model; the continued growth in the scope and complexity of our business, including the diversion of management time and attention to issues relating to the operations of our newly acquired or started businesses and the potential impact of our expansion into new businesses on our existing businesses; substantial influence of third-party platform providers over our products and costs; risks associated with transitions to next-generation consoles; success and availability of video game consoles manufactured by third parties; risks associated with the free-to-play business model, including dependence on a relatively small number of consumers for a significant portion of revenues and profits from any given game; our ability to realize the expected financial and operational benefits of, and effectively implement and manage, our restructuring actions; our ability to quickly adjust our cost structure in response to sudden changes in demand; risks and costs associated with legal proceedings; intellectual property claims; changes in tax rates or exposure to additional tax liabilities, as well as the outcome of current or future tax disputes; our ability to sell products at assumed pricing levels; reliance on external developers for development of some of our software products; the amount of our debt and the limitations imposed by the covenants in the agreements governing our debt; the seasonality in the sale of our products; counterparty risks relating to customers, licensees, licensors, and manufacturers, which have been magnified as a result of the COVID-19 pandemic; risks associated with our use of open source software; piracy and unauthorized copying of our products; insolvency or business failure of any of our partners, which has been magnified as a result of the COVID-19 pandemic; risks and uncertainties of conducting business outside the United States (the “U.S.”); increasing regulation of our business, products, and distribution in key territories; compliance with continually evolving laws and regulations concerning data privacy; reliance on servers and networks to operate our games and our proprietary online gaming service; potential data breaches and other cybersecurity risks; and the other factors identified in “Risk Factors” included in Part I, Item 1A of our Annual Report on Form 10-K for the year ended December 31, 2019, our Quarterly Report on Form 10-Q for the period ended March 31, 2020, and our Quarterly Report on Form 10-Q for the period ended June 30, 2020.</w:t>
      </w:r>
    </w:p>
    <w:p>
      <w:pPr>
        <w:spacing w:after="0" w:line="226" w:lineRule="exact"/>
        <w:rPr>
          <w:sz w:val="20"/>
          <w:szCs w:val="20"/>
          <w:color w:val="auto"/>
        </w:rPr>
      </w:pPr>
    </w:p>
    <w:p>
      <w:pPr>
        <w:ind w:firstLine="324"/>
        <w:spacing w:after="0" w:line="257" w:lineRule="auto"/>
        <w:rPr>
          <w:sz w:val="20"/>
          <w:szCs w:val="20"/>
          <w:color w:val="auto"/>
        </w:rPr>
      </w:pPr>
      <w:r>
        <w:rPr>
          <w:rFonts w:ascii="Arial" w:cs="Arial" w:eastAsia="Arial" w:hAnsi="Arial"/>
          <w:sz w:val="17"/>
          <w:szCs w:val="17"/>
          <w:i w:val="1"/>
          <w:iCs w:val="1"/>
          <w:color w:val="auto"/>
        </w:rPr>
        <w:t>The forward-looking statements contained herein are based on information available to Activision Blizzard, Inc. as of the date of this filing and we assume no obligation to update any such forward-looking statements. Although these forward-looking statements are believed to be true when made, they may ultimately prove to be incorrect. These statements are not guarantees of our future performance and are subject to risks, uncertainties, and other factors, some of which are beyond our control and may cause actual results to differ materially from current expectations.</w:t>
      </w:r>
    </w:p>
    <w:p>
      <w:pPr>
        <w:spacing w:after="0" w:line="175" w:lineRule="exact"/>
        <w:rPr>
          <w:sz w:val="20"/>
          <w:szCs w:val="20"/>
          <w:color w:val="auto"/>
        </w:rPr>
      </w:pPr>
    </w:p>
    <w:p>
      <w:pPr>
        <w:ind w:right="100" w:firstLine="324"/>
        <w:spacing w:after="0" w:line="285" w:lineRule="auto"/>
        <w:rPr>
          <w:sz w:val="20"/>
          <w:szCs w:val="20"/>
          <w:color w:val="auto"/>
        </w:rPr>
      </w:pPr>
      <w:r>
        <w:rPr>
          <w:rFonts w:ascii="Arial" w:cs="Arial" w:eastAsia="Arial" w:hAnsi="Arial"/>
          <w:sz w:val="16"/>
          <w:szCs w:val="16"/>
          <w:i w:val="1"/>
          <w:iCs w:val="1"/>
          <w:color w:val="auto"/>
        </w:rPr>
        <w:t>Activision Blizzard, Inc.’s names, abbreviations thereof, logos, and product and service designators are all either the registered or unregistered trademarks or trade names of Activision Blizzard, Inc. All other product or service names are the property of their respective owners. All dollar amounts referred to in, or contemplated by, this Quarterly Report on Form 10-Q refer to U.S. dollars, unless otherwise explicitly stated to the contrary.</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(Amounts in millions, except share data)</w:t>
      </w:r>
    </w:p>
    <w:p>
      <w:pPr>
        <w:spacing w:after="0" w:line="36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40" w:type="dxa"/>
            <w:vAlign w:val="bottom"/>
            <w:gridSpan w:val="2"/>
          </w:tcPr>
          <w:p>
            <w:pPr>
              <w:ind w:left="100"/>
              <w:spacing w:after="0"/>
              <w:rPr>
                <w:sz w:val="20"/>
                <w:szCs w:val="20"/>
                <w:color w:val="auto"/>
              </w:rPr>
            </w:pPr>
            <w:r>
              <w:rPr>
                <w:rFonts w:ascii="Arial" w:cs="Arial" w:eastAsia="Arial" w:hAnsi="Arial"/>
                <w:sz w:val="18"/>
                <w:szCs w:val="18"/>
                <w:b w:val="1"/>
                <w:bCs w:val="1"/>
                <w:color w:val="auto"/>
              </w:rPr>
              <w:t>At September 30, 2020</w:t>
            </w:r>
          </w:p>
        </w:tc>
        <w:tc>
          <w:tcPr>
            <w:tcW w:w="180" w:type="dxa"/>
            <w:vAlign w:val="bottom"/>
          </w:tcPr>
          <w:p>
            <w:pPr>
              <w:spacing w:after="0"/>
              <w:rPr>
                <w:sz w:val="20"/>
                <w:szCs w:val="20"/>
                <w:color w:val="auto"/>
              </w:rPr>
            </w:pPr>
          </w:p>
        </w:tc>
        <w:tc>
          <w:tcPr>
            <w:tcW w:w="2060" w:type="dxa"/>
            <w:vAlign w:val="bottom"/>
          </w:tcPr>
          <w:p>
            <w:pPr>
              <w:jc w:val="right"/>
              <w:ind w:right="190"/>
              <w:spacing w:after="0"/>
              <w:rPr>
                <w:sz w:val="20"/>
                <w:szCs w:val="20"/>
                <w:color w:val="auto"/>
              </w:rPr>
            </w:pPr>
            <w:r>
              <w:rPr>
                <w:rFonts w:ascii="Arial" w:cs="Arial" w:eastAsia="Arial" w:hAnsi="Arial"/>
                <w:sz w:val="18"/>
                <w:szCs w:val="18"/>
                <w:b w:val="1"/>
                <w:bCs w:val="1"/>
                <w:color w:val="auto"/>
                <w:w w:val="94"/>
              </w:rPr>
              <w:t>At December 31, 2019</w:t>
            </w:r>
          </w:p>
        </w:tc>
        <w:tc>
          <w:tcPr>
            <w:tcW w:w="0" w:type="dxa"/>
            <w:vAlign w:val="bottom"/>
          </w:tcPr>
          <w:p>
            <w:pPr>
              <w:spacing w:after="0"/>
              <w:rPr>
                <w:sz w:val="1"/>
                <w:szCs w:val="1"/>
                <w:color w:val="auto"/>
              </w:rPr>
            </w:pPr>
          </w:p>
        </w:tc>
      </w:tr>
      <w:tr>
        <w:trPr>
          <w:trHeight w:val="223"/>
        </w:trPr>
        <w:tc>
          <w:tcPr>
            <w:tcW w:w="6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shd w:val="clear" w:color="auto" w:fill="CCEEFF"/>
          </w:tcPr>
          <w:p>
            <w:pPr>
              <w:spacing w:after="0"/>
              <w:rPr>
                <w:sz w:val="19"/>
                <w:szCs w:val="19"/>
                <w:color w:val="auto"/>
              </w:rPr>
            </w:pPr>
          </w:p>
        </w:tc>
        <w:tc>
          <w:tcPr>
            <w:tcW w:w="21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20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tcPr>
          <w:p>
            <w:pPr>
              <w:ind w:left="12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5,794</w:t>
            </w:r>
          </w:p>
        </w:tc>
        <w:tc>
          <w:tcPr>
            <w:tcW w:w="0" w:type="dxa"/>
            <w:vAlign w:val="bottom"/>
          </w:tcPr>
          <w:p>
            <w:pPr>
              <w:spacing w:after="0"/>
              <w:rPr>
                <w:sz w:val="1"/>
                <w:szCs w:val="1"/>
                <w:color w:val="auto"/>
              </w:rPr>
            </w:pPr>
          </w:p>
        </w:tc>
      </w:tr>
      <w:tr>
        <w:trPr>
          <w:trHeight w:val="176"/>
        </w:trPr>
        <w:tc>
          <w:tcPr>
            <w:tcW w:w="6520" w:type="dxa"/>
            <w:vAlign w:val="bottom"/>
          </w:tcPr>
          <w:p>
            <w:pPr>
              <w:ind w:left="220"/>
              <w:spacing w:after="0" w:line="176" w:lineRule="exact"/>
              <w:rPr>
                <w:sz w:val="20"/>
                <w:szCs w:val="20"/>
                <w:color w:val="auto"/>
              </w:rPr>
            </w:pPr>
            <w:r>
              <w:rPr>
                <w:rFonts w:ascii="Arial" w:cs="Arial" w:eastAsia="Arial" w:hAnsi="Arial"/>
                <w:sz w:val="18"/>
                <w:szCs w:val="18"/>
                <w:color w:val="auto"/>
                <w:w w:val="93"/>
              </w:rPr>
              <w:t>Accounts receivable, net of allowances of $88 and $132, at September 30, 2020 and</w:t>
            </w:r>
          </w:p>
        </w:tc>
        <w:tc>
          <w:tcPr>
            <w:tcW w:w="200" w:type="dxa"/>
            <w:vAlign w:val="bottom"/>
          </w:tcPr>
          <w:p>
            <w:pPr>
              <w:spacing w:after="0"/>
              <w:rPr>
                <w:sz w:val="15"/>
                <w:szCs w:val="15"/>
                <w:color w:val="auto"/>
              </w:rPr>
            </w:pPr>
          </w:p>
        </w:tc>
        <w:tc>
          <w:tcPr>
            <w:tcW w:w="2120" w:type="dxa"/>
            <w:vAlign w:val="bottom"/>
            <w:vMerge w:val="restart"/>
          </w:tcPr>
          <w:p>
            <w:pPr>
              <w:jc w:val="right"/>
              <w:spacing w:after="0"/>
              <w:rPr>
                <w:sz w:val="20"/>
                <w:szCs w:val="20"/>
                <w:color w:val="auto"/>
              </w:rPr>
            </w:pPr>
            <w:r>
              <w:rPr>
                <w:rFonts w:ascii="Arial" w:cs="Arial" w:eastAsia="Arial" w:hAnsi="Arial"/>
                <w:sz w:val="18"/>
                <w:szCs w:val="18"/>
                <w:color w:val="auto"/>
              </w:rPr>
              <w:t>619</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60" w:type="dxa"/>
            <w:vAlign w:val="bottom"/>
            <w:vMerge w:val="restart"/>
          </w:tcPr>
          <w:p>
            <w:pPr>
              <w:jc w:val="right"/>
              <w:spacing w:after="0"/>
              <w:rPr>
                <w:sz w:val="20"/>
                <w:szCs w:val="20"/>
                <w:color w:val="auto"/>
              </w:rPr>
            </w:pPr>
            <w:r>
              <w:rPr>
                <w:rFonts w:ascii="Arial" w:cs="Arial" w:eastAsia="Arial" w:hAnsi="Arial"/>
                <w:sz w:val="18"/>
                <w:szCs w:val="18"/>
                <w:color w:val="auto"/>
              </w:rPr>
              <w:t>848</w:t>
            </w:r>
          </w:p>
        </w:tc>
        <w:tc>
          <w:tcPr>
            <w:tcW w:w="0" w:type="dxa"/>
            <w:vAlign w:val="bottom"/>
          </w:tcPr>
          <w:p>
            <w:pPr>
              <w:spacing w:after="0"/>
              <w:rPr>
                <w:sz w:val="1"/>
                <w:szCs w:val="1"/>
                <w:color w:val="auto"/>
              </w:rPr>
            </w:pPr>
          </w:p>
        </w:tc>
      </w:tr>
      <w:tr>
        <w:trPr>
          <w:trHeight w:val="229"/>
        </w:trPr>
        <w:tc>
          <w:tcPr>
            <w:tcW w:w="6520" w:type="dxa"/>
            <w:vAlign w:val="bottom"/>
          </w:tcPr>
          <w:p>
            <w:pPr>
              <w:ind w:left="220"/>
              <w:spacing w:after="0"/>
              <w:rPr>
                <w:sz w:val="20"/>
                <w:szCs w:val="20"/>
                <w:color w:val="auto"/>
              </w:rPr>
            </w:pPr>
            <w:r>
              <w:rPr>
                <w:rFonts w:ascii="Arial" w:cs="Arial" w:eastAsia="Arial" w:hAnsi="Arial"/>
                <w:sz w:val="18"/>
                <w:szCs w:val="18"/>
                <w:color w:val="auto"/>
              </w:rPr>
              <w:t>December 31, 2019, respectively</w:t>
            </w:r>
          </w:p>
        </w:tc>
        <w:tc>
          <w:tcPr>
            <w:tcW w:w="200" w:type="dxa"/>
            <w:vAlign w:val="bottom"/>
          </w:tcPr>
          <w:p>
            <w:pPr>
              <w:spacing w:after="0"/>
              <w:rPr>
                <w:sz w:val="19"/>
                <w:szCs w:val="19"/>
                <w:color w:val="auto"/>
              </w:rPr>
            </w:pPr>
          </w:p>
        </w:tc>
        <w:tc>
          <w:tcPr>
            <w:tcW w:w="21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Software development</w:t>
            </w:r>
          </w:p>
        </w:tc>
        <w:tc>
          <w:tcPr>
            <w:tcW w:w="20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30"/>
        </w:trPr>
        <w:tc>
          <w:tcPr>
            <w:tcW w:w="65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Other current assets</w:t>
            </w:r>
          </w:p>
        </w:tc>
        <w:tc>
          <w:tcPr>
            <w:tcW w:w="2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23"/>
        </w:trPr>
        <w:tc>
          <w:tcPr>
            <w:tcW w:w="65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7,292</w:t>
            </w:r>
          </w:p>
        </w:tc>
        <w:tc>
          <w:tcPr>
            <w:tcW w:w="0" w:type="dxa"/>
            <w:vAlign w:val="bottom"/>
          </w:tcPr>
          <w:p>
            <w:pPr>
              <w:spacing w:after="0"/>
              <w:rPr>
                <w:sz w:val="1"/>
                <w:szCs w:val="1"/>
                <w:color w:val="auto"/>
              </w:rPr>
            </w:pPr>
          </w:p>
        </w:tc>
      </w:tr>
      <w:tr>
        <w:trPr>
          <w:trHeight w:val="230"/>
        </w:trPr>
        <w:tc>
          <w:tcPr>
            <w:tcW w:w="6520" w:type="dxa"/>
            <w:vAlign w:val="bottom"/>
          </w:tcPr>
          <w:p>
            <w:pPr>
              <w:ind w:left="120"/>
              <w:spacing w:after="0"/>
              <w:rPr>
                <w:sz w:val="20"/>
                <w:szCs w:val="20"/>
                <w:color w:val="auto"/>
              </w:rPr>
            </w:pPr>
            <w:r>
              <w:rPr>
                <w:rFonts w:ascii="Arial" w:cs="Arial" w:eastAsia="Arial" w:hAnsi="Arial"/>
                <w:sz w:val="18"/>
                <w:szCs w:val="18"/>
                <w:color w:val="auto"/>
              </w:rPr>
              <w:t>Software development</w:t>
            </w:r>
          </w:p>
        </w:tc>
        <w:tc>
          <w:tcPr>
            <w:tcW w:w="2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9"/>
        </w:trPr>
        <w:tc>
          <w:tcPr>
            <w:tcW w:w="6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Property and equipment, net</w:t>
            </w:r>
          </w:p>
        </w:tc>
        <w:tc>
          <w:tcPr>
            <w:tcW w:w="20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29"/>
        </w:trPr>
        <w:tc>
          <w:tcPr>
            <w:tcW w:w="6520" w:type="dxa"/>
            <w:vAlign w:val="bottom"/>
          </w:tcPr>
          <w:p>
            <w:pPr>
              <w:ind w:left="120"/>
              <w:spacing w:after="0"/>
              <w:rPr>
                <w:sz w:val="20"/>
                <w:szCs w:val="20"/>
                <w:color w:val="auto"/>
              </w:rPr>
            </w:pPr>
            <w:r>
              <w:rPr>
                <w:rFonts w:ascii="Arial" w:cs="Arial" w:eastAsia="Arial" w:hAnsi="Arial"/>
                <w:sz w:val="18"/>
                <w:szCs w:val="18"/>
                <w:color w:val="auto"/>
              </w:rPr>
              <w:t>Deferred income taxes, net</w:t>
            </w:r>
          </w:p>
        </w:tc>
        <w:tc>
          <w:tcPr>
            <w:tcW w:w="2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1,287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1,293</w:t>
            </w:r>
          </w:p>
        </w:tc>
        <w:tc>
          <w:tcPr>
            <w:tcW w:w="0" w:type="dxa"/>
            <w:vAlign w:val="bottom"/>
          </w:tcPr>
          <w:p>
            <w:pPr>
              <w:spacing w:after="0"/>
              <w:rPr>
                <w:sz w:val="1"/>
                <w:szCs w:val="1"/>
                <w:color w:val="auto"/>
              </w:rPr>
            </w:pPr>
          </w:p>
        </w:tc>
      </w:tr>
      <w:tr>
        <w:trPr>
          <w:trHeight w:val="230"/>
        </w:trPr>
        <w:tc>
          <w:tcPr>
            <w:tcW w:w="6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assets</w:t>
            </w:r>
          </w:p>
        </w:tc>
        <w:tc>
          <w:tcPr>
            <w:tcW w:w="20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0" w:type="dxa"/>
            <w:vAlign w:val="bottom"/>
          </w:tcPr>
          <w:p>
            <w:pPr>
              <w:spacing w:after="0"/>
              <w:rPr>
                <w:sz w:val="1"/>
                <w:szCs w:val="1"/>
                <w:color w:val="auto"/>
              </w:rPr>
            </w:pPr>
          </w:p>
        </w:tc>
      </w:tr>
      <w:tr>
        <w:trPr>
          <w:trHeight w:val="229"/>
        </w:trPr>
        <w:tc>
          <w:tcPr>
            <w:tcW w:w="6520" w:type="dxa"/>
            <w:vAlign w:val="bottom"/>
          </w:tcPr>
          <w:p>
            <w:pPr>
              <w:ind w:left="120"/>
              <w:spacing w:after="0"/>
              <w:rPr>
                <w:sz w:val="20"/>
                <w:szCs w:val="20"/>
                <w:color w:val="auto"/>
              </w:rPr>
            </w:pPr>
            <w:r>
              <w:rPr>
                <w:rFonts w:ascii="Arial" w:cs="Arial" w:eastAsia="Arial" w:hAnsi="Arial"/>
                <w:sz w:val="18"/>
                <w:szCs w:val="18"/>
                <w:color w:val="auto"/>
              </w:rPr>
              <w:t>Intangible assets, net</w:t>
            </w:r>
          </w:p>
        </w:tc>
        <w:tc>
          <w:tcPr>
            <w:tcW w:w="2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469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30"/>
        </w:trPr>
        <w:tc>
          <w:tcPr>
            <w:tcW w:w="6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Goodwill</w:t>
            </w:r>
          </w:p>
        </w:tc>
        <w:tc>
          <w:tcPr>
            <w:tcW w:w="200" w:type="dxa"/>
            <w:vAlign w:val="bottom"/>
            <w:tcBorders>
              <w:bottom w:val="single" w:sz="8" w:color="auto"/>
            </w:tcBorders>
            <w:shd w:val="clear" w:color="auto" w:fill="CCEEFF"/>
          </w:tcPr>
          <w:p>
            <w:pPr>
              <w:spacing w:after="0"/>
              <w:rPr>
                <w:sz w:val="19"/>
                <w:szCs w:val="19"/>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9,764</w:t>
            </w:r>
          </w:p>
        </w:tc>
        <w:tc>
          <w:tcPr>
            <w:tcW w:w="0" w:type="dxa"/>
            <w:vAlign w:val="bottom"/>
          </w:tcPr>
          <w:p>
            <w:pPr>
              <w:spacing w:after="0"/>
              <w:rPr>
                <w:sz w:val="1"/>
                <w:szCs w:val="1"/>
                <w:color w:val="auto"/>
              </w:rPr>
            </w:pPr>
          </w:p>
        </w:tc>
      </w:tr>
      <w:tr>
        <w:trPr>
          <w:trHeight w:val="223"/>
        </w:trPr>
        <w:tc>
          <w:tcPr>
            <w:tcW w:w="6520" w:type="dxa"/>
            <w:vAlign w:val="bottom"/>
          </w:tcPr>
          <w:p>
            <w:pPr>
              <w:ind w:left="32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21,577</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19,845</w:t>
            </w:r>
          </w:p>
        </w:tc>
        <w:tc>
          <w:tcPr>
            <w:tcW w:w="0" w:type="dxa"/>
            <w:vAlign w:val="bottom"/>
          </w:tcPr>
          <w:p>
            <w:pPr>
              <w:spacing w:after="0"/>
              <w:rPr>
                <w:sz w:val="1"/>
                <w:szCs w:val="1"/>
                <w:color w:val="auto"/>
              </w:rPr>
            </w:pPr>
          </w:p>
        </w:tc>
      </w:tr>
      <w:tr>
        <w:trPr>
          <w:trHeight w:val="20"/>
        </w:trPr>
        <w:tc>
          <w:tcPr>
            <w:tcW w:w="65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520" w:type="dxa"/>
            <w:vAlign w:val="bottom"/>
          </w:tcPr>
          <w:p>
            <w:pPr>
              <w:ind w:left="20"/>
              <w:spacing w:after="0"/>
              <w:rPr>
                <w:sz w:val="20"/>
                <w:szCs w:val="20"/>
                <w:color w:val="auto"/>
              </w:rPr>
            </w:pPr>
            <w:r>
              <w:rPr>
                <w:rFonts w:ascii="Arial" w:cs="Arial" w:eastAsia="Arial" w:hAnsi="Arial"/>
                <w:sz w:val="18"/>
                <w:szCs w:val="18"/>
                <w:b w:val="1"/>
                <w:bCs w:val="1"/>
                <w:color w:val="auto"/>
              </w:rPr>
              <w:t>Liabilities and Shareholders’ Equity</w:t>
            </w:r>
          </w:p>
        </w:tc>
        <w:tc>
          <w:tcPr>
            <w:tcW w:w="20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120" w:type="dxa"/>
            <w:vAlign w:val="bottom"/>
          </w:tcPr>
          <w:p>
            <w:pPr>
              <w:jc w:val="right"/>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60" w:type="dxa"/>
            <w:vAlign w:val="bottom"/>
          </w:tcPr>
          <w:p>
            <w:pPr>
              <w:jc w:val="right"/>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30"/>
        </w:trPr>
        <w:tc>
          <w:tcPr>
            <w:tcW w:w="6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revenues</w:t>
            </w:r>
          </w:p>
        </w:tc>
        <w:tc>
          <w:tcPr>
            <w:tcW w:w="20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w:t>
            </w:r>
          </w:p>
        </w:tc>
        <w:tc>
          <w:tcPr>
            <w:tcW w:w="0" w:type="dxa"/>
            <w:vAlign w:val="bottom"/>
          </w:tcPr>
          <w:p>
            <w:pPr>
              <w:spacing w:after="0"/>
              <w:rPr>
                <w:sz w:val="1"/>
                <w:szCs w:val="1"/>
                <w:color w:val="auto"/>
              </w:rPr>
            </w:pPr>
          </w:p>
        </w:tc>
      </w:tr>
      <w:tr>
        <w:trPr>
          <w:trHeight w:val="229"/>
        </w:trPr>
        <w:tc>
          <w:tcPr>
            <w:tcW w:w="65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Accrued expenses and other liabilities</w:t>
            </w:r>
          </w:p>
        </w:tc>
        <w:tc>
          <w:tcPr>
            <w:tcW w:w="2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855</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1,248</w:t>
            </w:r>
          </w:p>
        </w:tc>
        <w:tc>
          <w:tcPr>
            <w:tcW w:w="0" w:type="dxa"/>
            <w:vAlign w:val="bottom"/>
          </w:tcPr>
          <w:p>
            <w:pPr>
              <w:spacing w:after="0"/>
              <w:rPr>
                <w:sz w:val="1"/>
                <w:szCs w:val="1"/>
                <w:color w:val="auto"/>
              </w:rPr>
            </w:pPr>
          </w:p>
        </w:tc>
      </w:tr>
      <w:tr>
        <w:trPr>
          <w:trHeight w:val="223"/>
        </w:trPr>
        <w:tc>
          <w:tcPr>
            <w:tcW w:w="65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liabilities</w:t>
            </w:r>
          </w:p>
        </w:tc>
        <w:tc>
          <w:tcPr>
            <w:tcW w:w="20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2,915</w:t>
            </w:r>
          </w:p>
        </w:tc>
        <w:tc>
          <w:tcPr>
            <w:tcW w:w="0" w:type="dxa"/>
            <w:vAlign w:val="bottom"/>
          </w:tcPr>
          <w:p>
            <w:pPr>
              <w:spacing w:after="0"/>
              <w:rPr>
                <w:sz w:val="1"/>
                <w:szCs w:val="1"/>
                <w:color w:val="auto"/>
              </w:rPr>
            </w:pPr>
          </w:p>
        </w:tc>
      </w:tr>
      <w:tr>
        <w:trPr>
          <w:trHeight w:val="230"/>
        </w:trPr>
        <w:tc>
          <w:tcPr>
            <w:tcW w:w="6520" w:type="dxa"/>
            <w:vAlign w:val="bottom"/>
          </w:tcPr>
          <w:p>
            <w:pPr>
              <w:ind w:left="120"/>
              <w:spacing w:after="0"/>
              <w:rPr>
                <w:sz w:val="20"/>
                <w:szCs w:val="20"/>
                <w:color w:val="auto"/>
              </w:rPr>
            </w:pPr>
            <w:r>
              <w:rPr>
                <w:rFonts w:ascii="Arial" w:cs="Arial" w:eastAsia="Arial" w:hAnsi="Arial"/>
                <w:sz w:val="18"/>
                <w:szCs w:val="18"/>
                <w:color w:val="auto"/>
              </w:rPr>
              <w:t>Long-term debt, net</w:t>
            </w:r>
          </w:p>
        </w:tc>
        <w:tc>
          <w:tcPr>
            <w:tcW w:w="2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3,604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2,675</w:t>
            </w:r>
          </w:p>
        </w:tc>
        <w:tc>
          <w:tcPr>
            <w:tcW w:w="0" w:type="dxa"/>
            <w:vAlign w:val="bottom"/>
          </w:tcPr>
          <w:p>
            <w:pPr>
              <w:spacing w:after="0"/>
              <w:rPr>
                <w:sz w:val="1"/>
                <w:szCs w:val="1"/>
                <w:color w:val="auto"/>
              </w:rPr>
            </w:pPr>
          </w:p>
        </w:tc>
      </w:tr>
      <w:tr>
        <w:trPr>
          <w:trHeight w:val="230"/>
        </w:trPr>
        <w:tc>
          <w:tcPr>
            <w:tcW w:w="6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Deferred income taxes, net</w:t>
            </w:r>
          </w:p>
        </w:tc>
        <w:tc>
          <w:tcPr>
            <w:tcW w:w="20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30"/>
        </w:trPr>
        <w:tc>
          <w:tcPr>
            <w:tcW w:w="65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liabilities</w:t>
            </w:r>
          </w:p>
        </w:tc>
        <w:tc>
          <w:tcPr>
            <w:tcW w:w="2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w:t>
            </w:r>
          </w:p>
        </w:tc>
        <w:tc>
          <w:tcPr>
            <w:tcW w:w="0" w:type="dxa"/>
            <w:vAlign w:val="bottom"/>
          </w:tcPr>
          <w:p>
            <w:pPr>
              <w:spacing w:after="0"/>
              <w:rPr>
                <w:sz w:val="1"/>
                <w:szCs w:val="1"/>
                <w:color w:val="auto"/>
              </w:rPr>
            </w:pPr>
          </w:p>
        </w:tc>
      </w:tr>
      <w:tr>
        <w:trPr>
          <w:trHeight w:val="223"/>
        </w:trPr>
        <w:tc>
          <w:tcPr>
            <w:tcW w:w="65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shd w:val="clear" w:color="auto" w:fill="CCEEFF"/>
          </w:tcPr>
          <w:p>
            <w:pPr>
              <w:spacing w:after="0"/>
              <w:rPr>
                <w:sz w:val="19"/>
                <w:szCs w:val="19"/>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7,040</w:t>
            </w:r>
          </w:p>
        </w:tc>
        <w:tc>
          <w:tcPr>
            <w:tcW w:w="0" w:type="dxa"/>
            <w:vAlign w:val="bottom"/>
          </w:tcPr>
          <w:p>
            <w:pPr>
              <w:spacing w:after="0"/>
              <w:rPr>
                <w:sz w:val="1"/>
                <w:szCs w:val="1"/>
                <w:color w:val="auto"/>
              </w:rPr>
            </w:pPr>
          </w:p>
        </w:tc>
      </w:tr>
      <w:tr>
        <w:trPr>
          <w:trHeight w:val="210"/>
        </w:trPr>
        <w:tc>
          <w:tcPr>
            <w:tcW w:w="6520" w:type="dxa"/>
            <w:vAlign w:val="bottom"/>
          </w:tcPr>
          <w:p>
            <w:pPr>
              <w:ind w:left="20"/>
              <w:spacing w:after="0"/>
              <w:rPr>
                <w:rFonts w:ascii="Arial" w:cs="Arial" w:eastAsia="Arial" w:hAnsi="Arial"/>
                <w:sz w:val="18"/>
                <w:szCs w:val="18"/>
                <w:color w:val="auto"/>
              </w:rPr>
            </w:pPr>
            <w:r>
              <w:rPr>
                <w:rFonts w:ascii="Arial" w:cs="Arial" w:eastAsia="Arial" w:hAnsi="Arial"/>
                <w:sz w:val="18"/>
                <w:szCs w:val="18"/>
                <w:color w:val="auto"/>
              </w:rPr>
              <w:t>Commitments and contingencies (</w:t>
            </w:r>
            <w:hyperlink w:anchor="page34">
              <w:r>
                <w:rPr>
                  <w:rFonts w:ascii="Arial" w:cs="Arial" w:eastAsia="Arial" w:hAnsi="Arial"/>
                  <w:sz w:val="18"/>
                  <w:szCs w:val="18"/>
                  <w:u w:val="single" w:color="auto"/>
                  <w:color w:val="0000FF"/>
                </w:rPr>
                <w:t>Note 16</w:t>
              </w:r>
            </w:hyperlink>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Shareholders’ equity:</w:t>
            </w:r>
          </w:p>
        </w:tc>
        <w:tc>
          <w:tcPr>
            <w:tcW w:w="20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6520" w:type="dxa"/>
            <w:vAlign w:val="bottom"/>
          </w:tcPr>
          <w:p>
            <w:pPr>
              <w:ind w:left="140"/>
              <w:spacing w:after="0" w:line="176" w:lineRule="exact"/>
              <w:rPr>
                <w:sz w:val="20"/>
                <w:szCs w:val="20"/>
                <w:color w:val="auto"/>
              </w:rPr>
            </w:pPr>
            <w:r>
              <w:rPr>
                <w:rFonts w:ascii="Arial" w:cs="Arial" w:eastAsia="Arial" w:hAnsi="Arial"/>
                <w:sz w:val="18"/>
                <w:szCs w:val="18"/>
                <w:color w:val="auto"/>
                <w:w w:val="91"/>
              </w:rPr>
              <w:t>Common stock, $0.000001 par value, 2,400,000,000 shares authorized, 1,201,482,888</w:t>
            </w:r>
          </w:p>
        </w:tc>
        <w:tc>
          <w:tcPr>
            <w:tcW w:w="20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520" w:type="dxa"/>
            <w:vAlign w:val="bottom"/>
          </w:tcPr>
          <w:p>
            <w:pPr>
              <w:ind w:left="140"/>
              <w:spacing w:after="0" w:line="176" w:lineRule="exact"/>
              <w:rPr>
                <w:sz w:val="20"/>
                <w:szCs w:val="20"/>
                <w:color w:val="auto"/>
              </w:rPr>
            </w:pPr>
            <w:r>
              <w:rPr>
                <w:rFonts w:ascii="Arial" w:cs="Arial" w:eastAsia="Arial" w:hAnsi="Arial"/>
                <w:sz w:val="18"/>
                <w:szCs w:val="18"/>
                <w:color w:val="auto"/>
                <w:w w:val="96"/>
              </w:rPr>
              <w:t>and 1,197,436,644 shares issued at September 30, 2020 and December 31, 2019,</w:t>
            </w:r>
          </w:p>
        </w:tc>
        <w:tc>
          <w:tcPr>
            <w:tcW w:w="200" w:type="dxa"/>
            <w:vAlign w:val="bottom"/>
          </w:tcPr>
          <w:p>
            <w:pPr>
              <w:spacing w:after="0"/>
              <w:rPr>
                <w:sz w:val="15"/>
                <w:szCs w:val="15"/>
                <w:color w:val="auto"/>
              </w:rPr>
            </w:pPr>
          </w:p>
        </w:tc>
        <w:tc>
          <w:tcPr>
            <w:tcW w:w="22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20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520" w:type="dxa"/>
            <w:vAlign w:val="bottom"/>
          </w:tcPr>
          <w:p>
            <w:pPr>
              <w:ind w:left="140"/>
              <w:spacing w:after="0"/>
              <w:rPr>
                <w:sz w:val="20"/>
                <w:szCs w:val="20"/>
                <w:color w:val="auto"/>
              </w:rPr>
            </w:pPr>
            <w:r>
              <w:rPr>
                <w:rFonts w:ascii="Arial" w:cs="Arial" w:eastAsia="Arial" w:hAnsi="Arial"/>
                <w:sz w:val="18"/>
                <w:szCs w:val="18"/>
                <w:color w:val="auto"/>
              </w:rPr>
              <w:t>respectively</w:t>
            </w:r>
          </w:p>
        </w:tc>
        <w:tc>
          <w:tcPr>
            <w:tcW w:w="200" w:type="dxa"/>
            <w:vAlign w:val="bottom"/>
          </w:tcPr>
          <w:p>
            <w:pPr>
              <w:spacing w:after="0"/>
              <w:rPr>
                <w:sz w:val="19"/>
                <w:szCs w:val="19"/>
                <w:color w:val="auto"/>
              </w:rPr>
            </w:pPr>
          </w:p>
        </w:tc>
        <w:tc>
          <w:tcPr>
            <w:tcW w:w="22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2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11,174</w:t>
            </w:r>
          </w:p>
        </w:tc>
        <w:tc>
          <w:tcPr>
            <w:tcW w:w="0" w:type="dxa"/>
            <w:vAlign w:val="bottom"/>
          </w:tcPr>
          <w:p>
            <w:pPr>
              <w:spacing w:after="0"/>
              <w:rPr>
                <w:sz w:val="1"/>
                <w:szCs w:val="1"/>
                <w:color w:val="auto"/>
              </w:rPr>
            </w:pPr>
          </w:p>
        </w:tc>
      </w:tr>
      <w:tr>
        <w:trPr>
          <w:trHeight w:val="175"/>
        </w:trPr>
        <w:tc>
          <w:tcPr>
            <w:tcW w:w="6520" w:type="dxa"/>
            <w:vAlign w:val="bottom"/>
          </w:tcPr>
          <w:p>
            <w:pPr>
              <w:ind w:left="140"/>
              <w:spacing w:after="0" w:line="176" w:lineRule="exact"/>
              <w:rPr>
                <w:sz w:val="20"/>
                <w:szCs w:val="20"/>
                <w:color w:val="auto"/>
              </w:rPr>
            </w:pPr>
            <w:r>
              <w:rPr>
                <w:rFonts w:ascii="Arial" w:cs="Arial" w:eastAsia="Arial" w:hAnsi="Arial"/>
                <w:sz w:val="18"/>
                <w:szCs w:val="18"/>
                <w:color w:val="auto"/>
              </w:rPr>
              <w:t>Less: Treasury stock, at cost, 428,676,471 shares at September 30, 2020 and</w:t>
            </w:r>
          </w:p>
        </w:tc>
        <w:tc>
          <w:tcPr>
            <w:tcW w:w="200" w:type="dxa"/>
            <w:vAlign w:val="bottom"/>
          </w:tcPr>
          <w:p>
            <w:pPr>
              <w:spacing w:after="0"/>
              <w:rPr>
                <w:sz w:val="15"/>
                <w:szCs w:val="15"/>
                <w:color w:val="auto"/>
              </w:rPr>
            </w:pPr>
          </w:p>
        </w:tc>
        <w:tc>
          <w:tcPr>
            <w:tcW w:w="2120" w:type="dxa"/>
            <w:vAlign w:val="bottom"/>
            <w:vMerge w:val="restart"/>
          </w:tcPr>
          <w:p>
            <w:pPr>
              <w:jc w:val="right"/>
              <w:spacing w:after="0"/>
              <w:rPr>
                <w:sz w:val="20"/>
                <w:szCs w:val="20"/>
                <w:color w:val="auto"/>
              </w:rPr>
            </w:pPr>
            <w:r>
              <w:rPr>
                <w:rFonts w:ascii="Arial" w:cs="Arial" w:eastAsia="Arial" w:hAnsi="Arial"/>
                <w:sz w:val="18"/>
                <w:szCs w:val="18"/>
                <w:color w:val="auto"/>
              </w:rPr>
              <w:t>(5,563)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60" w:type="dxa"/>
            <w:vAlign w:val="bottom"/>
            <w:vMerge w:val="restart"/>
          </w:tcPr>
          <w:p>
            <w:pPr>
              <w:jc w:val="right"/>
              <w:spacing w:after="0"/>
              <w:rPr>
                <w:sz w:val="20"/>
                <w:szCs w:val="20"/>
                <w:color w:val="auto"/>
              </w:rPr>
            </w:pPr>
            <w:r>
              <w:rPr>
                <w:rFonts w:ascii="Arial" w:cs="Arial" w:eastAsia="Arial" w:hAnsi="Arial"/>
                <w:sz w:val="18"/>
                <w:szCs w:val="18"/>
                <w:color w:val="auto"/>
              </w:rPr>
              <w:t>(5,563)</w:t>
            </w:r>
          </w:p>
        </w:tc>
        <w:tc>
          <w:tcPr>
            <w:tcW w:w="0" w:type="dxa"/>
            <w:vAlign w:val="bottom"/>
          </w:tcPr>
          <w:p>
            <w:pPr>
              <w:spacing w:after="0"/>
              <w:rPr>
                <w:sz w:val="1"/>
                <w:szCs w:val="1"/>
                <w:color w:val="auto"/>
              </w:rPr>
            </w:pPr>
          </w:p>
        </w:tc>
      </w:tr>
      <w:tr>
        <w:trPr>
          <w:trHeight w:val="230"/>
        </w:trPr>
        <w:tc>
          <w:tcPr>
            <w:tcW w:w="6520" w:type="dxa"/>
            <w:vAlign w:val="bottom"/>
          </w:tcPr>
          <w:p>
            <w:pPr>
              <w:ind w:left="140"/>
              <w:spacing w:after="0"/>
              <w:rPr>
                <w:sz w:val="20"/>
                <w:szCs w:val="20"/>
                <w:color w:val="auto"/>
              </w:rPr>
            </w:pPr>
            <w:r>
              <w:rPr>
                <w:rFonts w:ascii="Arial" w:cs="Arial" w:eastAsia="Arial" w:hAnsi="Arial"/>
                <w:sz w:val="18"/>
                <w:szCs w:val="18"/>
                <w:color w:val="auto"/>
              </w:rPr>
              <w:t>December 31, 2019</w:t>
            </w:r>
          </w:p>
        </w:tc>
        <w:tc>
          <w:tcPr>
            <w:tcW w:w="200" w:type="dxa"/>
            <w:vAlign w:val="bottom"/>
          </w:tcPr>
          <w:p>
            <w:pPr>
              <w:spacing w:after="0"/>
              <w:rPr>
                <w:sz w:val="19"/>
                <w:szCs w:val="19"/>
                <w:color w:val="auto"/>
              </w:rPr>
            </w:pPr>
          </w:p>
        </w:tc>
        <w:tc>
          <w:tcPr>
            <w:tcW w:w="21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Retained earnings</w:t>
            </w:r>
          </w:p>
        </w:tc>
        <w:tc>
          <w:tcPr>
            <w:tcW w:w="20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7,813</w:t>
            </w:r>
          </w:p>
        </w:tc>
        <w:tc>
          <w:tcPr>
            <w:tcW w:w="0" w:type="dxa"/>
            <w:vAlign w:val="bottom"/>
          </w:tcPr>
          <w:p>
            <w:pPr>
              <w:spacing w:after="0"/>
              <w:rPr>
                <w:sz w:val="1"/>
                <w:szCs w:val="1"/>
                <w:color w:val="auto"/>
              </w:rPr>
            </w:pPr>
          </w:p>
        </w:tc>
      </w:tr>
      <w:tr>
        <w:trPr>
          <w:trHeight w:val="230"/>
        </w:trPr>
        <w:tc>
          <w:tcPr>
            <w:tcW w:w="65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223"/>
        </w:trPr>
        <w:tc>
          <w:tcPr>
            <w:tcW w:w="65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shareholders’ equity</w:t>
            </w:r>
          </w:p>
        </w:tc>
        <w:tc>
          <w:tcPr>
            <w:tcW w:w="200" w:type="dxa"/>
            <w:vAlign w:val="bottom"/>
            <w:tcBorders>
              <w:bottom w:val="single" w:sz="8" w:color="auto"/>
            </w:tcBorders>
            <w:shd w:val="clear" w:color="auto" w:fill="CCEEFF"/>
          </w:tcPr>
          <w:p>
            <w:pPr>
              <w:spacing w:after="0"/>
              <w:rPr>
                <w:sz w:val="19"/>
                <w:szCs w:val="19"/>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14,382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12,805</w:t>
            </w:r>
          </w:p>
        </w:tc>
        <w:tc>
          <w:tcPr>
            <w:tcW w:w="0" w:type="dxa"/>
            <w:vAlign w:val="bottom"/>
          </w:tcPr>
          <w:p>
            <w:pPr>
              <w:spacing w:after="0"/>
              <w:rPr>
                <w:sz w:val="1"/>
                <w:szCs w:val="1"/>
                <w:color w:val="auto"/>
              </w:rPr>
            </w:pPr>
          </w:p>
        </w:tc>
      </w:tr>
      <w:tr>
        <w:trPr>
          <w:trHeight w:val="223"/>
        </w:trPr>
        <w:tc>
          <w:tcPr>
            <w:tcW w:w="6520" w:type="dxa"/>
            <w:vAlign w:val="bottom"/>
          </w:tcPr>
          <w:p>
            <w:pPr>
              <w:ind w:left="320"/>
              <w:spacing w:after="0"/>
              <w:rPr>
                <w:sz w:val="20"/>
                <w:szCs w:val="20"/>
                <w:color w:val="auto"/>
              </w:rPr>
            </w:pPr>
            <w:r>
              <w:rPr>
                <w:rFonts w:ascii="Arial" w:cs="Arial" w:eastAsia="Arial" w:hAnsi="Arial"/>
                <w:sz w:val="18"/>
                <w:szCs w:val="18"/>
                <w:color w:val="auto"/>
              </w:rPr>
              <w:t>Total liabilities and shareholders’ equity</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21,577</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19,845</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millions, except per share data)</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920" w:type="dxa"/>
            <w:vAlign w:val="bottom"/>
            <w:gridSpan w:val="6"/>
          </w:tcPr>
          <w:p>
            <w:pPr>
              <w:ind w:left="200"/>
              <w:spacing w:after="0"/>
              <w:rPr>
                <w:sz w:val="20"/>
                <w:szCs w:val="20"/>
                <w:color w:val="auto"/>
              </w:rPr>
            </w:pPr>
            <w:r>
              <w:rPr>
                <w:rFonts w:ascii="Arial" w:cs="Arial" w:eastAsia="Arial" w:hAnsi="Arial"/>
                <w:sz w:val="18"/>
                <w:szCs w:val="18"/>
                <w:b w:val="1"/>
                <w:bCs w:val="1"/>
                <w:color w:val="auto"/>
                <w:w w:val="99"/>
              </w:rPr>
              <w:t>For the Three Months Ended September 30,</w:t>
            </w:r>
          </w:p>
        </w:tc>
        <w:tc>
          <w:tcPr>
            <w:tcW w:w="180" w:type="dxa"/>
            <w:vAlign w:val="bottom"/>
          </w:tcPr>
          <w:p>
            <w:pPr>
              <w:spacing w:after="0"/>
              <w:rPr>
                <w:sz w:val="20"/>
                <w:szCs w:val="20"/>
                <w:color w:val="auto"/>
              </w:rPr>
            </w:pPr>
          </w:p>
        </w:tc>
        <w:tc>
          <w:tcPr>
            <w:tcW w:w="3620" w:type="dxa"/>
            <w:vAlign w:val="bottom"/>
            <w:gridSpan w:val="4"/>
          </w:tcPr>
          <w:p>
            <w:pPr>
              <w:jc w:val="right"/>
              <w:ind w:right="170"/>
              <w:spacing w:after="0"/>
              <w:rPr>
                <w:sz w:val="20"/>
                <w:szCs w:val="20"/>
                <w:color w:val="auto"/>
              </w:rPr>
            </w:pPr>
            <w:r>
              <w:rPr>
                <w:rFonts w:ascii="Arial" w:cs="Arial" w:eastAsia="Arial" w:hAnsi="Arial"/>
                <w:sz w:val="18"/>
                <w:szCs w:val="18"/>
                <w:b w:val="1"/>
                <w:bCs w:val="1"/>
                <w:color w:val="auto"/>
                <w:w w:val="92"/>
              </w:rPr>
              <w:t>For the Nine Months Ended September 30,</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82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2020</w:t>
            </w:r>
          </w:p>
        </w:tc>
        <w:tc>
          <w:tcPr>
            <w:tcW w:w="6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66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50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Net revenues</w:t>
            </w:r>
          </w:p>
        </w:tc>
        <w:tc>
          <w:tcPr>
            <w:tcW w:w="12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500" w:type="dxa"/>
            <w:vAlign w:val="bottom"/>
            <w:gridSpan w:val="4"/>
          </w:tcPr>
          <w:p>
            <w:pPr>
              <w:ind w:left="100"/>
              <w:spacing w:after="0"/>
              <w:rPr>
                <w:sz w:val="20"/>
                <w:szCs w:val="20"/>
                <w:color w:val="auto"/>
              </w:rPr>
            </w:pPr>
            <w:r>
              <w:rPr>
                <w:rFonts w:ascii="Arial" w:cs="Arial" w:eastAsia="Arial" w:hAnsi="Arial"/>
                <w:sz w:val="18"/>
                <w:szCs w:val="18"/>
                <w:color w:val="auto"/>
              </w:rPr>
              <w:t>Product sales</w:t>
            </w:r>
          </w:p>
        </w:tc>
        <w:tc>
          <w:tcPr>
            <w:tcW w:w="1240" w:type="dxa"/>
            <w:vAlign w:val="bottom"/>
          </w:tcPr>
          <w:p>
            <w:pPr>
              <w:jc w:val="right"/>
              <w:ind w:right="105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408</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260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1,484</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1,276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50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w w:val="98"/>
              </w:rPr>
              <w:t>Subscription, licensing, and other revenues</w:t>
            </w:r>
          </w:p>
        </w:tc>
        <w:tc>
          <w:tcPr>
            <w:tcW w:w="12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1,546</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4,190</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00" w:type="dxa"/>
            <w:vAlign w:val="bottom"/>
            <w:gridSpan w:val="4"/>
          </w:tcPr>
          <w:p>
            <w:pPr>
              <w:spacing w:after="0"/>
              <w:rPr>
                <w:sz w:val="20"/>
                <w:szCs w:val="20"/>
                <w:color w:val="auto"/>
              </w:rPr>
            </w:pPr>
            <w:r>
              <w:rPr>
                <w:rFonts w:ascii="Arial" w:cs="Arial" w:eastAsia="Arial" w:hAnsi="Arial"/>
                <w:sz w:val="18"/>
                <w:szCs w:val="18"/>
                <w:color w:val="auto"/>
              </w:rPr>
              <w:t>Total net revenues</w:t>
            </w:r>
          </w:p>
        </w:tc>
        <w:tc>
          <w:tcPr>
            <w:tcW w:w="1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1,954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1,282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5,674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4,503</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500" w:type="dxa"/>
            <w:vAlign w:val="bottom"/>
            <w:gridSpan w:val="4"/>
          </w:tcPr>
          <w:p>
            <w:pPr>
              <w:spacing w:after="0"/>
              <w:rPr>
                <w:sz w:val="20"/>
                <w:szCs w:val="20"/>
                <w:color w:val="auto"/>
              </w:rPr>
            </w:pPr>
            <w:r>
              <w:rPr>
                <w:rFonts w:ascii="Arial" w:cs="Arial" w:eastAsia="Arial" w:hAnsi="Arial"/>
                <w:sz w:val="18"/>
                <w:szCs w:val="18"/>
                <w:b w:val="1"/>
                <w:bCs w:val="1"/>
                <w:color w:val="auto"/>
              </w:rPr>
              <w:t>Costs and expenses</w:t>
            </w:r>
          </w:p>
        </w:tc>
        <w:tc>
          <w:tcPr>
            <w:tcW w:w="1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50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Cost of revenues—product sales:</w:t>
            </w:r>
          </w:p>
        </w:tc>
        <w:tc>
          <w:tcPr>
            <w:tcW w:w="12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320" w:type="dxa"/>
            <w:vAlign w:val="bottom"/>
            <w:gridSpan w:val="3"/>
          </w:tcPr>
          <w:p>
            <w:pPr>
              <w:ind w:left="20"/>
              <w:spacing w:after="0"/>
              <w:rPr>
                <w:sz w:val="20"/>
                <w:szCs w:val="20"/>
                <w:color w:val="auto"/>
              </w:rPr>
            </w:pPr>
            <w:r>
              <w:rPr>
                <w:rFonts w:ascii="Arial" w:cs="Arial" w:eastAsia="Arial" w:hAnsi="Arial"/>
                <w:sz w:val="18"/>
                <w:szCs w:val="18"/>
                <w:color w:val="auto"/>
              </w:rPr>
              <w:t>Product costs</w:t>
            </w:r>
          </w:p>
        </w:tc>
        <w:tc>
          <w:tcPr>
            <w:tcW w:w="1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357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320" w:type="dxa"/>
            <w:vAlign w:val="bottom"/>
            <w:gridSpan w:val="3"/>
            <w:shd w:val="clear" w:color="auto" w:fill="CCEEFF"/>
          </w:tcPr>
          <w:p>
            <w:pPr>
              <w:ind w:left="20"/>
              <w:spacing w:after="0" w:line="176" w:lineRule="exact"/>
              <w:rPr>
                <w:sz w:val="20"/>
                <w:szCs w:val="20"/>
                <w:color w:val="auto"/>
              </w:rPr>
            </w:pPr>
            <w:r>
              <w:rPr>
                <w:rFonts w:ascii="Arial" w:cs="Arial" w:eastAsia="Arial" w:hAnsi="Arial"/>
                <w:sz w:val="18"/>
                <w:szCs w:val="18"/>
                <w:color w:val="auto"/>
              </w:rPr>
              <w:t>Software royalties, amortization, and</w:t>
            </w:r>
          </w:p>
        </w:tc>
        <w:tc>
          <w:tcPr>
            <w:tcW w:w="124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3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intellectual property licenses</w:t>
            </w:r>
          </w:p>
        </w:tc>
        <w:tc>
          <w:tcPr>
            <w:tcW w:w="124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500" w:type="dxa"/>
            <w:vAlign w:val="bottom"/>
            <w:gridSpan w:val="4"/>
          </w:tcPr>
          <w:p>
            <w:pPr>
              <w:ind w:left="100"/>
              <w:spacing w:after="0" w:line="176" w:lineRule="exact"/>
              <w:rPr>
                <w:sz w:val="20"/>
                <w:szCs w:val="20"/>
                <w:color w:val="auto"/>
              </w:rPr>
            </w:pPr>
            <w:r>
              <w:rPr>
                <w:rFonts w:ascii="Arial" w:cs="Arial" w:eastAsia="Arial" w:hAnsi="Arial"/>
                <w:sz w:val="18"/>
                <w:szCs w:val="18"/>
                <w:color w:val="auto"/>
                <w:w w:val="91"/>
              </w:rPr>
              <w:t>Cost of revenues—subscription, licensing, and</w:t>
            </w:r>
          </w:p>
        </w:tc>
        <w:tc>
          <w:tcPr>
            <w:tcW w:w="1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500" w:type="dxa"/>
            <w:vAlign w:val="bottom"/>
            <w:gridSpan w:val="4"/>
          </w:tcPr>
          <w:p>
            <w:pPr>
              <w:ind w:left="100"/>
              <w:spacing w:after="0"/>
              <w:rPr>
                <w:sz w:val="20"/>
                <w:szCs w:val="20"/>
                <w:color w:val="auto"/>
              </w:rPr>
            </w:pPr>
            <w:r>
              <w:rPr>
                <w:rFonts w:ascii="Arial" w:cs="Arial" w:eastAsia="Arial" w:hAnsi="Arial"/>
                <w:sz w:val="18"/>
                <w:szCs w:val="18"/>
                <w:color w:val="auto"/>
              </w:rPr>
              <w:t>other revenues:</w:t>
            </w:r>
          </w:p>
        </w:tc>
        <w:tc>
          <w:tcPr>
            <w:tcW w:w="1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3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Game operations and distribution costs</w:t>
            </w:r>
          </w:p>
        </w:tc>
        <w:tc>
          <w:tcPr>
            <w:tcW w:w="1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320" w:type="dxa"/>
            <w:vAlign w:val="bottom"/>
            <w:gridSpan w:val="3"/>
          </w:tcPr>
          <w:p>
            <w:pPr>
              <w:ind w:left="20"/>
              <w:spacing w:after="0" w:line="176" w:lineRule="exact"/>
              <w:rPr>
                <w:sz w:val="20"/>
                <w:szCs w:val="20"/>
                <w:color w:val="auto"/>
              </w:rPr>
            </w:pPr>
            <w:r>
              <w:rPr>
                <w:rFonts w:ascii="Arial" w:cs="Arial" w:eastAsia="Arial" w:hAnsi="Arial"/>
                <w:sz w:val="18"/>
                <w:szCs w:val="18"/>
                <w:color w:val="auto"/>
              </w:rPr>
              <w:t>Software royalties, amortization, and</w:t>
            </w:r>
          </w:p>
        </w:tc>
        <w:tc>
          <w:tcPr>
            <w:tcW w:w="124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vMerge w:val="restart"/>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320" w:type="dxa"/>
            <w:vAlign w:val="bottom"/>
            <w:gridSpan w:val="3"/>
          </w:tcPr>
          <w:p>
            <w:pPr>
              <w:ind w:left="20"/>
              <w:spacing w:after="0"/>
              <w:rPr>
                <w:sz w:val="20"/>
                <w:szCs w:val="20"/>
                <w:color w:val="auto"/>
              </w:rPr>
            </w:pPr>
            <w:r>
              <w:rPr>
                <w:rFonts w:ascii="Arial" w:cs="Arial" w:eastAsia="Arial" w:hAnsi="Arial"/>
                <w:sz w:val="18"/>
                <w:szCs w:val="18"/>
                <w:color w:val="auto"/>
              </w:rPr>
              <w:t>intellectual property licenses</w:t>
            </w:r>
          </w:p>
        </w:tc>
        <w:tc>
          <w:tcPr>
            <w:tcW w:w="124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50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Product development</w:t>
            </w:r>
          </w:p>
        </w:tc>
        <w:tc>
          <w:tcPr>
            <w:tcW w:w="1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500" w:type="dxa"/>
            <w:vAlign w:val="bottom"/>
            <w:gridSpan w:val="4"/>
          </w:tcPr>
          <w:p>
            <w:pPr>
              <w:ind w:left="100"/>
              <w:spacing w:after="0"/>
              <w:rPr>
                <w:sz w:val="20"/>
                <w:szCs w:val="20"/>
                <w:color w:val="auto"/>
              </w:rPr>
            </w:pPr>
            <w:r>
              <w:rPr>
                <w:rFonts w:ascii="Arial" w:cs="Arial" w:eastAsia="Arial" w:hAnsi="Arial"/>
                <w:sz w:val="18"/>
                <w:szCs w:val="18"/>
                <w:color w:val="auto"/>
              </w:rPr>
              <w:t>Sales and marketing</w:t>
            </w:r>
          </w:p>
        </w:tc>
        <w:tc>
          <w:tcPr>
            <w:tcW w:w="1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722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50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General and administrative</w:t>
            </w:r>
          </w:p>
        </w:tc>
        <w:tc>
          <w:tcPr>
            <w:tcW w:w="1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3500" w:type="dxa"/>
            <w:vAlign w:val="bottom"/>
            <w:tcBorders>
              <w:bottom w:val="single" w:sz="8" w:color="CCEEFF"/>
            </w:tcBorders>
            <w:gridSpan w:val="4"/>
          </w:tcPr>
          <w:p>
            <w:pPr>
              <w:ind w:left="100"/>
              <w:spacing w:after="0"/>
              <w:rPr>
                <w:sz w:val="20"/>
                <w:szCs w:val="20"/>
                <w:color w:val="auto"/>
              </w:rPr>
            </w:pPr>
            <w:r>
              <w:rPr>
                <w:rFonts w:ascii="Arial" w:cs="Arial" w:eastAsia="Arial" w:hAnsi="Arial"/>
                <w:sz w:val="18"/>
                <w:szCs w:val="18"/>
                <w:color w:val="auto"/>
              </w:rPr>
              <w:t>Restructuring and related costs</w:t>
            </w:r>
          </w:p>
        </w:tc>
        <w:tc>
          <w:tcPr>
            <w:tcW w:w="12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5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 costs and expenses</w:t>
            </w:r>
          </w:p>
        </w:tc>
        <w:tc>
          <w:tcPr>
            <w:tcW w:w="12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1,176</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3,535</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5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00" w:type="dxa"/>
            <w:vAlign w:val="bottom"/>
            <w:gridSpan w:val="4"/>
          </w:tcPr>
          <w:p>
            <w:pPr>
              <w:spacing w:after="0" w:line="189" w:lineRule="exact"/>
              <w:rPr>
                <w:rFonts w:ascii="Arial" w:cs="Arial" w:eastAsia="Arial" w:hAnsi="Arial"/>
                <w:sz w:val="18"/>
                <w:szCs w:val="18"/>
                <w:color w:val="auto"/>
                <w:w w:val="93"/>
              </w:rPr>
            </w:pPr>
            <w:hyperlink w:anchor="page31">
              <w:r>
                <w:rPr>
                  <w:rFonts w:ascii="Arial" w:cs="Arial" w:eastAsia="Arial" w:hAnsi="Arial"/>
                  <w:sz w:val="18"/>
                  <w:szCs w:val="18"/>
                  <w:color w:val="auto"/>
                  <w:w w:val="93"/>
                </w:rPr>
                <w:t>Interest and other expense (income), net (</w:t>
              </w:r>
              <w:r>
                <w:rPr>
                  <w:rFonts w:ascii="Arial" w:cs="Arial" w:eastAsia="Arial" w:hAnsi="Arial"/>
                  <w:sz w:val="18"/>
                  <w:szCs w:val="18"/>
                  <w:color w:val="0000FF"/>
                  <w:w w:val="93"/>
                </w:rPr>
                <w:t>Note</w:t>
              </w:r>
            </w:hyperlink>
          </w:p>
        </w:tc>
        <w:tc>
          <w:tcPr>
            <w:tcW w:w="1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3020" w:type="dxa"/>
            <w:vAlign w:val="bottom"/>
            <w:gridSpan w:val="3"/>
          </w:tcPr>
          <w:p>
            <w:pPr>
              <w:ind w:left="20"/>
              <w:spacing w:after="0" w:line="156" w:lineRule="exact"/>
              <w:rPr>
                <w:rFonts w:ascii="Arial" w:cs="Arial" w:eastAsia="Arial" w:hAnsi="Arial"/>
                <w:sz w:val="18"/>
                <w:szCs w:val="18"/>
                <w:color w:val="0000FF"/>
              </w:rPr>
            </w:pPr>
            <w:hyperlink w:anchor="page31">
              <w:r>
                <w:rPr>
                  <w:rFonts w:ascii="Arial" w:cs="Arial" w:eastAsia="Arial" w:hAnsi="Arial"/>
                  <w:sz w:val="18"/>
                  <w:szCs w:val="18"/>
                  <w:color w:val="0000FF"/>
                </w:rPr>
                <w:t>12</w:t>
              </w:r>
              <w:r>
                <w:rPr>
                  <w:rFonts w:ascii="Arial" w:cs="Arial" w:eastAsia="Arial" w:hAnsi="Arial"/>
                  <w:sz w:val="18"/>
                  <w:szCs w:val="18"/>
                  <w:color w:val="000000"/>
                </w:rPr>
                <w:t>)</w:t>
              </w:r>
            </w:hyperlink>
          </w:p>
        </w:tc>
        <w:tc>
          <w:tcPr>
            <w:tcW w:w="340" w:type="dxa"/>
            <w:vAlign w:val="bottom"/>
            <w:tcBorders>
              <w:top w:val="single" w:sz="8" w:color="0000FF"/>
            </w:tcBorders>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600" w:type="dxa"/>
            <w:vAlign w:val="bottom"/>
          </w:tcPr>
          <w:p>
            <w:pPr>
              <w:jc w:val="right"/>
              <w:spacing w:after="0" w:line="156" w:lineRule="exact"/>
              <w:rPr>
                <w:sz w:val="20"/>
                <w:szCs w:val="20"/>
                <w:color w:val="auto"/>
              </w:rPr>
            </w:pPr>
            <w:r>
              <w:rPr>
                <w:rFonts w:ascii="Arial" w:cs="Arial" w:eastAsia="Arial" w:hAnsi="Arial"/>
                <w:sz w:val="18"/>
                <w:szCs w:val="18"/>
                <w:color w:val="auto"/>
              </w:rPr>
              <w:t>25</w:t>
            </w: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20" w:type="dxa"/>
            <w:vAlign w:val="bottom"/>
          </w:tcPr>
          <w:p>
            <w:pPr>
              <w:jc w:val="right"/>
              <w:spacing w:after="0" w:line="156" w:lineRule="exact"/>
              <w:rPr>
                <w:sz w:val="20"/>
                <w:szCs w:val="20"/>
                <w:color w:val="auto"/>
              </w:rPr>
            </w:pPr>
            <w:r>
              <w:rPr>
                <w:rFonts w:ascii="Arial" w:cs="Arial" w:eastAsia="Arial" w:hAnsi="Arial"/>
                <w:sz w:val="18"/>
                <w:szCs w:val="18"/>
                <w:color w:val="auto"/>
              </w:rPr>
              <w:t>(2)</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tcPr>
          <w:p>
            <w:pPr>
              <w:jc w:val="right"/>
              <w:spacing w:after="0" w:line="156" w:lineRule="exact"/>
              <w:rPr>
                <w:sz w:val="20"/>
                <w:szCs w:val="20"/>
                <w:color w:val="auto"/>
              </w:rPr>
            </w:pPr>
            <w:r>
              <w:rPr>
                <w:rFonts w:ascii="Arial" w:cs="Arial" w:eastAsia="Arial" w:hAnsi="Arial"/>
                <w:sz w:val="18"/>
                <w:szCs w:val="18"/>
                <w:color w:val="auto"/>
              </w:rPr>
              <w:t>55</w:t>
            </w: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20" w:type="dxa"/>
            <w:vAlign w:val="bottom"/>
          </w:tcPr>
          <w:p>
            <w:pPr>
              <w:jc w:val="right"/>
              <w:spacing w:after="0" w:line="15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5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1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00" w:type="dxa"/>
            <w:vAlign w:val="bottom"/>
            <w:gridSpan w:val="4"/>
          </w:tcPr>
          <w:p>
            <w:pPr>
              <w:spacing w:after="0"/>
              <w:rPr>
                <w:sz w:val="20"/>
                <w:szCs w:val="20"/>
                <w:color w:val="auto"/>
              </w:rPr>
            </w:pPr>
            <w:r>
              <w:rPr>
                <w:rFonts w:ascii="Arial" w:cs="Arial" w:eastAsia="Arial" w:hAnsi="Arial"/>
                <w:sz w:val="18"/>
                <w:szCs w:val="18"/>
                <w:color w:val="auto"/>
              </w:rPr>
              <w:t>Income before income tax expense</w:t>
            </w:r>
          </w:p>
        </w:tc>
        <w:tc>
          <w:tcPr>
            <w:tcW w:w="12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722</w:t>
            </w:r>
          </w:p>
        </w:tc>
        <w:tc>
          <w:tcPr>
            <w:tcW w:w="1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2,053</w:t>
            </w:r>
          </w:p>
        </w:tc>
        <w:tc>
          <w:tcPr>
            <w:tcW w:w="1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5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2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00" w:type="dxa"/>
            <w:vAlign w:val="bottom"/>
            <w:gridSpan w:val="4"/>
          </w:tcPr>
          <w:p>
            <w:pPr>
              <w:spacing w:after="0"/>
              <w:rPr>
                <w:sz w:val="20"/>
                <w:szCs w:val="20"/>
                <w:color w:val="auto"/>
              </w:rPr>
            </w:pPr>
            <w:r>
              <w:rPr>
                <w:rFonts w:ascii="Arial" w:cs="Arial" w:eastAsia="Arial" w:hAnsi="Arial"/>
                <w:sz w:val="18"/>
                <w:szCs w:val="18"/>
                <w:color w:val="auto"/>
              </w:rPr>
              <w:t>Net income</w:t>
            </w:r>
          </w:p>
        </w:tc>
        <w:tc>
          <w:tcPr>
            <w:tcW w:w="1240" w:type="dxa"/>
            <w:vAlign w:val="bottom"/>
            <w:tcBorders>
              <w:bottom w:val="single" w:sz="8" w:color="auto"/>
            </w:tcBorders>
          </w:tcPr>
          <w:p>
            <w:pPr>
              <w:jc w:val="right"/>
              <w:ind w:right="105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1,688</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978</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8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8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00" w:type="dxa"/>
            <w:vAlign w:val="bottom"/>
            <w:gridSpan w:val="4"/>
          </w:tcPr>
          <w:p>
            <w:pPr>
              <w:spacing w:after="0"/>
              <w:rPr>
                <w:sz w:val="20"/>
                <w:szCs w:val="20"/>
                <w:color w:val="auto"/>
              </w:rPr>
            </w:pPr>
            <w:r>
              <w:rPr>
                <w:rFonts w:ascii="Arial" w:cs="Arial" w:eastAsia="Arial" w:hAnsi="Arial"/>
                <w:sz w:val="18"/>
                <w:szCs w:val="18"/>
                <w:b w:val="1"/>
                <w:bCs w:val="1"/>
                <w:color w:val="auto"/>
              </w:rPr>
              <w:t>Earnings per common share</w:t>
            </w:r>
          </w:p>
        </w:tc>
        <w:tc>
          <w:tcPr>
            <w:tcW w:w="1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50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Basic</w:t>
            </w:r>
          </w:p>
        </w:tc>
        <w:tc>
          <w:tcPr>
            <w:tcW w:w="1240" w:type="dxa"/>
            <w:vAlign w:val="bottom"/>
            <w:shd w:val="clear" w:color="auto" w:fill="CCEEFF"/>
          </w:tcPr>
          <w:p>
            <w:pPr>
              <w:jc w:val="right"/>
              <w:ind w:right="105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500" w:type="dxa"/>
            <w:vAlign w:val="bottom"/>
            <w:gridSpan w:val="4"/>
          </w:tcPr>
          <w:p>
            <w:pPr>
              <w:ind w:left="100"/>
              <w:spacing w:after="0"/>
              <w:rPr>
                <w:sz w:val="20"/>
                <w:szCs w:val="20"/>
                <w:color w:val="auto"/>
              </w:rPr>
            </w:pPr>
            <w:r>
              <w:rPr>
                <w:rFonts w:ascii="Arial" w:cs="Arial" w:eastAsia="Arial" w:hAnsi="Arial"/>
                <w:sz w:val="18"/>
                <w:szCs w:val="18"/>
                <w:color w:val="auto"/>
              </w:rPr>
              <w:t>Diluted</w:t>
            </w:r>
          </w:p>
        </w:tc>
        <w:tc>
          <w:tcPr>
            <w:tcW w:w="1240" w:type="dxa"/>
            <w:vAlign w:val="bottom"/>
          </w:tcPr>
          <w:p>
            <w:pPr>
              <w:jc w:val="right"/>
              <w:ind w:right="105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0.78</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0.26</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2.17</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500" w:type="dxa"/>
            <w:vAlign w:val="bottom"/>
            <w:gridSpan w:val="4"/>
          </w:tcPr>
          <w:p>
            <w:pPr>
              <w:spacing w:after="0" w:line="176" w:lineRule="exact"/>
              <w:rPr>
                <w:sz w:val="20"/>
                <w:szCs w:val="20"/>
                <w:color w:val="auto"/>
              </w:rPr>
            </w:pPr>
            <w:r>
              <w:rPr>
                <w:rFonts w:ascii="Arial" w:cs="Arial" w:eastAsia="Arial" w:hAnsi="Arial"/>
                <w:sz w:val="18"/>
                <w:szCs w:val="18"/>
                <w:b w:val="1"/>
                <w:bCs w:val="1"/>
                <w:color w:val="auto"/>
              </w:rPr>
              <w:t>Weighted-average number of shares</w:t>
            </w:r>
          </w:p>
        </w:tc>
        <w:tc>
          <w:tcPr>
            <w:tcW w:w="1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00" w:type="dxa"/>
            <w:vAlign w:val="bottom"/>
            <w:gridSpan w:val="4"/>
          </w:tcPr>
          <w:p>
            <w:pPr>
              <w:spacing w:after="0"/>
              <w:rPr>
                <w:sz w:val="20"/>
                <w:szCs w:val="20"/>
                <w:color w:val="auto"/>
              </w:rPr>
            </w:pPr>
            <w:r>
              <w:rPr>
                <w:rFonts w:ascii="Arial" w:cs="Arial" w:eastAsia="Arial" w:hAnsi="Arial"/>
                <w:sz w:val="18"/>
                <w:szCs w:val="18"/>
                <w:b w:val="1"/>
                <w:bCs w:val="1"/>
                <w:color w:val="auto"/>
              </w:rPr>
              <w:t>outstanding</w:t>
            </w:r>
          </w:p>
        </w:tc>
        <w:tc>
          <w:tcPr>
            <w:tcW w:w="1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50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Basic</w:t>
            </w:r>
          </w:p>
        </w:tc>
        <w:tc>
          <w:tcPr>
            <w:tcW w:w="1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00" w:type="dxa"/>
            <w:vAlign w:val="bottom"/>
            <w:gridSpan w:val="4"/>
          </w:tcPr>
          <w:p>
            <w:pPr>
              <w:ind w:left="100"/>
              <w:spacing w:after="0"/>
              <w:rPr>
                <w:sz w:val="20"/>
                <w:szCs w:val="20"/>
                <w:color w:val="auto"/>
              </w:rPr>
            </w:pPr>
            <w:r>
              <w:rPr>
                <w:rFonts w:ascii="Arial" w:cs="Arial" w:eastAsia="Arial" w:hAnsi="Arial"/>
                <w:sz w:val="18"/>
                <w:szCs w:val="18"/>
                <w:color w:val="auto"/>
              </w:rPr>
              <w:t>Diluted</w:t>
            </w:r>
          </w:p>
        </w:tc>
        <w:tc>
          <w:tcPr>
            <w:tcW w:w="12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779</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771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777</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bl>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392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2"/>
        </w:trPr>
        <w:tc>
          <w:tcPr>
            <w:tcW w:w="1280" w:type="dxa"/>
            <w:vAlign w:val="bottom"/>
            <w:tcBorders>
              <w:top w:val="single" w:sz="8" w:color="0000FF"/>
            </w:tcBorders>
          </w:tcPr>
          <w:p>
            <w:pPr>
              <w:spacing w:after="0"/>
              <w:rPr>
                <w:sz w:val="24"/>
                <w:szCs w:val="24"/>
                <w:color w:val="auto"/>
              </w:rPr>
            </w:pPr>
          </w:p>
        </w:tc>
        <w:tc>
          <w:tcPr>
            <w:tcW w:w="6500" w:type="dxa"/>
            <w:vAlign w:val="bottom"/>
            <w:gridSpan w:val="8"/>
          </w:tcPr>
          <w:p>
            <w:pPr>
              <w:jc w:val="center"/>
              <w:ind w:left="2090"/>
              <w:spacing w:after="0"/>
              <w:rPr>
                <w:sz w:val="20"/>
                <w:szCs w:val="20"/>
                <w:color w:val="auto"/>
              </w:rPr>
            </w:pPr>
            <w:r>
              <w:rPr>
                <w:rFonts w:ascii="Arial" w:cs="Arial" w:eastAsia="Arial" w:hAnsi="Arial"/>
                <w:sz w:val="18"/>
                <w:szCs w:val="18"/>
                <w:b w:val="1"/>
                <w:bCs w:val="1"/>
                <w:color w:val="auto"/>
              </w:rPr>
              <w:t>ACTIVISION BLIZZARD, INC. AND SUBSIDIARIES</w:t>
            </w: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280" w:type="dxa"/>
            <w:vAlign w:val="bottom"/>
          </w:tcPr>
          <w:p>
            <w:pPr>
              <w:spacing w:after="0"/>
              <w:rPr>
                <w:sz w:val="19"/>
                <w:szCs w:val="19"/>
                <w:color w:val="auto"/>
              </w:rPr>
            </w:pPr>
          </w:p>
        </w:tc>
        <w:tc>
          <w:tcPr>
            <w:tcW w:w="8200" w:type="dxa"/>
            <w:vAlign w:val="bottom"/>
            <w:gridSpan w:val="10"/>
          </w:tcPr>
          <w:p>
            <w:pPr>
              <w:jc w:val="center"/>
              <w:ind w:left="410"/>
              <w:spacing w:after="0"/>
              <w:rPr>
                <w:sz w:val="20"/>
                <w:szCs w:val="20"/>
                <w:color w:val="auto"/>
              </w:rPr>
            </w:pPr>
            <w:r>
              <w:rPr>
                <w:rFonts w:ascii="Arial" w:cs="Arial" w:eastAsia="Arial" w:hAnsi="Arial"/>
                <w:sz w:val="18"/>
                <w:szCs w:val="18"/>
                <w:b w:val="1"/>
                <w:bCs w:val="1"/>
                <w:color w:val="auto"/>
              </w:rPr>
              <w:t>CONDENSED CONSOLIDATED STATEMENTS OF COMPREHENSIVE INCOME</w:t>
            </w: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120" w:type="dxa"/>
            <w:vAlign w:val="bottom"/>
            <w:gridSpan w:val="3"/>
          </w:tcPr>
          <w:p>
            <w:pPr>
              <w:jc w:val="center"/>
              <w:ind w:left="390"/>
              <w:spacing w:after="0"/>
              <w:rPr>
                <w:sz w:val="20"/>
                <w:szCs w:val="20"/>
                <w:color w:val="auto"/>
              </w:rPr>
            </w:pPr>
            <w:r>
              <w:rPr>
                <w:rFonts w:ascii="Arial" w:cs="Arial" w:eastAsia="Arial" w:hAnsi="Arial"/>
                <w:sz w:val="18"/>
                <w:szCs w:val="18"/>
                <w:color w:val="auto"/>
                <w:w w:val="93"/>
              </w:rPr>
              <w:t>(Unaudited)</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120" w:type="dxa"/>
            <w:vAlign w:val="bottom"/>
            <w:gridSpan w:val="3"/>
          </w:tcPr>
          <w:p>
            <w:pPr>
              <w:jc w:val="center"/>
              <w:ind w:left="390"/>
              <w:spacing w:after="0"/>
              <w:rPr>
                <w:sz w:val="20"/>
                <w:szCs w:val="20"/>
                <w:color w:val="auto"/>
              </w:rPr>
            </w:pPr>
            <w:r>
              <w:rPr>
                <w:rFonts w:ascii="Arial" w:cs="Arial" w:eastAsia="Arial" w:hAnsi="Arial"/>
                <w:sz w:val="18"/>
                <w:szCs w:val="18"/>
                <w:color w:val="auto"/>
                <w:w w:val="95"/>
              </w:rPr>
              <w:t>(Amounts in millions)</w:t>
            </w: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7"/>
        </w:trPr>
        <w:tc>
          <w:tcPr>
            <w:tcW w:w="12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700" w:type="dxa"/>
            <w:vAlign w:val="bottom"/>
            <w:gridSpan w:val="6"/>
          </w:tcPr>
          <w:p>
            <w:pPr>
              <w:ind w:left="100"/>
              <w:spacing w:after="0"/>
              <w:rPr>
                <w:sz w:val="20"/>
                <w:szCs w:val="20"/>
                <w:color w:val="auto"/>
              </w:rPr>
            </w:pPr>
            <w:r>
              <w:rPr>
                <w:rFonts w:ascii="Arial" w:cs="Arial" w:eastAsia="Arial" w:hAnsi="Arial"/>
                <w:sz w:val="18"/>
                <w:szCs w:val="18"/>
                <w:b w:val="1"/>
                <w:bCs w:val="1"/>
                <w:color w:val="auto"/>
                <w:w w:val="96"/>
              </w:rPr>
              <w:t>For the Three Months Ended September 30,</w:t>
            </w:r>
          </w:p>
        </w:tc>
        <w:tc>
          <w:tcPr>
            <w:tcW w:w="160" w:type="dxa"/>
            <w:vAlign w:val="bottom"/>
          </w:tcPr>
          <w:p>
            <w:pPr>
              <w:spacing w:after="0"/>
              <w:rPr>
                <w:sz w:val="24"/>
                <w:szCs w:val="24"/>
                <w:color w:val="auto"/>
              </w:rPr>
            </w:pPr>
          </w:p>
        </w:tc>
        <w:tc>
          <w:tcPr>
            <w:tcW w:w="346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w w:val="90"/>
              </w:rPr>
              <w:t>For the Nine Months Ended September 30,</w:t>
            </w:r>
          </w:p>
        </w:tc>
        <w:tc>
          <w:tcPr>
            <w:tcW w:w="0" w:type="dxa"/>
            <w:vAlign w:val="bottom"/>
          </w:tcPr>
          <w:p>
            <w:pPr>
              <w:spacing w:after="0"/>
              <w:rPr>
                <w:sz w:val="1"/>
                <w:szCs w:val="1"/>
                <w:color w:val="auto"/>
              </w:rPr>
            </w:pPr>
          </w:p>
        </w:tc>
      </w:tr>
      <w:tr>
        <w:trPr>
          <w:trHeight w:val="223"/>
        </w:trPr>
        <w:tc>
          <w:tcPr>
            <w:tcW w:w="1280" w:type="dxa"/>
            <w:vAlign w:val="bottom"/>
            <w:tcBorders>
              <w:bottom w:val="single" w:sz="8" w:color="CCEEFF"/>
            </w:tcBorders>
          </w:tcPr>
          <w:p>
            <w:pPr>
              <w:spacing w:after="0"/>
              <w:rPr>
                <w:sz w:val="19"/>
                <w:szCs w:val="19"/>
                <w:color w:val="auto"/>
              </w:rPr>
            </w:pPr>
          </w:p>
        </w:tc>
        <w:tc>
          <w:tcPr>
            <w:tcW w:w="264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bottom w:val="single" w:sz="8" w:color="CCEEFF"/>
            </w:tcBorders>
          </w:tcPr>
          <w:p>
            <w:pPr>
              <w:spacing w:after="0"/>
              <w:rPr>
                <w:sz w:val="19"/>
                <w:szCs w:val="19"/>
                <w:color w:val="auto"/>
              </w:rPr>
            </w:pPr>
          </w:p>
        </w:tc>
        <w:tc>
          <w:tcPr>
            <w:tcW w:w="6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58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23"/>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0" w:type="dxa"/>
            <w:vAlign w:val="bottom"/>
          </w:tcPr>
          <w:p>
            <w:pPr>
              <w:spacing w:after="0"/>
              <w:rPr>
                <w:sz w:val="1"/>
                <w:szCs w:val="1"/>
                <w:color w:val="auto"/>
              </w:rPr>
            </w:pPr>
          </w:p>
        </w:tc>
      </w:tr>
      <w:tr>
        <w:trPr>
          <w:trHeight w:val="270"/>
        </w:trPr>
        <w:tc>
          <w:tcPr>
            <w:tcW w:w="3920" w:type="dxa"/>
            <w:vAlign w:val="bottom"/>
            <w:gridSpan w:val="2"/>
          </w:tcPr>
          <w:p>
            <w:pPr>
              <w:spacing w:after="0"/>
              <w:rPr>
                <w:sz w:val="23"/>
                <w:szCs w:val="23"/>
                <w:color w:val="auto"/>
              </w:rPr>
            </w:pPr>
          </w:p>
        </w:tc>
        <w:tc>
          <w:tcPr>
            <w:tcW w:w="4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20" w:type="dxa"/>
            <w:vAlign w:val="bottom"/>
            <w:gridSpan w:val="2"/>
          </w:tcPr>
          <w:p>
            <w:pPr>
              <w:ind w:left="120"/>
              <w:spacing w:after="0"/>
              <w:rPr>
                <w:sz w:val="20"/>
                <w:szCs w:val="20"/>
                <w:color w:val="auto"/>
              </w:rPr>
            </w:pPr>
            <w:r>
              <w:rPr>
                <w:rFonts w:ascii="Arial" w:cs="Arial" w:eastAsia="Arial" w:hAnsi="Arial"/>
                <w:sz w:val="18"/>
                <w:szCs w:val="18"/>
                <w:color w:val="auto"/>
                <w:w w:val="94"/>
              </w:rPr>
              <w:t>Foreign currency translation adjustment, net of tax</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76"/>
        </w:trPr>
        <w:tc>
          <w:tcPr>
            <w:tcW w:w="3920" w:type="dxa"/>
            <w:vAlign w:val="bottom"/>
            <w:gridSpan w:val="2"/>
            <w:shd w:val="clear" w:color="auto" w:fill="CCEEFF"/>
          </w:tcPr>
          <w:p>
            <w:pPr>
              <w:ind w:left="120"/>
              <w:spacing w:after="0" w:line="176" w:lineRule="exact"/>
              <w:rPr>
                <w:sz w:val="20"/>
                <w:szCs w:val="20"/>
                <w:color w:val="auto"/>
              </w:rPr>
            </w:pPr>
            <w:r>
              <w:rPr>
                <w:rFonts w:ascii="Arial" w:cs="Arial" w:eastAsia="Arial" w:hAnsi="Arial"/>
                <w:sz w:val="18"/>
                <w:szCs w:val="18"/>
                <w:color w:val="auto"/>
              </w:rPr>
              <w:t>Unrealized gains (losses) on forward contracts</w:t>
            </w:r>
          </w:p>
        </w:tc>
        <w:tc>
          <w:tcPr>
            <w:tcW w:w="40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39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designated as hedges, net of tax</w:t>
            </w:r>
          </w:p>
        </w:tc>
        <w:tc>
          <w:tcPr>
            <w:tcW w:w="400" w:type="dxa"/>
            <w:vAlign w:val="bottom"/>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w w:val="91"/>
              </w:rPr>
              <w:t>Unrealized gains (losses) on investments, net of tax</w:t>
            </w: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other comprehensive income (loss)</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3920" w:type="dxa"/>
            <w:vAlign w:val="bottom"/>
            <w:gridSpan w:val="2"/>
          </w:tcPr>
          <w:p>
            <w:pPr>
              <w:ind w:left="20"/>
              <w:spacing w:after="0"/>
              <w:rPr>
                <w:sz w:val="20"/>
                <w:szCs w:val="20"/>
                <w:color w:val="auto"/>
              </w:rPr>
            </w:pPr>
            <w:r>
              <w:rPr>
                <w:rFonts w:ascii="Arial" w:cs="Arial" w:eastAsia="Arial" w:hAnsi="Arial"/>
                <w:sz w:val="18"/>
                <w:szCs w:val="18"/>
                <w:color w:val="auto"/>
              </w:rPr>
              <w:t>Comprehensive income</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w:t>
            </w:r>
          </w:p>
        </w:tc>
        <w:tc>
          <w:tcPr>
            <w:tcW w:w="120" w:type="dxa"/>
            <w:vAlign w:val="bottom"/>
          </w:tcPr>
          <w:p>
            <w:pPr>
              <w:spacing w:after="0"/>
              <w:rPr>
                <w:sz w:val="19"/>
                <w:szCs w:val="19"/>
                <w:color w:val="auto"/>
              </w:rPr>
            </w:pPr>
          </w:p>
        </w:tc>
        <w:tc>
          <w:tcPr>
            <w:tcW w:w="6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1,674</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972</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millions)</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40" w:type="dxa"/>
            <w:vAlign w:val="bottom"/>
          </w:tcPr>
          <w:p>
            <w:pPr>
              <w:spacing w:after="0"/>
              <w:rPr>
                <w:sz w:val="16"/>
                <w:szCs w:val="16"/>
                <w:color w:val="auto"/>
              </w:rPr>
            </w:pPr>
          </w:p>
        </w:tc>
        <w:tc>
          <w:tcPr>
            <w:tcW w:w="3620" w:type="dxa"/>
            <w:vAlign w:val="bottom"/>
            <w:tcBorders>
              <w:bottom w:val="single" w:sz="8" w:color="auto"/>
            </w:tcBorders>
            <w:gridSpan w:val="4"/>
          </w:tcPr>
          <w:p>
            <w:pPr>
              <w:jc w:val="right"/>
              <w:ind w:right="128"/>
              <w:spacing w:after="0"/>
              <w:rPr>
                <w:sz w:val="20"/>
                <w:szCs w:val="20"/>
                <w:color w:val="auto"/>
              </w:rPr>
            </w:pPr>
            <w:r>
              <w:rPr>
                <w:rFonts w:ascii="Arial" w:cs="Arial" w:eastAsia="Arial" w:hAnsi="Arial"/>
                <w:sz w:val="14"/>
                <w:szCs w:val="14"/>
                <w:b w:val="1"/>
                <w:bCs w:val="1"/>
                <w:color w:val="auto"/>
              </w:rPr>
              <w:t>For the Nine Months Ended September 30,</w:t>
            </w:r>
          </w:p>
        </w:tc>
        <w:tc>
          <w:tcPr>
            <w:tcW w:w="580" w:type="dxa"/>
            <w:vAlign w:val="bottom"/>
            <w:tcBorders>
              <w:bottom w:val="single" w:sz="8" w:color="auto"/>
            </w:tcBorders>
          </w:tcPr>
          <w:p>
            <w:pPr>
              <w:spacing w:after="0"/>
              <w:rPr>
                <w:sz w:val="16"/>
                <w:szCs w:val="16"/>
                <w:color w:val="auto"/>
              </w:rPr>
            </w:pPr>
          </w:p>
        </w:tc>
      </w:tr>
      <w:tr>
        <w:trPr>
          <w:trHeight w:val="187"/>
        </w:trPr>
        <w:tc>
          <w:tcPr>
            <w:tcW w:w="704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2020</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16"/>
                <w:szCs w:val="16"/>
                <w:color w:val="auto"/>
              </w:rPr>
            </w:pPr>
          </w:p>
        </w:tc>
      </w:tr>
      <w:tr>
        <w:trPr>
          <w:trHeight w:val="184"/>
        </w:trPr>
        <w:tc>
          <w:tcPr>
            <w:tcW w:w="70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13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r>
      <w:tr>
        <w:trPr>
          <w:trHeight w:val="186"/>
        </w:trPr>
        <w:tc>
          <w:tcPr>
            <w:tcW w:w="7040" w:type="dxa"/>
            <w:vAlign w:val="bottom"/>
          </w:tcPr>
          <w:p>
            <w:pPr>
              <w:ind w:left="120"/>
              <w:spacing w:after="0"/>
              <w:rPr>
                <w:sz w:val="20"/>
                <w:szCs w:val="20"/>
                <w:color w:val="auto"/>
              </w:rPr>
            </w:pPr>
            <w:r>
              <w:rPr>
                <w:rFonts w:ascii="Arial" w:cs="Arial" w:eastAsia="Arial" w:hAnsi="Arial"/>
                <w:sz w:val="14"/>
                <w:szCs w:val="14"/>
                <w:color w:val="auto"/>
              </w:rPr>
              <w:t>Net income</w:t>
            </w:r>
          </w:p>
        </w:tc>
        <w:tc>
          <w:tcPr>
            <w:tcW w:w="1380" w:type="dxa"/>
            <w:vAlign w:val="bottom"/>
          </w:tcPr>
          <w:p>
            <w:pPr>
              <w:jc w:val="right"/>
              <w:ind w:right="120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1,688</w:t>
            </w:r>
          </w:p>
        </w:tc>
        <w:tc>
          <w:tcPr>
            <w:tcW w:w="100" w:type="dxa"/>
            <w:vAlign w:val="bottom"/>
          </w:tcPr>
          <w:p>
            <w:pPr>
              <w:spacing w:after="0"/>
              <w:rPr>
                <w:sz w:val="16"/>
                <w:szCs w:val="16"/>
                <w:color w:val="auto"/>
              </w:rPr>
            </w:pPr>
          </w:p>
        </w:tc>
        <w:tc>
          <w:tcPr>
            <w:tcW w:w="1480" w:type="dxa"/>
            <w:vAlign w:val="bottom"/>
          </w:tcPr>
          <w:p>
            <w:pPr>
              <w:jc w:val="right"/>
              <w:ind w:right="1308"/>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978</w:t>
            </w:r>
          </w:p>
        </w:tc>
      </w:tr>
      <w:tr>
        <w:trPr>
          <w:trHeight w:val="192"/>
        </w:trPr>
        <w:tc>
          <w:tcPr>
            <w:tcW w:w="70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13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r>
      <w:tr>
        <w:trPr>
          <w:trHeight w:val="186"/>
        </w:trPr>
        <w:tc>
          <w:tcPr>
            <w:tcW w:w="7040" w:type="dxa"/>
            <w:vAlign w:val="bottom"/>
          </w:tcPr>
          <w:p>
            <w:pPr>
              <w:ind w:left="340"/>
              <w:spacing w:after="0"/>
              <w:rPr>
                <w:sz w:val="20"/>
                <w:szCs w:val="20"/>
                <w:color w:val="auto"/>
              </w:rPr>
            </w:pPr>
            <w:r>
              <w:rPr>
                <w:rFonts w:ascii="Arial" w:cs="Arial" w:eastAsia="Arial" w:hAnsi="Arial"/>
                <w:sz w:val="14"/>
                <w:szCs w:val="14"/>
                <w:color w:val="auto"/>
              </w:rPr>
              <w:t>Deferred income taxes</w:t>
            </w:r>
          </w:p>
        </w:tc>
        <w:tc>
          <w:tcPr>
            <w:tcW w:w="13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100</w:t>
            </w:r>
          </w:p>
        </w:tc>
      </w:tr>
      <w:tr>
        <w:trPr>
          <w:trHeight w:val="192"/>
        </w:trPr>
        <w:tc>
          <w:tcPr>
            <w:tcW w:w="70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Depreciation and amortization</w:t>
            </w:r>
          </w:p>
        </w:tc>
        <w:tc>
          <w:tcPr>
            <w:tcW w:w="13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w:t>
            </w: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w:t>
            </w:r>
          </w:p>
        </w:tc>
      </w:tr>
      <w:tr>
        <w:trPr>
          <w:trHeight w:val="186"/>
        </w:trPr>
        <w:tc>
          <w:tcPr>
            <w:tcW w:w="7040" w:type="dxa"/>
            <w:vAlign w:val="bottom"/>
          </w:tcPr>
          <w:p>
            <w:pPr>
              <w:ind w:left="340"/>
              <w:spacing w:after="0"/>
              <w:rPr>
                <w:sz w:val="20"/>
                <w:szCs w:val="20"/>
                <w:color w:val="auto"/>
              </w:rPr>
            </w:pPr>
            <w:r>
              <w:rPr>
                <w:rFonts w:ascii="Arial" w:cs="Arial" w:eastAsia="Arial" w:hAnsi="Arial"/>
                <w:sz w:val="14"/>
                <w:szCs w:val="14"/>
                <w:color w:val="auto"/>
              </w:rPr>
              <w:t>Non-cash operating lease cost</w:t>
            </w:r>
          </w:p>
        </w:tc>
        <w:tc>
          <w:tcPr>
            <w:tcW w:w="13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49</w:t>
            </w:r>
          </w:p>
        </w:tc>
      </w:tr>
      <w:tr>
        <w:trPr>
          <w:trHeight w:val="192"/>
        </w:trPr>
        <w:tc>
          <w:tcPr>
            <w:tcW w:w="70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Amortization of capitalized software development costs and intellectual property licenses (1)</w:t>
            </w:r>
          </w:p>
        </w:tc>
        <w:tc>
          <w:tcPr>
            <w:tcW w:w="13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w:t>
            </w: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w:t>
            </w:r>
          </w:p>
        </w:tc>
      </w:tr>
      <w:tr>
        <w:trPr>
          <w:trHeight w:val="186"/>
        </w:trPr>
        <w:tc>
          <w:tcPr>
            <w:tcW w:w="7040" w:type="dxa"/>
            <w:vAlign w:val="bottom"/>
          </w:tcPr>
          <w:p>
            <w:pPr>
              <w:ind w:left="340"/>
              <w:spacing w:after="0"/>
              <w:rPr>
                <w:sz w:val="20"/>
                <w:szCs w:val="20"/>
                <w:color w:val="auto"/>
              </w:rPr>
            </w:pPr>
            <w:r>
              <w:rPr>
                <w:rFonts w:ascii="Arial" w:cs="Arial" w:eastAsia="Arial" w:hAnsi="Arial"/>
                <w:sz w:val="14"/>
                <w:szCs w:val="14"/>
                <w:color w:val="auto"/>
              </w:rPr>
              <w:t>Share-based compensation expense (2)</w:t>
            </w:r>
          </w:p>
        </w:tc>
        <w:tc>
          <w:tcPr>
            <w:tcW w:w="13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138</w:t>
            </w: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127</w:t>
            </w:r>
          </w:p>
        </w:tc>
      </w:tr>
      <w:tr>
        <w:trPr>
          <w:trHeight w:val="192"/>
        </w:trPr>
        <w:tc>
          <w:tcPr>
            <w:tcW w:w="70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Other</w:t>
            </w:r>
          </w:p>
        </w:tc>
        <w:tc>
          <w:tcPr>
            <w:tcW w:w="13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r>
      <w:tr>
        <w:trPr>
          <w:trHeight w:val="186"/>
        </w:trPr>
        <w:tc>
          <w:tcPr>
            <w:tcW w:w="7040" w:type="dxa"/>
            <w:vAlign w:val="bottom"/>
          </w:tcPr>
          <w:p>
            <w:pPr>
              <w:ind w:left="120"/>
              <w:spacing w:after="0"/>
              <w:rPr>
                <w:sz w:val="20"/>
                <w:szCs w:val="20"/>
                <w:color w:val="auto"/>
              </w:rPr>
            </w:pPr>
            <w:r>
              <w:rPr>
                <w:rFonts w:ascii="Arial" w:cs="Arial" w:eastAsia="Arial" w:hAnsi="Arial"/>
                <w:sz w:val="14"/>
                <w:szCs w:val="14"/>
                <w:color w:val="auto"/>
              </w:rPr>
              <w:t>Changes in operating assets and liabilities:</w:t>
            </w:r>
          </w:p>
        </w:tc>
        <w:tc>
          <w:tcPr>
            <w:tcW w:w="13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92"/>
        </w:trPr>
        <w:tc>
          <w:tcPr>
            <w:tcW w:w="70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Accounts receivable, net</w:t>
            </w:r>
          </w:p>
        </w:tc>
        <w:tc>
          <w:tcPr>
            <w:tcW w:w="13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w:t>
            </w: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635</w:t>
            </w:r>
          </w:p>
        </w:tc>
      </w:tr>
      <w:tr>
        <w:trPr>
          <w:trHeight w:val="186"/>
        </w:trPr>
        <w:tc>
          <w:tcPr>
            <w:tcW w:w="7040" w:type="dxa"/>
            <w:vAlign w:val="bottom"/>
          </w:tcPr>
          <w:p>
            <w:pPr>
              <w:ind w:left="340"/>
              <w:spacing w:after="0"/>
              <w:rPr>
                <w:sz w:val="20"/>
                <w:szCs w:val="20"/>
                <w:color w:val="auto"/>
              </w:rPr>
            </w:pPr>
            <w:r>
              <w:rPr>
                <w:rFonts w:ascii="Arial" w:cs="Arial" w:eastAsia="Arial" w:hAnsi="Arial"/>
                <w:sz w:val="14"/>
                <w:szCs w:val="14"/>
                <w:color w:val="auto"/>
              </w:rPr>
              <w:t>Software development and intellectual property licenses</w:t>
            </w:r>
          </w:p>
        </w:tc>
        <w:tc>
          <w:tcPr>
            <w:tcW w:w="13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(300)</w:t>
            </w: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(186)</w:t>
            </w:r>
          </w:p>
        </w:tc>
      </w:tr>
      <w:tr>
        <w:trPr>
          <w:trHeight w:val="192"/>
        </w:trPr>
        <w:tc>
          <w:tcPr>
            <w:tcW w:w="70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Other assets</w:t>
            </w:r>
          </w:p>
        </w:tc>
        <w:tc>
          <w:tcPr>
            <w:tcW w:w="13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w:t>
            </w: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r>
      <w:tr>
        <w:trPr>
          <w:trHeight w:val="186"/>
        </w:trPr>
        <w:tc>
          <w:tcPr>
            <w:tcW w:w="7040" w:type="dxa"/>
            <w:vAlign w:val="bottom"/>
          </w:tcPr>
          <w:p>
            <w:pPr>
              <w:ind w:left="340"/>
              <w:spacing w:after="0"/>
              <w:rPr>
                <w:sz w:val="20"/>
                <w:szCs w:val="20"/>
                <w:color w:val="auto"/>
              </w:rPr>
            </w:pPr>
            <w:r>
              <w:rPr>
                <w:rFonts w:ascii="Arial" w:cs="Arial" w:eastAsia="Arial" w:hAnsi="Arial"/>
                <w:sz w:val="14"/>
                <w:szCs w:val="14"/>
                <w:color w:val="auto"/>
              </w:rPr>
              <w:t>Deferred revenues</w:t>
            </w:r>
          </w:p>
        </w:tc>
        <w:tc>
          <w:tcPr>
            <w:tcW w:w="13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(322)</w:t>
            </w: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(809)</w:t>
            </w:r>
          </w:p>
        </w:tc>
      </w:tr>
      <w:tr>
        <w:trPr>
          <w:trHeight w:val="192"/>
        </w:trPr>
        <w:tc>
          <w:tcPr>
            <w:tcW w:w="70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Accounts payable</w:t>
            </w:r>
          </w:p>
        </w:tc>
        <w:tc>
          <w:tcPr>
            <w:tcW w:w="13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r>
      <w:tr>
        <w:trPr>
          <w:trHeight w:val="186"/>
        </w:trPr>
        <w:tc>
          <w:tcPr>
            <w:tcW w:w="704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Accrued expenses and other liabilities</w:t>
            </w:r>
          </w:p>
        </w:tc>
        <w:tc>
          <w:tcPr>
            <w:tcW w:w="13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(407)</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(373)</w:t>
            </w:r>
          </w:p>
        </w:tc>
      </w:tr>
      <w:tr>
        <w:trPr>
          <w:trHeight w:val="183"/>
        </w:trPr>
        <w:tc>
          <w:tcPr>
            <w:tcW w:w="70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cash provided by operating activities</w:t>
            </w:r>
          </w:p>
        </w:tc>
        <w:tc>
          <w:tcPr>
            <w:tcW w:w="13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1,112</w:t>
            </w:r>
          </w:p>
        </w:tc>
        <w:tc>
          <w:tcPr>
            <w:tcW w:w="100" w:type="dxa"/>
            <w:vAlign w:val="bottom"/>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913</w:t>
            </w:r>
          </w:p>
        </w:tc>
      </w:tr>
      <w:tr>
        <w:trPr>
          <w:trHeight w:val="78"/>
        </w:trPr>
        <w:tc>
          <w:tcPr>
            <w:tcW w:w="7040" w:type="dxa"/>
            <w:vAlign w:val="bottom"/>
          </w:tcPr>
          <w:p>
            <w:pPr>
              <w:spacing w:after="0"/>
              <w:rPr>
                <w:sz w:val="6"/>
                <w:szCs w:val="6"/>
                <w:color w:val="auto"/>
              </w:rPr>
            </w:pPr>
          </w:p>
        </w:tc>
        <w:tc>
          <w:tcPr>
            <w:tcW w:w="13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tcPr>
          <w:p>
            <w:pPr>
              <w:spacing w:after="0"/>
              <w:rPr>
                <w:sz w:val="6"/>
                <w:szCs w:val="6"/>
                <w:color w:val="auto"/>
              </w:rPr>
            </w:pPr>
          </w:p>
        </w:tc>
        <w:tc>
          <w:tcPr>
            <w:tcW w:w="580" w:type="dxa"/>
            <w:vAlign w:val="bottom"/>
          </w:tcPr>
          <w:p>
            <w:pPr>
              <w:spacing w:after="0"/>
              <w:rPr>
                <w:sz w:val="6"/>
                <w:szCs w:val="6"/>
                <w:color w:val="auto"/>
              </w:rPr>
            </w:pPr>
          </w:p>
        </w:tc>
      </w:tr>
      <w:tr>
        <w:trPr>
          <w:trHeight w:val="189"/>
        </w:trPr>
        <w:tc>
          <w:tcPr>
            <w:tcW w:w="70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13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r>
      <w:tr>
        <w:trPr>
          <w:trHeight w:val="186"/>
        </w:trPr>
        <w:tc>
          <w:tcPr>
            <w:tcW w:w="7040" w:type="dxa"/>
            <w:vAlign w:val="bottom"/>
          </w:tcPr>
          <w:p>
            <w:pPr>
              <w:ind w:left="120"/>
              <w:spacing w:after="0"/>
              <w:rPr>
                <w:sz w:val="20"/>
                <w:szCs w:val="20"/>
                <w:color w:val="auto"/>
              </w:rPr>
            </w:pPr>
            <w:r>
              <w:rPr>
                <w:rFonts w:ascii="Arial" w:cs="Arial" w:eastAsia="Arial" w:hAnsi="Arial"/>
                <w:sz w:val="14"/>
                <w:szCs w:val="14"/>
                <w:color w:val="auto"/>
              </w:rPr>
              <w:t>Proceeds from maturities of available-for-sale investments</w:t>
            </w:r>
          </w:p>
        </w:tc>
        <w:tc>
          <w:tcPr>
            <w:tcW w:w="13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153</w:t>
            </w:r>
          </w:p>
        </w:tc>
      </w:tr>
      <w:tr>
        <w:trPr>
          <w:trHeight w:val="192"/>
        </w:trPr>
        <w:tc>
          <w:tcPr>
            <w:tcW w:w="70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Purchases of available-for-sale investments</w:t>
            </w:r>
          </w:p>
        </w:tc>
        <w:tc>
          <w:tcPr>
            <w:tcW w:w="13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w:t>
            </w: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7040" w:type="dxa"/>
            <w:vAlign w:val="bottom"/>
          </w:tcPr>
          <w:p>
            <w:pPr>
              <w:ind w:left="120"/>
              <w:spacing w:after="0"/>
              <w:rPr>
                <w:sz w:val="20"/>
                <w:szCs w:val="20"/>
                <w:color w:val="auto"/>
              </w:rPr>
            </w:pPr>
            <w:r>
              <w:rPr>
                <w:rFonts w:ascii="Arial" w:cs="Arial" w:eastAsia="Arial" w:hAnsi="Arial"/>
                <w:sz w:val="14"/>
                <w:szCs w:val="14"/>
                <w:color w:val="auto"/>
              </w:rPr>
              <w:t>Capital expenditures</w:t>
            </w:r>
          </w:p>
        </w:tc>
        <w:tc>
          <w:tcPr>
            <w:tcW w:w="13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(79)</w:t>
            </w:r>
          </w:p>
        </w:tc>
      </w:tr>
      <w:tr>
        <w:trPr>
          <w:trHeight w:val="192"/>
        </w:trPr>
        <w:tc>
          <w:tcPr>
            <w:tcW w:w="70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investing activities</w:t>
            </w:r>
          </w:p>
        </w:tc>
        <w:tc>
          <w:tcPr>
            <w:tcW w:w="13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r>
      <w:tr>
        <w:trPr>
          <w:trHeight w:val="179"/>
        </w:trPr>
        <w:tc>
          <w:tcPr>
            <w:tcW w:w="704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Net cash provided by (used in) investing activities</w:t>
            </w:r>
          </w:p>
        </w:tc>
        <w:tc>
          <w:tcPr>
            <w:tcW w:w="138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(178)</w:t>
            </w:r>
          </w:p>
        </w:tc>
        <w:tc>
          <w:tcPr>
            <w:tcW w:w="100" w:type="dxa"/>
            <w:vAlign w:val="bottom"/>
            <w:tcBorders>
              <w:bottom w:val="single" w:sz="8" w:color="CCEEFF"/>
            </w:tcBorders>
          </w:tcPr>
          <w:p>
            <w:pPr>
              <w:spacing w:after="0"/>
              <w:rPr>
                <w:sz w:val="15"/>
                <w:szCs w:val="15"/>
                <w:color w:val="auto"/>
              </w:rPr>
            </w:pPr>
          </w:p>
        </w:tc>
        <w:tc>
          <w:tcPr>
            <w:tcW w:w="148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79</w:t>
            </w:r>
          </w:p>
        </w:tc>
      </w:tr>
      <w:tr>
        <w:trPr>
          <w:trHeight w:val="78"/>
        </w:trPr>
        <w:tc>
          <w:tcPr>
            <w:tcW w:w="7040" w:type="dxa"/>
            <w:vAlign w:val="bottom"/>
            <w:shd w:val="clear" w:color="auto" w:fill="CCEEFF"/>
          </w:tcPr>
          <w:p>
            <w:pPr>
              <w:spacing w:after="0"/>
              <w:rPr>
                <w:sz w:val="6"/>
                <w:szCs w:val="6"/>
                <w:color w:val="auto"/>
              </w:rPr>
            </w:pPr>
          </w:p>
        </w:tc>
        <w:tc>
          <w:tcPr>
            <w:tcW w:w="138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r>
      <w:tr>
        <w:trPr>
          <w:trHeight w:val="188"/>
        </w:trPr>
        <w:tc>
          <w:tcPr>
            <w:tcW w:w="7040" w:type="dxa"/>
            <w:vAlign w:val="bottom"/>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13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90"/>
        </w:trPr>
        <w:tc>
          <w:tcPr>
            <w:tcW w:w="70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Proceeds from issuance of common stock to employees</w:t>
            </w:r>
          </w:p>
        </w:tc>
        <w:tc>
          <w:tcPr>
            <w:tcW w:w="13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w:t>
            </w: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w:t>
            </w:r>
          </w:p>
        </w:tc>
      </w:tr>
      <w:tr>
        <w:trPr>
          <w:trHeight w:val="186"/>
        </w:trPr>
        <w:tc>
          <w:tcPr>
            <w:tcW w:w="7040" w:type="dxa"/>
            <w:vAlign w:val="bottom"/>
          </w:tcPr>
          <w:p>
            <w:pPr>
              <w:ind w:left="120"/>
              <w:spacing w:after="0"/>
              <w:rPr>
                <w:sz w:val="20"/>
                <w:szCs w:val="20"/>
                <w:color w:val="auto"/>
              </w:rPr>
            </w:pPr>
            <w:r>
              <w:rPr>
                <w:rFonts w:ascii="Arial" w:cs="Arial" w:eastAsia="Arial" w:hAnsi="Arial"/>
                <w:sz w:val="14"/>
                <w:szCs w:val="14"/>
                <w:color w:val="auto"/>
              </w:rPr>
              <w:t>Tax payment related to net share settlements on restricted stock units</w:t>
            </w:r>
          </w:p>
        </w:tc>
        <w:tc>
          <w:tcPr>
            <w:tcW w:w="13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(55)</w:t>
            </w:r>
          </w:p>
        </w:tc>
      </w:tr>
      <w:tr>
        <w:trPr>
          <w:trHeight w:val="192"/>
        </w:trPr>
        <w:tc>
          <w:tcPr>
            <w:tcW w:w="70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Dividends paid</w:t>
            </w:r>
          </w:p>
        </w:tc>
        <w:tc>
          <w:tcPr>
            <w:tcW w:w="13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w:t>
            </w: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w:t>
            </w:r>
          </w:p>
        </w:tc>
      </w:tr>
      <w:tr>
        <w:trPr>
          <w:trHeight w:val="186"/>
        </w:trPr>
        <w:tc>
          <w:tcPr>
            <w:tcW w:w="7040" w:type="dxa"/>
            <w:vAlign w:val="bottom"/>
          </w:tcPr>
          <w:p>
            <w:pPr>
              <w:ind w:left="120"/>
              <w:spacing w:after="0"/>
              <w:rPr>
                <w:sz w:val="20"/>
                <w:szCs w:val="20"/>
                <w:color w:val="auto"/>
              </w:rPr>
            </w:pPr>
            <w:r>
              <w:rPr>
                <w:rFonts w:ascii="Arial" w:cs="Arial" w:eastAsia="Arial" w:hAnsi="Arial"/>
                <w:sz w:val="14"/>
                <w:szCs w:val="14"/>
                <w:color w:val="auto"/>
              </w:rPr>
              <w:t>Proceeds from issuance of debt, net of discounts</w:t>
            </w:r>
          </w:p>
        </w:tc>
        <w:tc>
          <w:tcPr>
            <w:tcW w:w="13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1,994</w:t>
            </w: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70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Repayment of long-term debt</w:t>
            </w:r>
          </w:p>
        </w:tc>
        <w:tc>
          <w:tcPr>
            <w:tcW w:w="13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(1,050)</w:t>
            </w: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7040" w:type="dxa"/>
            <w:vAlign w:val="bottom"/>
          </w:tcPr>
          <w:p>
            <w:pPr>
              <w:ind w:left="120"/>
              <w:spacing w:after="0"/>
              <w:rPr>
                <w:sz w:val="20"/>
                <w:szCs w:val="20"/>
                <w:color w:val="auto"/>
              </w:rPr>
            </w:pPr>
            <w:r>
              <w:rPr>
                <w:rFonts w:ascii="Arial" w:cs="Arial" w:eastAsia="Arial" w:hAnsi="Arial"/>
                <w:sz w:val="14"/>
                <w:szCs w:val="14"/>
                <w:color w:val="auto"/>
              </w:rPr>
              <w:t>Payment of financing costs</w:t>
            </w:r>
          </w:p>
        </w:tc>
        <w:tc>
          <w:tcPr>
            <w:tcW w:w="13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70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Premium payment for early redemption of notes</w:t>
            </w:r>
          </w:p>
        </w:tc>
        <w:tc>
          <w:tcPr>
            <w:tcW w:w="138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9"/>
        </w:trPr>
        <w:tc>
          <w:tcPr>
            <w:tcW w:w="704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Net cash provided by (used in) financing activities</w:t>
            </w:r>
          </w:p>
        </w:tc>
        <w:tc>
          <w:tcPr>
            <w:tcW w:w="13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653</w:t>
            </w:r>
          </w:p>
        </w:tc>
        <w:tc>
          <w:tcPr>
            <w:tcW w:w="100" w:type="dxa"/>
            <w:vAlign w:val="bottom"/>
            <w:tcBorders>
              <w:bottom w:val="single" w:sz="8" w:color="CCEEFF"/>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(251)</w:t>
            </w:r>
          </w:p>
        </w:tc>
      </w:tr>
      <w:tr>
        <w:trPr>
          <w:trHeight w:val="186"/>
        </w:trPr>
        <w:tc>
          <w:tcPr>
            <w:tcW w:w="7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Effect of foreign exchange rate changes on cash and cash equivalents</w:t>
            </w:r>
          </w:p>
        </w:tc>
        <w:tc>
          <w:tcPr>
            <w:tcW w:w="138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w:t>
            </w:r>
          </w:p>
        </w:tc>
      </w:tr>
      <w:tr>
        <w:trPr>
          <w:trHeight w:val="179"/>
        </w:trPr>
        <w:tc>
          <w:tcPr>
            <w:tcW w:w="7040" w:type="dxa"/>
            <w:vAlign w:val="bottom"/>
          </w:tcPr>
          <w:p>
            <w:pPr>
              <w:ind w:left="20"/>
              <w:spacing w:after="0"/>
              <w:rPr>
                <w:sz w:val="20"/>
                <w:szCs w:val="20"/>
                <w:color w:val="auto"/>
              </w:rPr>
            </w:pPr>
            <w:r>
              <w:rPr>
                <w:rFonts w:ascii="Arial" w:cs="Arial" w:eastAsia="Arial" w:hAnsi="Arial"/>
                <w:sz w:val="14"/>
                <w:szCs w:val="14"/>
                <w:color w:val="auto"/>
              </w:rPr>
              <w:t>Net increase in cash and cash equivalents and restricted cash</w:t>
            </w:r>
          </w:p>
        </w:tc>
        <w:tc>
          <w:tcPr>
            <w:tcW w:w="13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1,619</w:t>
            </w: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717</w:t>
            </w:r>
          </w:p>
        </w:tc>
      </w:tr>
      <w:tr>
        <w:trPr>
          <w:trHeight w:val="191"/>
        </w:trPr>
        <w:tc>
          <w:tcPr>
            <w:tcW w:w="70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and cash equivalents and restricted cash at beginning of period</w:t>
            </w:r>
          </w:p>
        </w:tc>
        <w:tc>
          <w:tcPr>
            <w:tcW w:w="138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5,798</w:t>
            </w:r>
          </w:p>
        </w:tc>
        <w:tc>
          <w:tcPr>
            <w:tcW w:w="100" w:type="dxa"/>
            <w:vAlign w:val="bottom"/>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4,229</w:t>
            </w:r>
          </w:p>
        </w:tc>
      </w:tr>
      <w:tr>
        <w:trPr>
          <w:trHeight w:val="184"/>
        </w:trPr>
        <w:tc>
          <w:tcPr>
            <w:tcW w:w="7040" w:type="dxa"/>
            <w:vAlign w:val="bottom"/>
          </w:tcPr>
          <w:p>
            <w:pPr>
              <w:ind w:left="20"/>
              <w:spacing w:after="0"/>
              <w:rPr>
                <w:sz w:val="20"/>
                <w:szCs w:val="20"/>
                <w:color w:val="auto"/>
              </w:rPr>
            </w:pPr>
            <w:r>
              <w:rPr>
                <w:rFonts w:ascii="Arial" w:cs="Arial" w:eastAsia="Arial" w:hAnsi="Arial"/>
                <w:sz w:val="14"/>
                <w:szCs w:val="14"/>
                <w:b w:val="1"/>
                <w:bCs w:val="1"/>
                <w:color w:val="auto"/>
              </w:rPr>
              <w:t>Cash and cash equivalents and restricted cash at end of period</w:t>
            </w:r>
          </w:p>
        </w:tc>
        <w:tc>
          <w:tcPr>
            <w:tcW w:w="1380" w:type="dxa"/>
            <w:vAlign w:val="bottom"/>
            <w:tcBorders>
              <w:bottom w:val="single" w:sz="8" w:color="auto"/>
            </w:tcBorders>
          </w:tcPr>
          <w:p>
            <w:pPr>
              <w:jc w:val="right"/>
              <w:ind w:right="120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7,417</w:t>
            </w:r>
          </w:p>
        </w:tc>
        <w:tc>
          <w:tcPr>
            <w:tcW w:w="100" w:type="dxa"/>
            <w:vAlign w:val="bottom"/>
          </w:tcPr>
          <w:p>
            <w:pPr>
              <w:spacing w:after="0"/>
              <w:rPr>
                <w:sz w:val="15"/>
                <w:szCs w:val="15"/>
                <w:color w:val="auto"/>
              </w:rPr>
            </w:pPr>
          </w:p>
        </w:tc>
        <w:tc>
          <w:tcPr>
            <w:tcW w:w="1480" w:type="dxa"/>
            <w:vAlign w:val="bottom"/>
            <w:tcBorders>
              <w:bottom w:val="single" w:sz="8" w:color="auto"/>
            </w:tcBorders>
          </w:tcPr>
          <w:p>
            <w:pPr>
              <w:jc w:val="right"/>
              <w:ind w:right="130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4,946</w:t>
            </w:r>
          </w:p>
        </w:tc>
      </w:tr>
      <w:tr>
        <w:trPr>
          <w:trHeight w:val="20"/>
        </w:trPr>
        <w:tc>
          <w:tcPr>
            <w:tcW w:w="70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ind w:left="320" w:hanging="312"/>
        <w:spacing w:after="0"/>
        <w:tabs>
          <w:tab w:leader="none" w:pos="320" w:val="left"/>
        </w:tabs>
        <w:numPr>
          <w:ilvl w:val="0"/>
          <w:numId w:val="3"/>
        </w:numPr>
        <w:rPr>
          <w:rFonts w:ascii="Arial" w:cs="Arial" w:eastAsia="Arial" w:hAnsi="Arial"/>
          <w:sz w:val="14"/>
          <w:szCs w:val="14"/>
          <w:color w:val="auto"/>
        </w:rPr>
      </w:pPr>
      <w:r>
        <w:rPr>
          <w:rFonts w:ascii="Arial" w:cs="Arial" w:eastAsia="Arial" w:hAnsi="Arial"/>
          <w:sz w:val="14"/>
          <w:szCs w:val="14"/>
          <w:color w:val="auto"/>
        </w:rPr>
        <w:t>Excludes deferral and amortization of share-based compensation expense.</w:t>
      </w:r>
    </w:p>
    <w:p>
      <w:pPr>
        <w:spacing w:after="0" w:line="13" w:lineRule="exact"/>
        <w:rPr>
          <w:rFonts w:ascii="Arial" w:cs="Arial" w:eastAsia="Arial" w:hAnsi="Arial"/>
          <w:sz w:val="14"/>
          <w:szCs w:val="14"/>
          <w:color w:val="auto"/>
        </w:rPr>
      </w:pPr>
    </w:p>
    <w:p>
      <w:pPr>
        <w:ind w:left="320" w:hanging="312"/>
        <w:spacing w:after="0"/>
        <w:tabs>
          <w:tab w:leader="none" w:pos="32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Includes the net effects of capitalization, deferral, and amortization of share-based compensation expense.</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STATEMENTS OF CHANGES IN SHAREHOLDERS’ EQUITY</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Three and Nine Months Ended September 30, 2020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and shares in millions, except per share data)</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w w:val="94"/>
              </w:rPr>
              <w:t>Additional</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1"/>
              </w:rPr>
              <w:t>Accumulated</w:t>
            </w:r>
          </w:p>
        </w:tc>
        <w:tc>
          <w:tcPr>
            <w:tcW w:w="200" w:type="dxa"/>
            <w:vAlign w:val="bottom"/>
          </w:tcPr>
          <w:p>
            <w:pPr>
              <w:spacing w:after="0"/>
              <w:rPr>
                <w:sz w:val="16"/>
                <w:szCs w:val="16"/>
                <w:color w:val="auto"/>
              </w:rPr>
            </w:pPr>
          </w:p>
        </w:tc>
        <w:tc>
          <w:tcPr>
            <w:tcW w:w="880" w:type="dxa"/>
            <w:vAlign w:val="bottom"/>
            <w:vMerge w:val="restart"/>
          </w:tcPr>
          <w:p>
            <w:pPr>
              <w:jc w:val="center"/>
              <w:ind w:right="127"/>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162"/>
        </w:trPr>
        <w:tc>
          <w:tcPr>
            <w:tcW w:w="3340" w:type="dxa"/>
            <w:vAlign w:val="bottom"/>
          </w:tcPr>
          <w:p>
            <w:pPr>
              <w:spacing w:after="0"/>
              <w:rPr>
                <w:sz w:val="14"/>
                <w:szCs w:val="14"/>
                <w:color w:val="auto"/>
              </w:rPr>
            </w:pPr>
          </w:p>
        </w:tc>
        <w:tc>
          <w:tcPr>
            <w:tcW w:w="1720" w:type="dxa"/>
            <w:vAlign w:val="bottom"/>
            <w:gridSpan w:val="4"/>
            <w:vMerge w:val="restart"/>
          </w:tcPr>
          <w:p>
            <w:pPr>
              <w:ind w:left="320"/>
              <w:spacing w:after="0"/>
              <w:rPr>
                <w:sz w:val="20"/>
                <w:szCs w:val="20"/>
                <w:color w:val="auto"/>
              </w:rPr>
            </w:pPr>
            <w:r>
              <w:rPr>
                <w:rFonts w:ascii="Arial" w:cs="Arial" w:eastAsia="Arial" w:hAnsi="Arial"/>
                <w:sz w:val="16"/>
                <w:szCs w:val="16"/>
                <w:b w:val="1"/>
                <w:bCs w:val="1"/>
                <w:color w:val="auto"/>
              </w:rPr>
              <w:t>Common Stock</w:t>
            </w:r>
          </w:p>
        </w:tc>
        <w:tc>
          <w:tcPr>
            <w:tcW w:w="80" w:type="dxa"/>
            <w:vAlign w:val="bottom"/>
            <w:vMerge w:val="restart"/>
          </w:tcPr>
          <w:p>
            <w:pPr>
              <w:spacing w:after="0"/>
              <w:rPr>
                <w:sz w:val="14"/>
                <w:szCs w:val="14"/>
                <w:color w:val="auto"/>
              </w:rPr>
            </w:pPr>
          </w:p>
        </w:tc>
        <w:tc>
          <w:tcPr>
            <w:tcW w:w="1720" w:type="dxa"/>
            <w:vAlign w:val="bottom"/>
            <w:gridSpan w:val="4"/>
            <w:vMerge w:val="restart"/>
          </w:tcPr>
          <w:p>
            <w:pPr>
              <w:ind w:left="320"/>
              <w:spacing w:after="0"/>
              <w:rPr>
                <w:sz w:val="20"/>
                <w:szCs w:val="20"/>
                <w:color w:val="auto"/>
              </w:rPr>
            </w:pPr>
            <w:r>
              <w:rPr>
                <w:rFonts w:ascii="Arial" w:cs="Arial" w:eastAsia="Arial" w:hAnsi="Arial"/>
                <w:sz w:val="16"/>
                <w:szCs w:val="16"/>
                <w:b w:val="1"/>
                <w:bCs w:val="1"/>
                <w:color w:val="auto"/>
              </w:rPr>
              <w:t>Treasury Stock</w:t>
            </w:r>
          </w:p>
        </w:tc>
        <w:tc>
          <w:tcPr>
            <w:tcW w:w="80" w:type="dxa"/>
            <w:vAlign w:val="bottom"/>
            <w:vMerge w:val="restart"/>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center"/>
              <w:ind w:right="160"/>
              <w:spacing w:after="0" w:line="162" w:lineRule="exact"/>
              <w:rPr>
                <w:sz w:val="20"/>
                <w:szCs w:val="20"/>
                <w:color w:val="auto"/>
              </w:rPr>
            </w:pPr>
            <w:r>
              <w:rPr>
                <w:rFonts w:ascii="Arial" w:cs="Arial" w:eastAsia="Arial" w:hAnsi="Arial"/>
                <w:sz w:val="16"/>
                <w:szCs w:val="16"/>
                <w:b w:val="1"/>
                <w:bCs w:val="1"/>
                <w:color w:val="auto"/>
                <w:w w:val="93"/>
              </w:rPr>
              <w:t>Other</w:t>
            </w:r>
          </w:p>
        </w:tc>
        <w:tc>
          <w:tcPr>
            <w:tcW w:w="2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3340" w:type="dxa"/>
            <w:vAlign w:val="bottom"/>
          </w:tcPr>
          <w:p>
            <w:pPr>
              <w:spacing w:after="0"/>
              <w:rPr>
                <w:sz w:val="10"/>
                <w:szCs w:val="10"/>
                <w:color w:val="auto"/>
              </w:rPr>
            </w:pPr>
          </w:p>
        </w:tc>
        <w:tc>
          <w:tcPr>
            <w:tcW w:w="1720" w:type="dxa"/>
            <w:vAlign w:val="bottom"/>
            <w:tcBorders>
              <w:bottom w:val="single" w:sz="8" w:color="auto"/>
            </w:tcBorders>
            <w:gridSpan w:val="4"/>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1720" w:type="dxa"/>
            <w:vAlign w:val="bottom"/>
            <w:tcBorders>
              <w:bottom w:val="single" w:sz="8" w:color="auto"/>
            </w:tcBorders>
            <w:gridSpan w:val="4"/>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vMerge w:val="restart"/>
          </w:tcPr>
          <w:p>
            <w:pPr>
              <w:jc w:val="center"/>
              <w:ind w:right="220"/>
              <w:spacing w:after="0" w:line="162" w:lineRule="exact"/>
              <w:rPr>
                <w:sz w:val="20"/>
                <w:szCs w:val="20"/>
                <w:color w:val="auto"/>
              </w:rPr>
            </w:pPr>
            <w:r>
              <w:rPr>
                <w:rFonts w:ascii="Arial" w:cs="Arial" w:eastAsia="Arial" w:hAnsi="Arial"/>
                <w:sz w:val="16"/>
                <w:szCs w:val="16"/>
                <w:b w:val="1"/>
                <w:bCs w:val="1"/>
                <w:color w:val="auto"/>
                <w:w w:val="97"/>
              </w:rPr>
              <w:t>Paid-In</w:t>
            </w:r>
          </w:p>
        </w:tc>
        <w:tc>
          <w:tcPr>
            <w:tcW w:w="120" w:type="dxa"/>
            <w:vAlign w:val="bottom"/>
          </w:tcPr>
          <w:p>
            <w:pPr>
              <w:spacing w:after="0"/>
              <w:rPr>
                <w:sz w:val="10"/>
                <w:szCs w:val="10"/>
                <w:color w:val="auto"/>
              </w:rPr>
            </w:pPr>
          </w:p>
        </w:tc>
        <w:tc>
          <w:tcPr>
            <w:tcW w:w="860" w:type="dxa"/>
            <w:vAlign w:val="bottom"/>
            <w:gridSpan w:val="2"/>
            <w:vMerge w:val="restart"/>
          </w:tcPr>
          <w:p>
            <w:pPr>
              <w:ind w:left="20"/>
              <w:spacing w:after="0" w:line="162" w:lineRule="exact"/>
              <w:rPr>
                <w:sz w:val="20"/>
                <w:szCs w:val="20"/>
                <w:color w:val="auto"/>
              </w:rPr>
            </w:pPr>
            <w:r>
              <w:rPr>
                <w:rFonts w:ascii="Arial" w:cs="Arial" w:eastAsia="Arial" w:hAnsi="Arial"/>
                <w:sz w:val="16"/>
                <w:szCs w:val="16"/>
                <w:b w:val="1"/>
                <w:bCs w:val="1"/>
                <w:color w:val="auto"/>
              </w:rPr>
              <w:t>Retained</w:t>
            </w:r>
          </w:p>
        </w:tc>
        <w:tc>
          <w:tcPr>
            <w:tcW w:w="1240" w:type="dxa"/>
            <w:vAlign w:val="bottom"/>
            <w:gridSpan w:val="3"/>
            <w:vMerge w:val="restart"/>
          </w:tcPr>
          <w:p>
            <w:pPr>
              <w:jc w:val="center"/>
              <w:ind w:right="80"/>
              <w:spacing w:after="0" w:line="162" w:lineRule="exact"/>
              <w:rPr>
                <w:sz w:val="20"/>
                <w:szCs w:val="20"/>
                <w:color w:val="auto"/>
              </w:rPr>
            </w:pPr>
            <w:r>
              <w:rPr>
                <w:rFonts w:ascii="Arial" w:cs="Arial" w:eastAsia="Arial" w:hAnsi="Arial"/>
                <w:sz w:val="16"/>
                <w:szCs w:val="16"/>
                <w:b w:val="1"/>
                <w:bCs w:val="1"/>
                <w:color w:val="auto"/>
                <w:w w:val="89"/>
              </w:rPr>
              <w:t>Comprehensive</w:t>
            </w:r>
          </w:p>
        </w:tc>
        <w:tc>
          <w:tcPr>
            <w:tcW w:w="1080" w:type="dxa"/>
            <w:vAlign w:val="bottom"/>
            <w:gridSpan w:val="2"/>
            <w:vMerge w:val="restart"/>
          </w:tcPr>
          <w:p>
            <w:pPr>
              <w:jc w:val="center"/>
              <w:spacing w:after="0" w:line="162" w:lineRule="exact"/>
              <w:rPr>
                <w:sz w:val="20"/>
                <w:szCs w:val="20"/>
                <w:color w:val="auto"/>
              </w:rPr>
            </w:pPr>
            <w:r>
              <w:rPr>
                <w:rFonts w:ascii="Arial" w:cs="Arial" w:eastAsia="Arial" w:hAnsi="Arial"/>
                <w:sz w:val="16"/>
                <w:szCs w:val="16"/>
                <w:b w:val="1"/>
                <w:bCs w:val="1"/>
                <w:color w:val="auto"/>
                <w:w w:val="89"/>
              </w:rPr>
              <w:t>Shareholders’</w:t>
            </w:r>
          </w:p>
        </w:tc>
        <w:tc>
          <w:tcPr>
            <w:tcW w:w="0" w:type="dxa"/>
            <w:vAlign w:val="bottom"/>
          </w:tcPr>
          <w:p>
            <w:pPr>
              <w:spacing w:after="0"/>
              <w:rPr>
                <w:sz w:val="1"/>
                <w:szCs w:val="1"/>
                <w:color w:val="auto"/>
              </w:rPr>
            </w:pPr>
          </w:p>
        </w:tc>
      </w:tr>
      <w:tr>
        <w:trPr>
          <w:trHeight w:val="23"/>
        </w:trPr>
        <w:tc>
          <w:tcPr>
            <w:tcW w:w="3340" w:type="dxa"/>
            <w:vAlign w:val="bottom"/>
          </w:tcPr>
          <w:p>
            <w:pPr>
              <w:spacing w:after="0"/>
              <w:rPr>
                <w:sz w:val="2"/>
                <w:szCs w:val="2"/>
                <w:color w:val="auto"/>
              </w:rPr>
            </w:pPr>
          </w:p>
        </w:tc>
        <w:tc>
          <w:tcPr>
            <w:tcW w:w="90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2"/>
                <w:szCs w:val="2"/>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Amount</w:t>
            </w:r>
          </w:p>
        </w:tc>
        <w:tc>
          <w:tcPr>
            <w:tcW w:w="88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2"/>
                <w:szCs w:val="2"/>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Amount</w:t>
            </w:r>
          </w:p>
        </w:tc>
        <w:tc>
          <w:tcPr>
            <w:tcW w:w="14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1240" w:type="dxa"/>
            <w:vAlign w:val="bottom"/>
            <w:gridSpan w:val="3"/>
            <w:vMerge w:val="continue"/>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33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7"/>
              </w:rPr>
              <w:t>Capital</w:t>
            </w:r>
          </w:p>
        </w:tc>
        <w:tc>
          <w:tcPr>
            <w:tcW w:w="120" w:type="dxa"/>
            <w:vAlign w:val="bottom"/>
          </w:tcPr>
          <w:p>
            <w:pPr>
              <w:spacing w:after="0"/>
              <w:rPr>
                <w:sz w:val="18"/>
                <w:szCs w:val="18"/>
                <w:color w:val="auto"/>
              </w:rPr>
            </w:pPr>
          </w:p>
        </w:tc>
        <w:tc>
          <w:tcPr>
            <w:tcW w:w="860" w:type="dxa"/>
            <w:vAlign w:val="bottom"/>
            <w:gridSpan w:val="2"/>
          </w:tcPr>
          <w:p>
            <w:pPr>
              <w:ind w:left="20"/>
              <w:spacing w:after="0"/>
              <w:rPr>
                <w:sz w:val="20"/>
                <w:szCs w:val="20"/>
                <w:color w:val="auto"/>
              </w:rPr>
            </w:pPr>
            <w:r>
              <w:rPr>
                <w:rFonts w:ascii="Arial" w:cs="Arial" w:eastAsia="Arial" w:hAnsi="Arial"/>
                <w:sz w:val="16"/>
                <w:szCs w:val="16"/>
                <w:b w:val="1"/>
                <w:bCs w:val="1"/>
                <w:color w:val="auto"/>
              </w:rPr>
              <w:t>Earnings</w:t>
            </w:r>
          </w:p>
        </w:tc>
        <w:tc>
          <w:tcPr>
            <w:tcW w:w="80" w:type="dxa"/>
            <w:vAlign w:val="bottom"/>
          </w:tcPr>
          <w:p>
            <w:pPr>
              <w:spacing w:after="0"/>
              <w:rPr>
                <w:sz w:val="18"/>
                <w:szCs w:val="18"/>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0"/>
              </w:rPr>
              <w:t>Income (Loss)</w:t>
            </w:r>
          </w:p>
        </w:tc>
        <w:tc>
          <w:tcPr>
            <w:tcW w:w="200" w:type="dxa"/>
            <w:vAlign w:val="bottom"/>
          </w:tcPr>
          <w:p>
            <w:pPr>
              <w:spacing w:after="0"/>
              <w:rPr>
                <w:sz w:val="18"/>
                <w:szCs w:val="18"/>
                <w:color w:val="auto"/>
              </w:rPr>
            </w:pPr>
          </w:p>
        </w:tc>
        <w:tc>
          <w:tcPr>
            <w:tcW w:w="880" w:type="dxa"/>
            <w:vAlign w:val="bottom"/>
          </w:tcPr>
          <w:p>
            <w:pPr>
              <w:jc w:val="center"/>
              <w:ind w:right="127"/>
              <w:spacing w:after="0"/>
              <w:rPr>
                <w:sz w:val="20"/>
                <w:szCs w:val="20"/>
                <w:color w:val="auto"/>
              </w:rPr>
            </w:pPr>
            <w:r>
              <w:rPr>
                <w:rFonts w:ascii="Arial" w:cs="Arial" w:eastAsia="Arial" w:hAnsi="Arial"/>
                <w:sz w:val="16"/>
                <w:szCs w:val="16"/>
                <w:b w:val="1"/>
                <w:bCs w:val="1"/>
                <w:color w:val="auto"/>
                <w:w w:val="98"/>
              </w:rPr>
              <w:t>Equity</w:t>
            </w:r>
          </w:p>
        </w:tc>
        <w:tc>
          <w:tcPr>
            <w:tcW w:w="0" w:type="dxa"/>
            <w:vAlign w:val="bottom"/>
          </w:tcPr>
          <w:p>
            <w:pPr>
              <w:spacing w:after="0"/>
              <w:rPr>
                <w:sz w:val="1"/>
                <w:szCs w:val="1"/>
                <w:color w:val="auto"/>
              </w:rPr>
            </w:pPr>
          </w:p>
        </w:tc>
      </w:tr>
      <w:tr>
        <w:trPr>
          <w:trHeight w:val="185"/>
        </w:trPr>
        <w:tc>
          <w:tcPr>
            <w:tcW w:w="3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2019</w:t>
            </w:r>
          </w:p>
        </w:tc>
        <w:tc>
          <w:tcPr>
            <w:tcW w:w="82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4"/>
                <w:szCs w:val="14"/>
                <w:b w:val="1"/>
                <w:bCs w:val="1"/>
                <w:color w:val="auto"/>
              </w:rPr>
              <w:t>1,197</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2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4"/>
                <w:szCs w:val="14"/>
                <w:b w:val="1"/>
                <w:bCs w:val="1"/>
                <w:color w:val="auto"/>
                <w:w w:val="97"/>
              </w:rPr>
              <w:t>(429)</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4"/>
                <w:szCs w:val="14"/>
                <w:b w:val="1"/>
                <w:bCs w:val="1"/>
                <w:color w:val="auto"/>
                <w:w w:val="99"/>
              </w:rPr>
              <w:t>(5,563)</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11,174</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7,813</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(619)</w:t>
            </w: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46"/>
              <w:spacing w:after="0"/>
              <w:rPr>
                <w:sz w:val="20"/>
                <w:szCs w:val="20"/>
                <w:color w:val="auto"/>
              </w:rPr>
            </w:pPr>
            <w:r>
              <w:rPr>
                <w:rFonts w:ascii="Arial" w:cs="Arial" w:eastAsia="Arial" w:hAnsi="Arial"/>
                <w:sz w:val="14"/>
                <w:szCs w:val="14"/>
                <w:b w:val="1"/>
                <w:bCs w:val="1"/>
                <w:color w:val="auto"/>
                <w:w w:val="76"/>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12,805</w:t>
            </w:r>
          </w:p>
        </w:tc>
        <w:tc>
          <w:tcPr>
            <w:tcW w:w="0" w:type="dxa"/>
            <w:vAlign w:val="bottom"/>
          </w:tcPr>
          <w:p>
            <w:pPr>
              <w:spacing w:after="0"/>
              <w:rPr>
                <w:sz w:val="1"/>
                <w:szCs w:val="1"/>
                <w:color w:val="auto"/>
              </w:rPr>
            </w:pPr>
          </w:p>
        </w:tc>
      </w:tr>
      <w:tr>
        <w:trPr>
          <w:trHeight w:val="135"/>
        </w:trPr>
        <w:tc>
          <w:tcPr>
            <w:tcW w:w="3340" w:type="dxa"/>
            <w:vAlign w:val="bottom"/>
          </w:tcPr>
          <w:p>
            <w:pPr>
              <w:ind w:left="20"/>
              <w:spacing w:after="0" w:line="135" w:lineRule="exact"/>
              <w:rPr>
                <w:sz w:val="20"/>
                <w:szCs w:val="20"/>
                <w:color w:val="auto"/>
              </w:rPr>
            </w:pPr>
            <w:r>
              <w:rPr>
                <w:rFonts w:ascii="Arial" w:cs="Arial" w:eastAsia="Arial" w:hAnsi="Arial"/>
                <w:sz w:val="14"/>
                <w:szCs w:val="14"/>
                <w:color w:val="auto"/>
              </w:rPr>
              <w:t>Cumulative impact from adoption of new credit loss</w:t>
            </w: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00" w:type="dxa"/>
            <w:vAlign w:val="bottom"/>
            <w:gridSpan w:val="2"/>
            <w:vMerge w:val="restart"/>
          </w:tcPr>
          <w:p>
            <w:pPr>
              <w:ind w:left="52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ind w:left="6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00" w:type="dxa"/>
            <w:vAlign w:val="bottom"/>
            <w:gridSpan w:val="2"/>
            <w:vMerge w:val="restart"/>
          </w:tcPr>
          <w:p>
            <w:pPr>
              <w:ind w:left="5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6"/>
        </w:trPr>
        <w:tc>
          <w:tcPr>
            <w:tcW w:w="3340" w:type="dxa"/>
            <w:vAlign w:val="bottom"/>
          </w:tcPr>
          <w:p>
            <w:pPr>
              <w:ind w:left="20"/>
              <w:spacing w:after="0"/>
              <w:rPr>
                <w:sz w:val="20"/>
                <w:szCs w:val="20"/>
                <w:color w:val="auto"/>
              </w:rPr>
            </w:pPr>
            <w:r>
              <w:rPr>
                <w:rFonts w:ascii="Arial" w:cs="Arial" w:eastAsia="Arial" w:hAnsi="Arial"/>
                <w:sz w:val="14"/>
                <w:szCs w:val="14"/>
                <w:color w:val="auto"/>
              </w:rPr>
              <w:t>standard</w:t>
            </w: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Components of comprehensive income:</w:t>
            </w: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340" w:type="dxa"/>
            <w:vAlign w:val="bottom"/>
          </w:tcPr>
          <w:p>
            <w:pPr>
              <w:ind w:left="120"/>
              <w:spacing w:after="0"/>
              <w:rPr>
                <w:sz w:val="20"/>
                <w:szCs w:val="20"/>
                <w:color w:val="auto"/>
              </w:rPr>
            </w:pPr>
            <w:r>
              <w:rPr>
                <w:rFonts w:ascii="Arial" w:cs="Arial" w:eastAsia="Arial" w:hAnsi="Arial"/>
                <w:sz w:val="14"/>
                <w:szCs w:val="14"/>
                <w:color w:val="auto"/>
              </w:rPr>
              <w:t>Net income</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8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505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505</w:t>
            </w:r>
          </w:p>
        </w:tc>
        <w:tc>
          <w:tcPr>
            <w:tcW w:w="0" w:type="dxa"/>
            <w:vAlign w:val="bottom"/>
          </w:tcPr>
          <w:p>
            <w:pPr>
              <w:spacing w:after="0"/>
              <w:rPr>
                <w:sz w:val="1"/>
                <w:szCs w:val="1"/>
                <w:color w:val="auto"/>
              </w:rPr>
            </w:pPr>
          </w:p>
        </w:tc>
      </w:tr>
      <w:tr>
        <w:trPr>
          <w:trHeight w:val="192"/>
        </w:trPr>
        <w:tc>
          <w:tcPr>
            <w:tcW w:w="33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comprehensive loss</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35"/>
        </w:trPr>
        <w:tc>
          <w:tcPr>
            <w:tcW w:w="3340" w:type="dxa"/>
            <w:vAlign w:val="bottom"/>
          </w:tcPr>
          <w:p>
            <w:pPr>
              <w:ind w:left="20"/>
              <w:spacing w:after="0" w:line="135" w:lineRule="exact"/>
              <w:rPr>
                <w:sz w:val="20"/>
                <w:szCs w:val="20"/>
                <w:color w:val="auto"/>
              </w:rPr>
            </w:pPr>
            <w:r>
              <w:rPr>
                <w:rFonts w:ascii="Arial" w:cs="Arial" w:eastAsia="Arial" w:hAnsi="Arial"/>
                <w:sz w:val="14"/>
                <w:szCs w:val="14"/>
                <w:color w:val="auto"/>
                <w:w w:val="96"/>
              </w:rPr>
              <w:t>Issuance of common stock pursuant to employee stock</w:t>
            </w:r>
          </w:p>
        </w:tc>
        <w:tc>
          <w:tcPr>
            <w:tcW w:w="820" w:type="dxa"/>
            <w:vAlign w:val="bottom"/>
            <w:vMerge w:val="restart"/>
          </w:tcPr>
          <w:p>
            <w:pPr>
              <w:jc w:val="right"/>
              <w:ind w:right="7"/>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restart"/>
          </w:tcPr>
          <w:p>
            <w:pPr>
              <w:ind w:left="52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ind w:left="6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00" w:type="dxa"/>
            <w:vAlign w:val="bottom"/>
            <w:gridSpan w:val="2"/>
            <w:vMerge w:val="restart"/>
          </w:tcPr>
          <w:p>
            <w:pPr>
              <w:ind w:left="5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27</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11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86"/>
        </w:trPr>
        <w:tc>
          <w:tcPr>
            <w:tcW w:w="3340" w:type="dxa"/>
            <w:vAlign w:val="bottom"/>
          </w:tcPr>
          <w:p>
            <w:pPr>
              <w:ind w:left="20"/>
              <w:spacing w:after="0"/>
              <w:rPr>
                <w:sz w:val="20"/>
                <w:szCs w:val="20"/>
                <w:color w:val="auto"/>
              </w:rPr>
            </w:pPr>
            <w:r>
              <w:rPr>
                <w:rFonts w:ascii="Arial" w:cs="Arial" w:eastAsia="Arial" w:hAnsi="Arial"/>
                <w:sz w:val="14"/>
                <w:szCs w:val="14"/>
                <w:color w:val="auto"/>
              </w:rPr>
              <w:t>options</w:t>
            </w: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334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w w:val="97"/>
              </w:rPr>
              <w:t>Issuance of common stock pursuant to restricted stock</w:t>
            </w:r>
          </w:p>
        </w:tc>
        <w:tc>
          <w:tcPr>
            <w:tcW w:w="820" w:type="dxa"/>
            <w:vAlign w:val="bottom"/>
            <w:vMerge w:val="restart"/>
            <w:shd w:val="clear" w:color="auto" w:fill="CCEEFF"/>
          </w:tcPr>
          <w:p>
            <w:pPr>
              <w:jc w:val="right"/>
              <w:ind w:right="7"/>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units</w:t>
            </w: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340" w:type="dxa"/>
            <w:vAlign w:val="bottom"/>
          </w:tcPr>
          <w:p>
            <w:pPr>
              <w:ind w:left="20"/>
              <w:spacing w:after="0"/>
              <w:rPr>
                <w:sz w:val="20"/>
                <w:szCs w:val="20"/>
                <w:color w:val="auto"/>
              </w:rPr>
            </w:pPr>
            <w:r>
              <w:rPr>
                <w:rFonts w:ascii="Arial" w:cs="Arial" w:eastAsia="Arial" w:hAnsi="Arial"/>
                <w:sz w:val="14"/>
                <w:szCs w:val="14"/>
                <w:color w:val="auto"/>
                <w:w w:val="96"/>
              </w:rPr>
              <w:t>Restricted stock surrendered for employees’ tax liability</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8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38"/>
        </w:trPr>
        <w:tc>
          <w:tcPr>
            <w:tcW w:w="334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w w:val="92"/>
              </w:rPr>
              <w:t>Share-based compensation expense related to employee</w:t>
            </w: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89"/>
        </w:trPr>
        <w:tc>
          <w:tcPr>
            <w:tcW w:w="3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 options and restricted stock units</w:t>
            </w:r>
          </w:p>
        </w:tc>
        <w:tc>
          <w:tcPr>
            <w:tcW w:w="9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340" w:type="dxa"/>
            <w:vAlign w:val="bottom"/>
          </w:tcPr>
          <w:p>
            <w:pPr>
              <w:ind w:left="20"/>
              <w:spacing w:after="0"/>
              <w:rPr>
                <w:sz w:val="20"/>
                <w:szCs w:val="20"/>
                <w:color w:val="auto"/>
              </w:rPr>
            </w:pPr>
            <w:r>
              <w:rPr>
                <w:rFonts w:ascii="Arial" w:cs="Arial" w:eastAsia="Arial" w:hAnsi="Arial"/>
                <w:sz w:val="14"/>
                <w:szCs w:val="14"/>
                <w:color w:val="auto"/>
              </w:rPr>
              <w:t>Dividends ($0.41 per common share)</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8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(316)</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(316)</w:t>
            </w:r>
          </w:p>
        </w:tc>
        <w:tc>
          <w:tcPr>
            <w:tcW w:w="0" w:type="dxa"/>
            <w:vAlign w:val="bottom"/>
          </w:tcPr>
          <w:p>
            <w:pPr>
              <w:spacing w:after="0"/>
              <w:rPr>
                <w:sz w:val="1"/>
                <w:szCs w:val="1"/>
                <w:color w:val="auto"/>
              </w:rPr>
            </w:pPr>
          </w:p>
        </w:tc>
      </w:tr>
      <w:tr>
        <w:trPr>
          <w:trHeight w:val="186"/>
        </w:trPr>
        <w:tc>
          <w:tcPr>
            <w:tcW w:w="3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March 31, 2020</w:t>
            </w:r>
          </w:p>
        </w:tc>
        <w:tc>
          <w:tcPr>
            <w:tcW w:w="82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4"/>
                <w:szCs w:val="14"/>
                <w:b w:val="1"/>
                <w:bCs w:val="1"/>
                <w:color w:val="auto"/>
              </w:rPr>
              <w:t>1,199</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20" w:type="dxa"/>
            <w:vAlign w:val="bottom"/>
            <w:tcBorders>
              <w:top w:val="single" w:sz="8" w:color="auto"/>
              <w:bottom w:val="single" w:sz="8" w:color="auto"/>
            </w:tcBorders>
            <w:shd w:val="clear" w:color="auto" w:fill="CCEEFF"/>
          </w:tcPr>
          <w:p>
            <w:pPr>
              <w:ind w:left="520"/>
              <w:spacing w:after="0"/>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4"/>
                <w:szCs w:val="14"/>
                <w:b w:val="1"/>
                <w:bCs w:val="1"/>
                <w:color w:val="auto"/>
                <w:w w:val="97"/>
              </w:rPr>
              <w:t>(429)</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bottom w:val="single" w:sz="8" w:color="auto"/>
            </w:tcBorders>
            <w:shd w:val="clear" w:color="auto" w:fill="CCEEFF"/>
          </w:tcPr>
          <w:p>
            <w:pPr>
              <w:ind w:left="260"/>
              <w:spacing w:after="0"/>
              <w:rPr>
                <w:sz w:val="20"/>
                <w:szCs w:val="20"/>
                <w:color w:val="auto"/>
              </w:rPr>
            </w:pPr>
            <w:r>
              <w:rPr>
                <w:rFonts w:ascii="Arial" w:cs="Arial" w:eastAsia="Arial" w:hAnsi="Arial"/>
                <w:sz w:val="14"/>
                <w:szCs w:val="14"/>
                <w:b w:val="1"/>
                <w:bCs w:val="1"/>
                <w:color w:val="auto"/>
                <w:w w:val="99"/>
              </w:rPr>
              <w:t>(5,563)</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11,213</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7,999</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(628)</w:t>
            </w: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Arial" w:cs="Arial" w:eastAsia="Arial" w:hAnsi="Arial"/>
                <w:sz w:val="14"/>
                <w:szCs w:val="14"/>
                <w:b w:val="1"/>
                <w:bCs w:val="1"/>
                <w:color w:val="auto"/>
                <w:w w:val="76"/>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13,021</w:t>
            </w:r>
          </w:p>
        </w:tc>
        <w:tc>
          <w:tcPr>
            <w:tcW w:w="0" w:type="dxa"/>
            <w:vAlign w:val="bottom"/>
          </w:tcPr>
          <w:p>
            <w:pPr>
              <w:spacing w:after="0"/>
              <w:rPr>
                <w:sz w:val="1"/>
                <w:szCs w:val="1"/>
                <w:color w:val="auto"/>
              </w:rPr>
            </w:pPr>
          </w:p>
        </w:tc>
      </w:tr>
      <w:tr>
        <w:trPr>
          <w:trHeight w:val="166"/>
        </w:trPr>
        <w:tc>
          <w:tcPr>
            <w:tcW w:w="3340" w:type="dxa"/>
            <w:vAlign w:val="bottom"/>
          </w:tcPr>
          <w:p>
            <w:pPr>
              <w:ind w:left="20"/>
              <w:spacing w:after="0"/>
              <w:rPr>
                <w:sz w:val="20"/>
                <w:szCs w:val="20"/>
                <w:color w:val="auto"/>
              </w:rPr>
            </w:pPr>
            <w:r>
              <w:rPr>
                <w:rFonts w:ascii="Arial" w:cs="Arial" w:eastAsia="Arial" w:hAnsi="Arial"/>
                <w:sz w:val="14"/>
                <w:szCs w:val="14"/>
                <w:color w:val="auto"/>
              </w:rPr>
              <w:t>Components of comprehensive income:</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3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income</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580</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580</w:t>
            </w:r>
          </w:p>
        </w:tc>
        <w:tc>
          <w:tcPr>
            <w:tcW w:w="0" w:type="dxa"/>
            <w:vAlign w:val="bottom"/>
          </w:tcPr>
          <w:p>
            <w:pPr>
              <w:spacing w:after="0"/>
              <w:rPr>
                <w:sz w:val="1"/>
                <w:szCs w:val="1"/>
                <w:color w:val="auto"/>
              </w:rPr>
            </w:pPr>
          </w:p>
        </w:tc>
      </w:tr>
      <w:tr>
        <w:trPr>
          <w:trHeight w:val="186"/>
        </w:trPr>
        <w:tc>
          <w:tcPr>
            <w:tcW w:w="3340" w:type="dxa"/>
            <w:vAlign w:val="bottom"/>
          </w:tcPr>
          <w:p>
            <w:pPr>
              <w:ind w:left="120"/>
              <w:spacing w:after="0"/>
              <w:rPr>
                <w:sz w:val="20"/>
                <w:szCs w:val="20"/>
                <w:color w:val="auto"/>
              </w:rPr>
            </w:pPr>
            <w:r>
              <w:rPr>
                <w:rFonts w:ascii="Arial" w:cs="Arial" w:eastAsia="Arial" w:hAnsi="Arial"/>
                <w:sz w:val="14"/>
                <w:szCs w:val="14"/>
                <w:color w:val="auto"/>
              </w:rPr>
              <w:t>Other comprehensive loss</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8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38"/>
        </w:trPr>
        <w:tc>
          <w:tcPr>
            <w:tcW w:w="334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w w:val="96"/>
              </w:rPr>
              <w:t>Issuance of common stock pursuant to employee stock</w:t>
            </w:r>
          </w:p>
        </w:tc>
        <w:tc>
          <w:tcPr>
            <w:tcW w:w="820" w:type="dxa"/>
            <w:vAlign w:val="bottom"/>
            <w:vMerge w:val="restart"/>
            <w:shd w:val="clear" w:color="auto" w:fill="CCEEFF"/>
          </w:tcPr>
          <w:p>
            <w:pPr>
              <w:jc w:val="right"/>
              <w:ind w:right="7"/>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89"/>
        </w:trPr>
        <w:tc>
          <w:tcPr>
            <w:tcW w:w="3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options</w:t>
            </w: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340" w:type="dxa"/>
            <w:vAlign w:val="bottom"/>
          </w:tcPr>
          <w:p>
            <w:pPr>
              <w:ind w:left="20"/>
              <w:spacing w:after="0"/>
              <w:rPr>
                <w:sz w:val="20"/>
                <w:szCs w:val="20"/>
                <w:color w:val="auto"/>
              </w:rPr>
            </w:pPr>
            <w:r>
              <w:rPr>
                <w:rFonts w:ascii="Arial" w:cs="Arial" w:eastAsia="Arial" w:hAnsi="Arial"/>
                <w:sz w:val="14"/>
                <w:szCs w:val="14"/>
                <w:color w:val="auto"/>
                <w:w w:val="96"/>
              </w:rPr>
              <w:t>Restricted stock surrendered for employees’ tax liability</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8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38"/>
        </w:trPr>
        <w:tc>
          <w:tcPr>
            <w:tcW w:w="334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w w:val="92"/>
              </w:rPr>
              <w:t>Share-based compensation expense related to employee</w:t>
            </w: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89"/>
        </w:trPr>
        <w:tc>
          <w:tcPr>
            <w:tcW w:w="3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 options and restricted stock units</w:t>
            </w:r>
          </w:p>
        </w:tc>
        <w:tc>
          <w:tcPr>
            <w:tcW w:w="9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3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Balance at June 30, 2020</w:t>
            </w:r>
          </w:p>
        </w:tc>
        <w:tc>
          <w:tcPr>
            <w:tcW w:w="82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4"/>
                <w:szCs w:val="14"/>
                <w:b w:val="1"/>
                <w:bCs w:val="1"/>
                <w:color w:val="auto"/>
              </w:rPr>
              <w:t>1,200</w:t>
            </w:r>
          </w:p>
        </w:tc>
        <w:tc>
          <w:tcPr>
            <w:tcW w:w="8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2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tcPr>
          <w:p>
            <w:pPr>
              <w:spacing w:after="0"/>
              <w:rPr>
                <w:sz w:val="15"/>
                <w:szCs w:val="15"/>
                <w:color w:val="auto"/>
              </w:rPr>
            </w:pPr>
          </w:p>
        </w:tc>
        <w:tc>
          <w:tcPr>
            <w:tcW w:w="80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4"/>
                <w:szCs w:val="14"/>
                <w:b w:val="1"/>
                <w:bCs w:val="1"/>
                <w:color w:val="auto"/>
                <w:w w:val="97"/>
              </w:rPr>
              <w:t>(429)</w:t>
            </w:r>
          </w:p>
        </w:tc>
        <w:tc>
          <w:tcPr>
            <w:tcW w:w="8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4"/>
                <w:szCs w:val="14"/>
                <w:b w:val="1"/>
                <w:bCs w:val="1"/>
                <w:color w:val="auto"/>
                <w:w w:val="99"/>
              </w:rPr>
              <w:t>(5,563)</w:t>
            </w:r>
          </w:p>
        </w:tc>
        <w:tc>
          <w:tcPr>
            <w:tcW w:w="8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11,300</w:t>
            </w:r>
          </w:p>
        </w:tc>
        <w:tc>
          <w:tcPr>
            <w:tcW w:w="8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8,579</w:t>
            </w:r>
          </w:p>
        </w:tc>
        <w:tc>
          <w:tcPr>
            <w:tcW w:w="8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(634)</w:t>
            </w:r>
          </w:p>
        </w:tc>
        <w:tc>
          <w:tcPr>
            <w:tcW w:w="8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4"/>
                <w:szCs w:val="14"/>
                <w:b w:val="1"/>
                <w:bCs w:val="1"/>
                <w:color w:val="auto"/>
                <w:w w:val="7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13,682</w:t>
            </w:r>
          </w:p>
        </w:tc>
        <w:tc>
          <w:tcPr>
            <w:tcW w:w="0" w:type="dxa"/>
            <w:vAlign w:val="bottom"/>
          </w:tcPr>
          <w:p>
            <w:pPr>
              <w:spacing w:after="0"/>
              <w:rPr>
                <w:sz w:val="1"/>
                <w:szCs w:val="1"/>
                <w:color w:val="auto"/>
              </w:rPr>
            </w:pPr>
          </w:p>
        </w:tc>
      </w:tr>
      <w:tr>
        <w:trPr>
          <w:trHeight w:val="170"/>
        </w:trPr>
        <w:tc>
          <w:tcPr>
            <w:tcW w:w="3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Components of comprehensive income:</w:t>
            </w: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340" w:type="dxa"/>
            <w:vAlign w:val="bottom"/>
          </w:tcPr>
          <w:p>
            <w:pPr>
              <w:ind w:left="120"/>
              <w:spacing w:after="0"/>
              <w:rPr>
                <w:sz w:val="20"/>
                <w:szCs w:val="20"/>
                <w:color w:val="auto"/>
              </w:rPr>
            </w:pPr>
            <w:r>
              <w:rPr>
                <w:rFonts w:ascii="Arial" w:cs="Arial" w:eastAsia="Arial" w:hAnsi="Arial"/>
                <w:sz w:val="14"/>
                <w:szCs w:val="14"/>
                <w:color w:val="auto"/>
              </w:rPr>
              <w:t>Net income</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8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604</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604</w:t>
            </w:r>
          </w:p>
        </w:tc>
        <w:tc>
          <w:tcPr>
            <w:tcW w:w="0" w:type="dxa"/>
            <w:vAlign w:val="bottom"/>
          </w:tcPr>
          <w:p>
            <w:pPr>
              <w:spacing w:after="0"/>
              <w:rPr>
                <w:sz w:val="1"/>
                <w:szCs w:val="1"/>
                <w:color w:val="auto"/>
              </w:rPr>
            </w:pPr>
          </w:p>
        </w:tc>
      </w:tr>
      <w:tr>
        <w:trPr>
          <w:trHeight w:val="192"/>
        </w:trPr>
        <w:tc>
          <w:tcPr>
            <w:tcW w:w="33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comprehensive income</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35"/>
        </w:trPr>
        <w:tc>
          <w:tcPr>
            <w:tcW w:w="3340" w:type="dxa"/>
            <w:vAlign w:val="bottom"/>
          </w:tcPr>
          <w:p>
            <w:pPr>
              <w:ind w:left="20"/>
              <w:spacing w:after="0" w:line="135" w:lineRule="exact"/>
              <w:rPr>
                <w:sz w:val="20"/>
                <w:szCs w:val="20"/>
                <w:color w:val="auto"/>
              </w:rPr>
            </w:pPr>
            <w:r>
              <w:rPr>
                <w:rFonts w:ascii="Arial" w:cs="Arial" w:eastAsia="Arial" w:hAnsi="Arial"/>
                <w:sz w:val="14"/>
                <w:szCs w:val="14"/>
                <w:color w:val="auto"/>
                <w:w w:val="96"/>
              </w:rPr>
              <w:t>Issuance of common stock pursuant to employee stock</w:t>
            </w:r>
          </w:p>
        </w:tc>
        <w:tc>
          <w:tcPr>
            <w:tcW w:w="820" w:type="dxa"/>
            <w:vAlign w:val="bottom"/>
            <w:vMerge w:val="restart"/>
          </w:tcPr>
          <w:p>
            <w:pPr>
              <w:jc w:val="right"/>
              <w:ind w:right="7"/>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restart"/>
          </w:tcPr>
          <w:p>
            <w:pPr>
              <w:ind w:left="52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ind w:left="6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00" w:type="dxa"/>
            <w:vAlign w:val="bottom"/>
            <w:gridSpan w:val="2"/>
            <w:vMerge w:val="restart"/>
          </w:tcPr>
          <w:p>
            <w:pPr>
              <w:ind w:left="5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43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11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86"/>
        </w:trPr>
        <w:tc>
          <w:tcPr>
            <w:tcW w:w="3340" w:type="dxa"/>
            <w:vAlign w:val="bottom"/>
          </w:tcPr>
          <w:p>
            <w:pPr>
              <w:ind w:left="20"/>
              <w:spacing w:after="0"/>
              <w:rPr>
                <w:sz w:val="20"/>
                <w:szCs w:val="20"/>
                <w:color w:val="auto"/>
              </w:rPr>
            </w:pPr>
            <w:r>
              <w:rPr>
                <w:rFonts w:ascii="Arial" w:cs="Arial" w:eastAsia="Arial" w:hAnsi="Arial"/>
                <w:sz w:val="14"/>
                <w:szCs w:val="14"/>
                <w:color w:val="auto"/>
              </w:rPr>
              <w:t>options</w:t>
            </w: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340" w:type="dxa"/>
            <w:vAlign w:val="bottom"/>
            <w:shd w:val="clear" w:color="auto" w:fill="CCEEFF"/>
          </w:tcPr>
          <w:p>
            <w:pPr>
              <w:ind w:left="20"/>
              <w:spacing w:after="0"/>
              <w:rPr>
                <w:sz w:val="20"/>
                <w:szCs w:val="20"/>
                <w:color w:val="auto"/>
              </w:rPr>
            </w:pPr>
            <w:r>
              <w:rPr>
                <w:rFonts w:ascii="Arial" w:cs="Arial" w:eastAsia="Arial" w:hAnsi="Arial"/>
                <w:sz w:val="14"/>
                <w:szCs w:val="14"/>
                <w:color w:val="auto"/>
                <w:w w:val="96"/>
              </w:rPr>
              <w:t>Restricted stock surrendered for employees’ tax liability</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35"/>
        </w:trPr>
        <w:tc>
          <w:tcPr>
            <w:tcW w:w="3340" w:type="dxa"/>
            <w:vAlign w:val="bottom"/>
          </w:tcPr>
          <w:p>
            <w:pPr>
              <w:ind w:left="20"/>
              <w:spacing w:after="0" w:line="135" w:lineRule="exact"/>
              <w:rPr>
                <w:sz w:val="20"/>
                <w:szCs w:val="20"/>
                <w:color w:val="auto"/>
              </w:rPr>
            </w:pPr>
            <w:r>
              <w:rPr>
                <w:rFonts w:ascii="Arial" w:cs="Arial" w:eastAsia="Arial" w:hAnsi="Arial"/>
                <w:sz w:val="14"/>
                <w:szCs w:val="14"/>
                <w:color w:val="auto"/>
                <w:w w:val="92"/>
              </w:rPr>
              <w:t>Share-based compensation expense related to employee</w:t>
            </w: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00" w:type="dxa"/>
            <w:vAlign w:val="bottom"/>
            <w:gridSpan w:val="2"/>
            <w:vMerge w:val="restart"/>
          </w:tcPr>
          <w:p>
            <w:pPr>
              <w:ind w:left="52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ind w:left="6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00" w:type="dxa"/>
            <w:vAlign w:val="bottom"/>
            <w:gridSpan w:val="2"/>
            <w:vMerge w:val="restart"/>
          </w:tcPr>
          <w:p>
            <w:pPr>
              <w:ind w:left="5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58</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11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86"/>
        </w:trPr>
        <w:tc>
          <w:tcPr>
            <w:tcW w:w="3340" w:type="dxa"/>
            <w:vAlign w:val="bottom"/>
          </w:tcPr>
          <w:p>
            <w:pPr>
              <w:ind w:left="20"/>
              <w:spacing w:after="0"/>
              <w:rPr>
                <w:sz w:val="20"/>
                <w:szCs w:val="20"/>
                <w:color w:val="auto"/>
              </w:rPr>
            </w:pPr>
            <w:r>
              <w:rPr>
                <w:rFonts w:ascii="Arial" w:cs="Arial" w:eastAsia="Arial" w:hAnsi="Arial"/>
                <w:sz w:val="14"/>
                <w:szCs w:val="14"/>
                <w:color w:val="auto"/>
              </w:rPr>
              <w:t>stock options and restricted stock units</w:t>
            </w: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September 30, 2020</w:t>
            </w:r>
          </w:p>
        </w:tc>
        <w:tc>
          <w:tcPr>
            <w:tcW w:w="82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4"/>
                <w:szCs w:val="14"/>
                <w:b w:val="1"/>
                <w:bCs w:val="1"/>
                <w:color w:val="auto"/>
              </w:rPr>
              <w:t>1,201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20" w:type="dxa"/>
            <w:vAlign w:val="bottom"/>
            <w:tcBorders>
              <w:top w:val="single" w:sz="8" w:color="auto"/>
              <w:bottom w:val="single" w:sz="8" w:color="auto"/>
            </w:tcBorders>
            <w:shd w:val="clear" w:color="auto" w:fill="CCEEFF"/>
          </w:tcPr>
          <w:p>
            <w:pPr>
              <w:ind w:left="520"/>
              <w:spacing w:after="0"/>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4"/>
                <w:szCs w:val="14"/>
                <w:b w:val="1"/>
                <w:bCs w:val="1"/>
                <w:color w:val="auto"/>
                <w:w w:val="97"/>
              </w:rPr>
              <w:t>(429)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bottom w:val="single" w:sz="8" w:color="auto"/>
            </w:tcBorders>
            <w:shd w:val="clear" w:color="auto" w:fill="CCEEFF"/>
          </w:tcPr>
          <w:p>
            <w:pPr>
              <w:ind w:left="260"/>
              <w:spacing w:after="0"/>
              <w:rPr>
                <w:sz w:val="20"/>
                <w:szCs w:val="20"/>
                <w:color w:val="auto"/>
              </w:rPr>
            </w:pPr>
            <w:r>
              <w:rPr>
                <w:rFonts w:ascii="Arial" w:cs="Arial" w:eastAsia="Arial" w:hAnsi="Arial"/>
                <w:sz w:val="14"/>
                <w:szCs w:val="14"/>
                <w:b w:val="1"/>
                <w:bCs w:val="1"/>
                <w:color w:val="auto"/>
                <w:w w:val="99"/>
              </w:rPr>
              <w:t>(5,563)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11,395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9,183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(633)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Arial" w:cs="Arial" w:eastAsia="Arial" w:hAnsi="Arial"/>
                <w:sz w:val="14"/>
                <w:szCs w:val="14"/>
                <w:b w:val="1"/>
                <w:bCs w:val="1"/>
                <w:color w:val="auto"/>
                <w:w w:val="76"/>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14,382</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CHANGES IN SHAREHOLDERS’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Three and Nine Months Ended September 30, 2019</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(Amounts and shares in millions, except per share data)</w:t>
      </w:r>
    </w:p>
    <w:p>
      <w:pPr>
        <w:spacing w:after="0" w:line="392"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w w:val="91"/>
              </w:rPr>
              <w:t>Additional</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1"/>
              </w:rPr>
              <w:t>Accumulated</w:t>
            </w:r>
          </w:p>
        </w:tc>
        <w:tc>
          <w:tcPr>
            <w:tcW w:w="200" w:type="dxa"/>
            <w:vAlign w:val="bottom"/>
          </w:tcPr>
          <w:p>
            <w:pPr>
              <w:spacing w:after="0"/>
              <w:rPr>
                <w:sz w:val="16"/>
                <w:szCs w:val="16"/>
                <w:color w:val="auto"/>
              </w:rPr>
            </w:pPr>
          </w:p>
        </w:tc>
        <w:tc>
          <w:tcPr>
            <w:tcW w:w="880" w:type="dxa"/>
            <w:vAlign w:val="bottom"/>
            <w:vMerge w:val="restart"/>
          </w:tcPr>
          <w:p>
            <w:pPr>
              <w:jc w:val="center"/>
              <w:ind w:right="127"/>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162"/>
        </w:trPr>
        <w:tc>
          <w:tcPr>
            <w:tcW w:w="3320" w:type="dxa"/>
            <w:vAlign w:val="bottom"/>
          </w:tcPr>
          <w:p>
            <w:pPr>
              <w:spacing w:after="0"/>
              <w:rPr>
                <w:sz w:val="14"/>
                <w:szCs w:val="14"/>
                <w:color w:val="auto"/>
              </w:rPr>
            </w:pPr>
          </w:p>
        </w:tc>
        <w:tc>
          <w:tcPr>
            <w:tcW w:w="1720" w:type="dxa"/>
            <w:vAlign w:val="bottom"/>
            <w:gridSpan w:val="4"/>
            <w:vMerge w:val="restart"/>
          </w:tcPr>
          <w:p>
            <w:pPr>
              <w:ind w:left="320"/>
              <w:spacing w:after="0"/>
              <w:rPr>
                <w:sz w:val="20"/>
                <w:szCs w:val="20"/>
                <w:color w:val="auto"/>
              </w:rPr>
            </w:pPr>
            <w:r>
              <w:rPr>
                <w:rFonts w:ascii="Arial" w:cs="Arial" w:eastAsia="Arial" w:hAnsi="Arial"/>
                <w:sz w:val="16"/>
                <w:szCs w:val="16"/>
                <w:b w:val="1"/>
                <w:bCs w:val="1"/>
                <w:color w:val="auto"/>
              </w:rPr>
              <w:t>Common Stock</w:t>
            </w:r>
          </w:p>
        </w:tc>
        <w:tc>
          <w:tcPr>
            <w:tcW w:w="80" w:type="dxa"/>
            <w:vAlign w:val="bottom"/>
            <w:vMerge w:val="restart"/>
          </w:tcPr>
          <w:p>
            <w:pPr>
              <w:spacing w:after="0"/>
              <w:rPr>
                <w:sz w:val="14"/>
                <w:szCs w:val="14"/>
                <w:color w:val="auto"/>
              </w:rPr>
            </w:pPr>
          </w:p>
        </w:tc>
        <w:tc>
          <w:tcPr>
            <w:tcW w:w="1720" w:type="dxa"/>
            <w:vAlign w:val="bottom"/>
            <w:gridSpan w:val="4"/>
            <w:vMerge w:val="restart"/>
          </w:tcPr>
          <w:p>
            <w:pPr>
              <w:ind w:left="320"/>
              <w:spacing w:after="0"/>
              <w:rPr>
                <w:sz w:val="20"/>
                <w:szCs w:val="20"/>
                <w:color w:val="auto"/>
              </w:rPr>
            </w:pPr>
            <w:r>
              <w:rPr>
                <w:rFonts w:ascii="Arial" w:cs="Arial" w:eastAsia="Arial" w:hAnsi="Arial"/>
                <w:sz w:val="16"/>
                <w:szCs w:val="16"/>
                <w:b w:val="1"/>
                <w:bCs w:val="1"/>
                <w:color w:val="auto"/>
              </w:rPr>
              <w:t>Treasury Stock</w:t>
            </w:r>
          </w:p>
        </w:tc>
        <w:tc>
          <w:tcPr>
            <w:tcW w:w="80" w:type="dxa"/>
            <w:vAlign w:val="bottom"/>
            <w:vMerge w:val="restart"/>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center"/>
              <w:ind w:right="160"/>
              <w:spacing w:after="0" w:line="162" w:lineRule="exact"/>
              <w:rPr>
                <w:sz w:val="20"/>
                <w:szCs w:val="20"/>
                <w:color w:val="auto"/>
              </w:rPr>
            </w:pPr>
            <w:r>
              <w:rPr>
                <w:rFonts w:ascii="Arial" w:cs="Arial" w:eastAsia="Arial" w:hAnsi="Arial"/>
                <w:sz w:val="16"/>
                <w:szCs w:val="16"/>
                <w:b w:val="1"/>
                <w:bCs w:val="1"/>
                <w:color w:val="auto"/>
                <w:w w:val="93"/>
              </w:rPr>
              <w:t>Other</w:t>
            </w:r>
          </w:p>
        </w:tc>
        <w:tc>
          <w:tcPr>
            <w:tcW w:w="2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3320" w:type="dxa"/>
            <w:vAlign w:val="bottom"/>
          </w:tcPr>
          <w:p>
            <w:pPr>
              <w:spacing w:after="0"/>
              <w:rPr>
                <w:sz w:val="10"/>
                <w:szCs w:val="10"/>
                <w:color w:val="auto"/>
              </w:rPr>
            </w:pPr>
          </w:p>
        </w:tc>
        <w:tc>
          <w:tcPr>
            <w:tcW w:w="1720" w:type="dxa"/>
            <w:vAlign w:val="bottom"/>
            <w:tcBorders>
              <w:bottom w:val="single" w:sz="8" w:color="auto"/>
            </w:tcBorders>
            <w:gridSpan w:val="4"/>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1720" w:type="dxa"/>
            <w:vAlign w:val="bottom"/>
            <w:tcBorders>
              <w:bottom w:val="single" w:sz="8" w:color="auto"/>
            </w:tcBorders>
            <w:gridSpan w:val="4"/>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vMerge w:val="restart"/>
          </w:tcPr>
          <w:p>
            <w:pPr>
              <w:jc w:val="center"/>
              <w:ind w:right="240"/>
              <w:spacing w:after="0" w:line="162" w:lineRule="exact"/>
              <w:rPr>
                <w:sz w:val="20"/>
                <w:szCs w:val="20"/>
                <w:color w:val="auto"/>
              </w:rPr>
            </w:pPr>
            <w:r>
              <w:rPr>
                <w:rFonts w:ascii="Arial" w:cs="Arial" w:eastAsia="Arial" w:hAnsi="Arial"/>
                <w:sz w:val="16"/>
                <w:szCs w:val="16"/>
                <w:b w:val="1"/>
                <w:bCs w:val="1"/>
                <w:color w:val="auto"/>
                <w:w w:val="97"/>
              </w:rPr>
              <w:t>Paid-In</w:t>
            </w:r>
          </w:p>
        </w:tc>
        <w:tc>
          <w:tcPr>
            <w:tcW w:w="100" w:type="dxa"/>
            <w:vAlign w:val="bottom"/>
          </w:tcPr>
          <w:p>
            <w:pPr>
              <w:spacing w:after="0"/>
              <w:rPr>
                <w:sz w:val="10"/>
                <w:szCs w:val="10"/>
                <w:color w:val="auto"/>
              </w:rPr>
            </w:pPr>
          </w:p>
        </w:tc>
        <w:tc>
          <w:tcPr>
            <w:tcW w:w="860" w:type="dxa"/>
            <w:vAlign w:val="bottom"/>
            <w:gridSpan w:val="2"/>
            <w:vMerge w:val="restart"/>
          </w:tcPr>
          <w:p>
            <w:pPr>
              <w:ind w:left="20"/>
              <w:spacing w:after="0" w:line="162" w:lineRule="exact"/>
              <w:rPr>
                <w:sz w:val="20"/>
                <w:szCs w:val="20"/>
                <w:color w:val="auto"/>
              </w:rPr>
            </w:pPr>
            <w:r>
              <w:rPr>
                <w:rFonts w:ascii="Arial" w:cs="Arial" w:eastAsia="Arial" w:hAnsi="Arial"/>
                <w:sz w:val="16"/>
                <w:szCs w:val="16"/>
                <w:b w:val="1"/>
                <w:bCs w:val="1"/>
                <w:color w:val="auto"/>
              </w:rPr>
              <w:t>Retained</w:t>
            </w:r>
          </w:p>
        </w:tc>
        <w:tc>
          <w:tcPr>
            <w:tcW w:w="1240" w:type="dxa"/>
            <w:vAlign w:val="bottom"/>
            <w:gridSpan w:val="3"/>
            <w:vMerge w:val="restart"/>
          </w:tcPr>
          <w:p>
            <w:pPr>
              <w:jc w:val="center"/>
              <w:ind w:right="80"/>
              <w:spacing w:after="0" w:line="162" w:lineRule="exact"/>
              <w:rPr>
                <w:sz w:val="20"/>
                <w:szCs w:val="20"/>
                <w:color w:val="auto"/>
              </w:rPr>
            </w:pPr>
            <w:r>
              <w:rPr>
                <w:rFonts w:ascii="Arial" w:cs="Arial" w:eastAsia="Arial" w:hAnsi="Arial"/>
                <w:sz w:val="16"/>
                <w:szCs w:val="16"/>
                <w:b w:val="1"/>
                <w:bCs w:val="1"/>
                <w:color w:val="auto"/>
                <w:w w:val="89"/>
              </w:rPr>
              <w:t>Comprehensive</w:t>
            </w:r>
          </w:p>
        </w:tc>
        <w:tc>
          <w:tcPr>
            <w:tcW w:w="1080" w:type="dxa"/>
            <w:vAlign w:val="bottom"/>
            <w:gridSpan w:val="2"/>
            <w:vMerge w:val="restart"/>
          </w:tcPr>
          <w:p>
            <w:pPr>
              <w:jc w:val="center"/>
              <w:spacing w:after="0" w:line="162" w:lineRule="exact"/>
              <w:rPr>
                <w:sz w:val="20"/>
                <w:szCs w:val="20"/>
                <w:color w:val="auto"/>
              </w:rPr>
            </w:pPr>
            <w:r>
              <w:rPr>
                <w:rFonts w:ascii="Arial" w:cs="Arial" w:eastAsia="Arial" w:hAnsi="Arial"/>
                <w:sz w:val="16"/>
                <w:szCs w:val="16"/>
                <w:b w:val="1"/>
                <w:bCs w:val="1"/>
                <w:color w:val="auto"/>
                <w:w w:val="89"/>
              </w:rPr>
              <w:t>Shareholders’</w:t>
            </w:r>
          </w:p>
        </w:tc>
        <w:tc>
          <w:tcPr>
            <w:tcW w:w="0" w:type="dxa"/>
            <w:vAlign w:val="bottom"/>
          </w:tcPr>
          <w:p>
            <w:pPr>
              <w:spacing w:after="0"/>
              <w:rPr>
                <w:sz w:val="1"/>
                <w:szCs w:val="1"/>
                <w:color w:val="auto"/>
              </w:rPr>
            </w:pPr>
          </w:p>
        </w:tc>
      </w:tr>
      <w:tr>
        <w:trPr>
          <w:trHeight w:val="23"/>
        </w:trPr>
        <w:tc>
          <w:tcPr>
            <w:tcW w:w="3320" w:type="dxa"/>
            <w:vAlign w:val="bottom"/>
          </w:tcPr>
          <w:p>
            <w:pPr>
              <w:spacing w:after="0"/>
              <w:rPr>
                <w:sz w:val="2"/>
                <w:szCs w:val="2"/>
                <w:color w:val="auto"/>
              </w:rPr>
            </w:pPr>
          </w:p>
        </w:tc>
        <w:tc>
          <w:tcPr>
            <w:tcW w:w="90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2"/>
                <w:szCs w:val="2"/>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Amount</w:t>
            </w:r>
          </w:p>
        </w:tc>
        <w:tc>
          <w:tcPr>
            <w:tcW w:w="90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2"/>
                <w:szCs w:val="2"/>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Amount</w:t>
            </w:r>
          </w:p>
        </w:tc>
        <w:tc>
          <w:tcPr>
            <w:tcW w:w="14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1240" w:type="dxa"/>
            <w:vAlign w:val="bottom"/>
            <w:gridSpan w:val="3"/>
            <w:vMerge w:val="continue"/>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332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7"/>
              </w:rPr>
              <w:t>Capital</w:t>
            </w:r>
          </w:p>
        </w:tc>
        <w:tc>
          <w:tcPr>
            <w:tcW w:w="100" w:type="dxa"/>
            <w:vAlign w:val="bottom"/>
          </w:tcPr>
          <w:p>
            <w:pPr>
              <w:spacing w:after="0"/>
              <w:rPr>
                <w:sz w:val="18"/>
                <w:szCs w:val="18"/>
                <w:color w:val="auto"/>
              </w:rPr>
            </w:pPr>
          </w:p>
        </w:tc>
        <w:tc>
          <w:tcPr>
            <w:tcW w:w="860" w:type="dxa"/>
            <w:vAlign w:val="bottom"/>
            <w:gridSpan w:val="2"/>
          </w:tcPr>
          <w:p>
            <w:pPr>
              <w:ind w:left="20"/>
              <w:spacing w:after="0"/>
              <w:rPr>
                <w:sz w:val="20"/>
                <w:szCs w:val="20"/>
                <w:color w:val="auto"/>
              </w:rPr>
            </w:pPr>
            <w:r>
              <w:rPr>
                <w:rFonts w:ascii="Arial" w:cs="Arial" w:eastAsia="Arial" w:hAnsi="Arial"/>
                <w:sz w:val="16"/>
                <w:szCs w:val="16"/>
                <w:b w:val="1"/>
                <w:bCs w:val="1"/>
                <w:color w:val="auto"/>
              </w:rPr>
              <w:t>Earnings</w:t>
            </w:r>
          </w:p>
        </w:tc>
        <w:tc>
          <w:tcPr>
            <w:tcW w:w="80" w:type="dxa"/>
            <w:vAlign w:val="bottom"/>
          </w:tcPr>
          <w:p>
            <w:pPr>
              <w:spacing w:after="0"/>
              <w:rPr>
                <w:sz w:val="18"/>
                <w:szCs w:val="18"/>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8"/>
              </w:rPr>
              <w:t>Income (Loss)</w:t>
            </w:r>
          </w:p>
        </w:tc>
        <w:tc>
          <w:tcPr>
            <w:tcW w:w="200" w:type="dxa"/>
            <w:vAlign w:val="bottom"/>
          </w:tcPr>
          <w:p>
            <w:pPr>
              <w:spacing w:after="0"/>
              <w:rPr>
                <w:sz w:val="18"/>
                <w:szCs w:val="18"/>
                <w:color w:val="auto"/>
              </w:rPr>
            </w:pPr>
          </w:p>
        </w:tc>
        <w:tc>
          <w:tcPr>
            <w:tcW w:w="880" w:type="dxa"/>
            <w:vAlign w:val="bottom"/>
          </w:tcPr>
          <w:p>
            <w:pPr>
              <w:jc w:val="center"/>
              <w:ind w:right="127"/>
              <w:spacing w:after="0"/>
              <w:rPr>
                <w:sz w:val="20"/>
                <w:szCs w:val="20"/>
                <w:color w:val="auto"/>
              </w:rPr>
            </w:pPr>
            <w:r>
              <w:rPr>
                <w:rFonts w:ascii="Arial" w:cs="Arial" w:eastAsia="Arial" w:hAnsi="Arial"/>
                <w:sz w:val="16"/>
                <w:szCs w:val="16"/>
                <w:b w:val="1"/>
                <w:bCs w:val="1"/>
                <w:color w:val="auto"/>
                <w:w w:val="98"/>
              </w:rPr>
              <w:t>Equity</w:t>
            </w:r>
          </w:p>
        </w:tc>
        <w:tc>
          <w:tcPr>
            <w:tcW w:w="0" w:type="dxa"/>
            <w:vAlign w:val="bottom"/>
          </w:tcPr>
          <w:p>
            <w:pPr>
              <w:spacing w:after="0"/>
              <w:rPr>
                <w:sz w:val="1"/>
                <w:szCs w:val="1"/>
                <w:color w:val="auto"/>
              </w:rPr>
            </w:pPr>
          </w:p>
        </w:tc>
      </w:tr>
      <w:tr>
        <w:trPr>
          <w:trHeight w:val="185"/>
        </w:trPr>
        <w:tc>
          <w:tcPr>
            <w:tcW w:w="3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Balance at December 31, 2018</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1,192</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2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4"/>
                <w:szCs w:val="14"/>
                <w:b w:val="1"/>
                <w:bCs w:val="1"/>
                <w:color w:val="auto"/>
              </w:rPr>
              <w:t>(429)</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2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4"/>
                <w:szCs w:val="14"/>
                <w:b w:val="1"/>
                <w:bCs w:val="1"/>
                <w:color w:val="auto"/>
                <w:w w:val="99"/>
              </w:rPr>
              <w:t>(5,563)</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4"/>
                <w:szCs w:val="14"/>
                <w:b w:val="1"/>
                <w:bCs w:val="1"/>
                <w:color w:val="auto"/>
              </w:rPr>
              <w:t>10,963</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6,593</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(601)</w:t>
            </w: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46"/>
              <w:spacing w:after="0"/>
              <w:rPr>
                <w:sz w:val="20"/>
                <w:szCs w:val="20"/>
                <w:color w:val="auto"/>
              </w:rPr>
            </w:pPr>
            <w:r>
              <w:rPr>
                <w:rFonts w:ascii="Arial" w:cs="Arial" w:eastAsia="Arial" w:hAnsi="Arial"/>
                <w:sz w:val="14"/>
                <w:szCs w:val="14"/>
                <w:b w:val="1"/>
                <w:bCs w:val="1"/>
                <w:color w:val="auto"/>
                <w:w w:val="76"/>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11,392</w:t>
            </w:r>
          </w:p>
        </w:tc>
        <w:tc>
          <w:tcPr>
            <w:tcW w:w="0" w:type="dxa"/>
            <w:vAlign w:val="bottom"/>
          </w:tcPr>
          <w:p>
            <w:pPr>
              <w:spacing w:after="0"/>
              <w:rPr>
                <w:sz w:val="1"/>
                <w:szCs w:val="1"/>
                <w:color w:val="auto"/>
              </w:rPr>
            </w:pPr>
          </w:p>
        </w:tc>
      </w:tr>
      <w:tr>
        <w:trPr>
          <w:trHeight w:val="186"/>
        </w:trPr>
        <w:tc>
          <w:tcPr>
            <w:tcW w:w="3320" w:type="dxa"/>
            <w:vAlign w:val="bottom"/>
          </w:tcPr>
          <w:p>
            <w:pPr>
              <w:spacing w:after="0"/>
              <w:rPr>
                <w:sz w:val="20"/>
                <w:szCs w:val="20"/>
                <w:color w:val="auto"/>
              </w:rPr>
            </w:pPr>
            <w:r>
              <w:rPr>
                <w:rFonts w:ascii="Arial" w:cs="Arial" w:eastAsia="Arial" w:hAnsi="Arial"/>
                <w:sz w:val="14"/>
                <w:szCs w:val="14"/>
                <w:color w:val="auto"/>
              </w:rPr>
              <w:t>Components of comprehensive income:</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3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Net income</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447</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447</w:t>
            </w:r>
          </w:p>
        </w:tc>
        <w:tc>
          <w:tcPr>
            <w:tcW w:w="0" w:type="dxa"/>
            <w:vAlign w:val="bottom"/>
          </w:tcPr>
          <w:p>
            <w:pPr>
              <w:spacing w:after="0"/>
              <w:rPr>
                <w:sz w:val="1"/>
                <w:szCs w:val="1"/>
                <w:color w:val="auto"/>
              </w:rPr>
            </w:pPr>
          </w:p>
        </w:tc>
      </w:tr>
      <w:tr>
        <w:trPr>
          <w:trHeight w:val="186"/>
        </w:trPr>
        <w:tc>
          <w:tcPr>
            <w:tcW w:w="3320" w:type="dxa"/>
            <w:vAlign w:val="bottom"/>
          </w:tcPr>
          <w:p>
            <w:pPr>
              <w:ind w:left="100"/>
              <w:spacing w:after="0"/>
              <w:rPr>
                <w:sz w:val="20"/>
                <w:szCs w:val="20"/>
                <w:color w:val="auto"/>
              </w:rPr>
            </w:pPr>
            <w:r>
              <w:rPr>
                <w:rFonts w:ascii="Arial" w:cs="Arial" w:eastAsia="Arial" w:hAnsi="Arial"/>
                <w:sz w:val="14"/>
                <w:szCs w:val="14"/>
                <w:color w:val="auto"/>
              </w:rPr>
              <w:t>Other comprehensive loss</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90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38"/>
        </w:trPr>
        <w:tc>
          <w:tcPr>
            <w:tcW w:w="332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w w:val="96"/>
              </w:rPr>
              <w:t>Issuance of common stock pursuant to employee stock</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7"/>
              <w:spacing w:after="0"/>
              <w:rPr>
                <w:sz w:val="20"/>
                <w:szCs w:val="20"/>
                <w:color w:val="auto"/>
              </w:rPr>
            </w:pPr>
            <w:r>
              <w:rPr>
                <w:rFonts w:ascii="Arial" w:cs="Arial" w:eastAsia="Arial" w:hAnsi="Arial"/>
                <w:sz w:val="14"/>
                <w:szCs w:val="14"/>
                <w:color w:val="auto"/>
              </w:rPr>
              <w:t>30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spacing w:after="0"/>
              <w:rPr>
                <w:sz w:val="20"/>
                <w:szCs w:val="20"/>
                <w:color w:val="auto"/>
              </w:rPr>
            </w:pPr>
            <w:r>
              <w:rPr>
                <w:rFonts w:ascii="Arial" w:cs="Arial" w:eastAsia="Arial" w:hAnsi="Arial"/>
                <w:sz w:val="14"/>
                <w:szCs w:val="14"/>
                <w:color w:val="auto"/>
              </w:rPr>
              <w:t>options</w:t>
            </w: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320" w:type="dxa"/>
            <w:vAlign w:val="bottom"/>
          </w:tcPr>
          <w:p>
            <w:pPr>
              <w:spacing w:after="0" w:line="135" w:lineRule="exact"/>
              <w:rPr>
                <w:sz w:val="20"/>
                <w:szCs w:val="20"/>
                <w:color w:val="auto"/>
              </w:rPr>
            </w:pPr>
            <w:r>
              <w:rPr>
                <w:rFonts w:ascii="Arial" w:cs="Arial" w:eastAsia="Arial" w:hAnsi="Arial"/>
                <w:sz w:val="14"/>
                <w:szCs w:val="14"/>
                <w:color w:val="auto"/>
                <w:w w:val="97"/>
              </w:rPr>
              <w:t>Issuance of common stock pursuant to restricted stock</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restart"/>
          </w:tcPr>
          <w:p>
            <w:pPr>
              <w:ind w:left="52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ind w:left="6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00" w:type="dxa"/>
            <w:vAlign w:val="bottom"/>
            <w:gridSpan w:val="2"/>
            <w:vMerge w:val="restart"/>
          </w:tcPr>
          <w:p>
            <w:pPr>
              <w:ind w:left="5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11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320" w:type="dxa"/>
            <w:vAlign w:val="bottom"/>
          </w:tcPr>
          <w:p>
            <w:pPr>
              <w:spacing w:after="0"/>
              <w:rPr>
                <w:sz w:val="20"/>
                <w:szCs w:val="20"/>
                <w:color w:val="auto"/>
              </w:rPr>
            </w:pPr>
            <w:r>
              <w:rPr>
                <w:rFonts w:ascii="Arial" w:cs="Arial" w:eastAsia="Arial" w:hAnsi="Arial"/>
                <w:sz w:val="14"/>
                <w:szCs w:val="14"/>
                <w:color w:val="auto"/>
              </w:rPr>
              <w:t>units</w:t>
            </w: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320" w:type="dxa"/>
            <w:vAlign w:val="bottom"/>
            <w:shd w:val="clear" w:color="auto" w:fill="CCEEFF"/>
          </w:tcPr>
          <w:p>
            <w:pPr>
              <w:spacing w:after="0"/>
              <w:rPr>
                <w:sz w:val="20"/>
                <w:szCs w:val="20"/>
                <w:color w:val="auto"/>
              </w:rPr>
            </w:pPr>
            <w:r>
              <w:rPr>
                <w:rFonts w:ascii="Arial" w:cs="Arial" w:eastAsia="Arial" w:hAnsi="Arial"/>
                <w:sz w:val="14"/>
                <w:szCs w:val="14"/>
                <w:color w:val="auto"/>
                <w:w w:val="96"/>
              </w:rPr>
              <w:t>Restricted stock surrendered for employees’ tax liability</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35"/>
        </w:trPr>
        <w:tc>
          <w:tcPr>
            <w:tcW w:w="3320" w:type="dxa"/>
            <w:vAlign w:val="bottom"/>
          </w:tcPr>
          <w:p>
            <w:pPr>
              <w:spacing w:after="0" w:line="135" w:lineRule="exact"/>
              <w:rPr>
                <w:sz w:val="20"/>
                <w:szCs w:val="20"/>
                <w:color w:val="auto"/>
              </w:rPr>
            </w:pPr>
            <w:r>
              <w:rPr>
                <w:rFonts w:ascii="Arial" w:cs="Arial" w:eastAsia="Arial" w:hAnsi="Arial"/>
                <w:sz w:val="14"/>
                <w:szCs w:val="14"/>
                <w:color w:val="auto"/>
                <w:w w:val="92"/>
              </w:rPr>
              <w:t>Share-based compensation expense related to employee</w:t>
            </w: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00" w:type="dxa"/>
            <w:vAlign w:val="bottom"/>
            <w:gridSpan w:val="2"/>
            <w:vMerge w:val="restart"/>
          </w:tcPr>
          <w:p>
            <w:pPr>
              <w:ind w:left="52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ind w:left="6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00" w:type="dxa"/>
            <w:vAlign w:val="bottom"/>
            <w:gridSpan w:val="2"/>
            <w:vMerge w:val="restart"/>
          </w:tcPr>
          <w:p>
            <w:pPr>
              <w:ind w:left="5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760" w:type="dxa"/>
            <w:vAlign w:val="bottom"/>
            <w:vMerge w:val="restart"/>
          </w:tcPr>
          <w:p>
            <w:pPr>
              <w:jc w:val="right"/>
              <w:ind w:right="7"/>
              <w:spacing w:after="0"/>
              <w:rPr>
                <w:sz w:val="20"/>
                <w:szCs w:val="20"/>
                <w:color w:val="auto"/>
              </w:rPr>
            </w:pPr>
            <w:r>
              <w:rPr>
                <w:rFonts w:ascii="Arial" w:cs="Arial" w:eastAsia="Arial" w:hAnsi="Arial"/>
                <w:sz w:val="14"/>
                <w:szCs w:val="14"/>
                <w:color w:val="auto"/>
              </w:rPr>
              <w:t>56</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11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86"/>
        </w:trPr>
        <w:tc>
          <w:tcPr>
            <w:tcW w:w="3320" w:type="dxa"/>
            <w:vAlign w:val="bottom"/>
          </w:tcPr>
          <w:p>
            <w:pPr>
              <w:spacing w:after="0"/>
              <w:rPr>
                <w:sz w:val="20"/>
                <w:szCs w:val="20"/>
                <w:color w:val="auto"/>
              </w:rPr>
            </w:pPr>
            <w:r>
              <w:rPr>
                <w:rFonts w:ascii="Arial" w:cs="Arial" w:eastAsia="Arial" w:hAnsi="Arial"/>
                <w:sz w:val="14"/>
                <w:szCs w:val="14"/>
                <w:color w:val="auto"/>
              </w:rPr>
              <w:t>stock options and restricted stock units</w:t>
            </w: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320" w:type="dxa"/>
            <w:vAlign w:val="bottom"/>
            <w:shd w:val="clear" w:color="auto" w:fill="CCEEFF"/>
          </w:tcPr>
          <w:p>
            <w:pPr>
              <w:spacing w:after="0"/>
              <w:rPr>
                <w:sz w:val="20"/>
                <w:szCs w:val="20"/>
                <w:color w:val="auto"/>
              </w:rPr>
            </w:pPr>
            <w:r>
              <w:rPr>
                <w:rFonts w:ascii="Arial" w:cs="Arial" w:eastAsia="Arial" w:hAnsi="Arial"/>
                <w:sz w:val="14"/>
                <w:szCs w:val="14"/>
                <w:color w:val="auto"/>
              </w:rPr>
              <w:t>Dividends ($0.37 per common share)</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w:t>
            </w:r>
          </w:p>
        </w:tc>
        <w:tc>
          <w:tcPr>
            <w:tcW w:w="0" w:type="dxa"/>
            <w:vAlign w:val="bottom"/>
          </w:tcPr>
          <w:p>
            <w:pPr>
              <w:spacing w:after="0"/>
              <w:rPr>
                <w:sz w:val="1"/>
                <w:szCs w:val="1"/>
                <w:color w:val="auto"/>
              </w:rPr>
            </w:pPr>
          </w:p>
        </w:tc>
      </w:tr>
      <w:tr>
        <w:trPr>
          <w:trHeight w:val="181"/>
        </w:trPr>
        <w:tc>
          <w:tcPr>
            <w:tcW w:w="332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Balance at March 31, 2019</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1,195</w:t>
            </w:r>
          </w:p>
        </w:tc>
        <w:tc>
          <w:tcPr>
            <w:tcW w:w="8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2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tcPr>
          <w:p>
            <w:pPr>
              <w:spacing w:after="0"/>
              <w:rPr>
                <w:sz w:val="15"/>
                <w:szCs w:val="15"/>
                <w:color w:val="auto"/>
              </w:rPr>
            </w:pPr>
          </w:p>
        </w:tc>
        <w:tc>
          <w:tcPr>
            <w:tcW w:w="82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4"/>
                <w:szCs w:val="14"/>
                <w:b w:val="1"/>
                <w:bCs w:val="1"/>
                <w:color w:val="auto"/>
              </w:rPr>
              <w:t>(429)</w:t>
            </w:r>
          </w:p>
        </w:tc>
        <w:tc>
          <w:tcPr>
            <w:tcW w:w="8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2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4"/>
                <w:szCs w:val="14"/>
                <w:b w:val="1"/>
                <w:bCs w:val="1"/>
                <w:color w:val="auto"/>
                <w:w w:val="99"/>
              </w:rPr>
              <w:t>(5,563)</w:t>
            </w:r>
          </w:p>
        </w:tc>
        <w:tc>
          <w:tcPr>
            <w:tcW w:w="8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4"/>
                <w:szCs w:val="14"/>
                <w:b w:val="1"/>
                <w:bCs w:val="1"/>
                <w:color w:val="auto"/>
              </w:rPr>
              <w:t>11,004</w:t>
            </w:r>
          </w:p>
        </w:tc>
        <w:tc>
          <w:tcPr>
            <w:tcW w:w="8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6,757</w:t>
            </w:r>
          </w:p>
        </w:tc>
        <w:tc>
          <w:tcPr>
            <w:tcW w:w="8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(602)</w:t>
            </w:r>
          </w:p>
        </w:tc>
        <w:tc>
          <w:tcPr>
            <w:tcW w:w="8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4"/>
                <w:szCs w:val="14"/>
                <w:b w:val="1"/>
                <w:bCs w:val="1"/>
                <w:color w:val="auto"/>
                <w:w w:val="7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11,596</w:t>
            </w:r>
          </w:p>
        </w:tc>
        <w:tc>
          <w:tcPr>
            <w:tcW w:w="0" w:type="dxa"/>
            <w:vAlign w:val="bottom"/>
          </w:tcPr>
          <w:p>
            <w:pPr>
              <w:spacing w:after="0"/>
              <w:rPr>
                <w:sz w:val="1"/>
                <w:szCs w:val="1"/>
                <w:color w:val="auto"/>
              </w:rPr>
            </w:pPr>
          </w:p>
        </w:tc>
      </w:tr>
      <w:tr>
        <w:trPr>
          <w:trHeight w:val="170"/>
        </w:trPr>
        <w:tc>
          <w:tcPr>
            <w:tcW w:w="3320" w:type="dxa"/>
            <w:vAlign w:val="bottom"/>
            <w:shd w:val="clear" w:color="auto" w:fill="CCEEFF"/>
          </w:tcPr>
          <w:p>
            <w:pPr>
              <w:spacing w:after="0"/>
              <w:rPr>
                <w:sz w:val="20"/>
                <w:szCs w:val="20"/>
                <w:color w:val="auto"/>
              </w:rPr>
            </w:pPr>
            <w:r>
              <w:rPr>
                <w:rFonts w:ascii="Arial" w:cs="Arial" w:eastAsia="Arial" w:hAnsi="Arial"/>
                <w:sz w:val="14"/>
                <w:szCs w:val="14"/>
                <w:color w:val="auto"/>
              </w:rPr>
              <w:t>Components of comprehensive income:</w:t>
            </w: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320" w:type="dxa"/>
            <w:vAlign w:val="bottom"/>
          </w:tcPr>
          <w:p>
            <w:pPr>
              <w:ind w:left="100"/>
              <w:spacing w:after="0"/>
              <w:rPr>
                <w:sz w:val="20"/>
                <w:szCs w:val="20"/>
                <w:color w:val="auto"/>
              </w:rPr>
            </w:pPr>
            <w:r>
              <w:rPr>
                <w:rFonts w:ascii="Arial" w:cs="Arial" w:eastAsia="Arial" w:hAnsi="Arial"/>
                <w:sz w:val="14"/>
                <w:szCs w:val="14"/>
                <w:color w:val="auto"/>
              </w:rPr>
              <w:t>Net income</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90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328</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328</w:t>
            </w:r>
          </w:p>
        </w:tc>
        <w:tc>
          <w:tcPr>
            <w:tcW w:w="0" w:type="dxa"/>
            <w:vAlign w:val="bottom"/>
          </w:tcPr>
          <w:p>
            <w:pPr>
              <w:spacing w:after="0"/>
              <w:rPr>
                <w:sz w:val="1"/>
                <w:szCs w:val="1"/>
                <w:color w:val="auto"/>
              </w:rPr>
            </w:pPr>
          </w:p>
        </w:tc>
      </w:tr>
      <w:tr>
        <w:trPr>
          <w:trHeight w:val="192"/>
        </w:trPr>
        <w:tc>
          <w:tcPr>
            <w:tcW w:w="33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Other comprehensive loss</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35"/>
        </w:trPr>
        <w:tc>
          <w:tcPr>
            <w:tcW w:w="3320" w:type="dxa"/>
            <w:vAlign w:val="bottom"/>
          </w:tcPr>
          <w:p>
            <w:pPr>
              <w:spacing w:after="0" w:line="135" w:lineRule="exact"/>
              <w:rPr>
                <w:sz w:val="20"/>
                <w:szCs w:val="20"/>
                <w:color w:val="auto"/>
              </w:rPr>
            </w:pPr>
            <w:r>
              <w:rPr>
                <w:rFonts w:ascii="Arial" w:cs="Arial" w:eastAsia="Arial" w:hAnsi="Arial"/>
                <w:sz w:val="14"/>
                <w:szCs w:val="14"/>
                <w:color w:val="auto"/>
                <w:w w:val="96"/>
              </w:rPr>
              <w:t>Issuance of common stock pursuant to employee stock</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restart"/>
          </w:tcPr>
          <w:p>
            <w:pPr>
              <w:ind w:left="52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ind w:left="6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00" w:type="dxa"/>
            <w:vAlign w:val="bottom"/>
            <w:gridSpan w:val="2"/>
            <w:vMerge w:val="restart"/>
          </w:tcPr>
          <w:p>
            <w:pPr>
              <w:ind w:left="5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760" w:type="dxa"/>
            <w:vAlign w:val="bottom"/>
            <w:vMerge w:val="restart"/>
          </w:tcPr>
          <w:p>
            <w:pPr>
              <w:jc w:val="right"/>
              <w:ind w:right="7"/>
              <w:spacing w:after="0"/>
              <w:rPr>
                <w:sz w:val="20"/>
                <w:szCs w:val="20"/>
                <w:color w:val="auto"/>
              </w:rPr>
            </w:pPr>
            <w:r>
              <w:rPr>
                <w:rFonts w:ascii="Arial" w:cs="Arial" w:eastAsia="Arial" w:hAnsi="Arial"/>
                <w:sz w:val="14"/>
                <w:szCs w:val="14"/>
                <w:color w:val="auto"/>
              </w:rPr>
              <w:t>28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11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86"/>
        </w:trPr>
        <w:tc>
          <w:tcPr>
            <w:tcW w:w="3320" w:type="dxa"/>
            <w:vAlign w:val="bottom"/>
          </w:tcPr>
          <w:p>
            <w:pPr>
              <w:spacing w:after="0"/>
              <w:rPr>
                <w:sz w:val="20"/>
                <w:szCs w:val="20"/>
                <w:color w:val="auto"/>
              </w:rPr>
            </w:pPr>
            <w:r>
              <w:rPr>
                <w:rFonts w:ascii="Arial" w:cs="Arial" w:eastAsia="Arial" w:hAnsi="Arial"/>
                <w:sz w:val="14"/>
                <w:szCs w:val="14"/>
                <w:color w:val="auto"/>
              </w:rPr>
              <w:t>options</w:t>
            </w: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320" w:type="dxa"/>
            <w:vAlign w:val="bottom"/>
            <w:shd w:val="clear" w:color="auto" w:fill="CCEEFF"/>
          </w:tcPr>
          <w:p>
            <w:pPr>
              <w:spacing w:after="0"/>
              <w:rPr>
                <w:sz w:val="20"/>
                <w:szCs w:val="20"/>
                <w:color w:val="auto"/>
              </w:rPr>
            </w:pPr>
            <w:r>
              <w:rPr>
                <w:rFonts w:ascii="Arial" w:cs="Arial" w:eastAsia="Arial" w:hAnsi="Arial"/>
                <w:sz w:val="14"/>
                <w:szCs w:val="14"/>
                <w:color w:val="auto"/>
                <w:w w:val="96"/>
              </w:rPr>
              <w:t>Restricted stock surrendered for employees’ tax liability</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35"/>
        </w:trPr>
        <w:tc>
          <w:tcPr>
            <w:tcW w:w="3320" w:type="dxa"/>
            <w:vAlign w:val="bottom"/>
          </w:tcPr>
          <w:p>
            <w:pPr>
              <w:spacing w:after="0" w:line="135" w:lineRule="exact"/>
              <w:rPr>
                <w:sz w:val="20"/>
                <w:szCs w:val="20"/>
                <w:color w:val="auto"/>
              </w:rPr>
            </w:pPr>
            <w:r>
              <w:rPr>
                <w:rFonts w:ascii="Arial" w:cs="Arial" w:eastAsia="Arial" w:hAnsi="Arial"/>
                <w:sz w:val="14"/>
                <w:szCs w:val="14"/>
                <w:color w:val="auto"/>
                <w:w w:val="92"/>
              </w:rPr>
              <w:t>Share-based compensation expense related to employee</w:t>
            </w: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00" w:type="dxa"/>
            <w:vAlign w:val="bottom"/>
            <w:gridSpan w:val="2"/>
            <w:vMerge w:val="restart"/>
          </w:tcPr>
          <w:p>
            <w:pPr>
              <w:ind w:left="52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ind w:left="6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00" w:type="dxa"/>
            <w:vAlign w:val="bottom"/>
            <w:gridSpan w:val="2"/>
            <w:vMerge w:val="restart"/>
          </w:tcPr>
          <w:p>
            <w:pPr>
              <w:ind w:left="5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760" w:type="dxa"/>
            <w:vAlign w:val="bottom"/>
            <w:vMerge w:val="restart"/>
          </w:tcPr>
          <w:p>
            <w:pPr>
              <w:jc w:val="right"/>
              <w:ind w:right="7"/>
              <w:spacing w:after="0"/>
              <w:rPr>
                <w:sz w:val="20"/>
                <w:szCs w:val="20"/>
                <w:color w:val="auto"/>
              </w:rPr>
            </w:pPr>
            <w:r>
              <w:rPr>
                <w:rFonts w:ascii="Arial" w:cs="Arial" w:eastAsia="Arial" w:hAnsi="Arial"/>
                <w:sz w:val="14"/>
                <w:szCs w:val="14"/>
                <w:color w:val="auto"/>
              </w:rPr>
              <w:t>35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11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86"/>
        </w:trPr>
        <w:tc>
          <w:tcPr>
            <w:tcW w:w="3320" w:type="dxa"/>
            <w:vAlign w:val="bottom"/>
          </w:tcPr>
          <w:p>
            <w:pPr>
              <w:spacing w:after="0"/>
              <w:rPr>
                <w:sz w:val="20"/>
                <w:szCs w:val="20"/>
                <w:color w:val="auto"/>
              </w:rPr>
            </w:pPr>
            <w:r>
              <w:rPr>
                <w:rFonts w:ascii="Arial" w:cs="Arial" w:eastAsia="Arial" w:hAnsi="Arial"/>
                <w:sz w:val="14"/>
                <w:szCs w:val="14"/>
                <w:color w:val="auto"/>
              </w:rPr>
              <w:t>stock options and restricted stock units</w:t>
            </w: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Balance at June 30, 2019</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1,196</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20" w:type="dxa"/>
            <w:vAlign w:val="bottom"/>
            <w:tcBorders>
              <w:top w:val="single" w:sz="8" w:color="auto"/>
              <w:bottom w:val="single" w:sz="8" w:color="auto"/>
            </w:tcBorders>
            <w:shd w:val="clear" w:color="auto" w:fill="CCEEFF"/>
          </w:tcPr>
          <w:p>
            <w:pPr>
              <w:ind w:left="520"/>
              <w:spacing w:after="0"/>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4"/>
                <w:szCs w:val="14"/>
                <w:b w:val="1"/>
                <w:bCs w:val="1"/>
                <w:color w:val="auto"/>
              </w:rPr>
              <w:t>(429)</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20" w:type="dxa"/>
            <w:vAlign w:val="bottom"/>
            <w:tcBorders>
              <w:top w:val="single" w:sz="8" w:color="auto"/>
              <w:bottom w:val="single" w:sz="8" w:color="auto"/>
            </w:tcBorders>
            <w:shd w:val="clear" w:color="auto" w:fill="CCEEFF"/>
          </w:tcPr>
          <w:p>
            <w:pPr>
              <w:ind w:left="260"/>
              <w:spacing w:after="0"/>
              <w:rPr>
                <w:sz w:val="20"/>
                <w:szCs w:val="20"/>
                <w:color w:val="auto"/>
              </w:rPr>
            </w:pPr>
            <w:r>
              <w:rPr>
                <w:rFonts w:ascii="Arial" w:cs="Arial" w:eastAsia="Arial" w:hAnsi="Arial"/>
                <w:sz w:val="14"/>
                <w:szCs w:val="14"/>
                <w:b w:val="1"/>
                <w:bCs w:val="1"/>
                <w:color w:val="auto"/>
                <w:w w:val="99"/>
              </w:rPr>
              <w:t>(5,563)</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4"/>
                <w:szCs w:val="14"/>
                <w:b w:val="1"/>
                <w:bCs w:val="1"/>
                <w:color w:val="auto"/>
              </w:rPr>
              <w:t>11,063</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7,085</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(608)</w:t>
            </w: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Arial" w:cs="Arial" w:eastAsia="Arial" w:hAnsi="Arial"/>
                <w:sz w:val="14"/>
                <w:szCs w:val="14"/>
                <w:b w:val="1"/>
                <w:bCs w:val="1"/>
                <w:color w:val="auto"/>
                <w:w w:val="76"/>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11,977</w:t>
            </w:r>
          </w:p>
        </w:tc>
        <w:tc>
          <w:tcPr>
            <w:tcW w:w="0" w:type="dxa"/>
            <w:vAlign w:val="bottom"/>
          </w:tcPr>
          <w:p>
            <w:pPr>
              <w:spacing w:after="0"/>
              <w:rPr>
                <w:sz w:val="1"/>
                <w:szCs w:val="1"/>
                <w:color w:val="auto"/>
              </w:rPr>
            </w:pPr>
          </w:p>
        </w:tc>
      </w:tr>
      <w:tr>
        <w:trPr>
          <w:trHeight w:val="166"/>
        </w:trPr>
        <w:tc>
          <w:tcPr>
            <w:tcW w:w="3320" w:type="dxa"/>
            <w:vAlign w:val="bottom"/>
          </w:tcPr>
          <w:p>
            <w:pPr>
              <w:spacing w:after="0"/>
              <w:rPr>
                <w:sz w:val="20"/>
                <w:szCs w:val="20"/>
                <w:color w:val="auto"/>
              </w:rPr>
            </w:pPr>
            <w:r>
              <w:rPr>
                <w:rFonts w:ascii="Arial" w:cs="Arial" w:eastAsia="Arial" w:hAnsi="Arial"/>
                <w:sz w:val="14"/>
                <w:szCs w:val="14"/>
                <w:color w:val="auto"/>
              </w:rPr>
              <w:t>Components of comprehensive income:</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3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Net income</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w:t>
            </w:r>
          </w:p>
        </w:tc>
        <w:tc>
          <w:tcPr>
            <w:tcW w:w="0" w:type="dxa"/>
            <w:vAlign w:val="bottom"/>
          </w:tcPr>
          <w:p>
            <w:pPr>
              <w:spacing w:after="0"/>
              <w:rPr>
                <w:sz w:val="1"/>
                <w:szCs w:val="1"/>
                <w:color w:val="auto"/>
              </w:rPr>
            </w:pPr>
          </w:p>
        </w:tc>
      </w:tr>
      <w:tr>
        <w:trPr>
          <w:trHeight w:val="186"/>
        </w:trPr>
        <w:tc>
          <w:tcPr>
            <w:tcW w:w="3320" w:type="dxa"/>
            <w:vAlign w:val="bottom"/>
          </w:tcPr>
          <w:p>
            <w:pPr>
              <w:ind w:left="100"/>
              <w:spacing w:after="0"/>
              <w:rPr>
                <w:sz w:val="20"/>
                <w:szCs w:val="20"/>
                <w:color w:val="auto"/>
              </w:rPr>
            </w:pPr>
            <w:r>
              <w:rPr>
                <w:rFonts w:ascii="Arial" w:cs="Arial" w:eastAsia="Arial" w:hAnsi="Arial"/>
                <w:sz w:val="14"/>
                <w:szCs w:val="14"/>
                <w:color w:val="auto"/>
              </w:rPr>
              <w:t>Other comprehensive income</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90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38"/>
        </w:trPr>
        <w:tc>
          <w:tcPr>
            <w:tcW w:w="332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w w:val="96"/>
              </w:rPr>
              <w:t>Issuance of common stock pursuant to employee stock</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7"/>
              <w:spacing w:after="0"/>
              <w:rPr>
                <w:sz w:val="20"/>
                <w:szCs w:val="20"/>
                <w:color w:val="auto"/>
              </w:rPr>
            </w:pPr>
            <w:r>
              <w:rPr>
                <w:rFonts w:ascii="Arial" w:cs="Arial" w:eastAsia="Arial" w:hAnsi="Arial"/>
                <w:sz w:val="14"/>
                <w:szCs w:val="14"/>
                <w:color w:val="auto"/>
              </w:rPr>
              <w:t>29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spacing w:after="0"/>
              <w:rPr>
                <w:sz w:val="20"/>
                <w:szCs w:val="20"/>
                <w:color w:val="auto"/>
              </w:rPr>
            </w:pPr>
            <w:r>
              <w:rPr>
                <w:rFonts w:ascii="Arial" w:cs="Arial" w:eastAsia="Arial" w:hAnsi="Arial"/>
                <w:sz w:val="14"/>
                <w:szCs w:val="14"/>
                <w:color w:val="auto"/>
              </w:rPr>
              <w:t>options</w:t>
            </w: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320" w:type="dxa"/>
            <w:vAlign w:val="bottom"/>
          </w:tcPr>
          <w:p>
            <w:pPr>
              <w:spacing w:after="0"/>
              <w:rPr>
                <w:sz w:val="20"/>
                <w:szCs w:val="20"/>
                <w:color w:val="auto"/>
              </w:rPr>
            </w:pPr>
            <w:r>
              <w:rPr>
                <w:rFonts w:ascii="Arial" w:cs="Arial" w:eastAsia="Arial" w:hAnsi="Arial"/>
                <w:sz w:val="14"/>
                <w:szCs w:val="14"/>
                <w:color w:val="auto"/>
                <w:w w:val="96"/>
              </w:rPr>
              <w:t>Restricted stock surrendered for employees’ tax liability</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90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38"/>
        </w:trPr>
        <w:tc>
          <w:tcPr>
            <w:tcW w:w="332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w w:val="92"/>
              </w:rPr>
              <w:t>Share-based compensation expense related to employee</w:t>
            </w: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7"/>
              <w:spacing w:after="0"/>
              <w:rPr>
                <w:sz w:val="20"/>
                <w:szCs w:val="20"/>
                <w:color w:val="auto"/>
              </w:rPr>
            </w:pPr>
            <w:r>
              <w:rPr>
                <w:rFonts w:ascii="Arial" w:cs="Arial" w:eastAsia="Arial" w:hAnsi="Arial"/>
                <w:sz w:val="14"/>
                <w:szCs w:val="14"/>
                <w:color w:val="auto"/>
              </w:rPr>
              <w:t>32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spacing w:after="0"/>
              <w:rPr>
                <w:sz w:val="20"/>
                <w:szCs w:val="20"/>
                <w:color w:val="auto"/>
              </w:rPr>
            </w:pPr>
            <w:r>
              <w:rPr>
                <w:rFonts w:ascii="Arial" w:cs="Arial" w:eastAsia="Arial" w:hAnsi="Arial"/>
                <w:sz w:val="14"/>
                <w:szCs w:val="14"/>
                <w:color w:val="auto"/>
              </w:rPr>
              <w:t>stock options and restricted stock units</w:t>
            </w:r>
          </w:p>
        </w:tc>
        <w:tc>
          <w:tcPr>
            <w:tcW w:w="9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320" w:type="dxa"/>
            <w:vAlign w:val="bottom"/>
          </w:tcPr>
          <w:p>
            <w:pPr>
              <w:spacing w:after="0"/>
              <w:rPr>
                <w:sz w:val="20"/>
                <w:szCs w:val="20"/>
                <w:color w:val="auto"/>
              </w:rPr>
            </w:pPr>
            <w:r>
              <w:rPr>
                <w:rFonts w:ascii="Arial" w:cs="Arial" w:eastAsia="Arial" w:hAnsi="Arial"/>
                <w:sz w:val="14"/>
                <w:szCs w:val="14"/>
                <w:b w:val="1"/>
                <w:bCs w:val="1"/>
                <w:color w:val="auto"/>
              </w:rPr>
              <w:t>Balance at September 30, 2019</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1,197</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2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82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4"/>
                <w:szCs w:val="14"/>
                <w:b w:val="1"/>
                <w:bCs w:val="1"/>
                <w:color w:val="auto"/>
              </w:rPr>
              <w:t>(429)</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2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4"/>
                <w:szCs w:val="14"/>
                <w:b w:val="1"/>
                <w:bCs w:val="1"/>
                <w:color w:val="auto"/>
                <w:w w:val="99"/>
              </w:rPr>
              <w:t>(5,563)</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4"/>
                <w:szCs w:val="14"/>
                <w:b w:val="1"/>
                <w:bCs w:val="1"/>
                <w:color w:val="auto"/>
              </w:rPr>
              <w:t>11,116</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7,289</w:t>
            </w:r>
          </w:p>
        </w:tc>
        <w:tc>
          <w:tcPr>
            <w:tcW w:w="8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(607)</w:t>
            </w:r>
          </w:p>
        </w:tc>
        <w:tc>
          <w:tcPr>
            <w:tcW w:w="8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4"/>
                <w:szCs w:val="14"/>
                <w:b w:val="1"/>
                <w:bCs w:val="1"/>
                <w:color w:val="auto"/>
                <w:w w:val="7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12,235</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Basis of Consolidation and Presentation</w:t>
      </w:r>
    </w:p>
    <w:p>
      <w:pPr>
        <w:spacing w:after="0" w:line="229" w:lineRule="exact"/>
        <w:rPr>
          <w:sz w:val="20"/>
          <w:szCs w:val="20"/>
          <w:color w:val="auto"/>
        </w:rPr>
      </w:pPr>
    </w:p>
    <w:p>
      <w:pPr>
        <w:ind w:right="420" w:firstLine="324"/>
        <w:spacing w:after="0" w:line="259" w:lineRule="auto"/>
        <w:rPr>
          <w:sz w:val="20"/>
          <w:szCs w:val="20"/>
          <w:color w:val="auto"/>
        </w:rPr>
      </w:pPr>
      <w:r>
        <w:rPr>
          <w:rFonts w:ascii="Arial" w:cs="Arial" w:eastAsia="Arial" w:hAnsi="Arial"/>
          <w:sz w:val="18"/>
          <w:szCs w:val="18"/>
          <w:color w:val="auto"/>
        </w:rPr>
        <w:t>Activision Blizzard, Inc. is a leading global developer and publisher of interactive entertainment content and services. We develop and distribute content and services on video game consoles, personal computers (“PC”s), and mobile devices. We also operate esports leagues and offer digital advertising within our content. The terms “Activision Blizzard,” the “Company,” “we,” “us,” and “our” are used to refer collectively to Activision Blizzard, Inc. and its subsidiaries.</w:t>
      </w:r>
    </w:p>
    <w:p>
      <w:pPr>
        <w:spacing w:after="0" w:line="214"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Company was originally incorporated in California in 1979 and was reincorporated in Delaware in December 1992. In connection with the 2008 business combination by and among the Company (then known as Activision, Inc.), Vivendi S.A, and Vivendi Games, Inc., pursuant to which we acquired Blizzard Entertainment, Inc. (“Blizzard”), we were renamed Activision Blizzard, Inc. On February 23, 2016, we acquired King Digital Entertainment plc ("King") by purchasing all of its outstanding shares.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Segments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Based upon our organizational structure, we conduct our business through three reportable segments,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 Activision Publishing, Inc.</w:t>
      </w:r>
    </w:p>
    <w:p>
      <w:pPr>
        <w:spacing w:after="0" w:line="225" w:lineRule="exact"/>
        <w:rPr>
          <w:sz w:val="20"/>
          <w:szCs w:val="20"/>
          <w:color w:val="auto"/>
        </w:rPr>
      </w:pPr>
    </w:p>
    <w:p>
      <w:pPr>
        <w:ind w:right="20" w:firstLine="324"/>
        <w:spacing w:after="0"/>
        <w:rPr>
          <w:sz w:val="20"/>
          <w:szCs w:val="20"/>
          <w:color w:val="auto"/>
        </w:rPr>
      </w:pPr>
      <w:r>
        <w:rPr>
          <w:rFonts w:ascii="Arial" w:cs="Arial" w:eastAsia="Arial" w:hAnsi="Arial"/>
          <w:sz w:val="18"/>
          <w:szCs w:val="18"/>
          <w:color w:val="auto"/>
        </w:rPr>
        <w:t>Activision Publishing, Inc. (“Activision”) is a leading global developer and publisher of interactive software products and entertainment content, particularly for the console platform. Activision primarily delivers content through retail and digital channels, including full-game and in-game sales, as well as by licensing software to third-party or related-party companies that distribute Activision products. Activision develops, markets, and sells products primarily based on our internally developed intellectual properties. Activision also includes the activities of the Call of Duty League</w:t>
      </w:r>
      <w:r>
        <w:rPr>
          <w:rFonts w:ascii="Arial" w:cs="Arial" w:eastAsia="Arial" w:hAnsi="Arial"/>
          <w:sz w:val="23"/>
          <w:szCs w:val="23"/>
          <w:color w:val="auto"/>
          <w:vertAlign w:val="superscript"/>
        </w:rPr>
        <w:t>TM</w:t>
      </w:r>
      <w:r>
        <w:rPr>
          <w:rFonts w:ascii="Arial" w:cs="Arial" w:eastAsia="Arial" w:hAnsi="Arial"/>
          <w:sz w:val="18"/>
          <w:szCs w:val="18"/>
          <w:color w:val="auto"/>
        </w:rPr>
        <w:t>, a global professional esports league with city-based teams.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Activision’s key product franchise is Call of Duty</w:t>
      </w:r>
      <w:r>
        <w:rPr>
          <w:rFonts w:ascii="Arial" w:cs="Arial" w:eastAsia="Arial" w:hAnsi="Arial"/>
          <w:sz w:val="23"/>
          <w:szCs w:val="23"/>
          <w:color w:val="auto"/>
          <w:vertAlign w:val="superscript"/>
        </w:rPr>
        <w:t>®</w:t>
      </w:r>
      <w:r>
        <w:rPr>
          <w:rFonts w:ascii="Arial" w:cs="Arial" w:eastAsia="Arial" w:hAnsi="Arial"/>
          <w:sz w:val="18"/>
          <w:szCs w:val="18"/>
          <w:color w:val="auto"/>
        </w:rPr>
        <w:t>, a first-person action title for the console, PC, and mobile platforms.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(ii) Blizzard Entertainment, Inc.</w:t>
      </w:r>
    </w:p>
    <w:p>
      <w:pPr>
        <w:spacing w:after="0" w:line="225" w:lineRule="exact"/>
        <w:rPr>
          <w:sz w:val="20"/>
          <w:szCs w:val="20"/>
          <w:color w:val="auto"/>
        </w:rPr>
      </w:pPr>
    </w:p>
    <w:p>
      <w:pPr>
        <w:ind w:right="120" w:firstLine="324"/>
        <w:spacing w:after="0" w:line="283" w:lineRule="auto"/>
        <w:rPr>
          <w:sz w:val="20"/>
          <w:szCs w:val="20"/>
          <w:color w:val="auto"/>
        </w:rPr>
      </w:pPr>
      <w:r>
        <w:rPr>
          <w:rFonts w:ascii="Arial" w:cs="Arial" w:eastAsia="Arial" w:hAnsi="Arial"/>
          <w:sz w:val="16"/>
          <w:szCs w:val="16"/>
          <w:color w:val="auto"/>
        </w:rPr>
        <w:t>Blizzard is a leading global developer and publisher of interactive software products and entertainment content, particularly for the PC platform. Blizzard primarily delivers content through retail and digital channels, including subscription, full-game, and in-game sales, as well as by licensing software to third-party or related-party companies that distribute Blizzard products. Blizzard also maintains a proprietary online gaming service, Blizzard Battle.net</w:t>
      </w:r>
      <w:r>
        <w:rPr>
          <w:rFonts w:ascii="Arial" w:cs="Arial" w:eastAsia="Arial" w:hAnsi="Arial"/>
          <w:sz w:val="20"/>
          <w:szCs w:val="20"/>
          <w:color w:val="auto"/>
          <w:vertAlign w:val="superscript"/>
        </w:rPr>
        <w:t>®</w:t>
      </w:r>
      <w:r>
        <w:rPr>
          <w:rFonts w:ascii="Arial" w:cs="Arial" w:eastAsia="Arial" w:hAnsi="Arial"/>
          <w:sz w:val="16"/>
          <w:szCs w:val="16"/>
          <w:color w:val="auto"/>
        </w:rPr>
        <w:t>, which facilitates digital distribution of Blizzard content and selected Activision content, online social connectivity, and the creation of user-generated content. Blizzard also includes the activities of the Overwatch League</w:t>
      </w:r>
      <w:r>
        <w:rPr>
          <w:rFonts w:ascii="Arial" w:cs="Arial" w:eastAsia="Arial" w:hAnsi="Arial"/>
          <w:sz w:val="20"/>
          <w:szCs w:val="20"/>
          <w:color w:val="auto"/>
          <w:vertAlign w:val="superscript"/>
        </w:rPr>
        <w:t>TM</w:t>
      </w:r>
      <w:r>
        <w:rPr>
          <w:rFonts w:ascii="Arial" w:cs="Arial" w:eastAsia="Arial" w:hAnsi="Arial"/>
          <w:sz w:val="16"/>
          <w:szCs w:val="16"/>
          <w:color w:val="auto"/>
        </w:rPr>
        <w:t>, a global professional esports league with city-based teams.</w:t>
      </w:r>
    </w:p>
    <w:p>
      <w:pPr>
        <w:spacing w:after="0" w:line="124" w:lineRule="exact"/>
        <w:rPr>
          <w:sz w:val="20"/>
          <w:szCs w:val="20"/>
          <w:color w:val="auto"/>
        </w:rPr>
      </w:pPr>
    </w:p>
    <w:p>
      <w:pPr>
        <w:ind w:right="320" w:firstLine="324"/>
        <w:spacing w:after="0" w:line="222" w:lineRule="auto"/>
        <w:rPr>
          <w:sz w:val="20"/>
          <w:szCs w:val="20"/>
          <w:color w:val="auto"/>
        </w:rPr>
      </w:pPr>
      <w:r>
        <w:rPr>
          <w:rFonts w:ascii="Arial" w:cs="Arial" w:eastAsia="Arial" w:hAnsi="Arial"/>
          <w:sz w:val="18"/>
          <w:szCs w:val="18"/>
          <w:color w:val="auto"/>
        </w:rPr>
        <w:t>Blizzard’s key product franchises include: World of Warcraft</w:t>
      </w:r>
      <w:r>
        <w:rPr>
          <w:rFonts w:ascii="Arial" w:cs="Arial" w:eastAsia="Arial" w:hAnsi="Arial"/>
          <w:sz w:val="23"/>
          <w:szCs w:val="23"/>
          <w:color w:val="auto"/>
          <w:vertAlign w:val="superscript"/>
        </w:rPr>
        <w:t>®</w:t>
      </w:r>
      <w:r>
        <w:rPr>
          <w:rFonts w:ascii="Arial" w:cs="Arial" w:eastAsia="Arial" w:hAnsi="Arial"/>
          <w:sz w:val="18"/>
          <w:szCs w:val="18"/>
          <w:color w:val="auto"/>
        </w:rPr>
        <w:t>, a subscription-based massive multi-player online role-playing game for the PC platform; Diablo</w:t>
      </w:r>
      <w:r>
        <w:rPr>
          <w:rFonts w:ascii="Arial" w:cs="Arial" w:eastAsia="Arial" w:hAnsi="Arial"/>
          <w:sz w:val="23"/>
          <w:szCs w:val="23"/>
          <w:color w:val="auto"/>
          <w:vertAlign w:val="superscript"/>
        </w:rPr>
        <w:t>®</w:t>
      </w:r>
      <w:r>
        <w:rPr>
          <w:rFonts w:ascii="Arial" w:cs="Arial" w:eastAsia="Arial" w:hAnsi="Arial"/>
          <w:sz w:val="18"/>
          <w:szCs w:val="18"/>
          <w:color w:val="auto"/>
        </w:rPr>
        <w:t>, an action role-playing franchise for the PC and console platforms; Hearthstone</w:t>
      </w:r>
      <w:r>
        <w:rPr>
          <w:rFonts w:ascii="Arial" w:cs="Arial" w:eastAsia="Arial" w:hAnsi="Arial"/>
          <w:sz w:val="23"/>
          <w:szCs w:val="23"/>
          <w:color w:val="auto"/>
          <w:vertAlign w:val="superscript"/>
        </w:rPr>
        <w:t>®</w:t>
      </w:r>
      <w:r>
        <w:rPr>
          <w:rFonts w:ascii="Arial" w:cs="Arial" w:eastAsia="Arial" w:hAnsi="Arial"/>
          <w:sz w:val="18"/>
          <w:szCs w:val="18"/>
          <w:color w:val="auto"/>
        </w:rPr>
        <w:t>, an online collectible card franchise for the PC and mobile platforms; and Overwatch</w:t>
      </w:r>
      <w:r>
        <w:rPr>
          <w:rFonts w:ascii="Arial" w:cs="Arial" w:eastAsia="Arial" w:hAnsi="Arial"/>
          <w:sz w:val="23"/>
          <w:szCs w:val="23"/>
          <w:color w:val="auto"/>
          <w:vertAlign w:val="superscript"/>
        </w:rPr>
        <w:t>®</w:t>
      </w:r>
      <w:r>
        <w:rPr>
          <w:rFonts w:ascii="Arial" w:cs="Arial" w:eastAsia="Arial" w:hAnsi="Arial"/>
          <w:sz w:val="18"/>
          <w:szCs w:val="18"/>
          <w:color w:val="auto"/>
        </w:rPr>
        <w:t>, a team-based first-person action title for the PC and console platforms.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(iii) King Digital Entertainment</w:t>
      </w:r>
    </w:p>
    <w:p>
      <w:pPr>
        <w:spacing w:after="0" w:line="225"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King is a leading global developer and publisher of interactive entertainment content and services, primarily for the mobile platform. King also distributes its content and services on the PC platform, primarily via Facebook. King’s games are free to play; however, players can acquire in-game items, either with virtual currency or real currency, and we continue to focus on in-game advertising as a growing source of additional revenue.</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King’s key product franchise is Candy Crush™, which features “match three” games for the mobile and PC platforms.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color w:val="auto"/>
        </w:rPr>
        <w:t>We also engage in other businesses that do not represent reportable segments, including the Activision Blizzard Distribution (“Distribution”) business, which consists of operations in Europe that provide warehousing, logistics, and sales distribution services to third-party publishers of interactive entertainment software, our own publishing operations, and manufacturers of interactive entertainment hardware.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Consolidation and Presentation</w:t>
      </w:r>
    </w:p>
    <w:p>
      <w:pPr>
        <w:spacing w:after="0" w:line="225"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the rules and regulations of the Securities and Exchange Commission and accounting principles generally accepted in the United States of America (“U.S. GAAP”) for interim reporting. Accordingly, certain notes or other information that are normally required by U.S. GAAP have been condensed or omitted if they substantially duplicate the disclosures contained in our annual audited consolidated financial statements. Additionally, the year-end condensed consolidated balance sheet data was derived from audited financial statements but does not include all disclosures required by U.S. GAAP. Accordingly, the unaudited condensed consolidated financial statements should be read in conjunction with the audited consolidated financial statements and notes thereto included in our Annual Report on Form 10-K for the year ended December 31, 2019.</w:t>
      </w:r>
    </w:p>
    <w:p>
      <w:pPr>
        <w:spacing w:after="0" w:line="177" w:lineRule="exact"/>
        <w:rPr>
          <w:sz w:val="20"/>
          <w:szCs w:val="20"/>
          <w:color w:val="auto"/>
        </w:rPr>
      </w:pPr>
    </w:p>
    <w:p>
      <w:pPr>
        <w:ind w:right="100" w:firstLine="324"/>
        <w:spacing w:after="0" w:line="271" w:lineRule="auto"/>
        <w:rPr>
          <w:sz w:val="20"/>
          <w:szCs w:val="20"/>
          <w:color w:val="auto"/>
        </w:rPr>
      </w:pPr>
      <w:r>
        <w:rPr>
          <w:rFonts w:ascii="Arial" w:cs="Arial" w:eastAsia="Arial" w:hAnsi="Arial"/>
          <w:sz w:val="17"/>
          <w:szCs w:val="17"/>
          <w:color w:val="auto"/>
        </w:rPr>
        <w:t>The preparation of the condensed consolidated financial statements in conformity with U.S. GAAP requires management to make estimates and assumptions that affect the amounts reported in the condensed consolidated financial statements and accompanying notes. Generally, making these estimates and developing our assumptions requires consideration of forecasted information, which, in context of the COVID-19 pandemic, involves additional uncertainty. While there was no material impact to our estimates in the current period, in future periods, facts and circumstances (including, without limitation, the impact of the ongoing global COVID-19 pandemic) could change and impact our estimates. Additionally, actual results could differ from these estimates and assumptions. In the opinion of management, all adjustments considered necessary for the fair statement of our financial position and results of operations in accordance with U.S. GAAP (consisting of normal recurring adjustments) have been included in the accompanying unaudited condensed consolidated financial statements.</w:t>
      </w:r>
    </w:p>
    <w:p>
      <w:pPr>
        <w:spacing w:after="0" w:line="205"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 accompanying condensed consolidated financial statements include the accounts and operations of the Company. All intercompany accounts and transactions have been eliminated.</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Certain reclassifications have been made to prior-year amounts to conform to the current period presentation.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Recently Issued Accounting Pronouncements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Cloud Computing Arrangements</w:t>
      </w:r>
    </w:p>
    <w:p>
      <w:pPr>
        <w:spacing w:after="0" w:line="252"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In August 2018, the Financial Accounting Standards Board (“FASB”) issued new guidance related to a customer’s accounting for implementation costs incurred in a cloud computing arrangement (i.e., hosting arrangement) that is a service contract. The new guidance requires customers to capitalize implementation costs for these arrangements by applying the same criteria that are utilized for existing internal-use software guidance. The capitalized costs are required to be amortized over the associated term of the arrangement, generally on a straight-line basis, with amortization of these costs presented in the same financial statement line item as other costs associated with the arrangement. We adopted the new standard under a prospective approach during the first quarter of 2020 and it did not have a material impact on our condensed consolidated financial statements.</w:t>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Goodwill</w:t>
      </w:r>
    </w:p>
    <w:p>
      <w:pPr>
        <w:spacing w:after="0" w:line="252" w:lineRule="exact"/>
        <w:rPr>
          <w:sz w:val="20"/>
          <w:szCs w:val="20"/>
          <w:color w:val="auto"/>
        </w:rPr>
      </w:pPr>
    </w:p>
    <w:p>
      <w:pPr>
        <w:ind w:right="80" w:firstLine="324"/>
        <w:spacing w:after="0" w:line="296" w:lineRule="auto"/>
        <w:rPr>
          <w:sz w:val="20"/>
          <w:szCs w:val="20"/>
          <w:color w:val="auto"/>
        </w:rPr>
      </w:pPr>
      <w:r>
        <w:rPr>
          <w:rFonts w:ascii="Arial" w:cs="Arial" w:eastAsia="Arial" w:hAnsi="Arial"/>
          <w:sz w:val="16"/>
          <w:szCs w:val="16"/>
          <w:color w:val="auto"/>
        </w:rPr>
        <w:t>In January 2017, the FASB issued new guidance that eliminates Step 2 from the goodwill impairment test. Instead, if an entity forgoes a Step 0 test, that entity will be required to perform its annual or interim goodwill impairment test by (1) comparing the fair value of a reporting unit, as determined in Step 1 from the goodwill impairment test, with its carrying amount and (2) recognizing an impairment charge, if any, for the amount by which the carrying amount exceeds the reporting unit’s fair value, not to exceed the total amount of goodwill allocated to the reporting unit. We adopted the new standard under a prospective approach during the first quarter of 2020 and it did not have a material impact on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 Credit Losses</w:t>
      </w:r>
    </w:p>
    <w:p>
      <w:pPr>
        <w:spacing w:after="0" w:line="252"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212529"/>
        </w:rPr>
        <w:t xml:space="preserve">In June 2016, the FASB issued new guidance related to accounting for credit losses on financial instruments. </w:t>
      </w:r>
      <w:r>
        <w:rPr>
          <w:rFonts w:ascii="Arial" w:cs="Arial" w:eastAsia="Arial" w:hAnsi="Arial"/>
          <w:sz w:val="17"/>
          <w:szCs w:val="17"/>
          <w:color w:val="000000"/>
        </w:rPr>
        <w:t>The update replaces the existing incurred</w:t>
      </w:r>
      <w:r>
        <w:rPr>
          <w:rFonts w:ascii="Arial" w:cs="Arial" w:eastAsia="Arial" w:hAnsi="Arial"/>
          <w:sz w:val="17"/>
          <w:szCs w:val="17"/>
          <w:color w:val="212529"/>
        </w:rPr>
        <w:t xml:space="preserve"> </w:t>
      </w:r>
      <w:r>
        <w:rPr>
          <w:rFonts w:ascii="Arial" w:cs="Arial" w:eastAsia="Arial" w:hAnsi="Arial"/>
          <w:sz w:val="17"/>
          <w:szCs w:val="17"/>
          <w:color w:val="000000"/>
        </w:rPr>
        <w:t>loss impairment model with a methodology that reflects a current expected credit losses model which requires the use of historical and forward-looking information to calculate credit loss estimates. It also eliminates the concept of other-than-temporary impairment and requires credit losses related to available-for-sale debt securities to be recorded through an allowance for credit losses rather than as a reduction in the amortized cost basis of the securities. These changes will generally result in earlier recognition of credit losses. We adopted the new standard under a modified retrospective basis, with the cumulative effect of adoption recorded as an adjustment to retained earnings during the first quarter of 2020. The adoption of this standard did not have a material impact on our condensed consolidated financial statements.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Simplifying the Accounting for Income Taxes</w:t>
      </w:r>
    </w:p>
    <w:p>
      <w:pPr>
        <w:spacing w:after="0" w:line="252"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212529"/>
        </w:rPr>
        <w:t>In December 2019, the FASB issued new guidance which is intended to simplify various aspects of accounting for income taxes by removing certain exceptions to the general principles in Topic 740 f</w:t>
      </w:r>
      <w:r>
        <w:rPr>
          <w:rFonts w:ascii="Arial" w:cs="Arial" w:eastAsia="Arial" w:hAnsi="Arial"/>
          <w:sz w:val="17"/>
          <w:szCs w:val="17"/>
          <w:color w:val="000000"/>
        </w:rPr>
        <w:t>or recognizing deferred taxes for investments, performing an intraperiod allocation and calculating</w:t>
      </w:r>
      <w:r>
        <w:rPr>
          <w:rFonts w:ascii="Arial" w:cs="Arial" w:eastAsia="Arial" w:hAnsi="Arial"/>
          <w:sz w:val="17"/>
          <w:szCs w:val="17"/>
          <w:color w:val="212529"/>
        </w:rPr>
        <w:t xml:space="preserve"> </w:t>
      </w:r>
      <w:r>
        <w:rPr>
          <w:rFonts w:ascii="Arial" w:cs="Arial" w:eastAsia="Arial" w:hAnsi="Arial"/>
          <w:sz w:val="17"/>
          <w:szCs w:val="17"/>
          <w:color w:val="000000"/>
        </w:rPr>
        <w:t>income taxes in interim periods</w:t>
      </w:r>
      <w:r>
        <w:rPr>
          <w:rFonts w:ascii="Arial" w:cs="Arial" w:eastAsia="Arial" w:hAnsi="Arial"/>
          <w:sz w:val="17"/>
          <w:szCs w:val="17"/>
          <w:color w:val="212529"/>
        </w:rPr>
        <w:t>. The amendment also clarifies and amends certain areas of existing guidance to reduce complexity and improve consistency</w:t>
      </w:r>
      <w:r>
        <w:rPr>
          <w:rFonts w:ascii="Arial" w:cs="Arial" w:eastAsia="Arial" w:hAnsi="Arial"/>
          <w:sz w:val="17"/>
          <w:szCs w:val="17"/>
          <w:color w:val="000000"/>
        </w:rPr>
        <w:t xml:space="preserve"> </w:t>
      </w:r>
      <w:r>
        <w:rPr>
          <w:rFonts w:ascii="Arial" w:cs="Arial" w:eastAsia="Arial" w:hAnsi="Arial"/>
          <w:sz w:val="17"/>
          <w:szCs w:val="17"/>
          <w:color w:val="212529"/>
        </w:rPr>
        <w:t xml:space="preserve">in the application of Topic 740. The new standard is effective for fiscal years beginning after December 15, 2020. Early adoption is permitted, including adoption in any interim period for which financial statements have not yet been issued. Generally, the topics must be applied prospectively upon adoption, with the exception of certain topics which are required to be applied on a retrospective or modified retrospective basis. </w:t>
      </w:r>
      <w:r>
        <w:rPr>
          <w:rFonts w:ascii="Arial" w:cs="Arial" w:eastAsia="Arial" w:hAnsi="Arial"/>
          <w:sz w:val="17"/>
          <w:szCs w:val="17"/>
          <w:color w:val="000000"/>
        </w:rPr>
        <w:t>We are evaluating the impact, if any,</w:t>
      </w:r>
      <w:r>
        <w:rPr>
          <w:rFonts w:ascii="Arial" w:cs="Arial" w:eastAsia="Arial" w:hAnsi="Arial"/>
          <w:sz w:val="17"/>
          <w:szCs w:val="17"/>
          <w:color w:val="212529"/>
        </w:rPr>
        <w:t xml:space="preserve"> </w:t>
      </w:r>
      <w:r>
        <w:rPr>
          <w:rFonts w:ascii="Arial" w:cs="Arial" w:eastAsia="Arial" w:hAnsi="Arial"/>
          <w:sz w:val="17"/>
          <w:szCs w:val="17"/>
          <w:color w:val="000000"/>
        </w:rPr>
        <w:t>of adopting this new accounting guidance on our financial statements.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Software Development and Intellectual Property Licenses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components of our capitalized software development costs (amounts in millions):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0" w:type="dxa"/>
            <w:vAlign w:val="bottom"/>
            <w:gridSpan w:val="2"/>
          </w:tcPr>
          <w:p>
            <w:pPr>
              <w:ind w:left="80"/>
              <w:spacing w:after="0"/>
              <w:rPr>
                <w:sz w:val="20"/>
                <w:szCs w:val="20"/>
                <w:color w:val="auto"/>
              </w:rPr>
            </w:pPr>
            <w:r>
              <w:rPr>
                <w:rFonts w:ascii="Arial" w:cs="Arial" w:eastAsia="Arial" w:hAnsi="Arial"/>
                <w:sz w:val="18"/>
                <w:szCs w:val="18"/>
                <w:b w:val="1"/>
                <w:bCs w:val="1"/>
                <w:color w:val="auto"/>
              </w:rPr>
              <w:t>At September 30, 2020</w:t>
            </w:r>
          </w:p>
        </w:tc>
        <w:tc>
          <w:tcPr>
            <w:tcW w:w="200" w:type="dxa"/>
            <w:vAlign w:val="bottom"/>
          </w:tcPr>
          <w:p>
            <w:pPr>
              <w:spacing w:after="0"/>
              <w:rPr>
                <w:sz w:val="20"/>
                <w:szCs w:val="20"/>
                <w:color w:val="auto"/>
              </w:rPr>
            </w:pPr>
          </w:p>
        </w:tc>
        <w:tc>
          <w:tcPr>
            <w:tcW w:w="2080" w:type="dxa"/>
            <w:vAlign w:val="bottom"/>
          </w:tcPr>
          <w:p>
            <w:pPr>
              <w:jc w:val="right"/>
              <w:ind w:right="210"/>
              <w:spacing w:after="0"/>
              <w:rPr>
                <w:sz w:val="20"/>
                <w:szCs w:val="20"/>
                <w:color w:val="auto"/>
              </w:rPr>
            </w:pPr>
            <w:r>
              <w:rPr>
                <w:rFonts w:ascii="Arial" w:cs="Arial" w:eastAsia="Arial" w:hAnsi="Arial"/>
                <w:sz w:val="18"/>
                <w:szCs w:val="18"/>
                <w:b w:val="1"/>
                <w:bCs w:val="1"/>
                <w:color w:val="auto"/>
                <w:w w:val="94"/>
              </w:rPr>
              <w:t>At December 31, 2019</w:t>
            </w:r>
          </w:p>
        </w:tc>
      </w:tr>
      <w:tr>
        <w:trPr>
          <w:trHeight w:val="223"/>
        </w:trPr>
        <w:tc>
          <w:tcPr>
            <w:tcW w:w="6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Internally-developed software costs</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w:t>
            </w:r>
          </w:p>
        </w:tc>
      </w:tr>
      <w:tr>
        <w:trPr>
          <w:trHeight w:val="230"/>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Payments made to third-party software developers</w:t>
            </w:r>
          </w:p>
        </w:tc>
        <w:tc>
          <w:tcPr>
            <w:tcW w:w="20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r>
      <w:tr>
        <w:trPr>
          <w:trHeight w:val="248"/>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software development costs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both September 30, 2020 and December 31, 2019, capitalized intellectual property licenses were not material.</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Amortization of capitalized software development costs and intellectual property licenses was as follows (amounts in millions):</w:t>
      </w:r>
    </w:p>
    <w:p>
      <w:pPr>
        <w:sectPr>
          <w:pgSz w:w="11900" w:h="16838" w:orient="portrait"/>
          <w:cols w:equalWidth="0" w:num="1">
            <w:col w:w="11240"/>
          </w:cols>
          <w:pgMar w:left="320" w:top="125" w:right="339" w:bottom="1440" w:gutter="0" w:footer="0" w:header="0"/>
        </w:sectPr>
      </w:pPr>
    </w:p>
    <w:p>
      <w:pPr>
        <w:spacing w:after="0" w:line="140" w:lineRule="exact"/>
        <w:rPr>
          <w:sz w:val="20"/>
          <w:szCs w:val="20"/>
          <w:color w:val="auto"/>
        </w:rPr>
      </w:pPr>
    </w:p>
    <w:p>
      <w:pPr>
        <w:jc w:val="center"/>
        <w:ind w:left="4020"/>
        <w:spacing w:after="0"/>
        <w:rPr>
          <w:sz w:val="20"/>
          <w:szCs w:val="20"/>
          <w:color w:val="auto"/>
        </w:rPr>
      </w:pPr>
      <w:r>
        <w:rPr>
          <w:rFonts w:ascii="Arial" w:cs="Arial" w:eastAsia="Arial" w:hAnsi="Arial"/>
          <w:sz w:val="16"/>
          <w:szCs w:val="16"/>
          <w:b w:val="1"/>
          <w:bCs w:val="1"/>
          <w:color w:val="auto"/>
        </w:rPr>
        <w:t>For the 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2491105</wp:posOffset>
            </wp:positionH>
            <wp:positionV relativeFrom="paragraph">
              <wp:posOffset>31750</wp:posOffset>
            </wp:positionV>
            <wp:extent cx="228028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39" w:lineRule="exact"/>
        <w:rPr>
          <w:sz w:val="20"/>
          <w:szCs w:val="20"/>
          <w:color w:val="auto"/>
        </w:rPr>
      </w:pPr>
    </w:p>
    <w:p>
      <w:pPr>
        <w:ind w:left="4620"/>
        <w:spacing w:after="0"/>
        <w:tabs>
          <w:tab w:leader="none" w:pos="6440" w:val="left"/>
        </w:tabs>
        <w:rPr>
          <w:sz w:val="20"/>
          <w:szCs w:val="20"/>
          <w:color w:val="auto"/>
        </w:rPr>
      </w:pPr>
      <w:r>
        <w:rPr>
          <w:rFonts w:ascii="Arial" w:cs="Arial" w:eastAsia="Arial" w:hAnsi="Arial"/>
          <w:sz w:val="18"/>
          <w:szCs w:val="18"/>
          <w:b w:val="1"/>
          <w:bCs w:val="1"/>
          <w:color w:val="auto"/>
        </w:rPr>
        <w:t>2020</w:t>
      </w:r>
      <w:r>
        <w:rPr>
          <w:sz w:val="20"/>
          <w:szCs w:val="20"/>
          <w:color w:val="auto"/>
        </w:rPr>
        <w:tab/>
      </w:r>
      <w:r>
        <w:rPr>
          <w:rFonts w:ascii="Arial" w:cs="Arial" w:eastAsia="Arial" w:hAnsi="Arial"/>
          <w:sz w:val="18"/>
          <w:szCs w:val="18"/>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2571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jc w:val="center"/>
        <w:ind w:right="160"/>
        <w:spacing w:after="0"/>
        <w:rPr>
          <w:sz w:val="20"/>
          <w:szCs w:val="20"/>
          <w:color w:val="auto"/>
        </w:rPr>
      </w:pPr>
      <w:r>
        <w:rPr>
          <w:rFonts w:ascii="Arial" w:cs="Arial" w:eastAsia="Arial" w:hAnsi="Arial"/>
          <w:sz w:val="16"/>
          <w:szCs w:val="16"/>
          <w:b w:val="1"/>
          <w:bCs w:val="1"/>
          <w:color w:val="auto"/>
        </w:rPr>
        <w:t>For the 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31750</wp:posOffset>
            </wp:positionV>
            <wp:extent cx="229743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39" w:lineRule="exact"/>
        <w:rPr>
          <w:sz w:val="20"/>
          <w:szCs w:val="20"/>
          <w:color w:val="auto"/>
        </w:rPr>
      </w:pPr>
    </w:p>
    <w:p>
      <w:pPr>
        <w:ind w:left="540"/>
        <w:spacing w:after="0"/>
        <w:tabs>
          <w:tab w:leader="none" w:pos="2380" w:val="left"/>
        </w:tabs>
        <w:rPr>
          <w:sz w:val="20"/>
          <w:szCs w:val="20"/>
          <w:color w:val="auto"/>
        </w:rPr>
      </w:pPr>
      <w:r>
        <w:rPr>
          <w:rFonts w:ascii="Arial" w:cs="Arial" w:eastAsia="Arial" w:hAnsi="Arial"/>
          <w:sz w:val="18"/>
          <w:szCs w:val="18"/>
          <w:b w:val="1"/>
          <w:bCs w:val="1"/>
          <w:color w:val="auto"/>
        </w:rPr>
        <w:t>2020</w:t>
      </w:r>
      <w:r>
        <w:rPr>
          <w:sz w:val="20"/>
          <w:szCs w:val="20"/>
          <w:color w:val="auto"/>
        </w:rPr>
        <w:tab/>
      </w:r>
      <w:r>
        <w:rPr>
          <w:rFonts w:ascii="Arial" w:cs="Arial" w:eastAsia="Arial" w:hAnsi="Arial"/>
          <w:sz w:val="18"/>
          <w:szCs w:val="18"/>
          <w:b w:val="1"/>
          <w:bCs w:val="1"/>
          <w:color w:val="auto"/>
        </w:rPr>
        <w:t>2019</w:t>
      </w:r>
    </w:p>
    <w:p>
      <w:pPr>
        <w:spacing w:after="0" w:line="1" w:lineRule="exact"/>
        <w:rPr>
          <w:sz w:val="20"/>
          <w:szCs w:val="20"/>
          <w:color w:val="auto"/>
        </w:rPr>
      </w:pPr>
    </w:p>
    <w:p>
      <w:pPr>
        <w:sectPr>
          <w:pgSz w:w="11900" w:h="16838" w:orient="portrait"/>
          <w:cols w:equalWidth="0" w:num="2">
            <w:col w:w="7420" w:space="360"/>
            <w:col w:w="3460"/>
          </w:cols>
          <w:pgMar w:left="320" w:top="125" w:right="339" w:bottom="1440" w:gutter="0" w:footer="0" w:header="0"/>
          <w:type w:val="continuous"/>
        </w:sectPr>
      </w:pPr>
    </w:p>
    <w:tbl>
      <w:tblPr>
        <w:tblLayout w:type="fixed"/>
        <w:tblInd w:w="20" w:type="dxa"/>
        <w:tblCellMar>
          <w:top w:w="0" w:type="dxa"/>
          <w:left w:w="0" w:type="dxa"/>
          <w:bottom w:w="0" w:type="dxa"/>
          <w:right w:w="0" w:type="dxa"/>
        </w:tblCellMar>
      </w:tblPr>
      <w:tr>
        <w:trPr>
          <w:trHeight w:val="203"/>
        </w:trPr>
        <w:tc>
          <w:tcPr>
            <w:tcW w:w="3780" w:type="dxa"/>
            <w:vAlign w:val="bottom"/>
          </w:tcPr>
          <w:p>
            <w:pPr>
              <w:spacing w:after="0" w:line="203" w:lineRule="exact"/>
              <w:rPr>
                <w:sz w:val="20"/>
                <w:szCs w:val="20"/>
                <w:color w:val="auto"/>
              </w:rPr>
            </w:pPr>
            <w:r>
              <w:rPr>
                <w:rFonts w:ascii="Arial" w:cs="Arial" w:eastAsia="Arial" w:hAnsi="Arial"/>
                <w:sz w:val="18"/>
                <w:szCs w:val="18"/>
                <w:color w:val="auto"/>
                <w:w w:val="96"/>
              </w:rPr>
              <w:t>Amortization of capitalized software development</w:t>
            </w:r>
          </w:p>
        </w:tc>
        <w:tc>
          <w:tcPr>
            <w:tcW w:w="920" w:type="dxa"/>
            <w:vAlign w:val="bottom"/>
            <w:vMerge w:val="restart"/>
          </w:tcPr>
          <w:p>
            <w:pPr>
              <w:jc w:val="right"/>
              <w:ind w:right="590"/>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ind w:right="10"/>
              <w:spacing w:after="0"/>
              <w:rPr>
                <w:sz w:val="20"/>
                <w:szCs w:val="20"/>
                <w:color w:val="auto"/>
              </w:rPr>
            </w:pPr>
            <w:r>
              <w:rPr>
                <w:rFonts w:ascii="Arial" w:cs="Arial" w:eastAsia="Arial" w:hAnsi="Arial"/>
                <w:sz w:val="18"/>
                <w:szCs w:val="18"/>
                <w:color w:val="auto"/>
              </w:rPr>
              <w:t>37</w:t>
            </w:r>
          </w:p>
        </w:tc>
        <w:tc>
          <w:tcPr>
            <w:tcW w:w="880" w:type="dxa"/>
            <w:vAlign w:val="bottom"/>
            <w:vMerge w:val="restart"/>
          </w:tcPr>
          <w:p>
            <w:pPr>
              <w:jc w:val="right"/>
              <w:ind w:right="610"/>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ind w:right="10"/>
              <w:spacing w:after="0"/>
              <w:rPr>
                <w:sz w:val="20"/>
                <w:szCs w:val="20"/>
                <w:color w:val="auto"/>
              </w:rPr>
            </w:pPr>
            <w:r>
              <w:rPr>
                <w:rFonts w:ascii="Arial" w:cs="Arial" w:eastAsia="Arial" w:hAnsi="Arial"/>
                <w:sz w:val="18"/>
                <w:szCs w:val="18"/>
                <w:color w:val="auto"/>
              </w:rPr>
              <w:t>11</w:t>
            </w:r>
          </w:p>
        </w:tc>
        <w:tc>
          <w:tcPr>
            <w:tcW w:w="840" w:type="dxa"/>
            <w:vAlign w:val="bottom"/>
            <w:vMerge w:val="restart"/>
          </w:tcPr>
          <w:p>
            <w:pPr>
              <w:jc w:val="right"/>
              <w:ind w:right="550"/>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ind w:right="10"/>
              <w:spacing w:after="0"/>
              <w:rPr>
                <w:sz w:val="20"/>
                <w:szCs w:val="20"/>
                <w:color w:val="auto"/>
              </w:rPr>
            </w:pPr>
            <w:r>
              <w:rPr>
                <w:rFonts w:ascii="Arial" w:cs="Arial" w:eastAsia="Arial" w:hAnsi="Arial"/>
                <w:sz w:val="18"/>
                <w:szCs w:val="18"/>
                <w:color w:val="auto"/>
              </w:rPr>
              <w:t>149</w:t>
            </w:r>
          </w:p>
        </w:tc>
        <w:tc>
          <w:tcPr>
            <w:tcW w:w="840" w:type="dxa"/>
            <w:vAlign w:val="bottom"/>
            <w:vMerge w:val="restart"/>
          </w:tcPr>
          <w:p>
            <w:pPr>
              <w:jc w:val="right"/>
              <w:ind w:right="570"/>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costs and intellectual property licenses</w:t>
            </w:r>
          </w:p>
        </w:tc>
        <w:tc>
          <w:tcPr>
            <w:tcW w:w="920" w:type="dxa"/>
            <w:vAlign w:val="bottom"/>
            <w:vMerge w:val="continue"/>
          </w:tcPr>
          <w:p>
            <w:pPr>
              <w:spacing w:after="0"/>
              <w:rPr>
                <w:sz w:val="20"/>
                <w:szCs w:val="20"/>
                <w:color w:val="auto"/>
              </w:rPr>
            </w:pPr>
          </w:p>
        </w:tc>
        <w:tc>
          <w:tcPr>
            <w:tcW w:w="980" w:type="dxa"/>
            <w:vAlign w:val="bottom"/>
            <w:vMerge w:val="continue"/>
          </w:tcPr>
          <w:p>
            <w:pPr>
              <w:spacing w:after="0"/>
              <w:rPr>
                <w:sz w:val="20"/>
                <w:szCs w:val="20"/>
                <w:color w:val="auto"/>
              </w:rPr>
            </w:pPr>
          </w:p>
        </w:tc>
        <w:tc>
          <w:tcPr>
            <w:tcW w:w="880" w:type="dxa"/>
            <w:vAlign w:val="bottom"/>
            <w:vMerge w:val="continue"/>
          </w:tcPr>
          <w:p>
            <w:pPr>
              <w:spacing w:after="0"/>
              <w:rPr>
                <w:sz w:val="20"/>
                <w:szCs w:val="20"/>
                <w:color w:val="auto"/>
              </w:rPr>
            </w:pPr>
          </w:p>
        </w:tc>
        <w:tc>
          <w:tcPr>
            <w:tcW w:w="96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102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9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Intangible Assets, Net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Intangible assets, net, consist of the following (amounts in millions):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48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gridSpan w:val="5"/>
          </w:tcPr>
          <w:p>
            <w:pPr>
              <w:jc w:val="center"/>
              <w:ind w:right="460"/>
              <w:spacing w:after="0"/>
              <w:rPr>
                <w:sz w:val="20"/>
                <w:szCs w:val="20"/>
                <w:color w:val="auto"/>
              </w:rPr>
            </w:pPr>
            <w:r>
              <w:rPr>
                <w:rFonts w:ascii="Arial" w:cs="Arial" w:eastAsia="Arial" w:hAnsi="Arial"/>
                <w:sz w:val="16"/>
                <w:szCs w:val="16"/>
                <w:b w:val="1"/>
                <w:bCs w:val="1"/>
                <w:color w:val="auto"/>
                <w:w w:val="91"/>
              </w:rPr>
              <w:t>At September 30, 2020</w:t>
            </w:r>
          </w:p>
        </w:tc>
        <w:tc>
          <w:tcPr>
            <w:tcW w:w="6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480" w:type="dxa"/>
            <w:vAlign w:val="bottom"/>
          </w:tcPr>
          <w:p>
            <w:pPr>
              <w:spacing w:after="0"/>
              <w:rPr>
                <w:sz w:val="13"/>
                <w:szCs w:val="13"/>
                <w:color w:val="auto"/>
              </w:rPr>
            </w:pPr>
          </w:p>
        </w:tc>
        <w:tc>
          <w:tcPr>
            <w:tcW w:w="1840" w:type="dxa"/>
            <w:vAlign w:val="bottom"/>
            <w:gridSpan w:val="4"/>
            <w:vMerge w:val="restart"/>
          </w:tcPr>
          <w:p>
            <w:pPr>
              <w:jc w:val="center"/>
              <w:ind w:right="120"/>
              <w:spacing w:after="0"/>
              <w:rPr>
                <w:sz w:val="20"/>
                <w:szCs w:val="20"/>
                <w:color w:val="auto"/>
              </w:rPr>
            </w:pPr>
            <w:r>
              <w:rPr>
                <w:rFonts w:ascii="Arial" w:cs="Arial" w:eastAsia="Arial" w:hAnsi="Arial"/>
                <w:sz w:val="16"/>
                <w:szCs w:val="16"/>
                <w:b w:val="1"/>
                <w:bCs w:val="1"/>
                <w:color w:val="auto"/>
                <w:w w:val="90"/>
              </w:rPr>
              <w:t>Estimated useful lives</w:t>
            </w:r>
          </w:p>
        </w:tc>
        <w:tc>
          <w:tcPr>
            <w:tcW w:w="180" w:type="dxa"/>
            <w:vAlign w:val="bottom"/>
          </w:tcPr>
          <w:p>
            <w:pPr>
              <w:spacing w:after="0"/>
              <w:rPr>
                <w:sz w:val="13"/>
                <w:szCs w:val="13"/>
                <w:color w:val="auto"/>
              </w:rPr>
            </w:pPr>
          </w:p>
        </w:tc>
        <w:tc>
          <w:tcPr>
            <w:tcW w:w="1480" w:type="dxa"/>
            <w:vAlign w:val="bottom"/>
            <w:gridSpan w:val="2"/>
          </w:tcPr>
          <w:p>
            <w:pPr>
              <w:jc w:val="center"/>
              <w:ind w:right="300"/>
              <w:spacing w:after="0" w:line="158" w:lineRule="exact"/>
              <w:rPr>
                <w:sz w:val="20"/>
                <w:szCs w:val="20"/>
                <w:color w:val="auto"/>
              </w:rPr>
            </w:pPr>
            <w:r>
              <w:rPr>
                <w:rFonts w:ascii="Arial" w:cs="Arial" w:eastAsia="Arial" w:hAnsi="Arial"/>
                <w:sz w:val="16"/>
                <w:szCs w:val="16"/>
                <w:b w:val="1"/>
                <w:bCs w:val="1"/>
                <w:color w:val="auto"/>
                <w:w w:val="89"/>
              </w:rPr>
              <w:t>Gross carrying</w:t>
            </w:r>
          </w:p>
        </w:tc>
        <w:tc>
          <w:tcPr>
            <w:tcW w:w="200" w:type="dxa"/>
            <w:vAlign w:val="bottom"/>
          </w:tcPr>
          <w:p>
            <w:pPr>
              <w:spacing w:after="0"/>
              <w:rPr>
                <w:sz w:val="13"/>
                <w:szCs w:val="13"/>
                <w:color w:val="auto"/>
              </w:rPr>
            </w:pPr>
          </w:p>
        </w:tc>
        <w:tc>
          <w:tcPr>
            <w:tcW w:w="1460" w:type="dxa"/>
            <w:vAlign w:val="bottom"/>
            <w:gridSpan w:val="2"/>
          </w:tcPr>
          <w:p>
            <w:pPr>
              <w:ind w:left="120"/>
              <w:spacing w:after="0" w:line="158" w:lineRule="exact"/>
              <w:rPr>
                <w:sz w:val="20"/>
                <w:szCs w:val="20"/>
                <w:color w:val="auto"/>
              </w:rPr>
            </w:pPr>
            <w:r>
              <w:rPr>
                <w:rFonts w:ascii="Arial" w:cs="Arial" w:eastAsia="Arial" w:hAnsi="Arial"/>
                <w:sz w:val="16"/>
                <w:szCs w:val="16"/>
                <w:b w:val="1"/>
                <w:bCs w:val="1"/>
                <w:color w:val="auto"/>
              </w:rPr>
              <w:t>Accumulated</w:t>
            </w:r>
          </w:p>
        </w:tc>
        <w:tc>
          <w:tcPr>
            <w:tcW w:w="156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5"/>
              </w:rPr>
              <w:t>Net carrying amount</w:t>
            </w:r>
          </w:p>
        </w:tc>
        <w:tc>
          <w:tcPr>
            <w:tcW w:w="0" w:type="dxa"/>
            <w:vAlign w:val="bottom"/>
          </w:tcPr>
          <w:p>
            <w:pPr>
              <w:spacing w:after="0"/>
              <w:rPr>
                <w:sz w:val="1"/>
                <w:szCs w:val="1"/>
                <w:color w:val="auto"/>
              </w:rPr>
            </w:pPr>
          </w:p>
        </w:tc>
      </w:tr>
      <w:tr>
        <w:trPr>
          <w:trHeight w:val="213"/>
        </w:trPr>
        <w:tc>
          <w:tcPr>
            <w:tcW w:w="4480" w:type="dxa"/>
            <w:vAlign w:val="bottom"/>
          </w:tcPr>
          <w:p>
            <w:pPr>
              <w:spacing w:after="0"/>
              <w:rPr>
                <w:sz w:val="18"/>
                <w:szCs w:val="18"/>
                <w:color w:val="auto"/>
              </w:rPr>
            </w:pPr>
          </w:p>
        </w:tc>
        <w:tc>
          <w:tcPr>
            <w:tcW w:w="1840" w:type="dxa"/>
            <w:vAlign w:val="bottom"/>
            <w:gridSpan w:val="4"/>
            <w:vMerge w:val="continue"/>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amount</w:t>
            </w:r>
          </w:p>
        </w:tc>
        <w:tc>
          <w:tcPr>
            <w:tcW w:w="200" w:type="dxa"/>
            <w:vAlign w:val="bottom"/>
          </w:tcPr>
          <w:p>
            <w:pPr>
              <w:spacing w:after="0"/>
              <w:rPr>
                <w:sz w:val="18"/>
                <w:szCs w:val="18"/>
                <w:color w:val="auto"/>
              </w:rPr>
            </w:pPr>
          </w:p>
        </w:tc>
        <w:tc>
          <w:tcPr>
            <w:tcW w:w="1460" w:type="dxa"/>
            <w:vAlign w:val="bottom"/>
            <w:gridSpan w:val="2"/>
          </w:tcPr>
          <w:p>
            <w:pPr>
              <w:ind w:left="120"/>
              <w:spacing w:after="0"/>
              <w:rPr>
                <w:sz w:val="20"/>
                <w:szCs w:val="20"/>
                <w:color w:val="auto"/>
              </w:rPr>
            </w:pPr>
            <w:r>
              <w:rPr>
                <w:rFonts w:ascii="Arial" w:cs="Arial" w:eastAsia="Arial" w:hAnsi="Arial"/>
                <w:sz w:val="16"/>
                <w:szCs w:val="16"/>
                <w:b w:val="1"/>
                <w:bCs w:val="1"/>
                <w:color w:val="auto"/>
              </w:rPr>
              <w:t>amortization</w:t>
            </w:r>
          </w:p>
        </w:tc>
        <w:tc>
          <w:tcPr>
            <w:tcW w:w="15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Acquired definite-lived intangible assets:</w:t>
            </w:r>
          </w:p>
        </w:tc>
        <w:tc>
          <w:tcPr>
            <w:tcW w:w="6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80" w:type="dxa"/>
            <w:vAlign w:val="bottom"/>
          </w:tcPr>
          <w:p>
            <w:pPr>
              <w:ind w:left="120"/>
              <w:spacing w:after="0"/>
              <w:rPr>
                <w:sz w:val="20"/>
                <w:szCs w:val="20"/>
                <w:color w:val="auto"/>
              </w:rPr>
            </w:pPr>
            <w:r>
              <w:rPr>
                <w:rFonts w:ascii="Arial" w:cs="Arial" w:eastAsia="Arial" w:hAnsi="Arial"/>
                <w:sz w:val="18"/>
                <w:szCs w:val="18"/>
                <w:color w:val="auto"/>
              </w:rPr>
              <w:t>Internally-developed franchises</w:t>
            </w:r>
          </w:p>
        </w:tc>
        <w:tc>
          <w:tcPr>
            <w:tcW w:w="600" w:type="dxa"/>
            <w:vAlign w:val="bottom"/>
          </w:tcPr>
          <w:p>
            <w:pPr>
              <w:ind w:left="500"/>
              <w:spacing w:after="0"/>
              <w:rPr>
                <w:sz w:val="20"/>
                <w:szCs w:val="20"/>
                <w:color w:val="auto"/>
              </w:rPr>
            </w:pPr>
            <w:r>
              <w:rPr>
                <w:rFonts w:ascii="Arial" w:cs="Arial" w:eastAsia="Arial" w:hAnsi="Arial"/>
                <w:sz w:val="18"/>
                <w:szCs w:val="18"/>
                <w:color w:val="auto"/>
                <w:w w:val="79"/>
              </w:rPr>
              <w:t>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40"/>
              <w:spacing w:after="0"/>
              <w:rPr>
                <w:sz w:val="20"/>
                <w:szCs w:val="20"/>
                <w:color w:val="auto"/>
              </w:rPr>
            </w:pPr>
            <w:r>
              <w:rPr>
                <w:rFonts w:ascii="Arial" w:cs="Arial" w:eastAsia="Arial" w:hAnsi="Arial"/>
                <w:sz w:val="18"/>
                <w:szCs w:val="18"/>
                <w:color w:val="auto"/>
              </w:rPr>
              <w:t>11 years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1,154</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(1,139)</w:t>
            </w:r>
          </w:p>
        </w:tc>
        <w:tc>
          <w:tcPr>
            <w:tcW w:w="120" w:type="dxa"/>
            <w:vAlign w:val="bottom"/>
          </w:tcPr>
          <w:p>
            <w:pPr>
              <w:spacing w:after="0"/>
              <w:rPr>
                <w:sz w:val="19"/>
                <w:szCs w:val="19"/>
                <w:color w:val="auto"/>
              </w:rPr>
            </w:pPr>
          </w:p>
        </w:tc>
        <w:tc>
          <w:tcPr>
            <w:tcW w:w="660" w:type="dxa"/>
            <w:vAlign w:val="bottom"/>
          </w:tcPr>
          <w:p>
            <w:pPr>
              <w:jc w:val="right"/>
              <w:ind w:right="47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4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Developed software</w:t>
            </w:r>
          </w:p>
        </w:tc>
        <w:tc>
          <w:tcPr>
            <w:tcW w:w="600" w:type="dxa"/>
            <w:vAlign w:val="bottom"/>
            <w:shd w:val="clear" w:color="auto" w:fill="CCEEFF"/>
          </w:tcPr>
          <w:p>
            <w:pPr>
              <w:ind w:left="500"/>
              <w:spacing w:after="0"/>
              <w:rPr>
                <w:sz w:val="20"/>
                <w:szCs w:val="20"/>
                <w:color w:val="auto"/>
              </w:rPr>
            </w:pPr>
            <w:r>
              <w:rPr>
                <w:rFonts w:ascii="Arial" w:cs="Arial" w:eastAsia="Arial" w:hAnsi="Arial"/>
                <w:sz w:val="18"/>
                <w:szCs w:val="18"/>
                <w:color w:val="auto"/>
                <w:w w:val="79"/>
              </w:rPr>
              <w:t>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5 years</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4480" w:type="dxa"/>
            <w:vAlign w:val="bottom"/>
          </w:tcPr>
          <w:p>
            <w:pPr>
              <w:ind w:left="120"/>
              <w:spacing w:after="0"/>
              <w:rPr>
                <w:sz w:val="20"/>
                <w:szCs w:val="20"/>
                <w:color w:val="auto"/>
              </w:rPr>
            </w:pPr>
            <w:r>
              <w:rPr>
                <w:rFonts w:ascii="Arial" w:cs="Arial" w:eastAsia="Arial" w:hAnsi="Arial"/>
                <w:sz w:val="18"/>
                <w:szCs w:val="18"/>
                <w:color w:val="auto"/>
              </w:rPr>
              <w:t>Trade names</w:t>
            </w:r>
          </w:p>
        </w:tc>
        <w:tc>
          <w:tcPr>
            <w:tcW w:w="600" w:type="dxa"/>
            <w:vAlign w:val="bottom"/>
          </w:tcPr>
          <w:p>
            <w:pPr>
              <w:spacing w:after="0"/>
              <w:rPr>
                <w:sz w:val="19"/>
                <w:szCs w:val="19"/>
                <w:color w:val="auto"/>
              </w:rPr>
            </w:pPr>
          </w:p>
        </w:tc>
        <w:tc>
          <w:tcPr>
            <w:tcW w:w="1240" w:type="dxa"/>
            <w:vAlign w:val="bottom"/>
            <w:gridSpan w:val="3"/>
          </w:tcPr>
          <w:p>
            <w:pPr>
              <w:jc w:val="center"/>
              <w:ind w:right="720"/>
              <w:spacing w:after="0"/>
              <w:rPr>
                <w:sz w:val="20"/>
                <w:szCs w:val="20"/>
                <w:color w:val="auto"/>
              </w:rPr>
            </w:pPr>
            <w:r>
              <w:rPr>
                <w:rFonts w:ascii="Arial" w:cs="Arial" w:eastAsia="Arial" w:hAnsi="Arial"/>
                <w:sz w:val="18"/>
                <w:szCs w:val="18"/>
                <w:color w:val="auto"/>
                <w:w w:val="88"/>
              </w:rPr>
              <w:t>7 years</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9"/>
        </w:trPr>
        <w:tc>
          <w:tcPr>
            <w:tcW w:w="4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600" w:type="dxa"/>
            <w:vAlign w:val="bottom"/>
            <w:shd w:val="clear" w:color="auto" w:fill="CCEEFF"/>
          </w:tcPr>
          <w:p>
            <w:pPr>
              <w:ind w:left="500"/>
              <w:spacing w:after="0"/>
              <w:rPr>
                <w:sz w:val="20"/>
                <w:szCs w:val="20"/>
                <w:color w:val="auto"/>
              </w:rPr>
            </w:pPr>
            <w:r>
              <w:rPr>
                <w:rFonts w:ascii="Arial" w:cs="Arial" w:eastAsia="Arial" w:hAnsi="Arial"/>
                <w:sz w:val="18"/>
                <w:szCs w:val="18"/>
                <w:color w:val="auto"/>
                <w:w w:val="79"/>
              </w:rPr>
              <w:t>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10 years</w:t>
            </w: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4480" w:type="dxa"/>
            <w:vAlign w:val="bottom"/>
          </w:tcPr>
          <w:p>
            <w:pPr>
              <w:ind w:left="20"/>
              <w:spacing w:after="0"/>
              <w:rPr>
                <w:sz w:val="20"/>
                <w:szCs w:val="20"/>
                <w:color w:val="auto"/>
              </w:rPr>
            </w:pPr>
            <w:r>
              <w:rPr>
                <w:rFonts w:ascii="Arial" w:cs="Arial" w:eastAsia="Arial" w:hAnsi="Arial"/>
                <w:sz w:val="18"/>
                <w:szCs w:val="18"/>
                <w:color w:val="auto"/>
              </w:rPr>
              <w:t>Total definite-lived intangible assets</w:t>
            </w: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1,828</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(1,792)</w:t>
            </w:r>
          </w:p>
        </w:tc>
        <w:tc>
          <w:tcPr>
            <w:tcW w:w="120" w:type="dxa"/>
            <w:vAlign w:val="bottom"/>
          </w:tcPr>
          <w:p>
            <w:pPr>
              <w:spacing w:after="0"/>
              <w:rPr>
                <w:sz w:val="19"/>
                <w:szCs w:val="19"/>
                <w:color w:val="auto"/>
              </w:rPr>
            </w:pPr>
          </w:p>
        </w:tc>
        <w:tc>
          <w:tcPr>
            <w:tcW w:w="66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44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4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4480" w:type="dxa"/>
            <w:vAlign w:val="bottom"/>
          </w:tcPr>
          <w:p>
            <w:pPr>
              <w:ind w:left="20"/>
              <w:spacing w:after="0"/>
              <w:rPr>
                <w:sz w:val="20"/>
                <w:szCs w:val="20"/>
                <w:color w:val="auto"/>
              </w:rPr>
            </w:pPr>
            <w:r>
              <w:rPr>
                <w:rFonts w:ascii="Arial" w:cs="Arial" w:eastAsia="Arial" w:hAnsi="Arial"/>
                <w:sz w:val="18"/>
                <w:szCs w:val="18"/>
                <w:color w:val="auto"/>
              </w:rPr>
              <w:t>Acquired indefinite-lived intangible assets:</w:t>
            </w: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Activision trademark</w:t>
            </w:r>
          </w:p>
        </w:tc>
        <w:tc>
          <w:tcPr>
            <w:tcW w:w="1840" w:type="dxa"/>
            <w:vAlign w:val="bottom"/>
            <w:gridSpan w:val="4"/>
            <w:shd w:val="clear" w:color="auto" w:fill="CCEEFF"/>
          </w:tcPr>
          <w:p>
            <w:pPr>
              <w:ind w:left="520"/>
              <w:spacing w:after="0"/>
              <w:rPr>
                <w:sz w:val="20"/>
                <w:szCs w:val="20"/>
                <w:color w:val="auto"/>
              </w:rPr>
            </w:pPr>
            <w:r>
              <w:rPr>
                <w:rFonts w:ascii="Arial" w:cs="Arial" w:eastAsia="Arial" w:hAnsi="Arial"/>
                <w:sz w:val="18"/>
                <w:szCs w:val="18"/>
                <w:color w:val="auto"/>
              </w:rPr>
              <w:t>Indefinite</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30"/>
        </w:trPr>
        <w:tc>
          <w:tcPr>
            <w:tcW w:w="44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Acquired trade names</w:t>
            </w:r>
          </w:p>
        </w:tc>
        <w:tc>
          <w:tcPr>
            <w:tcW w:w="1840" w:type="dxa"/>
            <w:vAlign w:val="bottom"/>
            <w:tcBorders>
              <w:bottom w:val="single" w:sz="8" w:color="CCEEFF"/>
            </w:tcBorders>
            <w:gridSpan w:val="4"/>
          </w:tcPr>
          <w:p>
            <w:pPr>
              <w:ind w:left="520"/>
              <w:spacing w:after="0"/>
              <w:rPr>
                <w:sz w:val="20"/>
                <w:szCs w:val="20"/>
                <w:color w:val="auto"/>
              </w:rPr>
            </w:pPr>
            <w:r>
              <w:rPr>
                <w:rFonts w:ascii="Arial" w:cs="Arial" w:eastAsia="Arial" w:hAnsi="Arial"/>
                <w:sz w:val="18"/>
                <w:szCs w:val="18"/>
                <w:color w:val="auto"/>
              </w:rPr>
              <w:t>Indefinite</w:t>
            </w:r>
          </w:p>
        </w:tc>
        <w:tc>
          <w:tcPr>
            <w:tcW w:w="18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3"/>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indefinite-lived intangible assets</w:t>
            </w:r>
          </w:p>
        </w:tc>
        <w:tc>
          <w:tcPr>
            <w:tcW w:w="6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47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23"/>
        </w:trPr>
        <w:tc>
          <w:tcPr>
            <w:tcW w:w="4480" w:type="dxa"/>
            <w:vAlign w:val="bottom"/>
          </w:tcPr>
          <w:p>
            <w:pPr>
              <w:ind w:left="20"/>
              <w:spacing w:after="0"/>
              <w:rPr>
                <w:sz w:val="20"/>
                <w:szCs w:val="20"/>
                <w:color w:val="auto"/>
              </w:rPr>
            </w:pPr>
            <w:r>
              <w:rPr>
                <w:rFonts w:ascii="Arial" w:cs="Arial" w:eastAsia="Arial" w:hAnsi="Arial"/>
                <w:sz w:val="18"/>
                <w:szCs w:val="18"/>
                <w:color w:val="auto"/>
              </w:rPr>
              <w:t>Total intangible assets, net</w:t>
            </w: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140" w:type="dxa"/>
            <w:vAlign w:val="bottom"/>
            <w:gridSpan w:val="5"/>
            <w:vMerge w:val="restart"/>
          </w:tcPr>
          <w:p>
            <w:pPr>
              <w:jc w:val="center"/>
              <w:ind w:right="460"/>
              <w:spacing w:after="0"/>
              <w:rPr>
                <w:sz w:val="20"/>
                <w:szCs w:val="20"/>
                <w:color w:val="auto"/>
              </w:rPr>
            </w:pPr>
            <w:r>
              <w:rPr>
                <w:rFonts w:ascii="Arial" w:cs="Arial" w:eastAsia="Arial" w:hAnsi="Arial"/>
                <w:sz w:val="16"/>
                <w:szCs w:val="16"/>
                <w:b w:val="1"/>
                <w:bCs w:val="1"/>
                <w:color w:val="auto"/>
                <w:w w:val="91"/>
              </w:rPr>
              <w:t>At December 31, 2019</w:t>
            </w:r>
          </w:p>
        </w:tc>
        <w:tc>
          <w:tcPr>
            <w:tcW w:w="6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2"/>
        </w:trPr>
        <w:tc>
          <w:tcPr>
            <w:tcW w:w="448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5"/>
            <w:vMerge w:val="continue"/>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480" w:type="dxa"/>
            <w:vAlign w:val="bottom"/>
          </w:tcPr>
          <w:p>
            <w:pPr>
              <w:spacing w:after="0"/>
              <w:rPr>
                <w:sz w:val="13"/>
                <w:szCs w:val="13"/>
                <w:color w:val="auto"/>
              </w:rPr>
            </w:pPr>
          </w:p>
        </w:tc>
        <w:tc>
          <w:tcPr>
            <w:tcW w:w="1840" w:type="dxa"/>
            <w:vAlign w:val="bottom"/>
            <w:gridSpan w:val="4"/>
            <w:vMerge w:val="restart"/>
          </w:tcPr>
          <w:p>
            <w:pPr>
              <w:jc w:val="center"/>
              <w:ind w:right="120"/>
              <w:spacing w:after="0"/>
              <w:rPr>
                <w:sz w:val="20"/>
                <w:szCs w:val="20"/>
                <w:color w:val="auto"/>
              </w:rPr>
            </w:pPr>
            <w:r>
              <w:rPr>
                <w:rFonts w:ascii="Arial" w:cs="Arial" w:eastAsia="Arial" w:hAnsi="Arial"/>
                <w:sz w:val="16"/>
                <w:szCs w:val="16"/>
                <w:b w:val="1"/>
                <w:bCs w:val="1"/>
                <w:color w:val="auto"/>
                <w:w w:val="90"/>
              </w:rPr>
              <w:t>Estimated useful lives</w:t>
            </w:r>
          </w:p>
        </w:tc>
        <w:tc>
          <w:tcPr>
            <w:tcW w:w="180" w:type="dxa"/>
            <w:vAlign w:val="bottom"/>
          </w:tcPr>
          <w:p>
            <w:pPr>
              <w:spacing w:after="0"/>
              <w:rPr>
                <w:sz w:val="13"/>
                <w:szCs w:val="13"/>
                <w:color w:val="auto"/>
              </w:rPr>
            </w:pPr>
          </w:p>
        </w:tc>
        <w:tc>
          <w:tcPr>
            <w:tcW w:w="1480" w:type="dxa"/>
            <w:vAlign w:val="bottom"/>
            <w:gridSpan w:val="2"/>
          </w:tcPr>
          <w:p>
            <w:pPr>
              <w:jc w:val="center"/>
              <w:ind w:right="300"/>
              <w:spacing w:after="0" w:line="158" w:lineRule="exact"/>
              <w:rPr>
                <w:sz w:val="20"/>
                <w:szCs w:val="20"/>
                <w:color w:val="auto"/>
              </w:rPr>
            </w:pPr>
            <w:r>
              <w:rPr>
                <w:rFonts w:ascii="Arial" w:cs="Arial" w:eastAsia="Arial" w:hAnsi="Arial"/>
                <w:sz w:val="16"/>
                <w:szCs w:val="16"/>
                <w:b w:val="1"/>
                <w:bCs w:val="1"/>
                <w:color w:val="auto"/>
                <w:w w:val="89"/>
              </w:rPr>
              <w:t>Gross carrying</w:t>
            </w:r>
          </w:p>
        </w:tc>
        <w:tc>
          <w:tcPr>
            <w:tcW w:w="200" w:type="dxa"/>
            <w:vAlign w:val="bottom"/>
          </w:tcPr>
          <w:p>
            <w:pPr>
              <w:spacing w:after="0"/>
              <w:rPr>
                <w:sz w:val="13"/>
                <w:szCs w:val="13"/>
                <w:color w:val="auto"/>
              </w:rPr>
            </w:pPr>
          </w:p>
        </w:tc>
        <w:tc>
          <w:tcPr>
            <w:tcW w:w="1460" w:type="dxa"/>
            <w:vAlign w:val="bottom"/>
            <w:gridSpan w:val="2"/>
          </w:tcPr>
          <w:p>
            <w:pPr>
              <w:ind w:left="120"/>
              <w:spacing w:after="0" w:line="158" w:lineRule="exact"/>
              <w:rPr>
                <w:sz w:val="20"/>
                <w:szCs w:val="20"/>
                <w:color w:val="auto"/>
              </w:rPr>
            </w:pPr>
            <w:r>
              <w:rPr>
                <w:rFonts w:ascii="Arial" w:cs="Arial" w:eastAsia="Arial" w:hAnsi="Arial"/>
                <w:sz w:val="16"/>
                <w:szCs w:val="16"/>
                <w:b w:val="1"/>
                <w:bCs w:val="1"/>
                <w:color w:val="auto"/>
              </w:rPr>
              <w:t>Accumulated</w:t>
            </w:r>
          </w:p>
        </w:tc>
        <w:tc>
          <w:tcPr>
            <w:tcW w:w="156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5"/>
              </w:rPr>
              <w:t>Net carrying amount</w:t>
            </w:r>
          </w:p>
        </w:tc>
        <w:tc>
          <w:tcPr>
            <w:tcW w:w="0" w:type="dxa"/>
            <w:vAlign w:val="bottom"/>
          </w:tcPr>
          <w:p>
            <w:pPr>
              <w:spacing w:after="0"/>
              <w:rPr>
                <w:sz w:val="1"/>
                <w:szCs w:val="1"/>
                <w:color w:val="auto"/>
              </w:rPr>
            </w:pPr>
          </w:p>
        </w:tc>
      </w:tr>
      <w:tr>
        <w:trPr>
          <w:trHeight w:val="213"/>
        </w:trPr>
        <w:tc>
          <w:tcPr>
            <w:tcW w:w="4480" w:type="dxa"/>
            <w:vAlign w:val="bottom"/>
          </w:tcPr>
          <w:p>
            <w:pPr>
              <w:spacing w:after="0"/>
              <w:rPr>
                <w:sz w:val="18"/>
                <w:szCs w:val="18"/>
                <w:color w:val="auto"/>
              </w:rPr>
            </w:pPr>
          </w:p>
        </w:tc>
        <w:tc>
          <w:tcPr>
            <w:tcW w:w="1840" w:type="dxa"/>
            <w:vAlign w:val="bottom"/>
            <w:gridSpan w:val="4"/>
            <w:vMerge w:val="continue"/>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amount</w:t>
            </w:r>
          </w:p>
        </w:tc>
        <w:tc>
          <w:tcPr>
            <w:tcW w:w="200" w:type="dxa"/>
            <w:vAlign w:val="bottom"/>
          </w:tcPr>
          <w:p>
            <w:pPr>
              <w:spacing w:after="0"/>
              <w:rPr>
                <w:sz w:val="18"/>
                <w:szCs w:val="18"/>
                <w:color w:val="auto"/>
              </w:rPr>
            </w:pPr>
          </w:p>
        </w:tc>
        <w:tc>
          <w:tcPr>
            <w:tcW w:w="1460" w:type="dxa"/>
            <w:vAlign w:val="bottom"/>
            <w:gridSpan w:val="2"/>
          </w:tcPr>
          <w:p>
            <w:pPr>
              <w:ind w:left="120"/>
              <w:spacing w:after="0"/>
              <w:rPr>
                <w:sz w:val="20"/>
                <w:szCs w:val="20"/>
                <w:color w:val="auto"/>
              </w:rPr>
            </w:pPr>
            <w:r>
              <w:rPr>
                <w:rFonts w:ascii="Arial" w:cs="Arial" w:eastAsia="Arial" w:hAnsi="Arial"/>
                <w:sz w:val="16"/>
                <w:szCs w:val="16"/>
                <w:b w:val="1"/>
                <w:bCs w:val="1"/>
                <w:color w:val="auto"/>
              </w:rPr>
              <w:t>amortization</w:t>
            </w:r>
          </w:p>
        </w:tc>
        <w:tc>
          <w:tcPr>
            <w:tcW w:w="15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Acquired definite-lived intangible assets:</w:t>
            </w:r>
          </w:p>
        </w:tc>
        <w:tc>
          <w:tcPr>
            <w:tcW w:w="6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80" w:type="dxa"/>
            <w:vAlign w:val="bottom"/>
          </w:tcPr>
          <w:p>
            <w:pPr>
              <w:ind w:left="120"/>
              <w:spacing w:after="0"/>
              <w:rPr>
                <w:sz w:val="20"/>
                <w:szCs w:val="20"/>
                <w:color w:val="auto"/>
              </w:rPr>
            </w:pPr>
            <w:r>
              <w:rPr>
                <w:rFonts w:ascii="Arial" w:cs="Arial" w:eastAsia="Arial" w:hAnsi="Arial"/>
                <w:sz w:val="18"/>
                <w:szCs w:val="18"/>
                <w:color w:val="auto"/>
              </w:rPr>
              <w:t>Internally-developed franchises</w:t>
            </w:r>
          </w:p>
        </w:tc>
        <w:tc>
          <w:tcPr>
            <w:tcW w:w="600" w:type="dxa"/>
            <w:vAlign w:val="bottom"/>
          </w:tcPr>
          <w:p>
            <w:pPr>
              <w:ind w:left="500"/>
              <w:spacing w:after="0"/>
              <w:rPr>
                <w:sz w:val="20"/>
                <w:szCs w:val="20"/>
                <w:color w:val="auto"/>
              </w:rPr>
            </w:pPr>
            <w:r>
              <w:rPr>
                <w:rFonts w:ascii="Arial" w:cs="Arial" w:eastAsia="Arial" w:hAnsi="Arial"/>
                <w:sz w:val="18"/>
                <w:szCs w:val="18"/>
                <w:color w:val="auto"/>
                <w:w w:val="79"/>
              </w:rPr>
              <w:t>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40"/>
              <w:spacing w:after="0"/>
              <w:rPr>
                <w:sz w:val="20"/>
                <w:szCs w:val="20"/>
                <w:color w:val="auto"/>
              </w:rPr>
            </w:pPr>
            <w:r>
              <w:rPr>
                <w:rFonts w:ascii="Arial" w:cs="Arial" w:eastAsia="Arial" w:hAnsi="Arial"/>
                <w:sz w:val="18"/>
                <w:szCs w:val="18"/>
                <w:color w:val="auto"/>
              </w:rPr>
              <w:t>11 years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1,154</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(1,105)</w:t>
            </w:r>
          </w:p>
        </w:tc>
        <w:tc>
          <w:tcPr>
            <w:tcW w:w="120" w:type="dxa"/>
            <w:vAlign w:val="bottom"/>
          </w:tcPr>
          <w:p>
            <w:pPr>
              <w:spacing w:after="0"/>
              <w:rPr>
                <w:sz w:val="19"/>
                <w:szCs w:val="19"/>
                <w:color w:val="auto"/>
              </w:rPr>
            </w:pPr>
          </w:p>
        </w:tc>
        <w:tc>
          <w:tcPr>
            <w:tcW w:w="660" w:type="dxa"/>
            <w:vAlign w:val="bottom"/>
          </w:tcPr>
          <w:p>
            <w:pPr>
              <w:jc w:val="right"/>
              <w:ind w:right="47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9"/>
        </w:trPr>
        <w:tc>
          <w:tcPr>
            <w:tcW w:w="4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Developed software</w:t>
            </w:r>
          </w:p>
        </w:tc>
        <w:tc>
          <w:tcPr>
            <w:tcW w:w="600" w:type="dxa"/>
            <w:vAlign w:val="bottom"/>
            <w:shd w:val="clear" w:color="auto" w:fill="CCEEFF"/>
          </w:tcPr>
          <w:p>
            <w:pPr>
              <w:ind w:left="500"/>
              <w:spacing w:after="0"/>
              <w:rPr>
                <w:sz w:val="20"/>
                <w:szCs w:val="20"/>
                <w:color w:val="auto"/>
              </w:rPr>
            </w:pPr>
            <w:r>
              <w:rPr>
                <w:rFonts w:ascii="Arial" w:cs="Arial" w:eastAsia="Arial" w:hAnsi="Arial"/>
                <w:sz w:val="18"/>
                <w:szCs w:val="18"/>
                <w:color w:val="auto"/>
                <w:w w:val="79"/>
              </w:rPr>
              <w:t>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5 years</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4480" w:type="dxa"/>
            <w:vAlign w:val="bottom"/>
          </w:tcPr>
          <w:p>
            <w:pPr>
              <w:ind w:left="120"/>
              <w:spacing w:after="0"/>
              <w:rPr>
                <w:sz w:val="20"/>
                <w:szCs w:val="20"/>
                <w:color w:val="auto"/>
              </w:rPr>
            </w:pPr>
            <w:r>
              <w:rPr>
                <w:rFonts w:ascii="Arial" w:cs="Arial" w:eastAsia="Arial" w:hAnsi="Arial"/>
                <w:sz w:val="18"/>
                <w:szCs w:val="18"/>
                <w:color w:val="auto"/>
              </w:rPr>
              <w:t>Trade names</w:t>
            </w:r>
          </w:p>
        </w:tc>
        <w:tc>
          <w:tcPr>
            <w:tcW w:w="600" w:type="dxa"/>
            <w:vAlign w:val="bottom"/>
          </w:tcPr>
          <w:p>
            <w:pPr>
              <w:ind w:left="500"/>
              <w:spacing w:after="0"/>
              <w:rPr>
                <w:sz w:val="20"/>
                <w:szCs w:val="20"/>
                <w:color w:val="auto"/>
              </w:rPr>
            </w:pPr>
            <w:r>
              <w:rPr>
                <w:rFonts w:ascii="Arial" w:cs="Arial" w:eastAsia="Arial" w:hAnsi="Arial"/>
                <w:sz w:val="18"/>
                <w:szCs w:val="18"/>
                <w:color w:val="auto"/>
                <w:w w:val="79"/>
              </w:rPr>
              <w:t>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40"/>
              <w:spacing w:after="0"/>
              <w:rPr>
                <w:sz w:val="20"/>
                <w:szCs w:val="20"/>
                <w:color w:val="auto"/>
              </w:rPr>
            </w:pPr>
            <w:r>
              <w:rPr>
                <w:rFonts w:ascii="Arial" w:cs="Arial" w:eastAsia="Arial" w:hAnsi="Arial"/>
                <w:sz w:val="18"/>
                <w:szCs w:val="18"/>
                <w:color w:val="auto"/>
              </w:rPr>
              <w:t>10 years</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600" w:type="dxa"/>
            <w:vAlign w:val="bottom"/>
            <w:shd w:val="clear" w:color="auto" w:fill="CCEEFF"/>
          </w:tcPr>
          <w:p>
            <w:pPr>
              <w:ind w:left="500"/>
              <w:spacing w:after="0"/>
              <w:rPr>
                <w:sz w:val="20"/>
                <w:szCs w:val="20"/>
                <w:color w:val="auto"/>
              </w:rPr>
            </w:pPr>
            <w:r>
              <w:rPr>
                <w:rFonts w:ascii="Arial" w:cs="Arial" w:eastAsia="Arial" w:hAnsi="Arial"/>
                <w:sz w:val="18"/>
                <w:szCs w:val="18"/>
                <w:color w:val="auto"/>
                <w:w w:val="79"/>
              </w:rPr>
              <w:t>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15 years</w:t>
            </w: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4480" w:type="dxa"/>
            <w:vAlign w:val="bottom"/>
          </w:tcPr>
          <w:p>
            <w:pPr>
              <w:ind w:left="20"/>
              <w:spacing w:after="0"/>
              <w:rPr>
                <w:sz w:val="20"/>
                <w:szCs w:val="20"/>
                <w:color w:val="auto"/>
              </w:rPr>
            </w:pPr>
            <w:r>
              <w:rPr>
                <w:rFonts w:ascii="Arial" w:cs="Arial" w:eastAsia="Arial" w:hAnsi="Arial"/>
                <w:sz w:val="18"/>
                <w:szCs w:val="18"/>
                <w:color w:val="auto"/>
              </w:rPr>
              <w:t>Total definite-lived intangible assets</w:t>
            </w: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1,828</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(1,730)</w:t>
            </w:r>
          </w:p>
        </w:tc>
        <w:tc>
          <w:tcPr>
            <w:tcW w:w="120" w:type="dxa"/>
            <w:vAlign w:val="bottom"/>
          </w:tcPr>
          <w:p>
            <w:pPr>
              <w:spacing w:after="0"/>
              <w:rPr>
                <w:sz w:val="19"/>
                <w:szCs w:val="19"/>
                <w:color w:val="auto"/>
              </w:rPr>
            </w:pPr>
          </w:p>
        </w:tc>
        <w:tc>
          <w:tcPr>
            <w:tcW w:w="66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
        </w:trPr>
        <w:tc>
          <w:tcPr>
            <w:tcW w:w="44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4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4480" w:type="dxa"/>
            <w:vAlign w:val="bottom"/>
          </w:tcPr>
          <w:p>
            <w:pPr>
              <w:ind w:left="20"/>
              <w:spacing w:after="0"/>
              <w:rPr>
                <w:sz w:val="20"/>
                <w:szCs w:val="20"/>
                <w:color w:val="auto"/>
              </w:rPr>
            </w:pPr>
            <w:r>
              <w:rPr>
                <w:rFonts w:ascii="Arial" w:cs="Arial" w:eastAsia="Arial" w:hAnsi="Arial"/>
                <w:sz w:val="18"/>
                <w:szCs w:val="18"/>
                <w:color w:val="auto"/>
              </w:rPr>
              <w:t>Acquired indefinite-lived intangible assets:</w:t>
            </w: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Activision trademark</w:t>
            </w:r>
          </w:p>
        </w:tc>
        <w:tc>
          <w:tcPr>
            <w:tcW w:w="1840" w:type="dxa"/>
            <w:vAlign w:val="bottom"/>
            <w:gridSpan w:val="4"/>
            <w:shd w:val="clear" w:color="auto" w:fill="CCEEFF"/>
          </w:tcPr>
          <w:p>
            <w:pPr>
              <w:ind w:left="520"/>
              <w:spacing w:after="0"/>
              <w:rPr>
                <w:sz w:val="20"/>
                <w:szCs w:val="20"/>
                <w:color w:val="auto"/>
              </w:rPr>
            </w:pPr>
            <w:r>
              <w:rPr>
                <w:rFonts w:ascii="Arial" w:cs="Arial" w:eastAsia="Arial" w:hAnsi="Arial"/>
                <w:sz w:val="18"/>
                <w:szCs w:val="18"/>
                <w:color w:val="auto"/>
              </w:rPr>
              <w:t>Indefinite</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30"/>
        </w:trPr>
        <w:tc>
          <w:tcPr>
            <w:tcW w:w="44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Acquired trade names</w:t>
            </w:r>
          </w:p>
        </w:tc>
        <w:tc>
          <w:tcPr>
            <w:tcW w:w="1840" w:type="dxa"/>
            <w:vAlign w:val="bottom"/>
            <w:tcBorders>
              <w:bottom w:val="single" w:sz="8" w:color="CCEEFF"/>
            </w:tcBorders>
            <w:gridSpan w:val="4"/>
          </w:tcPr>
          <w:p>
            <w:pPr>
              <w:ind w:left="520"/>
              <w:spacing w:after="0"/>
              <w:rPr>
                <w:sz w:val="20"/>
                <w:szCs w:val="20"/>
                <w:color w:val="auto"/>
              </w:rPr>
            </w:pPr>
            <w:r>
              <w:rPr>
                <w:rFonts w:ascii="Arial" w:cs="Arial" w:eastAsia="Arial" w:hAnsi="Arial"/>
                <w:sz w:val="18"/>
                <w:szCs w:val="18"/>
                <w:color w:val="auto"/>
              </w:rPr>
              <w:t>Indefinite</w:t>
            </w:r>
          </w:p>
        </w:tc>
        <w:tc>
          <w:tcPr>
            <w:tcW w:w="18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3"/>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indefinite-lived intangible assets</w:t>
            </w:r>
          </w:p>
        </w:tc>
        <w:tc>
          <w:tcPr>
            <w:tcW w:w="6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47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23"/>
        </w:trPr>
        <w:tc>
          <w:tcPr>
            <w:tcW w:w="4480" w:type="dxa"/>
            <w:vAlign w:val="bottom"/>
          </w:tcPr>
          <w:p>
            <w:pPr>
              <w:ind w:left="20"/>
              <w:spacing w:after="0"/>
              <w:rPr>
                <w:sz w:val="20"/>
                <w:szCs w:val="20"/>
                <w:color w:val="auto"/>
              </w:rPr>
            </w:pPr>
            <w:r>
              <w:rPr>
                <w:rFonts w:ascii="Arial" w:cs="Arial" w:eastAsia="Arial" w:hAnsi="Arial"/>
                <w:sz w:val="18"/>
                <w:szCs w:val="18"/>
                <w:color w:val="auto"/>
              </w:rPr>
              <w:t>Total intangible assets, net</w:t>
            </w: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Amortization expense of our intangible assets was $16 million and $62 million for the three and nine months ended September 30, 2020,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Amortization expense of our intangible assets was $50 million and $152 million for the three and nine months ended September 30, 2019, respectively.</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September 30, 2020, future amortization of definite-lived intangible assets is estimated as follows (amounts in millions):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For the years ending December 31,</w:t>
            </w:r>
          </w:p>
        </w:tc>
        <w:tc>
          <w:tcPr>
            <w:tcW w:w="5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2020 (remaining three months)</w:t>
            </w:r>
          </w:p>
        </w:tc>
        <w:tc>
          <w:tcPr>
            <w:tcW w:w="6160" w:type="dxa"/>
            <w:vAlign w:val="bottom"/>
            <w:gridSpan w:val="2"/>
          </w:tcPr>
          <w:p>
            <w:pPr>
              <w:jc w:val="right"/>
              <w:ind w:right="63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5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2022</w:t>
            </w:r>
          </w:p>
        </w:tc>
        <w:tc>
          <w:tcPr>
            <w:tcW w:w="5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5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4120" w:type="dxa"/>
            <w:vAlign w:val="bottom"/>
          </w:tcPr>
          <w:p>
            <w:pPr>
              <w:ind w:left="20"/>
              <w:spacing w:after="0"/>
              <w:rPr>
                <w:sz w:val="20"/>
                <w:szCs w:val="20"/>
                <w:color w:val="auto"/>
              </w:rPr>
            </w:pPr>
            <w:r>
              <w:rPr>
                <w:rFonts w:ascii="Arial" w:cs="Arial" w:eastAsia="Arial" w:hAnsi="Arial"/>
                <w:sz w:val="18"/>
                <w:szCs w:val="18"/>
                <w:color w:val="auto"/>
              </w:rPr>
              <w:t>2024</w:t>
            </w:r>
          </w:p>
        </w:tc>
        <w:tc>
          <w:tcPr>
            <w:tcW w:w="5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532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4120" w:type="dxa"/>
            <w:vAlign w:val="bottom"/>
          </w:tcPr>
          <w:p>
            <w:pPr>
              <w:ind w:left="20"/>
              <w:spacing w:after="0"/>
              <w:rPr>
                <w:sz w:val="20"/>
                <w:szCs w:val="20"/>
                <w:color w:val="auto"/>
              </w:rPr>
            </w:pPr>
            <w:r>
              <w:rPr>
                <w:rFonts w:ascii="Arial" w:cs="Arial" w:eastAsia="Arial" w:hAnsi="Arial"/>
                <w:sz w:val="18"/>
                <w:szCs w:val="18"/>
                <w:color w:val="auto"/>
              </w:rPr>
              <w:t>Total</w:t>
            </w:r>
          </w:p>
        </w:tc>
        <w:tc>
          <w:tcPr>
            <w:tcW w:w="5320" w:type="dxa"/>
            <w:vAlign w:val="bottom"/>
          </w:tcPr>
          <w:p>
            <w:pPr>
              <w:spacing w:after="0"/>
              <w:rPr>
                <w:sz w:val="19"/>
                <w:szCs w:val="19"/>
                <w:color w:val="auto"/>
              </w:rPr>
            </w:pPr>
          </w:p>
        </w:tc>
        <w:tc>
          <w:tcPr>
            <w:tcW w:w="8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
        </w:trPr>
        <w:tc>
          <w:tcPr>
            <w:tcW w:w="4120" w:type="dxa"/>
            <w:vAlign w:val="bottom"/>
          </w:tcPr>
          <w:p>
            <w:pPr>
              <w:spacing w:after="0" w:line="20" w:lineRule="exact"/>
              <w:rPr>
                <w:sz w:val="1"/>
                <w:szCs w:val="1"/>
                <w:color w:val="auto"/>
              </w:rPr>
            </w:pPr>
          </w:p>
        </w:tc>
        <w:tc>
          <w:tcPr>
            <w:tcW w:w="5320" w:type="dxa"/>
            <w:vAlign w:val="bottom"/>
            <w:vMerge w:val="restart"/>
          </w:tcPr>
          <w:p>
            <w:pPr>
              <w:jc w:val="right"/>
              <w:ind w:right="3630"/>
              <w:spacing w:after="0"/>
              <w:rPr>
                <w:sz w:val="20"/>
                <w:szCs w:val="20"/>
                <w:color w:val="auto"/>
              </w:rPr>
            </w:pPr>
            <w:r>
              <w:rPr>
                <w:rFonts w:ascii="Arial" w:cs="Arial" w:eastAsia="Arial" w:hAnsi="Arial"/>
                <w:sz w:val="18"/>
                <w:szCs w:val="18"/>
                <w:color w:val="auto"/>
              </w:rPr>
              <w:t>13</w:t>
            </w:r>
          </w:p>
        </w:tc>
        <w:tc>
          <w:tcPr>
            <w:tcW w:w="8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7"/>
        </w:trPr>
        <w:tc>
          <w:tcPr>
            <w:tcW w:w="4120" w:type="dxa"/>
            <w:vAlign w:val="bottom"/>
          </w:tcPr>
          <w:p>
            <w:pPr>
              <w:spacing w:after="0"/>
              <w:rPr>
                <w:sz w:val="24"/>
                <w:szCs w:val="24"/>
                <w:color w:val="auto"/>
              </w:rPr>
            </w:pPr>
          </w:p>
        </w:tc>
        <w:tc>
          <w:tcPr>
            <w:tcW w:w="532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20" w:type="dxa"/>
            <w:vAlign w:val="bottom"/>
            <w:tcBorders>
              <w:bottom w:val="single" w:sz="8" w:color="9A9A9A"/>
            </w:tcBorders>
          </w:tcPr>
          <w:p>
            <w:pPr>
              <w:spacing w:after="0"/>
              <w:rPr>
                <w:sz w:val="10"/>
                <w:szCs w:val="10"/>
                <w:color w:val="auto"/>
              </w:rPr>
            </w:pPr>
          </w:p>
        </w:tc>
        <w:tc>
          <w:tcPr>
            <w:tcW w:w="53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carrying amount of goodwill by reportable segment at both September 30, 2020 and December 31, 2019 was as follows (amounts in millions):</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gridSpan w:val="2"/>
          </w:tcPr>
          <w:p>
            <w:pPr>
              <w:ind w:left="160"/>
              <w:spacing w:after="0"/>
              <w:rPr>
                <w:sz w:val="20"/>
                <w:szCs w:val="20"/>
                <w:color w:val="auto"/>
              </w:rPr>
            </w:pPr>
            <w:r>
              <w:rPr>
                <w:rFonts w:ascii="Arial" w:cs="Arial" w:eastAsia="Arial" w:hAnsi="Arial"/>
                <w:sz w:val="18"/>
                <w:szCs w:val="18"/>
                <w:b w:val="1"/>
                <w:bCs w:val="1"/>
                <w:color w:val="auto"/>
              </w:rPr>
              <w:t>Activision</w:t>
            </w:r>
          </w:p>
        </w:tc>
        <w:tc>
          <w:tcPr>
            <w:tcW w:w="300" w:type="dxa"/>
            <w:vAlign w:val="bottom"/>
          </w:tcPr>
          <w:p>
            <w:pPr>
              <w:spacing w:after="0"/>
              <w:rPr>
                <w:sz w:val="20"/>
                <w:szCs w:val="20"/>
                <w:color w:val="auto"/>
              </w:rPr>
            </w:pPr>
          </w:p>
        </w:tc>
        <w:tc>
          <w:tcPr>
            <w:tcW w:w="1480" w:type="dxa"/>
            <w:vAlign w:val="bottom"/>
            <w:gridSpan w:val="2"/>
          </w:tcPr>
          <w:p>
            <w:pPr>
              <w:ind w:left="200"/>
              <w:spacing w:after="0"/>
              <w:rPr>
                <w:sz w:val="20"/>
                <w:szCs w:val="20"/>
                <w:color w:val="auto"/>
              </w:rPr>
            </w:pPr>
            <w:r>
              <w:rPr>
                <w:rFonts w:ascii="Arial" w:cs="Arial" w:eastAsia="Arial" w:hAnsi="Arial"/>
                <w:sz w:val="18"/>
                <w:szCs w:val="18"/>
                <w:b w:val="1"/>
                <w:bCs w:val="1"/>
                <w:color w:val="auto"/>
              </w:rPr>
              <w:t>Blizzard</w:t>
            </w:r>
          </w:p>
        </w:tc>
        <w:tc>
          <w:tcPr>
            <w:tcW w:w="360" w:type="dxa"/>
            <w:vAlign w:val="bottom"/>
          </w:tcPr>
          <w:p>
            <w:pPr>
              <w:spacing w:after="0"/>
              <w:rPr>
                <w:sz w:val="20"/>
                <w:szCs w:val="20"/>
                <w:color w:val="auto"/>
              </w:rPr>
            </w:pPr>
          </w:p>
        </w:tc>
        <w:tc>
          <w:tcPr>
            <w:tcW w:w="1380" w:type="dxa"/>
            <w:vAlign w:val="bottom"/>
            <w:gridSpan w:val="2"/>
          </w:tcPr>
          <w:p>
            <w:pPr>
              <w:ind w:left="260"/>
              <w:spacing w:after="0"/>
              <w:rPr>
                <w:sz w:val="20"/>
                <w:szCs w:val="20"/>
                <w:color w:val="auto"/>
              </w:rPr>
            </w:pPr>
            <w:r>
              <w:rPr>
                <w:rFonts w:ascii="Arial" w:cs="Arial" w:eastAsia="Arial" w:hAnsi="Arial"/>
                <w:sz w:val="18"/>
                <w:szCs w:val="18"/>
                <w:b w:val="1"/>
                <w:bCs w:val="1"/>
                <w:color w:val="auto"/>
              </w:rPr>
              <w:t>King</w:t>
            </w:r>
          </w:p>
        </w:tc>
        <w:tc>
          <w:tcPr>
            <w:tcW w:w="380" w:type="dxa"/>
            <w:vAlign w:val="bottom"/>
          </w:tcPr>
          <w:p>
            <w:pPr>
              <w:spacing w:after="0"/>
              <w:rPr>
                <w:sz w:val="20"/>
                <w:szCs w:val="20"/>
                <w:color w:val="auto"/>
              </w:rPr>
            </w:pPr>
          </w:p>
        </w:tc>
        <w:tc>
          <w:tcPr>
            <w:tcW w:w="1260" w:type="dxa"/>
            <w:vAlign w:val="bottom"/>
          </w:tcPr>
          <w:p>
            <w:pPr>
              <w:jc w:val="right"/>
              <w:ind w:right="530"/>
              <w:spacing w:after="0"/>
              <w:rPr>
                <w:sz w:val="20"/>
                <w:szCs w:val="20"/>
                <w:color w:val="auto"/>
              </w:rPr>
            </w:pPr>
            <w:r>
              <w:rPr>
                <w:rFonts w:ascii="Arial" w:cs="Arial" w:eastAsia="Arial" w:hAnsi="Arial"/>
                <w:sz w:val="18"/>
                <w:szCs w:val="18"/>
                <w:b w:val="1"/>
                <w:bCs w:val="1"/>
                <w:color w:val="auto"/>
              </w:rPr>
              <w:t>Total</w:t>
            </w:r>
          </w:p>
        </w:tc>
      </w:tr>
      <w:tr>
        <w:trPr>
          <w:trHeight w:val="223"/>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6,898</w:t>
            </w:r>
          </w:p>
        </w:tc>
        <w:tc>
          <w:tcPr>
            <w:tcW w:w="1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4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2,676</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9,764</w:t>
            </w:r>
          </w:p>
        </w:tc>
      </w:tr>
      <w:tr>
        <w:trPr>
          <w:trHeight w:val="540"/>
        </w:trPr>
        <w:tc>
          <w:tcPr>
            <w:tcW w:w="4320" w:type="dxa"/>
            <w:vAlign w:val="bottom"/>
          </w:tcPr>
          <w:p>
            <w:pPr>
              <w:spacing w:after="0"/>
              <w:rPr>
                <w:sz w:val="20"/>
                <w:szCs w:val="20"/>
                <w:color w:val="auto"/>
              </w:rPr>
            </w:pPr>
            <w:r>
              <w:rPr>
                <w:rFonts w:ascii="Arial" w:cs="Arial" w:eastAsia="Arial" w:hAnsi="Arial"/>
                <w:sz w:val="18"/>
                <w:szCs w:val="18"/>
                <w:b w:val="1"/>
                <w:bCs w:val="1"/>
                <w:color w:val="auto"/>
              </w:rPr>
              <w:t>6. Fair Value Measurements</w:t>
            </w: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pacing w:after="0" w:line="229"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The FASB literature regarding fair value measurements for certain assets and liabilities establishes a three-level fair value hierarchy that prioritizes the inputs used to measure fair value. This hierarchy requires entities to maximize the use of “observable inputs” and minimize the use of “unobservable inputs.” The three levels of inputs used to measure fair value are as follows:</w:t>
      </w:r>
    </w:p>
    <w:p>
      <w:pPr>
        <w:spacing w:after="0" w:line="184" w:lineRule="exact"/>
        <w:rPr>
          <w:sz w:val="20"/>
          <w:szCs w:val="20"/>
          <w:color w:val="auto"/>
        </w:rPr>
      </w:pPr>
    </w:p>
    <w:p>
      <w:pPr>
        <w:ind w:left="660" w:hanging="16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1—Quoted prices in active markets for identical assets or liabilities;</w:t>
      </w:r>
    </w:p>
    <w:p>
      <w:pPr>
        <w:spacing w:after="0" w:line="252" w:lineRule="exact"/>
        <w:rPr>
          <w:rFonts w:ascii="Arial" w:cs="Arial" w:eastAsia="Arial" w:hAnsi="Arial"/>
          <w:sz w:val="18"/>
          <w:szCs w:val="18"/>
          <w:color w:val="auto"/>
        </w:rPr>
      </w:pPr>
    </w:p>
    <w:p>
      <w:pPr>
        <w:ind w:left="660" w:right="80" w:hanging="166"/>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2—Observable inputs other than quoted prices included in Level 1, such as quoted prices for similar assets or liabilities in active markets or other inputs that are observable or can be corroborated by observable market data; and</w:t>
      </w:r>
    </w:p>
    <w:p>
      <w:pPr>
        <w:spacing w:after="0" w:line="197" w:lineRule="exact"/>
        <w:rPr>
          <w:rFonts w:ascii="Arial" w:cs="Arial" w:eastAsia="Arial" w:hAnsi="Arial"/>
          <w:sz w:val="18"/>
          <w:szCs w:val="18"/>
          <w:color w:val="auto"/>
        </w:rPr>
      </w:pPr>
    </w:p>
    <w:p>
      <w:pPr>
        <w:ind w:left="660" w:right="160" w:hanging="166"/>
        <w:spacing w:after="0" w:line="342" w:lineRule="auto"/>
        <w:tabs>
          <w:tab w:leader="none" w:pos="655" w:val="left"/>
        </w:tabs>
        <w:numPr>
          <w:ilvl w:val="0"/>
          <w:numId w:val="4"/>
        </w:numPr>
        <w:rPr>
          <w:rFonts w:ascii="Arial" w:cs="Arial" w:eastAsia="Arial" w:hAnsi="Arial"/>
          <w:sz w:val="16"/>
          <w:szCs w:val="16"/>
          <w:color w:val="auto"/>
        </w:rPr>
      </w:pPr>
      <w:r>
        <w:rPr>
          <w:rFonts w:ascii="Arial" w:cs="Arial" w:eastAsia="Arial" w:hAnsi="Arial"/>
          <w:sz w:val="16"/>
          <w:szCs w:val="16"/>
          <w:color w:val="auto"/>
        </w:rPr>
        <w:t>Level 3—Unobservable inputs that are supported by little or no market activity and that are significant to the fair value of the assets or liabilities, including certain pricing models, discounted cash flow methodologies, and similar techniques that use significant unobservable inputs.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 on a Recurring Basis</w:t>
      </w:r>
    </w:p>
    <w:p>
      <w:pPr>
        <w:spacing w:after="0" w:line="225" w:lineRule="exact"/>
        <w:rPr>
          <w:sz w:val="20"/>
          <w:szCs w:val="20"/>
          <w:color w:val="auto"/>
        </w:rPr>
      </w:pPr>
    </w:p>
    <w:p>
      <w:pPr>
        <w:ind w:right="180" w:firstLine="324"/>
        <w:spacing w:after="0" w:line="308" w:lineRule="auto"/>
        <w:rPr>
          <w:sz w:val="20"/>
          <w:szCs w:val="20"/>
          <w:color w:val="auto"/>
        </w:rPr>
      </w:pPr>
      <w:r>
        <w:rPr>
          <w:rFonts w:ascii="Arial" w:cs="Arial" w:eastAsia="Arial" w:hAnsi="Arial"/>
          <w:sz w:val="17"/>
          <w:szCs w:val="17"/>
          <w:color w:val="auto"/>
        </w:rPr>
        <w:t>The table below segregates all of our financial assets and liabilities that are measured at fair value on a recurring basis into the most appropriate level within the fair value hierarchy based on the inputs used to determine the fair value at the measurement date (amounts in millions):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40" w:type="dxa"/>
            <w:vAlign w:val="bottom"/>
            <w:tcBorders>
              <w:bottom w:val="single" w:sz="8" w:color="auto"/>
            </w:tcBorders>
            <w:gridSpan w:val="8"/>
          </w:tcPr>
          <w:p>
            <w:pPr>
              <w:jc w:val="right"/>
              <w:spacing w:after="0"/>
              <w:rPr>
                <w:sz w:val="20"/>
                <w:szCs w:val="20"/>
                <w:color w:val="auto"/>
              </w:rPr>
            </w:pPr>
            <w:r>
              <w:rPr>
                <w:rFonts w:ascii="Arial" w:cs="Arial" w:eastAsia="Arial" w:hAnsi="Arial"/>
                <w:sz w:val="16"/>
                <w:szCs w:val="16"/>
                <w:b w:val="1"/>
                <w:bCs w:val="1"/>
                <w:color w:val="auto"/>
                <w:w w:val="92"/>
              </w:rPr>
              <w:t>Fair Value Measurements at September 30, 2020 Using</w:t>
            </w:r>
          </w:p>
        </w:tc>
        <w:tc>
          <w:tcPr>
            <w:tcW w:w="1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3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3"/>
          </w:tcPr>
          <w:p>
            <w:pPr>
              <w:jc w:val="center"/>
              <w:ind w:right="100"/>
              <w:spacing w:after="0" w:line="158" w:lineRule="exact"/>
              <w:rPr>
                <w:sz w:val="20"/>
                <w:szCs w:val="20"/>
                <w:color w:val="auto"/>
              </w:rPr>
            </w:pPr>
            <w:r>
              <w:rPr>
                <w:rFonts w:ascii="Arial" w:cs="Arial" w:eastAsia="Arial" w:hAnsi="Arial"/>
                <w:sz w:val="16"/>
                <w:szCs w:val="16"/>
                <w:b w:val="1"/>
                <w:bCs w:val="1"/>
                <w:color w:val="auto"/>
                <w:w w:val="89"/>
              </w:rPr>
              <w:t>Quoted Prices in</w:t>
            </w:r>
          </w:p>
        </w:tc>
        <w:tc>
          <w:tcPr>
            <w:tcW w:w="120" w:type="dxa"/>
            <w:vAlign w:val="bottom"/>
          </w:tcPr>
          <w:p>
            <w:pPr>
              <w:spacing w:after="0"/>
              <w:rPr>
                <w:sz w:val="13"/>
                <w:szCs w:val="13"/>
                <w:color w:val="auto"/>
              </w:rPr>
            </w:pPr>
          </w:p>
        </w:tc>
        <w:tc>
          <w:tcPr>
            <w:tcW w:w="1100" w:type="dxa"/>
            <w:vAlign w:val="bottom"/>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w w:val="90"/>
              </w:rPr>
              <w:t>Significant</w:t>
            </w:r>
          </w:p>
        </w:tc>
        <w:tc>
          <w:tcPr>
            <w:tcW w:w="140" w:type="dxa"/>
            <w:vAlign w:val="bottom"/>
          </w:tcPr>
          <w:p>
            <w:pPr>
              <w:spacing w:after="0"/>
              <w:rPr>
                <w:sz w:val="13"/>
                <w:szCs w:val="13"/>
                <w:color w:val="auto"/>
              </w:rPr>
            </w:pPr>
          </w:p>
        </w:tc>
        <w:tc>
          <w:tcPr>
            <w:tcW w:w="1220" w:type="dxa"/>
            <w:vAlign w:val="bottom"/>
            <w:vMerge w:val="restart"/>
          </w:tcPr>
          <w:p>
            <w:pPr>
              <w:jc w:val="center"/>
              <w:ind w:right="74"/>
              <w:spacing w:after="0"/>
              <w:rPr>
                <w:sz w:val="20"/>
                <w:szCs w:val="20"/>
                <w:color w:val="auto"/>
              </w:rPr>
            </w:pPr>
            <w:r>
              <w:rPr>
                <w:rFonts w:ascii="Arial" w:cs="Arial" w:eastAsia="Arial" w:hAnsi="Arial"/>
                <w:sz w:val="16"/>
                <w:szCs w:val="16"/>
                <w:b w:val="1"/>
                <w:bCs w:val="1"/>
                <w:color w:val="auto"/>
                <w:w w:val="90"/>
              </w:rPr>
              <w:t>Significant</w:t>
            </w:r>
          </w:p>
        </w:tc>
        <w:tc>
          <w:tcPr>
            <w:tcW w:w="10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91"/>
              </w:rPr>
              <w:t>Active</w:t>
            </w:r>
          </w:p>
        </w:tc>
        <w:tc>
          <w:tcPr>
            <w:tcW w:w="120" w:type="dxa"/>
            <w:vAlign w:val="bottom"/>
          </w:tcPr>
          <w:p>
            <w:pPr>
              <w:spacing w:after="0"/>
              <w:rPr>
                <w:sz w:val="14"/>
                <w:szCs w:val="14"/>
                <w:color w:val="auto"/>
              </w:rPr>
            </w:pPr>
          </w:p>
        </w:tc>
        <w:tc>
          <w:tcPr>
            <w:tcW w:w="110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8"/>
              </w:rPr>
              <w:t>Other</w:t>
            </w:r>
          </w:p>
        </w:tc>
        <w:tc>
          <w:tcPr>
            <w:tcW w:w="14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20" w:type="dxa"/>
            <w:vAlign w:val="bottom"/>
          </w:tcPr>
          <w:p>
            <w:pPr>
              <w:spacing w:after="0"/>
              <w:rPr>
                <w:sz w:val="14"/>
                <w:szCs w:val="14"/>
                <w:color w:val="auto"/>
              </w:rPr>
            </w:pPr>
          </w:p>
        </w:tc>
        <w:tc>
          <w:tcPr>
            <w:tcW w:w="142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As of September</w:t>
            </w:r>
          </w:p>
        </w:tc>
        <w:tc>
          <w:tcPr>
            <w:tcW w:w="160" w:type="dxa"/>
            <w:vAlign w:val="bottom"/>
          </w:tcPr>
          <w:p>
            <w:pPr>
              <w:spacing w:after="0"/>
              <w:rPr>
                <w:sz w:val="14"/>
                <w:szCs w:val="14"/>
                <w:color w:val="auto"/>
              </w:rPr>
            </w:pPr>
          </w:p>
        </w:tc>
        <w:tc>
          <w:tcPr>
            <w:tcW w:w="120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5"/>
              </w:rPr>
              <w:t>Markets for</w:t>
            </w:r>
          </w:p>
        </w:tc>
        <w:tc>
          <w:tcPr>
            <w:tcW w:w="120" w:type="dxa"/>
            <w:vAlign w:val="bottom"/>
          </w:tcPr>
          <w:p>
            <w:pPr>
              <w:spacing w:after="0"/>
              <w:rPr>
                <w:sz w:val="14"/>
                <w:szCs w:val="14"/>
                <w:color w:val="auto"/>
              </w:rPr>
            </w:pPr>
          </w:p>
        </w:tc>
        <w:tc>
          <w:tcPr>
            <w:tcW w:w="110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89"/>
              </w:rPr>
              <w:t>Observable</w:t>
            </w:r>
          </w:p>
        </w:tc>
        <w:tc>
          <w:tcPr>
            <w:tcW w:w="140" w:type="dxa"/>
            <w:vAlign w:val="bottom"/>
          </w:tcPr>
          <w:p>
            <w:pPr>
              <w:spacing w:after="0"/>
              <w:rPr>
                <w:sz w:val="14"/>
                <w:szCs w:val="14"/>
                <w:color w:val="auto"/>
              </w:rPr>
            </w:pPr>
          </w:p>
        </w:tc>
        <w:tc>
          <w:tcPr>
            <w:tcW w:w="1220" w:type="dxa"/>
            <w:vAlign w:val="bottom"/>
          </w:tcPr>
          <w:p>
            <w:pPr>
              <w:jc w:val="center"/>
              <w:ind w:right="54"/>
              <w:spacing w:after="0" w:line="162" w:lineRule="exact"/>
              <w:rPr>
                <w:sz w:val="20"/>
                <w:szCs w:val="20"/>
                <w:color w:val="auto"/>
              </w:rPr>
            </w:pPr>
            <w:r>
              <w:rPr>
                <w:rFonts w:ascii="Arial" w:cs="Arial" w:eastAsia="Arial" w:hAnsi="Arial"/>
                <w:sz w:val="16"/>
                <w:szCs w:val="16"/>
                <w:b w:val="1"/>
                <w:bCs w:val="1"/>
                <w:color w:val="auto"/>
                <w:w w:val="90"/>
              </w:rPr>
              <w:t>Unobservable</w:t>
            </w:r>
          </w:p>
        </w:tc>
        <w:tc>
          <w:tcPr>
            <w:tcW w:w="1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20" w:type="dxa"/>
            <w:vAlign w:val="bottom"/>
          </w:tcPr>
          <w:p>
            <w:pPr>
              <w:spacing w:after="0"/>
              <w:rPr>
                <w:sz w:val="14"/>
                <w:szCs w:val="14"/>
                <w:color w:val="auto"/>
              </w:rPr>
            </w:pPr>
          </w:p>
        </w:tc>
        <w:tc>
          <w:tcPr>
            <w:tcW w:w="1420" w:type="dxa"/>
            <w:vAlign w:val="bottom"/>
            <w:gridSpan w:val="3"/>
            <w:vMerge w:val="continue"/>
          </w:tcPr>
          <w:p>
            <w:pPr>
              <w:spacing w:after="0"/>
              <w:rPr>
                <w:sz w:val="14"/>
                <w:szCs w:val="14"/>
                <w:color w:val="auto"/>
              </w:rPr>
            </w:pPr>
          </w:p>
        </w:tc>
        <w:tc>
          <w:tcPr>
            <w:tcW w:w="1360" w:type="dxa"/>
            <w:vAlign w:val="bottom"/>
            <w:gridSpan w:val="3"/>
          </w:tcPr>
          <w:p>
            <w:pPr>
              <w:jc w:val="center"/>
              <w:ind w:right="120"/>
              <w:spacing w:after="0" w:line="162" w:lineRule="exact"/>
              <w:rPr>
                <w:sz w:val="20"/>
                <w:szCs w:val="20"/>
                <w:color w:val="auto"/>
              </w:rPr>
            </w:pPr>
            <w:r>
              <w:rPr>
                <w:rFonts w:ascii="Arial" w:cs="Arial" w:eastAsia="Arial" w:hAnsi="Arial"/>
                <w:sz w:val="16"/>
                <w:szCs w:val="16"/>
                <w:b w:val="1"/>
                <w:bCs w:val="1"/>
                <w:color w:val="auto"/>
                <w:w w:val="88"/>
              </w:rPr>
              <w:t>Identical Assets</w:t>
            </w:r>
          </w:p>
        </w:tc>
        <w:tc>
          <w:tcPr>
            <w:tcW w:w="120" w:type="dxa"/>
            <w:vAlign w:val="bottom"/>
          </w:tcPr>
          <w:p>
            <w:pPr>
              <w:spacing w:after="0"/>
              <w:rPr>
                <w:sz w:val="14"/>
                <w:szCs w:val="14"/>
                <w:color w:val="auto"/>
              </w:rPr>
            </w:pPr>
          </w:p>
        </w:tc>
        <w:tc>
          <w:tcPr>
            <w:tcW w:w="110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5"/>
              </w:rPr>
              <w:t>Inputs</w:t>
            </w:r>
          </w:p>
        </w:tc>
        <w:tc>
          <w:tcPr>
            <w:tcW w:w="140" w:type="dxa"/>
            <w:vAlign w:val="bottom"/>
          </w:tcPr>
          <w:p>
            <w:pPr>
              <w:spacing w:after="0"/>
              <w:rPr>
                <w:sz w:val="14"/>
                <w:szCs w:val="14"/>
                <w:color w:val="auto"/>
              </w:rPr>
            </w:pPr>
          </w:p>
        </w:tc>
        <w:tc>
          <w:tcPr>
            <w:tcW w:w="1220" w:type="dxa"/>
            <w:vAlign w:val="bottom"/>
          </w:tcPr>
          <w:p>
            <w:pPr>
              <w:jc w:val="center"/>
              <w:ind w:right="74"/>
              <w:spacing w:after="0" w:line="162" w:lineRule="exact"/>
              <w:rPr>
                <w:sz w:val="20"/>
                <w:szCs w:val="20"/>
                <w:color w:val="auto"/>
              </w:rPr>
            </w:pPr>
            <w:r>
              <w:rPr>
                <w:rFonts w:ascii="Arial" w:cs="Arial" w:eastAsia="Arial" w:hAnsi="Arial"/>
                <w:sz w:val="16"/>
                <w:szCs w:val="16"/>
                <w:b w:val="1"/>
                <w:bCs w:val="1"/>
                <w:color w:val="auto"/>
                <w:w w:val="95"/>
              </w:rPr>
              <w:t>Inputs</w:t>
            </w:r>
          </w:p>
        </w:tc>
        <w:tc>
          <w:tcPr>
            <w:tcW w:w="100" w:type="dxa"/>
            <w:vAlign w:val="bottom"/>
          </w:tcPr>
          <w:p>
            <w:pPr>
              <w:spacing w:after="0"/>
              <w:rPr>
                <w:sz w:val="14"/>
                <w:szCs w:val="14"/>
                <w:color w:val="auto"/>
              </w:rPr>
            </w:pPr>
          </w:p>
        </w:tc>
        <w:tc>
          <w:tcPr>
            <w:tcW w:w="2460" w:type="dxa"/>
            <w:vAlign w:val="bottom"/>
            <w:vMerge w:val="restart"/>
          </w:tcPr>
          <w:p>
            <w:pPr>
              <w:ind w:left="260"/>
              <w:spacing w:after="0"/>
              <w:rPr>
                <w:sz w:val="20"/>
                <w:szCs w:val="20"/>
                <w:color w:val="auto"/>
              </w:rPr>
            </w:pPr>
            <w:r>
              <w:rPr>
                <w:rFonts w:ascii="Arial" w:cs="Arial" w:eastAsia="Arial" w:hAnsi="Arial"/>
                <w:sz w:val="16"/>
                <w:szCs w:val="16"/>
                <w:b w:val="1"/>
                <w:bCs w:val="1"/>
                <w:color w:val="auto"/>
              </w:rPr>
              <w:t>Balance Sheet Classification</w:t>
            </w:r>
          </w:p>
        </w:tc>
        <w:tc>
          <w:tcPr>
            <w:tcW w:w="0" w:type="dxa"/>
            <w:vAlign w:val="bottom"/>
          </w:tcPr>
          <w:p>
            <w:pPr>
              <w:spacing w:after="0"/>
              <w:rPr>
                <w:sz w:val="1"/>
                <w:szCs w:val="1"/>
                <w:color w:val="auto"/>
              </w:rPr>
            </w:pPr>
          </w:p>
        </w:tc>
      </w:tr>
      <w:tr>
        <w:trPr>
          <w:trHeight w:val="213"/>
        </w:trPr>
        <w:tc>
          <w:tcPr>
            <w:tcW w:w="3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ind w:right="291"/>
              <w:spacing w:after="0"/>
              <w:rPr>
                <w:sz w:val="20"/>
                <w:szCs w:val="20"/>
                <w:color w:val="auto"/>
              </w:rPr>
            </w:pPr>
            <w:r>
              <w:rPr>
                <w:rFonts w:ascii="Arial" w:cs="Arial" w:eastAsia="Arial" w:hAnsi="Arial"/>
                <w:sz w:val="16"/>
                <w:szCs w:val="16"/>
                <w:b w:val="1"/>
                <w:bCs w:val="1"/>
                <w:color w:val="auto"/>
              </w:rPr>
              <w:t>30, 2020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(Level 1)</w:t>
            </w: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(Level 2)</w:t>
            </w:r>
          </w:p>
        </w:tc>
        <w:tc>
          <w:tcPr>
            <w:tcW w:w="140" w:type="dxa"/>
            <w:vAlign w:val="bottom"/>
          </w:tcPr>
          <w:p>
            <w:pPr>
              <w:spacing w:after="0"/>
              <w:rPr>
                <w:sz w:val="18"/>
                <w:szCs w:val="18"/>
                <w:color w:val="auto"/>
              </w:rPr>
            </w:pPr>
          </w:p>
        </w:tc>
        <w:tc>
          <w:tcPr>
            <w:tcW w:w="1220" w:type="dxa"/>
            <w:vAlign w:val="bottom"/>
          </w:tcPr>
          <w:p>
            <w:pPr>
              <w:jc w:val="center"/>
              <w:ind w:right="74"/>
              <w:spacing w:after="0"/>
              <w:rPr>
                <w:sz w:val="20"/>
                <w:szCs w:val="20"/>
                <w:color w:val="auto"/>
              </w:rPr>
            </w:pPr>
            <w:r>
              <w:rPr>
                <w:rFonts w:ascii="Arial" w:cs="Arial" w:eastAsia="Arial" w:hAnsi="Arial"/>
                <w:sz w:val="16"/>
                <w:szCs w:val="16"/>
                <w:b w:val="1"/>
                <w:bCs w:val="1"/>
                <w:color w:val="auto"/>
                <w:w w:val="95"/>
              </w:rPr>
              <w:t>(Level 3)</w:t>
            </w:r>
          </w:p>
        </w:tc>
        <w:tc>
          <w:tcPr>
            <w:tcW w:w="100" w:type="dxa"/>
            <w:vAlign w:val="bottom"/>
          </w:tcPr>
          <w:p>
            <w:pPr>
              <w:spacing w:after="0"/>
              <w:rPr>
                <w:sz w:val="18"/>
                <w:szCs w:val="18"/>
                <w:color w:val="auto"/>
              </w:rPr>
            </w:pPr>
          </w:p>
        </w:tc>
        <w:tc>
          <w:tcPr>
            <w:tcW w:w="24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2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320" w:type="dxa"/>
            <w:vAlign w:val="bottom"/>
          </w:tcPr>
          <w:p>
            <w:pPr>
              <w:ind w:left="20"/>
              <w:spacing w:after="0"/>
              <w:rPr>
                <w:sz w:val="20"/>
                <w:szCs w:val="20"/>
                <w:color w:val="auto"/>
              </w:rPr>
            </w:pPr>
            <w:r>
              <w:rPr>
                <w:rFonts w:ascii="Arial" w:cs="Arial" w:eastAsia="Arial" w:hAnsi="Arial"/>
                <w:sz w:val="18"/>
                <w:szCs w:val="18"/>
                <w:color w:val="auto"/>
              </w:rPr>
              <w:t>Recurring fair value measurements:</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Money market funds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780" w:type="dxa"/>
            <w:vAlign w:val="bottom"/>
            <w:gridSpan w:val="3"/>
            <w:shd w:val="clear" w:color="auto" w:fill="CCEEFF"/>
          </w:tcPr>
          <w:p>
            <w:pPr>
              <w:ind w:left="960"/>
              <w:spacing w:after="0"/>
              <w:rPr>
                <w:sz w:val="20"/>
                <w:szCs w:val="20"/>
                <w:color w:val="auto"/>
              </w:rPr>
            </w:pPr>
            <w:r>
              <w:rPr>
                <w:rFonts w:ascii="Arial" w:cs="Arial" w:eastAsia="Arial" w:hAnsi="Arial"/>
                <w:sz w:val="18"/>
                <w:szCs w:val="18"/>
                <w:color w:val="auto"/>
              </w:rPr>
              <w:t>—  Cash and cash equivalents</w:t>
            </w:r>
          </w:p>
        </w:tc>
        <w:tc>
          <w:tcPr>
            <w:tcW w:w="0" w:type="dxa"/>
            <w:vAlign w:val="bottom"/>
          </w:tcPr>
          <w:p>
            <w:pPr>
              <w:spacing w:after="0"/>
              <w:rPr>
                <w:sz w:val="1"/>
                <w:szCs w:val="1"/>
                <w:color w:val="auto"/>
              </w:rPr>
            </w:pPr>
          </w:p>
        </w:tc>
      </w:tr>
      <w:tr>
        <w:trPr>
          <w:trHeight w:val="230"/>
        </w:trPr>
        <w:tc>
          <w:tcPr>
            <w:tcW w:w="3320" w:type="dxa"/>
            <w:vAlign w:val="bottom"/>
          </w:tcPr>
          <w:p>
            <w:pPr>
              <w:ind w:left="120"/>
              <w:spacing w:after="0"/>
              <w:rPr>
                <w:sz w:val="20"/>
                <w:szCs w:val="20"/>
                <w:color w:val="auto"/>
              </w:rPr>
            </w:pPr>
            <w:r>
              <w:rPr>
                <w:rFonts w:ascii="Arial" w:cs="Arial" w:eastAsia="Arial" w:hAnsi="Arial"/>
                <w:sz w:val="18"/>
                <w:szCs w:val="18"/>
                <w:color w:val="auto"/>
              </w:rPr>
              <w:t>Foreign government treasury bills</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6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0" w:type="dxa"/>
            <w:vAlign w:val="bottom"/>
          </w:tcPr>
          <w:p>
            <w:pPr>
              <w:spacing w:after="0"/>
              <w:rPr>
                <w:sz w:val="1"/>
                <w:szCs w:val="1"/>
                <w:color w:val="auto"/>
              </w:rPr>
            </w:pPr>
          </w:p>
        </w:tc>
      </w:tr>
      <w:tr>
        <w:trPr>
          <w:trHeight w:val="175"/>
        </w:trPr>
        <w:tc>
          <w:tcPr>
            <w:tcW w:w="332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U.S. treasuries and government agency</w:t>
            </w:r>
          </w:p>
        </w:tc>
        <w:tc>
          <w:tcPr>
            <w:tcW w:w="24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24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securities</w:t>
            </w:r>
          </w:p>
        </w:tc>
        <w:tc>
          <w:tcPr>
            <w:tcW w:w="24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20" w:type="dxa"/>
            <w:vAlign w:val="bottom"/>
          </w:tcPr>
          <w:p>
            <w:pPr>
              <w:ind w:left="20"/>
              <w:spacing w:after="0"/>
              <w:rPr>
                <w:sz w:val="20"/>
                <w:szCs w:val="20"/>
                <w:color w:val="auto"/>
              </w:rPr>
            </w:pPr>
            <w:r>
              <w:rPr>
                <w:rFonts w:ascii="Arial" w:cs="Arial" w:eastAsia="Arial" w:hAnsi="Arial"/>
                <w:sz w:val="18"/>
                <w:szCs w:val="18"/>
                <w:color w:val="auto"/>
              </w:rPr>
              <w:t>Total recurring fair value measurements</w:t>
            </w: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7,341</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7,341</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3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320" w:type="dxa"/>
            <w:vAlign w:val="bottom"/>
          </w:tcPr>
          <w:p>
            <w:pPr>
              <w:ind w:left="20"/>
              <w:spacing w:after="0"/>
              <w:rPr>
                <w:sz w:val="20"/>
                <w:szCs w:val="20"/>
                <w:color w:val="auto"/>
              </w:rPr>
            </w:pPr>
            <w:r>
              <w:rPr>
                <w:rFonts w:ascii="Arial" w:cs="Arial" w:eastAsia="Arial" w:hAnsi="Arial"/>
                <w:sz w:val="18"/>
                <w:szCs w:val="18"/>
                <w:b w:val="1"/>
                <w:bCs w:val="1"/>
                <w:color w:val="auto"/>
              </w:rPr>
              <w:t>Financial Liabilities:</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3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Foreign currency forward contracts not</w:t>
            </w:r>
          </w:p>
        </w:tc>
        <w:tc>
          <w:tcPr>
            <w:tcW w:w="240" w:type="dxa"/>
            <w:vAlign w:val="bottom"/>
            <w:vMerge w:val="restart"/>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24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Accrued expenses and other</w:t>
            </w: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designated as hedges</w:t>
            </w:r>
          </w:p>
        </w:tc>
        <w:tc>
          <w:tcPr>
            <w:tcW w:w="240" w:type="dxa"/>
            <w:vAlign w:val="bottom"/>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0" w:type="dxa"/>
            <w:vAlign w:val="bottom"/>
          </w:tcPr>
          <w:p>
            <w:pPr>
              <w:spacing w:after="0"/>
              <w:rPr>
                <w:sz w:val="1"/>
                <w:szCs w:val="1"/>
                <w:color w:val="auto"/>
              </w:rPr>
            </w:pPr>
          </w:p>
        </w:tc>
      </w:tr>
      <w:tr>
        <w:trPr>
          <w:trHeight w:val="175"/>
        </w:trPr>
        <w:tc>
          <w:tcPr>
            <w:tcW w:w="3320" w:type="dxa"/>
            <w:vAlign w:val="bottom"/>
          </w:tcPr>
          <w:p>
            <w:pPr>
              <w:ind w:left="20"/>
              <w:spacing w:after="0" w:line="176" w:lineRule="exact"/>
              <w:rPr>
                <w:sz w:val="20"/>
                <w:szCs w:val="20"/>
                <w:color w:val="auto"/>
              </w:rPr>
            </w:pPr>
            <w:r>
              <w:rPr>
                <w:rFonts w:ascii="Arial" w:cs="Arial" w:eastAsia="Arial" w:hAnsi="Arial"/>
                <w:sz w:val="18"/>
                <w:szCs w:val="18"/>
                <w:color w:val="auto"/>
              </w:rPr>
              <w:t>Foreign currency forward contracts</w:t>
            </w:r>
          </w:p>
        </w:tc>
        <w:tc>
          <w:tcPr>
            <w:tcW w:w="240" w:type="dxa"/>
            <w:vAlign w:val="bottom"/>
            <w:vMerge w:val="restart"/>
          </w:tcPr>
          <w:p>
            <w:pPr>
              <w:jc w:val="right"/>
              <w:ind w:right="52"/>
              <w:spacing w:after="0"/>
              <w:rPr>
                <w:sz w:val="20"/>
                <w:szCs w:val="20"/>
                <w:color w:val="auto"/>
              </w:rPr>
            </w:pPr>
            <w:r>
              <w:rPr>
                <w:rFonts w:ascii="Arial" w:cs="Arial" w:eastAsia="Arial" w:hAnsi="Arial"/>
                <w:sz w:val="18"/>
                <w:szCs w:val="18"/>
                <w:color w:val="auto"/>
                <w:w w:val="79"/>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2460" w:type="dxa"/>
            <w:vAlign w:val="bottom"/>
          </w:tcPr>
          <w:p>
            <w:pPr>
              <w:ind w:left="20"/>
              <w:spacing w:after="0" w:line="176" w:lineRule="exact"/>
              <w:rPr>
                <w:sz w:val="20"/>
                <w:szCs w:val="20"/>
                <w:color w:val="auto"/>
              </w:rPr>
            </w:pPr>
            <w:r>
              <w:rPr>
                <w:rFonts w:ascii="Arial" w:cs="Arial" w:eastAsia="Arial" w:hAnsi="Arial"/>
                <w:sz w:val="18"/>
                <w:szCs w:val="18"/>
                <w:color w:val="auto"/>
              </w:rPr>
              <w:t>Accrued expenses and other</w:t>
            </w:r>
          </w:p>
        </w:tc>
        <w:tc>
          <w:tcPr>
            <w:tcW w:w="0" w:type="dxa"/>
            <w:vAlign w:val="bottom"/>
          </w:tcPr>
          <w:p>
            <w:pPr>
              <w:spacing w:after="0"/>
              <w:rPr>
                <w:sz w:val="1"/>
                <w:szCs w:val="1"/>
                <w:color w:val="auto"/>
              </w:rPr>
            </w:pPr>
          </w:p>
        </w:tc>
      </w:tr>
      <w:tr>
        <w:trPr>
          <w:trHeight w:val="230"/>
        </w:trPr>
        <w:tc>
          <w:tcPr>
            <w:tcW w:w="3320" w:type="dxa"/>
            <w:vAlign w:val="bottom"/>
          </w:tcPr>
          <w:p>
            <w:pPr>
              <w:ind w:left="20"/>
              <w:spacing w:after="0"/>
              <w:rPr>
                <w:sz w:val="20"/>
                <w:szCs w:val="20"/>
                <w:color w:val="auto"/>
              </w:rPr>
            </w:pPr>
            <w:r>
              <w:rPr>
                <w:rFonts w:ascii="Arial" w:cs="Arial" w:eastAsia="Arial" w:hAnsi="Arial"/>
                <w:sz w:val="18"/>
                <w:szCs w:val="18"/>
                <w:color w:val="auto"/>
              </w:rPr>
              <w:t>designated as hedges</w:t>
            </w:r>
          </w:p>
        </w:tc>
        <w:tc>
          <w:tcPr>
            <w:tcW w:w="240" w:type="dxa"/>
            <w:vAlign w:val="bottom"/>
            <w:vMerge w:val="continue"/>
          </w:tcPr>
          <w:p>
            <w:pPr>
              <w:spacing w:after="0"/>
              <w:rPr>
                <w:sz w:val="20"/>
                <w:szCs w:val="20"/>
                <w:color w:val="auto"/>
              </w:rPr>
            </w:pPr>
          </w:p>
        </w:tc>
        <w:tc>
          <w:tcPr>
            <w:tcW w:w="10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vMerge w:val="continue"/>
          </w:tcPr>
          <w:p>
            <w:pPr>
              <w:spacing w:after="0"/>
              <w:rPr>
                <w:sz w:val="20"/>
                <w:szCs w:val="20"/>
                <w:color w:val="auto"/>
              </w:rPr>
            </w:pPr>
          </w:p>
        </w:tc>
        <w:tc>
          <w:tcPr>
            <w:tcW w:w="1200" w:type="dxa"/>
            <w:vAlign w:val="bottom"/>
            <w:gridSpan w:val="2"/>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9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vMerge w:val="continue"/>
          </w:tcPr>
          <w:p>
            <w:pPr>
              <w:spacing w:after="0"/>
              <w:rPr>
                <w:sz w:val="20"/>
                <w:szCs w:val="20"/>
                <w:color w:val="auto"/>
              </w:rPr>
            </w:pPr>
          </w:p>
        </w:tc>
        <w:tc>
          <w:tcPr>
            <w:tcW w:w="12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46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0" w:type="dxa"/>
            <w:vAlign w:val="bottom"/>
          </w:tcPr>
          <w:p>
            <w:pPr>
              <w:spacing w:after="0"/>
              <w:rPr>
                <w:sz w:val="1"/>
                <w:szCs w:val="1"/>
                <w:color w:val="auto"/>
              </w:rPr>
            </w:pPr>
          </w:p>
        </w:tc>
      </w:tr>
      <w:tr>
        <w:trPr>
          <w:trHeight w:val="863"/>
        </w:trPr>
        <w:tc>
          <w:tcPr>
            <w:tcW w:w="3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ind w:right="173"/>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3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40" w:type="dxa"/>
            <w:vAlign w:val="bottom"/>
            <w:tcBorders>
              <w:bottom w:val="single" w:sz="8" w:color="auto"/>
            </w:tcBorders>
            <w:gridSpan w:val="8"/>
          </w:tcPr>
          <w:p>
            <w:pPr>
              <w:ind w:left="100"/>
              <w:spacing w:after="0"/>
              <w:rPr>
                <w:sz w:val="20"/>
                <w:szCs w:val="20"/>
                <w:color w:val="auto"/>
              </w:rPr>
            </w:pPr>
            <w:r>
              <w:rPr>
                <w:rFonts w:ascii="Arial" w:cs="Arial" w:eastAsia="Arial" w:hAnsi="Arial"/>
                <w:sz w:val="16"/>
                <w:szCs w:val="16"/>
                <w:b w:val="1"/>
                <w:bCs w:val="1"/>
                <w:color w:val="auto"/>
                <w:w w:val="93"/>
              </w:rPr>
              <w:t>Fair Value Measurements at December 31, 2019 Using</w:t>
            </w:r>
          </w:p>
        </w:tc>
        <w:tc>
          <w:tcPr>
            <w:tcW w:w="1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3"/>
          </w:tcPr>
          <w:p>
            <w:pPr>
              <w:jc w:val="center"/>
              <w:ind w:right="100"/>
              <w:spacing w:after="0" w:line="158" w:lineRule="exact"/>
              <w:rPr>
                <w:sz w:val="20"/>
                <w:szCs w:val="20"/>
                <w:color w:val="auto"/>
              </w:rPr>
            </w:pPr>
            <w:r>
              <w:rPr>
                <w:rFonts w:ascii="Arial" w:cs="Arial" w:eastAsia="Arial" w:hAnsi="Arial"/>
                <w:sz w:val="16"/>
                <w:szCs w:val="16"/>
                <w:b w:val="1"/>
                <w:bCs w:val="1"/>
                <w:color w:val="auto"/>
                <w:w w:val="89"/>
              </w:rPr>
              <w:t>Quoted Prices in</w:t>
            </w:r>
          </w:p>
        </w:tc>
        <w:tc>
          <w:tcPr>
            <w:tcW w:w="120" w:type="dxa"/>
            <w:vAlign w:val="bottom"/>
          </w:tcPr>
          <w:p>
            <w:pPr>
              <w:spacing w:after="0"/>
              <w:rPr>
                <w:sz w:val="13"/>
                <w:szCs w:val="13"/>
                <w:color w:val="auto"/>
              </w:rPr>
            </w:pPr>
          </w:p>
        </w:tc>
        <w:tc>
          <w:tcPr>
            <w:tcW w:w="1100" w:type="dxa"/>
            <w:vAlign w:val="bottom"/>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w w:val="90"/>
              </w:rPr>
              <w:t>Significant</w:t>
            </w:r>
          </w:p>
        </w:tc>
        <w:tc>
          <w:tcPr>
            <w:tcW w:w="140" w:type="dxa"/>
            <w:vAlign w:val="bottom"/>
          </w:tcPr>
          <w:p>
            <w:pPr>
              <w:spacing w:after="0"/>
              <w:rPr>
                <w:sz w:val="13"/>
                <w:szCs w:val="13"/>
                <w:color w:val="auto"/>
              </w:rPr>
            </w:pPr>
          </w:p>
        </w:tc>
        <w:tc>
          <w:tcPr>
            <w:tcW w:w="1220" w:type="dxa"/>
            <w:vAlign w:val="bottom"/>
            <w:vMerge w:val="restart"/>
          </w:tcPr>
          <w:p>
            <w:pPr>
              <w:jc w:val="center"/>
              <w:ind w:right="74"/>
              <w:spacing w:after="0"/>
              <w:rPr>
                <w:sz w:val="20"/>
                <w:szCs w:val="20"/>
                <w:color w:val="auto"/>
              </w:rPr>
            </w:pPr>
            <w:r>
              <w:rPr>
                <w:rFonts w:ascii="Arial" w:cs="Arial" w:eastAsia="Arial" w:hAnsi="Arial"/>
                <w:sz w:val="16"/>
                <w:szCs w:val="16"/>
                <w:b w:val="1"/>
                <w:bCs w:val="1"/>
                <w:color w:val="auto"/>
                <w:w w:val="90"/>
              </w:rPr>
              <w:t>Significant</w:t>
            </w:r>
          </w:p>
        </w:tc>
        <w:tc>
          <w:tcPr>
            <w:tcW w:w="10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91"/>
              </w:rPr>
              <w:t>Active</w:t>
            </w:r>
          </w:p>
        </w:tc>
        <w:tc>
          <w:tcPr>
            <w:tcW w:w="120" w:type="dxa"/>
            <w:vAlign w:val="bottom"/>
          </w:tcPr>
          <w:p>
            <w:pPr>
              <w:spacing w:after="0"/>
              <w:rPr>
                <w:sz w:val="14"/>
                <w:szCs w:val="14"/>
                <w:color w:val="auto"/>
              </w:rPr>
            </w:pPr>
          </w:p>
        </w:tc>
        <w:tc>
          <w:tcPr>
            <w:tcW w:w="110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8"/>
              </w:rPr>
              <w:t>Other</w:t>
            </w:r>
          </w:p>
        </w:tc>
        <w:tc>
          <w:tcPr>
            <w:tcW w:w="14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As of December</w:t>
            </w:r>
          </w:p>
        </w:tc>
        <w:tc>
          <w:tcPr>
            <w:tcW w:w="160" w:type="dxa"/>
            <w:vAlign w:val="bottom"/>
          </w:tcPr>
          <w:p>
            <w:pPr>
              <w:spacing w:after="0"/>
              <w:rPr>
                <w:sz w:val="14"/>
                <w:szCs w:val="14"/>
                <w:color w:val="auto"/>
              </w:rPr>
            </w:pPr>
          </w:p>
        </w:tc>
        <w:tc>
          <w:tcPr>
            <w:tcW w:w="120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5"/>
              </w:rPr>
              <w:t>Markets for</w:t>
            </w:r>
          </w:p>
        </w:tc>
        <w:tc>
          <w:tcPr>
            <w:tcW w:w="120" w:type="dxa"/>
            <w:vAlign w:val="bottom"/>
          </w:tcPr>
          <w:p>
            <w:pPr>
              <w:spacing w:after="0"/>
              <w:rPr>
                <w:sz w:val="14"/>
                <w:szCs w:val="14"/>
                <w:color w:val="auto"/>
              </w:rPr>
            </w:pPr>
          </w:p>
        </w:tc>
        <w:tc>
          <w:tcPr>
            <w:tcW w:w="110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89"/>
              </w:rPr>
              <w:t>Observable</w:t>
            </w:r>
          </w:p>
        </w:tc>
        <w:tc>
          <w:tcPr>
            <w:tcW w:w="140" w:type="dxa"/>
            <w:vAlign w:val="bottom"/>
          </w:tcPr>
          <w:p>
            <w:pPr>
              <w:spacing w:after="0"/>
              <w:rPr>
                <w:sz w:val="14"/>
                <w:szCs w:val="14"/>
                <w:color w:val="auto"/>
              </w:rPr>
            </w:pPr>
          </w:p>
        </w:tc>
        <w:tc>
          <w:tcPr>
            <w:tcW w:w="1220" w:type="dxa"/>
            <w:vAlign w:val="bottom"/>
          </w:tcPr>
          <w:p>
            <w:pPr>
              <w:jc w:val="center"/>
              <w:ind w:right="54"/>
              <w:spacing w:after="0" w:line="162" w:lineRule="exact"/>
              <w:rPr>
                <w:sz w:val="20"/>
                <w:szCs w:val="20"/>
                <w:color w:val="auto"/>
              </w:rPr>
            </w:pPr>
            <w:r>
              <w:rPr>
                <w:rFonts w:ascii="Arial" w:cs="Arial" w:eastAsia="Arial" w:hAnsi="Arial"/>
                <w:sz w:val="16"/>
                <w:szCs w:val="16"/>
                <w:b w:val="1"/>
                <w:bCs w:val="1"/>
                <w:color w:val="auto"/>
                <w:w w:val="90"/>
              </w:rPr>
              <w:t>Unobservable</w:t>
            </w:r>
          </w:p>
        </w:tc>
        <w:tc>
          <w:tcPr>
            <w:tcW w:w="1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360" w:type="dxa"/>
            <w:vAlign w:val="bottom"/>
            <w:gridSpan w:val="3"/>
          </w:tcPr>
          <w:p>
            <w:pPr>
              <w:jc w:val="center"/>
              <w:ind w:right="120"/>
              <w:spacing w:after="0" w:line="162" w:lineRule="exact"/>
              <w:rPr>
                <w:sz w:val="20"/>
                <w:szCs w:val="20"/>
                <w:color w:val="auto"/>
              </w:rPr>
            </w:pPr>
            <w:r>
              <w:rPr>
                <w:rFonts w:ascii="Arial" w:cs="Arial" w:eastAsia="Arial" w:hAnsi="Arial"/>
                <w:sz w:val="16"/>
                <w:szCs w:val="16"/>
                <w:b w:val="1"/>
                <w:bCs w:val="1"/>
                <w:color w:val="auto"/>
                <w:w w:val="88"/>
              </w:rPr>
              <w:t>Identical Assets</w:t>
            </w:r>
          </w:p>
        </w:tc>
        <w:tc>
          <w:tcPr>
            <w:tcW w:w="120" w:type="dxa"/>
            <w:vAlign w:val="bottom"/>
          </w:tcPr>
          <w:p>
            <w:pPr>
              <w:spacing w:after="0"/>
              <w:rPr>
                <w:sz w:val="14"/>
                <w:szCs w:val="14"/>
                <w:color w:val="auto"/>
              </w:rPr>
            </w:pPr>
          </w:p>
        </w:tc>
        <w:tc>
          <w:tcPr>
            <w:tcW w:w="110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5"/>
              </w:rPr>
              <w:t>Inputs</w:t>
            </w:r>
          </w:p>
        </w:tc>
        <w:tc>
          <w:tcPr>
            <w:tcW w:w="140" w:type="dxa"/>
            <w:vAlign w:val="bottom"/>
          </w:tcPr>
          <w:p>
            <w:pPr>
              <w:spacing w:after="0"/>
              <w:rPr>
                <w:sz w:val="14"/>
                <w:szCs w:val="14"/>
                <w:color w:val="auto"/>
              </w:rPr>
            </w:pPr>
          </w:p>
        </w:tc>
        <w:tc>
          <w:tcPr>
            <w:tcW w:w="1220" w:type="dxa"/>
            <w:vAlign w:val="bottom"/>
          </w:tcPr>
          <w:p>
            <w:pPr>
              <w:jc w:val="center"/>
              <w:ind w:right="74"/>
              <w:spacing w:after="0" w:line="162" w:lineRule="exact"/>
              <w:rPr>
                <w:sz w:val="20"/>
                <w:szCs w:val="20"/>
                <w:color w:val="auto"/>
              </w:rPr>
            </w:pPr>
            <w:r>
              <w:rPr>
                <w:rFonts w:ascii="Arial" w:cs="Arial" w:eastAsia="Arial" w:hAnsi="Arial"/>
                <w:sz w:val="16"/>
                <w:szCs w:val="16"/>
                <w:b w:val="1"/>
                <w:bCs w:val="1"/>
                <w:color w:val="auto"/>
                <w:w w:val="95"/>
              </w:rPr>
              <w:t>Inputs</w:t>
            </w:r>
          </w:p>
        </w:tc>
        <w:tc>
          <w:tcPr>
            <w:tcW w:w="100" w:type="dxa"/>
            <w:vAlign w:val="bottom"/>
          </w:tcPr>
          <w:p>
            <w:pPr>
              <w:spacing w:after="0"/>
              <w:rPr>
                <w:sz w:val="14"/>
                <w:szCs w:val="14"/>
                <w:color w:val="auto"/>
              </w:rPr>
            </w:pPr>
          </w:p>
        </w:tc>
        <w:tc>
          <w:tcPr>
            <w:tcW w:w="2460" w:type="dxa"/>
            <w:vAlign w:val="bottom"/>
            <w:vMerge w:val="restart"/>
          </w:tcPr>
          <w:p>
            <w:pPr>
              <w:ind w:left="260"/>
              <w:spacing w:after="0"/>
              <w:rPr>
                <w:sz w:val="20"/>
                <w:szCs w:val="20"/>
                <w:color w:val="auto"/>
              </w:rPr>
            </w:pPr>
            <w:r>
              <w:rPr>
                <w:rFonts w:ascii="Arial" w:cs="Arial" w:eastAsia="Arial" w:hAnsi="Arial"/>
                <w:sz w:val="16"/>
                <w:szCs w:val="16"/>
                <w:b w:val="1"/>
                <w:bCs w:val="1"/>
                <w:color w:val="auto"/>
              </w:rPr>
              <w:t>Balance Sheet Classification</w:t>
            </w:r>
          </w:p>
        </w:tc>
        <w:tc>
          <w:tcPr>
            <w:tcW w:w="0" w:type="dxa"/>
            <w:vAlign w:val="bottom"/>
          </w:tcPr>
          <w:p>
            <w:pPr>
              <w:spacing w:after="0"/>
              <w:rPr>
                <w:sz w:val="1"/>
                <w:szCs w:val="1"/>
                <w:color w:val="auto"/>
              </w:rPr>
            </w:pPr>
          </w:p>
        </w:tc>
      </w:tr>
      <w:tr>
        <w:trPr>
          <w:trHeight w:val="213"/>
        </w:trPr>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ind w:right="292"/>
              <w:spacing w:after="0"/>
              <w:rPr>
                <w:sz w:val="20"/>
                <w:szCs w:val="20"/>
                <w:color w:val="auto"/>
              </w:rPr>
            </w:pPr>
            <w:r>
              <w:rPr>
                <w:rFonts w:ascii="Arial" w:cs="Arial" w:eastAsia="Arial" w:hAnsi="Arial"/>
                <w:sz w:val="16"/>
                <w:szCs w:val="16"/>
                <w:b w:val="1"/>
                <w:bCs w:val="1"/>
                <w:color w:val="auto"/>
              </w:rPr>
              <w:t>31, 2019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(Level 1)</w:t>
            </w: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(Level 2)</w:t>
            </w:r>
          </w:p>
        </w:tc>
        <w:tc>
          <w:tcPr>
            <w:tcW w:w="140" w:type="dxa"/>
            <w:vAlign w:val="bottom"/>
          </w:tcPr>
          <w:p>
            <w:pPr>
              <w:spacing w:after="0"/>
              <w:rPr>
                <w:sz w:val="18"/>
                <w:szCs w:val="18"/>
                <w:color w:val="auto"/>
              </w:rPr>
            </w:pPr>
          </w:p>
        </w:tc>
        <w:tc>
          <w:tcPr>
            <w:tcW w:w="1220" w:type="dxa"/>
            <w:vAlign w:val="bottom"/>
          </w:tcPr>
          <w:p>
            <w:pPr>
              <w:jc w:val="center"/>
              <w:ind w:right="74"/>
              <w:spacing w:after="0"/>
              <w:rPr>
                <w:sz w:val="20"/>
                <w:szCs w:val="20"/>
                <w:color w:val="auto"/>
              </w:rPr>
            </w:pPr>
            <w:r>
              <w:rPr>
                <w:rFonts w:ascii="Arial" w:cs="Arial" w:eastAsia="Arial" w:hAnsi="Arial"/>
                <w:sz w:val="16"/>
                <w:szCs w:val="16"/>
                <w:b w:val="1"/>
                <w:bCs w:val="1"/>
                <w:color w:val="auto"/>
                <w:w w:val="95"/>
              </w:rPr>
              <w:t>(Level 3)</w:t>
            </w:r>
          </w:p>
        </w:tc>
        <w:tc>
          <w:tcPr>
            <w:tcW w:w="100" w:type="dxa"/>
            <w:vAlign w:val="bottom"/>
          </w:tcPr>
          <w:p>
            <w:pPr>
              <w:spacing w:after="0"/>
              <w:rPr>
                <w:sz w:val="18"/>
                <w:szCs w:val="18"/>
                <w:color w:val="auto"/>
              </w:rPr>
            </w:pPr>
          </w:p>
        </w:tc>
        <w:tc>
          <w:tcPr>
            <w:tcW w:w="24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1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320" w:type="dxa"/>
            <w:vAlign w:val="bottom"/>
          </w:tcPr>
          <w:p>
            <w:pPr>
              <w:ind w:left="20"/>
              <w:spacing w:after="0"/>
              <w:rPr>
                <w:sz w:val="20"/>
                <w:szCs w:val="20"/>
                <w:color w:val="auto"/>
              </w:rPr>
            </w:pPr>
            <w:r>
              <w:rPr>
                <w:rFonts w:ascii="Arial" w:cs="Arial" w:eastAsia="Arial" w:hAnsi="Arial"/>
                <w:sz w:val="18"/>
                <w:szCs w:val="18"/>
                <w:color w:val="auto"/>
              </w:rPr>
              <w:t>Recurring fair value measurements:</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Money market funds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780" w:type="dxa"/>
            <w:vAlign w:val="bottom"/>
            <w:gridSpan w:val="3"/>
            <w:shd w:val="clear" w:color="auto" w:fill="CCEEFF"/>
          </w:tcPr>
          <w:p>
            <w:pPr>
              <w:ind w:left="960"/>
              <w:spacing w:after="0"/>
              <w:rPr>
                <w:sz w:val="20"/>
                <w:szCs w:val="20"/>
                <w:color w:val="auto"/>
              </w:rPr>
            </w:pPr>
            <w:r>
              <w:rPr>
                <w:rFonts w:ascii="Arial" w:cs="Arial" w:eastAsia="Arial" w:hAnsi="Arial"/>
                <w:sz w:val="18"/>
                <w:szCs w:val="18"/>
                <w:color w:val="auto"/>
              </w:rPr>
              <w:t>—  Cash and cash equivalents</w:t>
            </w:r>
          </w:p>
        </w:tc>
        <w:tc>
          <w:tcPr>
            <w:tcW w:w="0" w:type="dxa"/>
            <w:vAlign w:val="bottom"/>
          </w:tcPr>
          <w:p>
            <w:pPr>
              <w:spacing w:after="0"/>
              <w:rPr>
                <w:sz w:val="1"/>
                <w:szCs w:val="1"/>
                <w:color w:val="auto"/>
              </w:rPr>
            </w:pPr>
          </w:p>
        </w:tc>
      </w:tr>
      <w:tr>
        <w:trPr>
          <w:trHeight w:val="229"/>
        </w:trPr>
        <w:tc>
          <w:tcPr>
            <w:tcW w:w="3320" w:type="dxa"/>
            <w:vAlign w:val="bottom"/>
          </w:tcPr>
          <w:p>
            <w:pPr>
              <w:ind w:left="120"/>
              <w:spacing w:after="0"/>
              <w:rPr>
                <w:sz w:val="20"/>
                <w:szCs w:val="20"/>
                <w:color w:val="auto"/>
              </w:rPr>
            </w:pPr>
            <w:r>
              <w:rPr>
                <w:rFonts w:ascii="Arial" w:cs="Arial" w:eastAsia="Arial" w:hAnsi="Arial"/>
                <w:sz w:val="18"/>
                <w:szCs w:val="18"/>
                <w:color w:val="auto"/>
              </w:rPr>
              <w:t>Foreign government treasury bills</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20" w:type="dxa"/>
            <w:vAlign w:val="bottom"/>
          </w:tcPr>
          <w:p>
            <w:pPr>
              <w:ind w:left="9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6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0" w:type="dxa"/>
            <w:vAlign w:val="bottom"/>
          </w:tcPr>
          <w:p>
            <w:pPr>
              <w:spacing w:after="0"/>
              <w:rPr>
                <w:sz w:val="1"/>
                <w:szCs w:val="1"/>
                <w:color w:val="auto"/>
              </w:rPr>
            </w:pPr>
          </w:p>
        </w:tc>
      </w:tr>
      <w:tr>
        <w:trPr>
          <w:trHeight w:val="176"/>
        </w:trPr>
        <w:tc>
          <w:tcPr>
            <w:tcW w:w="332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U.S. treasuries and government agency</w:t>
            </w:r>
          </w:p>
        </w:tc>
        <w:tc>
          <w:tcPr>
            <w:tcW w:w="10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24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securities</w:t>
            </w:r>
          </w:p>
        </w:tc>
        <w:tc>
          <w:tcPr>
            <w:tcW w:w="10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20" w:type="dxa"/>
            <w:vAlign w:val="bottom"/>
          </w:tcPr>
          <w:p>
            <w:pPr>
              <w:ind w:left="20"/>
              <w:spacing w:after="0"/>
              <w:rPr>
                <w:sz w:val="20"/>
                <w:szCs w:val="20"/>
                <w:color w:val="auto"/>
              </w:rPr>
            </w:pPr>
            <w:r>
              <w:rPr>
                <w:rFonts w:ascii="Arial" w:cs="Arial" w:eastAsia="Arial" w:hAnsi="Arial"/>
                <w:sz w:val="18"/>
                <w:szCs w:val="18"/>
                <w:color w:val="auto"/>
              </w:rPr>
              <w:t>Total recurring fair value measurements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5,422</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5,422</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20" w:type="dxa"/>
            <w:vAlign w:val="bottom"/>
          </w:tcPr>
          <w:p>
            <w:pPr>
              <w:ind w:left="20"/>
              <w:spacing w:after="0"/>
              <w:rPr>
                <w:sz w:val="20"/>
                <w:szCs w:val="20"/>
                <w:color w:val="auto"/>
              </w:rPr>
            </w:pPr>
            <w:r>
              <w:rPr>
                <w:rFonts w:ascii="Arial" w:cs="Arial" w:eastAsia="Arial" w:hAnsi="Arial"/>
                <w:sz w:val="18"/>
                <w:szCs w:val="18"/>
                <w:b w:val="1"/>
                <w:bCs w:val="1"/>
                <w:color w:val="auto"/>
              </w:rPr>
              <w:t>Financial Liabilities:</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32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Foreign currency forward contracts not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vMerge w:val="restart"/>
            <w:shd w:val="clear" w:color="auto" w:fill="CCEEFF"/>
          </w:tcPr>
          <w:p>
            <w:pPr>
              <w:ind w:left="740"/>
              <w:spacing w:after="0"/>
              <w:rPr>
                <w:sz w:val="20"/>
                <w:szCs w:val="20"/>
                <w:color w:val="auto"/>
              </w:rPr>
            </w:pPr>
            <w:r>
              <w:rPr>
                <w:rFonts w:ascii="Arial" w:cs="Arial" w:eastAsia="Arial" w:hAnsi="Arial"/>
                <w:sz w:val="18"/>
                <w:szCs w:val="18"/>
                <w:color w:val="auto"/>
                <w:w w:val="99"/>
              </w:rPr>
              <w:t>(2)</w:t>
            </w:r>
          </w:p>
        </w:tc>
        <w:tc>
          <w:tcPr>
            <w:tcW w:w="12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vMerge w:val="restart"/>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24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Accrued expenses and other</w:t>
            </w: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designated as hedges</w:t>
            </w:r>
          </w:p>
        </w:tc>
        <w:tc>
          <w:tcPr>
            <w:tcW w:w="100" w:type="dxa"/>
            <w:vAlign w:val="bottom"/>
            <w:vMerge w:val="continue"/>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0" w:type="dxa"/>
            <w:vAlign w:val="bottom"/>
          </w:tcPr>
          <w:p>
            <w:pPr>
              <w:spacing w:after="0"/>
              <w:rPr>
                <w:sz w:val="1"/>
                <w:szCs w:val="1"/>
                <w:color w:val="auto"/>
              </w:rPr>
            </w:pPr>
          </w:p>
        </w:tc>
      </w:tr>
      <w:tr>
        <w:trPr>
          <w:trHeight w:val="176"/>
        </w:trPr>
        <w:tc>
          <w:tcPr>
            <w:tcW w:w="3320" w:type="dxa"/>
            <w:vAlign w:val="bottom"/>
          </w:tcPr>
          <w:p>
            <w:pPr>
              <w:ind w:left="120"/>
              <w:spacing w:after="0" w:line="176" w:lineRule="exact"/>
              <w:rPr>
                <w:sz w:val="20"/>
                <w:szCs w:val="20"/>
                <w:color w:val="auto"/>
              </w:rPr>
            </w:pPr>
            <w:r>
              <w:rPr>
                <w:rFonts w:ascii="Arial" w:cs="Arial" w:eastAsia="Arial" w:hAnsi="Arial"/>
                <w:sz w:val="18"/>
                <w:szCs w:val="18"/>
                <w:color w:val="auto"/>
              </w:rPr>
              <w:t>Foreign currency forward contracts</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vMerge w:val="restart"/>
          </w:tcPr>
          <w:p>
            <w:pPr>
              <w:ind w:left="740"/>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vMerge w:val="restart"/>
          </w:tcPr>
          <w:p>
            <w:pPr>
              <w:ind w:left="9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2460" w:type="dxa"/>
            <w:vAlign w:val="bottom"/>
          </w:tcPr>
          <w:p>
            <w:pPr>
              <w:ind w:left="20"/>
              <w:spacing w:after="0" w:line="176" w:lineRule="exact"/>
              <w:rPr>
                <w:sz w:val="20"/>
                <w:szCs w:val="20"/>
                <w:color w:val="auto"/>
              </w:rPr>
            </w:pPr>
            <w:r>
              <w:rPr>
                <w:rFonts w:ascii="Arial" w:cs="Arial" w:eastAsia="Arial" w:hAnsi="Arial"/>
                <w:sz w:val="18"/>
                <w:szCs w:val="18"/>
                <w:color w:val="auto"/>
              </w:rPr>
              <w:t>Accrued expenses and other</w:t>
            </w:r>
          </w:p>
        </w:tc>
        <w:tc>
          <w:tcPr>
            <w:tcW w:w="0" w:type="dxa"/>
            <w:vAlign w:val="bottom"/>
          </w:tcPr>
          <w:p>
            <w:pPr>
              <w:spacing w:after="0"/>
              <w:rPr>
                <w:sz w:val="1"/>
                <w:szCs w:val="1"/>
                <w:color w:val="auto"/>
              </w:rPr>
            </w:pPr>
          </w:p>
        </w:tc>
      </w:tr>
      <w:tr>
        <w:trPr>
          <w:trHeight w:val="230"/>
        </w:trPr>
        <w:tc>
          <w:tcPr>
            <w:tcW w:w="3320" w:type="dxa"/>
            <w:vAlign w:val="bottom"/>
          </w:tcPr>
          <w:p>
            <w:pPr>
              <w:ind w:left="120"/>
              <w:spacing w:after="0"/>
              <w:rPr>
                <w:sz w:val="20"/>
                <w:szCs w:val="20"/>
                <w:color w:val="auto"/>
              </w:rPr>
            </w:pPr>
            <w:r>
              <w:rPr>
                <w:rFonts w:ascii="Arial" w:cs="Arial" w:eastAsia="Arial" w:hAnsi="Arial"/>
                <w:sz w:val="18"/>
                <w:szCs w:val="18"/>
                <w:color w:val="auto"/>
              </w:rPr>
              <w:t>designated as hedges</w:t>
            </w:r>
          </w:p>
        </w:tc>
        <w:tc>
          <w:tcPr>
            <w:tcW w:w="100" w:type="dxa"/>
            <w:vAlign w:val="bottom"/>
            <w:vMerge w:val="continue"/>
          </w:tcPr>
          <w:p>
            <w:pPr>
              <w:spacing w:after="0"/>
              <w:rPr>
                <w:sz w:val="20"/>
                <w:szCs w:val="20"/>
                <w:color w:val="auto"/>
              </w:rPr>
            </w:pPr>
          </w:p>
        </w:tc>
        <w:tc>
          <w:tcPr>
            <w:tcW w:w="12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vMerge w:val="continue"/>
          </w:tcPr>
          <w:p>
            <w:pPr>
              <w:spacing w:after="0"/>
              <w:rPr>
                <w:sz w:val="20"/>
                <w:szCs w:val="20"/>
                <w:color w:val="auto"/>
              </w:rPr>
            </w:pPr>
          </w:p>
        </w:tc>
        <w:tc>
          <w:tcPr>
            <w:tcW w:w="1200" w:type="dxa"/>
            <w:vAlign w:val="bottom"/>
            <w:gridSpan w:val="2"/>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9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vMerge w:val="continue"/>
          </w:tcPr>
          <w:p>
            <w:pPr>
              <w:spacing w:after="0"/>
              <w:rPr>
                <w:sz w:val="20"/>
                <w:szCs w:val="20"/>
                <w:color w:val="auto"/>
              </w:rPr>
            </w:pPr>
          </w:p>
        </w:tc>
        <w:tc>
          <w:tcPr>
            <w:tcW w:w="12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46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0" w:type="dxa"/>
            <w:vAlign w:val="bottom"/>
          </w:tcPr>
          <w:p>
            <w:pPr>
              <w:spacing w:after="0"/>
              <w:rPr>
                <w:sz w:val="1"/>
                <w:szCs w:val="1"/>
                <w:color w:val="auto"/>
              </w:rPr>
            </w:pPr>
          </w:p>
        </w:tc>
      </w:tr>
    </w:tbl>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Forward Contracts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Forward Contracts Designated as Hedges (“Cash Flow Hedges”)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total gross notional amounts and fair values of our Cash Flow Hedges, all of which have remaining maturities of 13 months or less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2020, are as follows (amounts in millions):</w:t>
      </w:r>
    </w:p>
    <w:p>
      <w:pPr>
        <w:sectPr>
          <w:pgSz w:w="11900" w:h="16838" w:orient="portrait"/>
          <w:cols w:equalWidth="0" w:num="1">
            <w:col w:w="11240"/>
          </w:cols>
          <w:pgMar w:left="320" w:top="125" w:right="339" w:bottom="1440" w:gutter="0" w:footer="0" w:header="0"/>
        </w:sectPr>
      </w:pPr>
    </w:p>
    <w:p>
      <w:pPr>
        <w:spacing w:after="0" w:line="373" w:lineRule="exact"/>
        <w:rPr>
          <w:sz w:val="20"/>
          <w:szCs w:val="20"/>
          <w:color w:val="auto"/>
        </w:rPr>
      </w:pPr>
    </w:p>
    <w:p>
      <w:pPr>
        <w:ind w:left="4520"/>
        <w:spacing w:after="0"/>
        <w:rPr>
          <w:sz w:val="20"/>
          <w:szCs w:val="20"/>
          <w:color w:val="auto"/>
        </w:rPr>
      </w:pPr>
      <w:r>
        <w:rPr>
          <w:rFonts w:ascii="Arial" w:cs="Arial" w:eastAsia="Arial" w:hAnsi="Arial"/>
          <w:sz w:val="16"/>
          <w:szCs w:val="16"/>
          <w:b w:val="1"/>
          <w:bCs w:val="1"/>
          <w:color w:val="auto"/>
        </w:rPr>
        <w:t>As of 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2225040</wp:posOffset>
            </wp:positionH>
            <wp:positionV relativeFrom="paragraph">
              <wp:posOffset>20320</wp:posOffset>
            </wp:positionV>
            <wp:extent cx="241744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26" w:lineRule="exact"/>
        <w:rPr>
          <w:sz w:val="20"/>
          <w:szCs w:val="20"/>
          <w:color w:val="auto"/>
        </w:rPr>
      </w:pPr>
    </w:p>
    <w:p>
      <w:pPr>
        <w:ind w:left="3860"/>
        <w:spacing w:after="0"/>
        <w:tabs>
          <w:tab w:leader="none" w:pos="5620" w:val="left"/>
        </w:tabs>
        <w:rPr>
          <w:sz w:val="20"/>
          <w:szCs w:val="20"/>
          <w:color w:val="auto"/>
        </w:rPr>
      </w:pPr>
      <w:r>
        <w:rPr>
          <w:rFonts w:ascii="Arial" w:cs="Arial" w:eastAsia="Arial" w:hAnsi="Arial"/>
          <w:sz w:val="16"/>
          <w:szCs w:val="16"/>
          <w:b w:val="1"/>
          <w:bCs w:val="1"/>
          <w:color w:val="auto"/>
        </w:rPr>
        <w:t>Notional amount</w:t>
      </w:r>
      <w:r>
        <w:rPr>
          <w:sz w:val="20"/>
          <w:szCs w:val="20"/>
          <w:color w:val="auto"/>
        </w:rPr>
        <w:tab/>
      </w:r>
      <w:r>
        <w:rPr>
          <w:rFonts w:ascii="Arial" w:cs="Arial" w:eastAsia="Arial" w:hAnsi="Arial"/>
          <w:sz w:val="14"/>
          <w:szCs w:val="14"/>
          <w:b w:val="1"/>
          <w:bCs w:val="1"/>
          <w:color w:val="auto"/>
        </w:rPr>
        <w:t>Fair value gain (loss)</w:t>
      </w:r>
    </w:p>
    <w:p>
      <w:pPr>
        <w:spacing w:after="0" w:line="20" w:lineRule="exact"/>
        <w:rPr>
          <w:sz w:val="20"/>
          <w:szCs w:val="20"/>
          <w:color w:val="auto"/>
        </w:rPr>
      </w:pPr>
      <w:r>
        <w:rPr>
          <w:sz w:val="20"/>
          <w:szCs w:val="20"/>
          <w:color w:val="auto"/>
        </w:rPr>
        <w:br w:type="column"/>
      </w:r>
    </w:p>
    <w:p>
      <w:pPr>
        <w:spacing w:after="0" w:line="353" w:lineRule="exact"/>
        <w:rPr>
          <w:sz w:val="20"/>
          <w:szCs w:val="20"/>
          <w:color w:val="auto"/>
        </w:rPr>
      </w:pPr>
    </w:p>
    <w:p>
      <w:pPr>
        <w:ind w:left="680"/>
        <w:spacing w:after="0"/>
        <w:rPr>
          <w:sz w:val="20"/>
          <w:szCs w:val="20"/>
          <w:color w:val="auto"/>
        </w:rPr>
      </w:pPr>
      <w:r>
        <w:rPr>
          <w:rFonts w:ascii="Arial" w:cs="Arial" w:eastAsia="Arial" w:hAnsi="Arial"/>
          <w:sz w:val="16"/>
          <w:szCs w:val="16"/>
          <w:b w:val="1"/>
          <w:bCs w:val="1"/>
          <w:color w:val="auto"/>
        </w:rPr>
        <w:t>As of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20320</wp:posOffset>
            </wp:positionV>
            <wp:extent cx="241744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26" w:lineRule="exact"/>
        <w:rPr>
          <w:sz w:val="20"/>
          <w:szCs w:val="20"/>
          <w:color w:val="auto"/>
        </w:rPr>
      </w:pPr>
    </w:p>
    <w:p>
      <w:pPr>
        <w:spacing w:after="0"/>
        <w:tabs>
          <w:tab w:leader="none" w:pos="1740" w:val="left"/>
        </w:tabs>
        <w:rPr>
          <w:sz w:val="20"/>
          <w:szCs w:val="20"/>
          <w:color w:val="auto"/>
        </w:rPr>
      </w:pPr>
      <w:r>
        <w:rPr>
          <w:rFonts w:ascii="Arial" w:cs="Arial" w:eastAsia="Arial" w:hAnsi="Arial"/>
          <w:sz w:val="16"/>
          <w:szCs w:val="16"/>
          <w:b w:val="1"/>
          <w:bCs w:val="1"/>
          <w:color w:val="auto"/>
        </w:rPr>
        <w:t>Notional amount</w:t>
      </w:r>
      <w:r>
        <w:rPr>
          <w:sz w:val="20"/>
          <w:szCs w:val="20"/>
          <w:color w:val="auto"/>
        </w:rPr>
        <w:tab/>
      </w:r>
      <w:r>
        <w:rPr>
          <w:rFonts w:ascii="Arial" w:cs="Arial" w:eastAsia="Arial" w:hAnsi="Arial"/>
          <w:sz w:val="14"/>
          <w:szCs w:val="14"/>
          <w:b w:val="1"/>
          <w:bCs w:val="1"/>
          <w:color w:val="auto"/>
        </w:rPr>
        <w:t>Fair value gain (loss)</w:t>
      </w:r>
    </w:p>
    <w:p>
      <w:pPr>
        <w:spacing w:after="0" w:line="28" w:lineRule="exact"/>
        <w:rPr>
          <w:sz w:val="20"/>
          <w:szCs w:val="20"/>
          <w:color w:val="auto"/>
        </w:rPr>
      </w:pPr>
    </w:p>
    <w:p>
      <w:pPr>
        <w:sectPr>
          <w:pgSz w:w="11900" w:h="16838" w:orient="portrait"/>
          <w:cols w:equalWidth="0" w:num="2">
            <w:col w:w="7080" w:space="700"/>
            <w:col w:w="3460"/>
          </w:cols>
          <w:pgMar w:left="320" w:top="125" w:right="339" w:bottom="1440" w:gutter="0" w:footer="0" w:header="0"/>
          <w:type w:val="continuous"/>
        </w:sectPr>
      </w:pPr>
    </w:p>
    <w:tbl>
      <w:tblPr>
        <w:tblLayout w:type="fixed"/>
        <w:tblInd w:w="40" w:type="dxa"/>
        <w:tblCellMar>
          <w:top w:w="0" w:type="dxa"/>
          <w:left w:w="0" w:type="dxa"/>
          <w:bottom w:w="0" w:type="dxa"/>
          <w:right w:w="0" w:type="dxa"/>
        </w:tblCellMar>
      </w:tblPr>
      <w:tr>
        <w:trPr>
          <w:trHeight w:val="234"/>
        </w:trPr>
        <w:tc>
          <w:tcPr>
            <w:tcW w:w="2480" w:type="dxa"/>
            <w:vAlign w:val="bottom"/>
          </w:tcPr>
          <w:p>
            <w:pPr>
              <w:spacing w:after="0"/>
              <w:rPr>
                <w:sz w:val="20"/>
                <w:szCs w:val="20"/>
                <w:color w:val="auto"/>
              </w:rPr>
            </w:pPr>
            <w:r>
              <w:rPr>
                <w:rFonts w:ascii="Arial" w:cs="Arial" w:eastAsia="Arial" w:hAnsi="Arial"/>
                <w:sz w:val="18"/>
                <w:szCs w:val="18"/>
                <w:b w:val="1"/>
                <w:bCs w:val="1"/>
                <w:color w:val="auto"/>
              </w:rPr>
              <w:t>Foreign Currency:</w:t>
            </w:r>
          </w:p>
        </w:tc>
        <w:tc>
          <w:tcPr>
            <w:tcW w:w="18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30"/>
        </w:trPr>
        <w:tc>
          <w:tcPr>
            <w:tcW w:w="2480" w:type="dxa"/>
            <w:vAlign w:val="bottom"/>
          </w:tcPr>
          <w:p>
            <w:pPr>
              <w:spacing w:after="0"/>
              <w:rPr>
                <w:sz w:val="20"/>
                <w:szCs w:val="20"/>
                <w:color w:val="auto"/>
              </w:rPr>
            </w:pPr>
            <w:r>
              <w:rPr>
                <w:rFonts w:ascii="Arial" w:cs="Arial" w:eastAsia="Arial" w:hAnsi="Arial"/>
                <w:sz w:val="18"/>
                <w:szCs w:val="18"/>
                <w:color w:val="auto"/>
              </w:rPr>
              <w:t>Buy USD, Sell Euro</w:t>
            </w:r>
          </w:p>
        </w:tc>
        <w:tc>
          <w:tcPr>
            <w:tcW w:w="1820" w:type="dxa"/>
            <w:vAlign w:val="bottom"/>
          </w:tcPr>
          <w:p>
            <w:pPr>
              <w:jc w:val="right"/>
              <w:ind w:right="65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608</w:t>
            </w:r>
          </w:p>
        </w:tc>
        <w:tc>
          <w:tcPr>
            <w:tcW w:w="860" w:type="dxa"/>
            <w:vAlign w:val="bottom"/>
          </w:tcPr>
          <w:p>
            <w:pPr>
              <w:jc w:val="right"/>
              <w:ind w:right="6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(18)</w:t>
            </w:r>
          </w:p>
        </w:tc>
        <w:tc>
          <w:tcPr>
            <w:tcW w:w="880" w:type="dxa"/>
            <w:vAlign w:val="bottom"/>
          </w:tcPr>
          <w:p>
            <w:pPr>
              <w:jc w:val="right"/>
              <w:ind w:right="6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350</w:t>
            </w:r>
          </w:p>
        </w:tc>
        <w:tc>
          <w:tcPr>
            <w:tcW w:w="920" w:type="dxa"/>
            <w:vAlign w:val="bottom"/>
          </w:tcPr>
          <w:p>
            <w:pPr>
              <w:jc w:val="right"/>
              <w:ind w:right="69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-290830</wp:posOffset>
            </wp:positionV>
            <wp:extent cx="7106285"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303" w:lineRule="exact"/>
        <w:rPr>
          <w:sz w:val="20"/>
          <w:szCs w:val="20"/>
          <w:color w:val="auto"/>
        </w:rPr>
      </w:pPr>
    </w:p>
    <w:p>
      <w:pPr>
        <w:ind w:right="1020" w:firstLine="324"/>
        <w:spacing w:after="0" w:line="277" w:lineRule="auto"/>
        <w:rPr>
          <w:sz w:val="20"/>
          <w:szCs w:val="20"/>
          <w:color w:val="auto"/>
        </w:rPr>
      </w:pPr>
      <w:r>
        <w:rPr>
          <w:rFonts w:ascii="Arial" w:cs="Arial" w:eastAsia="Arial" w:hAnsi="Arial"/>
          <w:sz w:val="18"/>
          <w:szCs w:val="18"/>
          <w:color w:val="auto"/>
        </w:rPr>
        <w:t>The amount of pre-tax net realized gains (losses) associated with our Cash Flow Hedges that were reclassified out of “Accumulated other comprehensive income (loss)” and into earnings was as follows (amounts in millions):</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0" w:type="dxa"/>
            <w:vAlign w:val="bottom"/>
            <w:gridSpan w:val="4"/>
          </w:tcPr>
          <w:p>
            <w:pPr>
              <w:ind w:left="40"/>
              <w:spacing w:after="0"/>
              <w:rPr>
                <w:sz w:val="20"/>
                <w:szCs w:val="20"/>
                <w:color w:val="auto"/>
              </w:rPr>
            </w:pPr>
            <w:r>
              <w:rPr>
                <w:rFonts w:ascii="Arial" w:cs="Arial" w:eastAsia="Arial" w:hAnsi="Arial"/>
                <w:sz w:val="16"/>
                <w:szCs w:val="16"/>
                <w:b w:val="1"/>
                <w:bCs w:val="1"/>
                <w:color w:val="auto"/>
              </w:rPr>
              <w:t>For the Three Months Ended September 30,</w:t>
            </w:r>
          </w:p>
        </w:tc>
        <w:tc>
          <w:tcPr>
            <w:tcW w:w="160" w:type="dxa"/>
            <w:vAlign w:val="bottom"/>
          </w:tcPr>
          <w:p>
            <w:pPr>
              <w:spacing w:after="0"/>
              <w:rPr>
                <w:sz w:val="18"/>
                <w:szCs w:val="18"/>
                <w:color w:val="auto"/>
              </w:rPr>
            </w:pPr>
          </w:p>
        </w:tc>
        <w:tc>
          <w:tcPr>
            <w:tcW w:w="3240" w:type="dxa"/>
            <w:vAlign w:val="bottom"/>
            <w:gridSpan w:val="3"/>
          </w:tcPr>
          <w:p>
            <w:pPr>
              <w:jc w:val="right"/>
              <w:ind w:right="135"/>
              <w:spacing w:after="0"/>
              <w:rPr>
                <w:sz w:val="20"/>
                <w:szCs w:val="20"/>
                <w:color w:val="auto"/>
              </w:rPr>
            </w:pPr>
            <w:r>
              <w:rPr>
                <w:rFonts w:ascii="Arial" w:cs="Arial" w:eastAsia="Arial" w:hAnsi="Arial"/>
                <w:sz w:val="16"/>
                <w:szCs w:val="16"/>
                <w:b w:val="1"/>
                <w:bCs w:val="1"/>
                <w:color w:val="auto"/>
                <w:w w:val="93"/>
              </w:rPr>
              <w:t>For the Nine Months Ended September 30,</w:t>
            </w:r>
          </w:p>
        </w:tc>
        <w:tc>
          <w:tcPr>
            <w:tcW w:w="120" w:type="dxa"/>
            <w:vAlign w:val="bottom"/>
          </w:tcPr>
          <w:p>
            <w:pPr>
              <w:spacing w:after="0"/>
              <w:rPr>
                <w:sz w:val="18"/>
                <w:szCs w:val="18"/>
                <w:color w:val="auto"/>
              </w:rPr>
            </w:pPr>
          </w:p>
        </w:tc>
        <w:tc>
          <w:tcPr>
            <w:tcW w:w="24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0"/>
              </w:rPr>
              <w:t>Statement of Operations</w:t>
            </w:r>
          </w:p>
        </w:tc>
        <w:tc>
          <w:tcPr>
            <w:tcW w:w="0" w:type="dxa"/>
            <w:vAlign w:val="bottom"/>
          </w:tcPr>
          <w:p>
            <w:pPr>
              <w:spacing w:after="0"/>
              <w:rPr>
                <w:sz w:val="1"/>
                <w:szCs w:val="1"/>
                <w:color w:val="auto"/>
              </w:rPr>
            </w:pPr>
          </w:p>
        </w:tc>
      </w:tr>
      <w:tr>
        <w:trPr>
          <w:trHeight w:val="37"/>
        </w:trPr>
        <w:tc>
          <w:tcPr>
            <w:tcW w:w="178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1560" w:type="dxa"/>
            <w:vAlign w:val="bottom"/>
            <w:tcBorders>
              <w:top w:val="single" w:sz="8" w:color="auto"/>
            </w:tcBorders>
            <w:vMerge w:val="restart"/>
          </w:tcPr>
          <w:p>
            <w:pPr>
              <w:jc w:val="right"/>
              <w:ind w:right="616"/>
              <w:spacing w:after="0"/>
              <w:rPr>
                <w:sz w:val="20"/>
                <w:szCs w:val="20"/>
                <w:color w:val="auto"/>
              </w:rPr>
            </w:pPr>
            <w:r>
              <w:rPr>
                <w:rFonts w:ascii="Arial" w:cs="Arial" w:eastAsia="Arial" w:hAnsi="Arial"/>
                <w:sz w:val="16"/>
                <w:szCs w:val="16"/>
                <w:b w:val="1"/>
                <w:bCs w:val="1"/>
                <w:color w:val="auto"/>
              </w:rPr>
              <w:t>2020</w:t>
            </w:r>
          </w:p>
        </w:tc>
        <w:tc>
          <w:tcPr>
            <w:tcW w:w="400" w:type="dxa"/>
            <w:vAlign w:val="bottom"/>
            <w:tcBorders>
              <w:top w:val="single" w:sz="8" w:color="auto"/>
            </w:tcBorders>
          </w:tcPr>
          <w:p>
            <w:pPr>
              <w:spacing w:after="0"/>
              <w:rPr>
                <w:sz w:val="3"/>
                <w:szCs w:val="3"/>
                <w:color w:val="auto"/>
              </w:rPr>
            </w:pPr>
          </w:p>
        </w:tc>
        <w:tc>
          <w:tcPr>
            <w:tcW w:w="1300" w:type="dxa"/>
            <w:vAlign w:val="bottom"/>
            <w:tcBorders>
              <w:top w:val="single" w:sz="8" w:color="auto"/>
            </w:tcBorders>
            <w:vMerge w:val="restart"/>
          </w:tcPr>
          <w:p>
            <w:pPr>
              <w:jc w:val="right"/>
              <w:ind w:right="595"/>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1520" w:type="dxa"/>
            <w:vAlign w:val="bottom"/>
            <w:tcBorders>
              <w:top w:val="single" w:sz="8" w:color="auto"/>
            </w:tcBorders>
            <w:vMerge w:val="restart"/>
          </w:tcPr>
          <w:p>
            <w:pPr>
              <w:jc w:val="right"/>
              <w:ind w:right="576"/>
              <w:spacing w:after="0"/>
              <w:rPr>
                <w:sz w:val="20"/>
                <w:szCs w:val="20"/>
                <w:color w:val="auto"/>
              </w:rPr>
            </w:pPr>
            <w:r>
              <w:rPr>
                <w:rFonts w:ascii="Arial" w:cs="Arial" w:eastAsia="Arial" w:hAnsi="Arial"/>
                <w:sz w:val="16"/>
                <w:szCs w:val="16"/>
                <w:b w:val="1"/>
                <w:bCs w:val="1"/>
                <w:color w:val="auto"/>
              </w:rPr>
              <w:t>2020</w:t>
            </w:r>
          </w:p>
        </w:tc>
        <w:tc>
          <w:tcPr>
            <w:tcW w:w="420" w:type="dxa"/>
            <w:vAlign w:val="bottom"/>
            <w:tcBorders>
              <w:top w:val="single" w:sz="8" w:color="auto"/>
            </w:tcBorders>
          </w:tcPr>
          <w:p>
            <w:pPr>
              <w:spacing w:after="0"/>
              <w:rPr>
                <w:sz w:val="3"/>
                <w:szCs w:val="3"/>
                <w:color w:val="auto"/>
              </w:rPr>
            </w:pPr>
          </w:p>
        </w:tc>
        <w:tc>
          <w:tcPr>
            <w:tcW w:w="1300" w:type="dxa"/>
            <w:vAlign w:val="bottom"/>
            <w:tcBorders>
              <w:top w:val="single" w:sz="8" w:color="auto"/>
            </w:tcBorders>
            <w:vMerge w:val="restart"/>
          </w:tcPr>
          <w:p>
            <w:pPr>
              <w:jc w:val="right"/>
              <w:ind w:right="595"/>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3"/>
                <w:szCs w:val="3"/>
                <w:color w:val="auto"/>
              </w:rPr>
            </w:pPr>
          </w:p>
        </w:tc>
        <w:tc>
          <w:tcPr>
            <w:tcW w:w="24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17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vMerge w:val="continue"/>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vMerge w:val="continue"/>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Classification</w:t>
            </w:r>
          </w:p>
        </w:tc>
        <w:tc>
          <w:tcPr>
            <w:tcW w:w="0" w:type="dxa"/>
            <w:vAlign w:val="bottom"/>
          </w:tcPr>
          <w:p>
            <w:pPr>
              <w:spacing w:after="0"/>
              <w:rPr>
                <w:sz w:val="1"/>
                <w:szCs w:val="1"/>
                <w:color w:val="auto"/>
              </w:rPr>
            </w:pPr>
          </w:p>
        </w:tc>
      </w:tr>
      <w:tr>
        <w:trPr>
          <w:trHeight w:val="226"/>
        </w:trPr>
        <w:tc>
          <w:tcPr>
            <w:tcW w:w="1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 Hedges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9"/>
                <w:szCs w:val="19"/>
                <w:color w:val="auto"/>
              </w:rPr>
            </w:pPr>
          </w:p>
        </w:tc>
        <w:tc>
          <w:tcPr>
            <w:tcW w:w="2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Net revenues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Forward Contracts Not Designated as Hedges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gross notional amounts and fair values of our foreign currency forward contracts not designated as hedges are as follows (amounts in millions):</w:t>
      </w:r>
    </w:p>
    <w:p>
      <w:pPr>
        <w:sectPr>
          <w:pgSz w:w="11900" w:h="16838" w:orient="portrait"/>
          <w:cols w:equalWidth="0" w:num="1">
            <w:col w:w="11200"/>
          </w:cols>
          <w:pgMar w:left="320" w:top="125" w:right="379" w:bottom="1440" w:gutter="0" w:footer="0" w:header="0"/>
        </w:sectPr>
      </w:pPr>
    </w:p>
    <w:p>
      <w:pPr>
        <w:spacing w:after="0" w:line="200" w:lineRule="exact"/>
        <w:rPr>
          <w:sz w:val="20"/>
          <w:szCs w:val="20"/>
          <w:color w:val="auto"/>
        </w:rPr>
      </w:pP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6"/>
          <w:szCs w:val="16"/>
          <w:b w:val="1"/>
          <w:bCs w:val="1"/>
          <w:color w:val="auto"/>
        </w:rPr>
        <w:t>As of 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2225040</wp:posOffset>
            </wp:positionH>
            <wp:positionV relativeFrom="paragraph">
              <wp:posOffset>20320</wp:posOffset>
            </wp:positionV>
            <wp:extent cx="241744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417445" cy="8890"/>
                    </a:xfrm>
                    <a:prstGeom prst="rect">
                      <a:avLst/>
                    </a:prstGeom>
                    <a:noFill/>
                  </pic:spPr>
                </pic:pic>
              </a:graphicData>
            </a:graphic>
          </wp:anchor>
        </w:drawing>
      </w:r>
    </w:p>
    <w:p>
      <w:pPr>
        <w:spacing w:after="0" w:line="26" w:lineRule="exact"/>
        <w:rPr>
          <w:sz w:val="20"/>
          <w:szCs w:val="20"/>
          <w:color w:val="auto"/>
        </w:rPr>
      </w:pPr>
    </w:p>
    <w:p>
      <w:pPr>
        <w:ind w:left="3860"/>
        <w:spacing w:after="0"/>
        <w:tabs>
          <w:tab w:leader="none" w:pos="5620" w:val="left"/>
        </w:tabs>
        <w:rPr>
          <w:sz w:val="20"/>
          <w:szCs w:val="20"/>
          <w:color w:val="auto"/>
        </w:rPr>
      </w:pPr>
      <w:r>
        <w:rPr>
          <w:rFonts w:ascii="Arial" w:cs="Arial" w:eastAsia="Arial" w:hAnsi="Arial"/>
          <w:sz w:val="16"/>
          <w:szCs w:val="16"/>
          <w:b w:val="1"/>
          <w:bCs w:val="1"/>
          <w:color w:val="auto"/>
        </w:rPr>
        <w:t>Notional amount</w:t>
      </w:r>
      <w:r>
        <w:rPr>
          <w:sz w:val="20"/>
          <w:szCs w:val="20"/>
          <w:color w:val="auto"/>
        </w:rPr>
        <w:tab/>
      </w:r>
      <w:r>
        <w:rPr>
          <w:rFonts w:ascii="Arial" w:cs="Arial" w:eastAsia="Arial" w:hAnsi="Arial"/>
          <w:sz w:val="14"/>
          <w:szCs w:val="14"/>
          <w:b w:val="1"/>
          <w:bCs w:val="1"/>
          <w:color w:val="auto"/>
        </w:rPr>
        <w:t>Fair value gain (loss)</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ind w:left="680"/>
        <w:spacing w:after="0"/>
        <w:rPr>
          <w:sz w:val="20"/>
          <w:szCs w:val="20"/>
          <w:color w:val="auto"/>
        </w:rPr>
      </w:pPr>
      <w:r>
        <w:rPr>
          <w:rFonts w:ascii="Arial" w:cs="Arial" w:eastAsia="Arial" w:hAnsi="Arial"/>
          <w:sz w:val="16"/>
          <w:szCs w:val="16"/>
          <w:b w:val="1"/>
          <w:bCs w:val="1"/>
          <w:color w:val="auto"/>
        </w:rPr>
        <w:t>As of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20320</wp:posOffset>
            </wp:positionV>
            <wp:extent cx="241744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417445" cy="8890"/>
                    </a:xfrm>
                    <a:prstGeom prst="rect">
                      <a:avLst/>
                    </a:prstGeom>
                    <a:noFill/>
                  </pic:spPr>
                </pic:pic>
              </a:graphicData>
            </a:graphic>
          </wp:anchor>
        </w:drawing>
      </w:r>
    </w:p>
    <w:p>
      <w:pPr>
        <w:spacing w:after="0" w:line="26" w:lineRule="exact"/>
        <w:rPr>
          <w:sz w:val="20"/>
          <w:szCs w:val="20"/>
          <w:color w:val="auto"/>
        </w:rPr>
      </w:pPr>
    </w:p>
    <w:p>
      <w:pPr>
        <w:spacing w:after="0"/>
        <w:tabs>
          <w:tab w:leader="none" w:pos="1740" w:val="left"/>
        </w:tabs>
        <w:rPr>
          <w:sz w:val="20"/>
          <w:szCs w:val="20"/>
          <w:color w:val="auto"/>
        </w:rPr>
      </w:pPr>
      <w:r>
        <w:rPr>
          <w:rFonts w:ascii="Arial" w:cs="Arial" w:eastAsia="Arial" w:hAnsi="Arial"/>
          <w:sz w:val="16"/>
          <w:szCs w:val="16"/>
          <w:b w:val="1"/>
          <w:bCs w:val="1"/>
          <w:color w:val="auto"/>
        </w:rPr>
        <w:t>Notional amount</w:t>
      </w:r>
      <w:r>
        <w:rPr>
          <w:sz w:val="20"/>
          <w:szCs w:val="20"/>
          <w:color w:val="auto"/>
        </w:rPr>
        <w:tab/>
      </w:r>
      <w:r>
        <w:rPr>
          <w:rFonts w:ascii="Arial" w:cs="Arial" w:eastAsia="Arial" w:hAnsi="Arial"/>
          <w:sz w:val="14"/>
          <w:szCs w:val="14"/>
          <w:b w:val="1"/>
          <w:bCs w:val="1"/>
          <w:color w:val="auto"/>
        </w:rPr>
        <w:t>Fair value gain (loss)</w:t>
      </w:r>
    </w:p>
    <w:p>
      <w:pPr>
        <w:spacing w:after="0" w:line="28" w:lineRule="exact"/>
        <w:rPr>
          <w:sz w:val="20"/>
          <w:szCs w:val="20"/>
          <w:color w:val="auto"/>
        </w:rPr>
      </w:pPr>
    </w:p>
    <w:p>
      <w:pPr>
        <w:sectPr>
          <w:pgSz w:w="11900" w:h="16838" w:orient="portrait"/>
          <w:cols w:equalWidth="0" w:num="2">
            <w:col w:w="7080" w:space="700"/>
            <w:col w:w="3420"/>
          </w:cols>
          <w:pgMar w:left="320" w:top="125" w:right="379" w:bottom="1440" w:gutter="0" w:footer="0" w:header="0"/>
          <w:type w:val="continuous"/>
        </w:sectPr>
      </w:pPr>
    </w:p>
    <w:p>
      <w:pPr>
        <w:ind w:left="40"/>
        <w:spacing w:after="0"/>
        <w:rPr>
          <w:sz w:val="20"/>
          <w:szCs w:val="20"/>
          <w:color w:val="auto"/>
        </w:rPr>
      </w:pPr>
      <w:r>
        <w:rPr>
          <w:rFonts w:ascii="Arial" w:cs="Arial" w:eastAsia="Arial" w:hAnsi="Arial"/>
          <w:sz w:val="18"/>
          <w:szCs w:val="18"/>
          <w:b w:val="1"/>
          <w:bCs w:val="1"/>
          <w:color w:val="auto"/>
        </w:rPr>
        <w:t>Foreign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-127635</wp:posOffset>
            </wp:positionV>
            <wp:extent cx="7106285" cy="145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7" w:lineRule="exact"/>
        <w:rPr>
          <w:sz w:val="20"/>
          <w:szCs w:val="20"/>
          <w:color w:val="auto"/>
        </w:rPr>
      </w:pPr>
    </w:p>
    <w:p>
      <w:pPr>
        <w:ind w:left="40"/>
        <w:spacing w:after="0"/>
        <w:tabs>
          <w:tab w:leader="none" w:pos="3500" w:val="left"/>
          <w:tab w:leader="none" w:pos="5120" w:val="left"/>
          <w:tab w:leader="none" w:pos="7040" w:val="left"/>
          <w:tab w:leader="none" w:pos="7420" w:val="left"/>
          <w:tab w:leader="none" w:pos="9040" w:val="left"/>
          <w:tab w:leader="none" w:pos="10960" w:val="left"/>
        </w:tabs>
        <w:rPr>
          <w:sz w:val="20"/>
          <w:szCs w:val="20"/>
          <w:color w:val="auto"/>
        </w:rPr>
      </w:pPr>
      <w:r>
        <w:rPr>
          <w:rFonts w:ascii="Arial" w:cs="Arial" w:eastAsia="Arial" w:hAnsi="Arial"/>
          <w:sz w:val="18"/>
          <w:szCs w:val="18"/>
          <w:color w:val="auto"/>
        </w:rPr>
        <w:t>Buy USD, Sell GBP</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61 $</w:t>
      </w:r>
      <w:r>
        <w:rPr>
          <w:sz w:val="20"/>
          <w:szCs w:val="20"/>
          <w:color w:val="auto"/>
        </w:rPr>
        <w:tab/>
      </w:r>
      <w:r>
        <w:rPr>
          <w:rFonts w:ascii="Arial" w:cs="Arial" w:eastAsia="Arial" w:hAnsi="Arial"/>
          <w:sz w:val="18"/>
          <w:szCs w:val="18"/>
          <w:color w:val="auto"/>
        </w:rPr>
        <w:t>(1)</w:t>
        <w:tab/>
        <w:t>$</w:t>
      </w:r>
      <w:r>
        <w:rPr>
          <w:sz w:val="20"/>
          <w:szCs w:val="20"/>
          <w:color w:val="auto"/>
        </w:rPr>
        <w:tab/>
      </w:r>
      <w:r>
        <w:rPr>
          <w:rFonts w:ascii="Arial" w:cs="Arial" w:eastAsia="Arial" w:hAnsi="Arial"/>
          <w:sz w:val="18"/>
          <w:szCs w:val="18"/>
          <w:color w:val="auto"/>
        </w:rPr>
        <w:t>25 $</w:t>
      </w:r>
      <w:r>
        <w:rPr>
          <w:sz w:val="20"/>
          <w:szCs w:val="20"/>
          <w:color w:val="auto"/>
        </w:rPr>
        <w:tab/>
      </w:r>
      <w:r>
        <w:rPr>
          <w:rFonts w:ascii="Arial" w:cs="Arial" w:eastAsia="Arial" w:hAnsi="Arial"/>
          <w:sz w:val="18"/>
          <w:szCs w:val="18"/>
          <w:color w:val="auto"/>
        </w:rPr>
        <w:t>(2)</w:t>
      </w:r>
    </w:p>
    <w:p>
      <w:pPr>
        <w:spacing w:after="0" w:line="332"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For the three and nine months ended September 30, 2020 and 2019, pre-tax net gains (losses) associated with these forward contracts were recorded in “General and administrative expenses” and were not material.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Deferred revenues</w:t>
      </w:r>
    </w:p>
    <w:p>
      <w:pPr>
        <w:spacing w:after="0" w:line="256" w:lineRule="exact"/>
        <w:rPr>
          <w:sz w:val="20"/>
          <w:szCs w:val="20"/>
          <w:color w:val="auto"/>
        </w:rPr>
      </w:pPr>
    </w:p>
    <w:p>
      <w:pPr>
        <w:ind w:right="180" w:firstLine="324"/>
        <w:spacing w:after="0" w:line="290" w:lineRule="auto"/>
        <w:rPr>
          <w:sz w:val="20"/>
          <w:szCs w:val="20"/>
          <w:color w:val="auto"/>
        </w:rPr>
      </w:pPr>
      <w:r>
        <w:rPr>
          <w:rFonts w:ascii="Arial" w:cs="Arial" w:eastAsia="Arial" w:hAnsi="Arial"/>
          <w:sz w:val="16"/>
          <w:szCs w:val="16"/>
          <w:color w:val="auto"/>
        </w:rPr>
        <w:t>We record deferred revenues when cash payments are received or due in advance of the fulfillment of our associated performance obligations. The aggregate of the current and non-current balances of deferred revenues as of December 31, 2019 and September 30, 2020, were $1.4 billion and $1.1 billion, respectively. For the nine months ended September 30, 2020, the additions to our deferred revenues balance were primarily due to cash payments received or due in advance of satisfying our performance obligations, while the reductions to our deferred revenues balance were primarily due to the recognition of revenues upon fulfillment of our performance obligations, all of which were in the ordinary course of business. During the three and nine months ended September 30, 2020, $54 million and $1.3 billion of revenues, respectively, were recognized that were included in the deferred revenues balance at December 31, 2019. During the three and nine months ended September 30, 2019, $0.1 billion and $1.4 billion of revenues, respectively, were recognized that were included in the deferred revenues balance at December 31, 2018.</w:t>
      </w:r>
    </w:p>
    <w:p>
      <w:pPr>
        <w:spacing w:after="0" w:line="192" w:lineRule="exact"/>
        <w:rPr>
          <w:sz w:val="20"/>
          <w:szCs w:val="20"/>
          <w:color w:val="auto"/>
        </w:rPr>
      </w:pPr>
    </w:p>
    <w:p>
      <w:pPr>
        <w:ind w:right="20" w:firstLine="324"/>
        <w:spacing w:after="0" w:line="259" w:lineRule="auto"/>
        <w:rPr>
          <w:sz w:val="20"/>
          <w:szCs w:val="20"/>
          <w:color w:val="auto"/>
        </w:rPr>
      </w:pPr>
      <w:r>
        <w:rPr>
          <w:rFonts w:ascii="Arial" w:cs="Arial" w:eastAsia="Arial" w:hAnsi="Arial"/>
          <w:sz w:val="17"/>
          <w:szCs w:val="17"/>
          <w:color w:val="auto"/>
        </w:rPr>
        <w:t>As of September 30, 2020, the aggregate amount of contracted revenues allocated to our unsatisfied performance obligations was $1.9 billion, which included our deferred revenues balances and amounts to be invoiced and recognized as revenue in future periods. We expect to recognize approximately $1.4 billion over the next 12 months, $0.4 billion in the subsequent 12-month period, and the remainder thereafter. This balance did not include an estimate for variable consideration arising from sales-based royalty license revenue in excess of the contractual minimum guarantee or any estimated amounts of variable consideration that are subject to constraint in accordance with the new revenue standard.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158"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As of September 30, 2020 and December 31, 2019, we had $1.5 billion available under a revolving credit facility (the “Revolver”) pursuant to a credit agreement entered into on October 11, 2013 (as amended thereafter and from time to time, the “Credit Agreement”). To date, we have not drawn on the Revolver and we were in compliance with the terms of the Credit Agreement as of September 30, 2020.</w:t>
      </w:r>
    </w:p>
    <w:p>
      <w:pPr>
        <w:spacing w:after="0" w:line="211" w:lineRule="exact"/>
        <w:rPr>
          <w:sz w:val="20"/>
          <w:szCs w:val="20"/>
          <w:color w:val="auto"/>
        </w:rPr>
      </w:pPr>
    </w:p>
    <w:p>
      <w:pPr>
        <w:ind w:right="660" w:firstLine="324"/>
        <w:spacing w:after="0" w:line="277" w:lineRule="auto"/>
        <w:rPr>
          <w:sz w:val="20"/>
          <w:szCs w:val="20"/>
          <w:color w:val="auto"/>
        </w:rPr>
      </w:pPr>
      <w:r>
        <w:rPr>
          <w:rFonts w:ascii="Arial" w:cs="Arial" w:eastAsia="Arial" w:hAnsi="Arial"/>
          <w:sz w:val="18"/>
          <w:szCs w:val="18"/>
          <w:color w:val="auto"/>
        </w:rPr>
        <w:t>Refer to Note 13 contained in our Annual Report on Form 10-K for the year ended December 31, 2019 for further details regarding the Credit Agreement, its key terms, and previous amendments made to it.</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Unsecured Senior Notes</w:t>
      </w:r>
    </w:p>
    <w:p>
      <w:pPr>
        <w:spacing w:after="0" w:line="252"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As of September 30, 2020 and December 31, 2019, we had $3.7 billion and $2.7 billion, respectively, of gross unsecured senior notes outstanding. A summary of our outstanding unsecured senior notes is as follows (amounts in millions):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80" w:type="dxa"/>
            <w:vAlign w:val="bottom"/>
            <w:gridSpan w:val="4"/>
          </w:tcPr>
          <w:p>
            <w:pPr>
              <w:ind w:left="220"/>
              <w:spacing w:after="0"/>
              <w:rPr>
                <w:sz w:val="20"/>
                <w:szCs w:val="20"/>
                <w:color w:val="auto"/>
              </w:rPr>
            </w:pPr>
            <w:r>
              <w:rPr>
                <w:rFonts w:ascii="Arial" w:cs="Arial" w:eastAsia="Arial" w:hAnsi="Arial"/>
                <w:sz w:val="18"/>
                <w:szCs w:val="18"/>
                <w:b w:val="1"/>
                <w:bCs w:val="1"/>
                <w:color w:val="auto"/>
              </w:rPr>
              <w:t>At September 30, 2020</w:t>
            </w:r>
          </w:p>
        </w:tc>
        <w:tc>
          <w:tcPr>
            <w:tcW w:w="180" w:type="dxa"/>
            <w:vAlign w:val="bottom"/>
          </w:tcPr>
          <w:p>
            <w:pPr>
              <w:spacing w:after="0"/>
              <w:rPr>
                <w:sz w:val="20"/>
                <w:szCs w:val="20"/>
                <w:color w:val="auto"/>
              </w:rPr>
            </w:pPr>
          </w:p>
        </w:tc>
        <w:tc>
          <w:tcPr>
            <w:tcW w:w="238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rPr>
              <w:t>At December 31, 2019</w:t>
            </w:r>
          </w:p>
        </w:tc>
        <w:tc>
          <w:tcPr>
            <w:tcW w:w="0" w:type="dxa"/>
            <w:vAlign w:val="bottom"/>
          </w:tcPr>
          <w:p>
            <w:pPr>
              <w:spacing w:after="0"/>
              <w:rPr>
                <w:sz w:val="1"/>
                <w:szCs w:val="1"/>
                <w:color w:val="auto"/>
              </w:rPr>
            </w:pPr>
          </w:p>
        </w:tc>
      </w:tr>
      <w:tr>
        <w:trPr>
          <w:trHeight w:val="169"/>
        </w:trPr>
        <w:tc>
          <w:tcPr>
            <w:tcW w:w="1380" w:type="dxa"/>
            <w:vAlign w:val="bottom"/>
            <w:gridSpan w:val="2"/>
          </w:tcPr>
          <w:p>
            <w:pPr>
              <w:jc w:val="center"/>
              <w:ind w:right="80"/>
              <w:spacing w:after="0" w:line="169" w:lineRule="exact"/>
              <w:rPr>
                <w:sz w:val="20"/>
                <w:szCs w:val="20"/>
                <w:color w:val="auto"/>
              </w:rPr>
            </w:pPr>
            <w:r>
              <w:rPr>
                <w:rFonts w:ascii="Arial" w:cs="Arial" w:eastAsia="Arial" w:hAnsi="Arial"/>
                <w:sz w:val="18"/>
                <w:szCs w:val="18"/>
                <w:b w:val="1"/>
                <w:bCs w:val="1"/>
                <w:color w:val="auto"/>
                <w:w w:val="88"/>
              </w:rPr>
              <w:t>Unsecured</w:t>
            </w:r>
          </w:p>
        </w:tc>
        <w:tc>
          <w:tcPr>
            <w:tcW w:w="940" w:type="dxa"/>
            <w:vAlign w:val="bottom"/>
            <w:gridSpan w:val="2"/>
          </w:tcPr>
          <w:p>
            <w:pPr>
              <w:jc w:val="center"/>
              <w:ind w:right="100"/>
              <w:spacing w:after="0" w:line="169" w:lineRule="exact"/>
              <w:rPr>
                <w:sz w:val="20"/>
                <w:szCs w:val="20"/>
                <w:color w:val="auto"/>
              </w:rPr>
            </w:pPr>
            <w:r>
              <w:rPr>
                <w:rFonts w:ascii="Arial" w:cs="Arial" w:eastAsia="Arial" w:hAnsi="Arial"/>
                <w:sz w:val="18"/>
                <w:szCs w:val="18"/>
                <w:b w:val="1"/>
                <w:bCs w:val="1"/>
                <w:color w:val="auto"/>
                <w:w w:val="92"/>
              </w:rPr>
              <w:t>Interest</w:t>
            </w:r>
          </w:p>
        </w:tc>
        <w:tc>
          <w:tcPr>
            <w:tcW w:w="2420" w:type="dxa"/>
            <w:vAlign w:val="bottom"/>
            <w:gridSpan w:val="2"/>
          </w:tcPr>
          <w:p>
            <w:pPr>
              <w:jc w:val="center"/>
              <w:ind w:right="100"/>
              <w:spacing w:after="0" w:line="169" w:lineRule="exact"/>
              <w:rPr>
                <w:sz w:val="20"/>
                <w:szCs w:val="20"/>
                <w:color w:val="auto"/>
              </w:rPr>
            </w:pPr>
            <w:r>
              <w:rPr>
                <w:rFonts w:ascii="Arial" w:cs="Arial" w:eastAsia="Arial" w:hAnsi="Arial"/>
                <w:sz w:val="18"/>
                <w:szCs w:val="18"/>
                <w:b w:val="1"/>
                <w:bCs w:val="1"/>
                <w:color w:val="auto"/>
                <w:w w:val="91"/>
              </w:rPr>
              <w:t>Semi-Annual Interest</w:t>
            </w:r>
          </w:p>
        </w:tc>
        <w:tc>
          <w:tcPr>
            <w:tcW w:w="128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9"/>
              </w:rPr>
              <w:t>Maturity</w:t>
            </w:r>
          </w:p>
        </w:tc>
        <w:tc>
          <w:tcPr>
            <w:tcW w:w="1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vMerge w:val="restart"/>
          </w:tcPr>
          <w:p>
            <w:pPr>
              <w:jc w:val="right"/>
              <w:ind w:right="170"/>
              <w:spacing w:after="0"/>
              <w:rPr>
                <w:sz w:val="20"/>
                <w:szCs w:val="20"/>
                <w:color w:val="auto"/>
              </w:rPr>
            </w:pPr>
            <w:r>
              <w:rPr>
                <w:rFonts w:ascii="Arial" w:cs="Arial" w:eastAsia="Arial" w:hAnsi="Arial"/>
                <w:sz w:val="18"/>
                <w:szCs w:val="18"/>
                <w:b w:val="1"/>
                <w:bCs w:val="1"/>
                <w:color w:val="auto"/>
              </w:rPr>
              <w:t>Principal</w:t>
            </w:r>
          </w:p>
        </w:tc>
        <w:tc>
          <w:tcPr>
            <w:tcW w:w="10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b w:val="1"/>
                <w:bCs w:val="1"/>
                <w:color w:val="auto"/>
                <w:w w:val="95"/>
              </w:rPr>
              <w:t>Fair Value</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vMerge w:val="restart"/>
          </w:tcPr>
          <w:p>
            <w:pPr>
              <w:jc w:val="right"/>
              <w:ind w:right="170"/>
              <w:spacing w:after="0"/>
              <w:rPr>
                <w:sz w:val="20"/>
                <w:szCs w:val="20"/>
                <w:color w:val="auto"/>
              </w:rPr>
            </w:pPr>
            <w:r>
              <w:rPr>
                <w:rFonts w:ascii="Arial" w:cs="Arial" w:eastAsia="Arial" w:hAnsi="Arial"/>
                <w:sz w:val="18"/>
                <w:szCs w:val="18"/>
                <w:b w:val="1"/>
                <w:bCs w:val="1"/>
                <w:color w:val="auto"/>
              </w:rPr>
              <w:t>Principal</w:t>
            </w:r>
          </w:p>
        </w:tc>
        <w:tc>
          <w:tcPr>
            <w:tcW w:w="1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ind w:right="130"/>
              <w:spacing w:after="0" w:line="169" w:lineRule="exact"/>
              <w:rPr>
                <w:sz w:val="20"/>
                <w:szCs w:val="20"/>
                <w:color w:val="auto"/>
              </w:rPr>
            </w:pPr>
            <w:r>
              <w:rPr>
                <w:rFonts w:ascii="Arial" w:cs="Arial" w:eastAsia="Arial" w:hAnsi="Arial"/>
                <w:sz w:val="18"/>
                <w:szCs w:val="18"/>
                <w:b w:val="1"/>
                <w:bCs w:val="1"/>
                <w:color w:val="auto"/>
                <w:w w:val="95"/>
              </w:rPr>
              <w:t>Fair Value</w:t>
            </w:r>
          </w:p>
        </w:tc>
        <w:tc>
          <w:tcPr>
            <w:tcW w:w="0" w:type="dxa"/>
            <w:vAlign w:val="bottom"/>
          </w:tcPr>
          <w:p>
            <w:pPr>
              <w:spacing w:after="0"/>
              <w:rPr>
                <w:sz w:val="1"/>
                <w:szCs w:val="1"/>
                <w:color w:val="auto"/>
              </w:rPr>
            </w:pPr>
          </w:p>
        </w:tc>
      </w:tr>
      <w:tr>
        <w:trPr>
          <w:trHeight w:val="229"/>
        </w:trPr>
        <w:tc>
          <w:tcPr>
            <w:tcW w:w="13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Senior Notes</w:t>
            </w:r>
          </w:p>
        </w:tc>
        <w:tc>
          <w:tcPr>
            <w:tcW w:w="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Rate</w:t>
            </w:r>
          </w:p>
        </w:tc>
        <w:tc>
          <w:tcPr>
            <w:tcW w:w="2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Payments Due On</w:t>
            </w:r>
          </w:p>
        </w:tc>
        <w:tc>
          <w:tcPr>
            <w:tcW w:w="12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(Level 2)</w:t>
            </w:r>
          </w:p>
        </w:tc>
        <w:tc>
          <w:tcPr>
            <w:tcW w:w="18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ind w:right="190"/>
              <w:spacing w:after="0"/>
              <w:rPr>
                <w:sz w:val="20"/>
                <w:szCs w:val="20"/>
                <w:color w:val="auto"/>
              </w:rPr>
            </w:pPr>
            <w:r>
              <w:rPr>
                <w:rFonts w:ascii="Arial" w:cs="Arial" w:eastAsia="Arial" w:hAnsi="Arial"/>
                <w:sz w:val="18"/>
                <w:szCs w:val="18"/>
                <w:b w:val="1"/>
                <w:bCs w:val="1"/>
                <w:color w:val="auto"/>
              </w:rPr>
              <w:t>(Level 2)</w:t>
            </w:r>
          </w:p>
        </w:tc>
        <w:tc>
          <w:tcPr>
            <w:tcW w:w="0" w:type="dxa"/>
            <w:vAlign w:val="bottom"/>
          </w:tcPr>
          <w:p>
            <w:pPr>
              <w:spacing w:after="0"/>
              <w:rPr>
                <w:sz w:val="1"/>
                <w:szCs w:val="1"/>
                <w:color w:val="auto"/>
              </w:rPr>
            </w:pPr>
          </w:p>
        </w:tc>
      </w:tr>
      <w:tr>
        <w:trPr>
          <w:trHeight w:val="223"/>
        </w:trPr>
        <w:tc>
          <w:tcPr>
            <w:tcW w:w="1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2021 Notes</w:t>
            </w: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2.30%</w:t>
            </w:r>
          </w:p>
        </w:tc>
        <w:tc>
          <w:tcPr>
            <w:tcW w:w="100" w:type="dxa"/>
            <w:vAlign w:val="bottom"/>
            <w:tcBorders>
              <w:top w:val="single" w:sz="8" w:color="CCEEFF"/>
            </w:tcBorders>
            <w:shd w:val="clear" w:color="auto" w:fill="CCEEFF"/>
          </w:tcPr>
          <w:p>
            <w:pPr>
              <w:spacing w:after="0"/>
              <w:rPr>
                <w:sz w:val="19"/>
                <w:szCs w:val="19"/>
                <w:color w:val="auto"/>
              </w:rPr>
            </w:pPr>
          </w:p>
        </w:tc>
        <w:tc>
          <w:tcPr>
            <w:tcW w:w="2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Mar. 15 &amp; Sept. 15</w:t>
            </w: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Sept. 2021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0" w:type="dxa"/>
            <w:vAlign w:val="bottom"/>
          </w:tcPr>
          <w:p>
            <w:pPr>
              <w:spacing w:after="0"/>
              <w:rPr>
                <w:sz w:val="1"/>
                <w:szCs w:val="1"/>
                <w:color w:val="auto"/>
              </w:rPr>
            </w:pPr>
          </w:p>
        </w:tc>
      </w:tr>
      <w:tr>
        <w:trPr>
          <w:trHeight w:val="230"/>
        </w:trPr>
        <w:tc>
          <w:tcPr>
            <w:tcW w:w="138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2022 Notes</w:t>
            </w:r>
          </w:p>
        </w:tc>
        <w:tc>
          <w:tcPr>
            <w:tcW w:w="840" w:type="dxa"/>
            <w:vAlign w:val="bottom"/>
          </w:tcPr>
          <w:p>
            <w:pPr>
              <w:jc w:val="center"/>
              <w:spacing w:after="0"/>
              <w:rPr>
                <w:sz w:val="20"/>
                <w:szCs w:val="20"/>
                <w:color w:val="auto"/>
              </w:rPr>
            </w:pPr>
            <w:r>
              <w:rPr>
                <w:rFonts w:ascii="Arial" w:cs="Arial" w:eastAsia="Arial" w:hAnsi="Arial"/>
                <w:sz w:val="18"/>
                <w:szCs w:val="18"/>
                <w:color w:val="auto"/>
                <w:w w:val="90"/>
              </w:rPr>
              <w:t>2.60%</w:t>
            </w:r>
          </w:p>
        </w:tc>
        <w:tc>
          <w:tcPr>
            <w:tcW w:w="100" w:type="dxa"/>
            <w:vAlign w:val="bottom"/>
          </w:tcPr>
          <w:p>
            <w:pPr>
              <w:spacing w:after="0"/>
              <w:rPr>
                <w:sz w:val="19"/>
                <w:szCs w:val="19"/>
                <w:color w:val="auto"/>
              </w:rPr>
            </w:pPr>
          </w:p>
        </w:tc>
        <w:tc>
          <w:tcPr>
            <w:tcW w:w="24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Jun. 15 &amp; Dec. 15</w:t>
            </w:r>
          </w:p>
        </w:tc>
        <w:tc>
          <w:tcPr>
            <w:tcW w:w="128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Jun. 2022</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29"/>
        </w:trPr>
        <w:tc>
          <w:tcPr>
            <w:tcW w:w="13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9"/>
              </w:rPr>
              <w:t>2026 Notes</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3.40%</w:t>
            </w:r>
          </w:p>
        </w:tc>
        <w:tc>
          <w:tcPr>
            <w:tcW w:w="100" w:type="dxa"/>
            <w:vAlign w:val="bottom"/>
            <w:shd w:val="clear" w:color="auto" w:fill="CCEEFF"/>
          </w:tcPr>
          <w:p>
            <w:pPr>
              <w:spacing w:after="0"/>
              <w:rPr>
                <w:sz w:val="19"/>
                <w:szCs w:val="19"/>
                <w:color w:val="auto"/>
              </w:rPr>
            </w:pP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Mar. 15 &amp; Sept. 15</w:t>
            </w:r>
          </w:p>
        </w:tc>
        <w:tc>
          <w:tcPr>
            <w:tcW w:w="12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Sept. 2026</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w:t>
            </w:r>
          </w:p>
        </w:tc>
        <w:tc>
          <w:tcPr>
            <w:tcW w:w="0" w:type="dxa"/>
            <w:vAlign w:val="bottom"/>
          </w:tcPr>
          <w:p>
            <w:pPr>
              <w:spacing w:after="0"/>
              <w:rPr>
                <w:sz w:val="1"/>
                <w:szCs w:val="1"/>
                <w:color w:val="auto"/>
              </w:rPr>
            </w:pPr>
          </w:p>
        </w:tc>
      </w:tr>
      <w:tr>
        <w:trPr>
          <w:trHeight w:val="230"/>
        </w:trPr>
        <w:tc>
          <w:tcPr>
            <w:tcW w:w="138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2027 Notes</w:t>
            </w:r>
          </w:p>
        </w:tc>
        <w:tc>
          <w:tcPr>
            <w:tcW w:w="840" w:type="dxa"/>
            <w:vAlign w:val="bottom"/>
          </w:tcPr>
          <w:p>
            <w:pPr>
              <w:jc w:val="center"/>
              <w:spacing w:after="0"/>
              <w:rPr>
                <w:sz w:val="20"/>
                <w:szCs w:val="20"/>
                <w:color w:val="auto"/>
              </w:rPr>
            </w:pPr>
            <w:r>
              <w:rPr>
                <w:rFonts w:ascii="Arial" w:cs="Arial" w:eastAsia="Arial" w:hAnsi="Arial"/>
                <w:sz w:val="18"/>
                <w:szCs w:val="18"/>
                <w:color w:val="auto"/>
                <w:w w:val="90"/>
              </w:rPr>
              <w:t>3.40%</w:t>
            </w:r>
          </w:p>
        </w:tc>
        <w:tc>
          <w:tcPr>
            <w:tcW w:w="100" w:type="dxa"/>
            <w:vAlign w:val="bottom"/>
          </w:tcPr>
          <w:p>
            <w:pPr>
              <w:spacing w:after="0"/>
              <w:rPr>
                <w:sz w:val="19"/>
                <w:szCs w:val="19"/>
                <w:color w:val="auto"/>
              </w:rPr>
            </w:pPr>
          </w:p>
        </w:tc>
        <w:tc>
          <w:tcPr>
            <w:tcW w:w="24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Jun. 15 &amp; Dec. 15</w:t>
            </w:r>
          </w:p>
        </w:tc>
        <w:tc>
          <w:tcPr>
            <w:tcW w:w="128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Jun. 2027</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453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29"/>
        </w:trPr>
        <w:tc>
          <w:tcPr>
            <w:tcW w:w="13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9"/>
              </w:rPr>
              <w:t>2030 Notes</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1.35%</w:t>
            </w:r>
          </w:p>
        </w:tc>
        <w:tc>
          <w:tcPr>
            <w:tcW w:w="100" w:type="dxa"/>
            <w:vAlign w:val="bottom"/>
            <w:shd w:val="clear" w:color="auto" w:fill="CCEEFF"/>
          </w:tcPr>
          <w:p>
            <w:pPr>
              <w:spacing w:after="0"/>
              <w:rPr>
                <w:sz w:val="19"/>
                <w:szCs w:val="19"/>
                <w:color w:val="auto"/>
              </w:rPr>
            </w:pP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Mar. 15 &amp; Sept. 15</w:t>
            </w:r>
          </w:p>
        </w:tc>
        <w:tc>
          <w:tcPr>
            <w:tcW w:w="12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Sept. 2030</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38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2047 Notes</w:t>
            </w:r>
          </w:p>
        </w:tc>
        <w:tc>
          <w:tcPr>
            <w:tcW w:w="840" w:type="dxa"/>
            <w:vAlign w:val="bottom"/>
          </w:tcPr>
          <w:p>
            <w:pPr>
              <w:jc w:val="center"/>
              <w:spacing w:after="0"/>
              <w:rPr>
                <w:sz w:val="20"/>
                <w:szCs w:val="20"/>
                <w:color w:val="auto"/>
              </w:rPr>
            </w:pPr>
            <w:r>
              <w:rPr>
                <w:rFonts w:ascii="Arial" w:cs="Arial" w:eastAsia="Arial" w:hAnsi="Arial"/>
                <w:sz w:val="18"/>
                <w:szCs w:val="18"/>
                <w:color w:val="auto"/>
                <w:w w:val="90"/>
              </w:rPr>
              <w:t>4.50%</w:t>
            </w:r>
          </w:p>
        </w:tc>
        <w:tc>
          <w:tcPr>
            <w:tcW w:w="100" w:type="dxa"/>
            <w:vAlign w:val="bottom"/>
          </w:tcPr>
          <w:p>
            <w:pPr>
              <w:spacing w:after="0"/>
              <w:rPr>
                <w:sz w:val="19"/>
                <w:szCs w:val="19"/>
                <w:color w:val="auto"/>
              </w:rPr>
            </w:pPr>
          </w:p>
        </w:tc>
        <w:tc>
          <w:tcPr>
            <w:tcW w:w="24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Jun. 15 &amp; Dec. 15</w:t>
            </w:r>
          </w:p>
        </w:tc>
        <w:tc>
          <w:tcPr>
            <w:tcW w:w="128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Jun. 2047</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508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30"/>
        </w:trPr>
        <w:tc>
          <w:tcPr>
            <w:tcW w:w="13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9"/>
              </w:rPr>
              <w:t>2050 Notes</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2.50%</w:t>
            </w:r>
          </w:p>
        </w:tc>
        <w:tc>
          <w:tcPr>
            <w:tcW w:w="100" w:type="dxa"/>
            <w:vAlign w:val="bottom"/>
            <w:shd w:val="clear" w:color="auto" w:fill="CCEEFF"/>
          </w:tcPr>
          <w:p>
            <w:pPr>
              <w:spacing w:after="0"/>
              <w:rPr>
                <w:sz w:val="19"/>
                <w:szCs w:val="19"/>
                <w:color w:val="auto"/>
              </w:rPr>
            </w:pP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Mar. 15 &amp; Sept. 15</w:t>
            </w:r>
          </w:p>
        </w:tc>
        <w:tc>
          <w:tcPr>
            <w:tcW w:w="12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Sept. 2050</w:t>
            </w: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320" w:type="dxa"/>
            <w:vAlign w:val="bottom"/>
            <w:tcBorders>
              <w:bottom w:val="single" w:sz="8" w:color="CCEEFF"/>
            </w:tcBorders>
            <w:gridSpan w:val="4"/>
          </w:tcPr>
          <w:p>
            <w:pPr>
              <w:ind w:left="20"/>
              <w:spacing w:after="0"/>
              <w:rPr>
                <w:sz w:val="20"/>
                <w:szCs w:val="20"/>
                <w:color w:val="auto"/>
              </w:rPr>
            </w:pPr>
            <w:r>
              <w:rPr>
                <w:rFonts w:ascii="Arial" w:cs="Arial" w:eastAsia="Arial" w:hAnsi="Arial"/>
                <w:sz w:val="18"/>
                <w:szCs w:val="18"/>
                <w:color w:val="auto"/>
              </w:rPr>
              <w:t>Total gross long-term debt</w:t>
            </w:r>
          </w:p>
        </w:tc>
        <w:tc>
          <w:tcPr>
            <w:tcW w:w="2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3,650</w:t>
            </w: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gridSpan w:val="6"/>
            <w:shd w:val="clear" w:color="auto" w:fill="CCEEFF"/>
          </w:tcPr>
          <w:p>
            <w:pPr>
              <w:ind w:left="20"/>
              <w:spacing w:after="0"/>
              <w:rPr>
                <w:sz w:val="20"/>
                <w:szCs w:val="20"/>
                <w:color w:val="auto"/>
              </w:rPr>
            </w:pPr>
            <w:r>
              <w:rPr>
                <w:rFonts w:ascii="Arial" w:cs="Arial" w:eastAsia="Arial" w:hAnsi="Arial"/>
                <w:sz w:val="18"/>
                <w:szCs w:val="18"/>
                <w:color w:val="auto"/>
              </w:rPr>
              <w:t>Unamortized discount and deferred financing costs</w:t>
            </w: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20" w:type="dxa"/>
            <w:vAlign w:val="bottom"/>
            <w:gridSpan w:val="4"/>
          </w:tcPr>
          <w:p>
            <w:pPr>
              <w:ind w:left="20"/>
              <w:spacing w:after="0"/>
              <w:rPr>
                <w:sz w:val="20"/>
                <w:szCs w:val="20"/>
                <w:color w:val="auto"/>
              </w:rPr>
            </w:pPr>
            <w:r>
              <w:rPr>
                <w:rFonts w:ascii="Arial" w:cs="Arial" w:eastAsia="Arial" w:hAnsi="Arial"/>
                <w:sz w:val="18"/>
                <w:szCs w:val="18"/>
                <w:color w:val="auto"/>
              </w:rPr>
              <w:t>Total net carrying amount</w:t>
            </w:r>
          </w:p>
        </w:tc>
        <w:tc>
          <w:tcPr>
            <w:tcW w:w="2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3,604</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160" w:firstLine="324"/>
        <w:spacing w:after="0" w:line="248" w:lineRule="auto"/>
        <w:rPr>
          <w:sz w:val="20"/>
          <w:szCs w:val="20"/>
          <w:color w:val="auto"/>
        </w:rPr>
      </w:pPr>
      <w:r>
        <w:rPr>
          <w:rFonts w:ascii="Arial" w:cs="Arial" w:eastAsia="Arial" w:hAnsi="Arial"/>
          <w:sz w:val="18"/>
          <w:szCs w:val="18"/>
          <w:color w:val="auto"/>
        </w:rPr>
        <w:t>On August 5, 2020, we issued the 2030 Notes and 2050 Notes in a public underwritten offering, for an aggregate principal amount of $2.0 billion in new debt. In connection with the issuance, we incurred approximately $26 million of debt discount and financing costs that were capitalized and recorded within "Long-term debt, net" in our condensed consolidated balance sheet.</w:t>
      </w:r>
    </w:p>
    <w:p>
      <w:pPr>
        <w:spacing w:after="0" w:line="209" w:lineRule="exact"/>
        <w:rPr>
          <w:sz w:val="20"/>
          <w:szCs w:val="20"/>
          <w:color w:val="auto"/>
        </w:rPr>
      </w:pPr>
    </w:p>
    <w:p>
      <w:pPr>
        <w:ind w:right="20" w:firstLine="324"/>
        <w:spacing w:after="0" w:line="294" w:lineRule="auto"/>
        <w:rPr>
          <w:sz w:val="20"/>
          <w:szCs w:val="20"/>
          <w:color w:val="auto"/>
        </w:rPr>
      </w:pPr>
      <w:r>
        <w:rPr>
          <w:rFonts w:ascii="Arial" w:cs="Arial" w:eastAsia="Arial" w:hAnsi="Arial"/>
          <w:sz w:val="16"/>
          <w:szCs w:val="16"/>
          <w:color w:val="auto"/>
        </w:rPr>
        <w:t>On September 4, 2020, we redeemed all of our outstanding 2021 Notes and 2022 Notes at a redemption price equal to 100% of their respective principal amounts plus (1) a “make-whole” premium of $28 million and (2) accrued and unpaid interest to the redemption date. The redemption of the 2021 Notes and 2022 Notes resulted in a “Loss on extinguishment of debt” recorded in the condensed consolidated statement of operations of $31 million.</w:t>
      </w:r>
    </w:p>
    <w:p>
      <w:pPr>
        <w:spacing w:after="0" w:line="174" w:lineRule="exact"/>
        <w:rPr>
          <w:sz w:val="20"/>
          <w:szCs w:val="20"/>
          <w:color w:val="auto"/>
        </w:rPr>
      </w:pPr>
    </w:p>
    <w:p>
      <w:pPr>
        <w:ind w:right="240" w:firstLine="324"/>
        <w:spacing w:after="0" w:line="296" w:lineRule="auto"/>
        <w:rPr>
          <w:sz w:val="20"/>
          <w:szCs w:val="20"/>
          <w:color w:val="auto"/>
        </w:rPr>
      </w:pPr>
      <w:r>
        <w:rPr>
          <w:rFonts w:ascii="Arial" w:cs="Arial" w:eastAsia="Arial" w:hAnsi="Arial"/>
          <w:sz w:val="16"/>
          <w:szCs w:val="16"/>
          <w:color w:val="auto"/>
        </w:rPr>
        <w:t>We may redeem some or all of the 2030 Notes and 2050 Notes, in whole or in part, at any time on or after June 15, 2030 and March 15, 2050, respectively, in each case at 100% of the aggregate principal amount thereof plus accrued and unpaid interest. In addition, we may redeem some or all of the 2030 Notes and the 2050 Notes prior to June 15, 2030 and March 15, 2050, respectively, in each case at a price equal to 100% of the aggregate principal amount thereof plus a “make-whole” premium and accrued and unpaid interest. The other terms and covenants associated with the 2030 Notes and the 2050 Notes are generally consistent with those associated with the 2026 Notes, 2027 Notes and 2047 Notes.</w:t>
      </w:r>
    </w:p>
    <w:p>
      <w:pPr>
        <w:spacing w:after="0" w:line="188"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We were in compliance with the terms of the notes outstanding as of September 30, 2020. As of September 30, 2020, we have no contractual principal repayments of our long-term debt within the next five years.</w:t>
      </w:r>
    </w:p>
    <w:p>
      <w:pPr>
        <w:spacing w:after="0" w:line="197"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Refer to Note 13 contained in our Annual Report on Form 10-K for the year ended December 31, 2019 for further details regarding key terms under our indentures that govern the 2026 Notes, 2027 Notes and 2047 Notes.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Accumulated Other Comprehensive Income (Loss)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accumulated other comprehensive income (loss) were as follows (amounts in millions):</w:t>
      </w:r>
    </w:p>
    <w:p>
      <w:pPr>
        <w:spacing w:after="0" w:line="388" w:lineRule="exact"/>
        <w:rPr>
          <w:sz w:val="20"/>
          <w:szCs w:val="20"/>
          <w:color w:val="auto"/>
        </w:rPr>
      </w:pPr>
    </w:p>
    <w:p>
      <w:pPr>
        <w:jc w:val="right"/>
        <w:ind w:right="1880"/>
        <w:spacing w:after="0"/>
        <w:rPr>
          <w:sz w:val="20"/>
          <w:szCs w:val="20"/>
          <w:color w:val="auto"/>
        </w:rPr>
      </w:pPr>
      <w:r>
        <w:rPr>
          <w:rFonts w:ascii="Arial" w:cs="Arial" w:eastAsia="Arial" w:hAnsi="Arial"/>
          <w:sz w:val="16"/>
          <w:szCs w:val="16"/>
          <w:b w:val="1"/>
          <w:bCs w:val="1"/>
          <w:color w:val="auto"/>
        </w:rPr>
        <w:t>For the Nine Months Ended September 30, 2020</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99"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at December 31, 2019</w:t>
      </w:r>
    </w:p>
    <w:p>
      <w:pPr>
        <w:spacing w:after="0" w:line="23" w:lineRule="exact"/>
        <w:rPr>
          <w:sz w:val="20"/>
          <w:szCs w:val="20"/>
          <w:color w:val="auto"/>
        </w:rPr>
      </w:pPr>
    </w:p>
    <w:p>
      <w:pPr>
        <w:ind w:left="120" w:right="220"/>
        <w:spacing w:after="0" w:line="234" w:lineRule="auto"/>
        <w:rPr>
          <w:sz w:val="20"/>
          <w:szCs w:val="20"/>
          <w:color w:val="auto"/>
        </w:rPr>
      </w:pPr>
      <w:r>
        <w:rPr>
          <w:rFonts w:ascii="Arial" w:cs="Arial" w:eastAsia="Arial" w:hAnsi="Arial"/>
          <w:sz w:val="18"/>
          <w:szCs w:val="18"/>
          <w:color w:val="auto"/>
        </w:rPr>
        <w:t>Other comprehensive income (loss) before reclassifications</w:t>
      </w:r>
    </w:p>
    <w:p>
      <w:pPr>
        <w:spacing w:after="0" w:line="1"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Amounts reclassified from accumulated other comprehensive income (loss) into earnings</w:t>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at September 30, 2020</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80" w:type="dxa"/>
            <w:vAlign w:val="bottom"/>
            <w:tcBorders>
              <w:top w:val="single" w:sz="8" w:color="auto"/>
            </w:tcBorders>
          </w:tcPr>
          <w:p>
            <w:pPr>
              <w:spacing w:after="0"/>
              <w:rPr>
                <w:sz w:val="14"/>
                <w:szCs w:val="14"/>
                <w:color w:val="auto"/>
              </w:rPr>
            </w:pPr>
          </w:p>
        </w:tc>
        <w:tc>
          <w:tcPr>
            <w:tcW w:w="1620" w:type="dxa"/>
            <w:vAlign w:val="bottom"/>
            <w:tcBorders>
              <w:top w:val="single" w:sz="8" w:color="auto"/>
            </w:tcBorders>
            <w:gridSpan w:val="2"/>
            <w:vMerge w:val="restart"/>
          </w:tcPr>
          <w:p>
            <w:pPr>
              <w:ind w:left="80"/>
              <w:spacing w:after="0"/>
              <w:rPr>
                <w:sz w:val="20"/>
                <w:szCs w:val="20"/>
                <w:color w:val="auto"/>
              </w:rPr>
            </w:pPr>
            <w:r>
              <w:rPr>
                <w:rFonts w:ascii="Arial" w:cs="Arial" w:eastAsia="Arial" w:hAnsi="Arial"/>
                <w:sz w:val="16"/>
                <w:szCs w:val="16"/>
                <w:b w:val="1"/>
                <w:bCs w:val="1"/>
                <w:color w:val="auto"/>
              </w:rPr>
              <w:t>Foreign currency</w:t>
            </w:r>
          </w:p>
        </w:tc>
        <w:tc>
          <w:tcPr>
            <w:tcW w:w="1800" w:type="dxa"/>
            <w:vAlign w:val="bottom"/>
            <w:tcBorders>
              <w:top w:val="single" w:sz="8" w:color="auto"/>
            </w:tcBorders>
            <w:gridSpan w:val="3"/>
            <w:vMerge w:val="restart"/>
          </w:tcPr>
          <w:p>
            <w:pPr>
              <w:ind w:left="100"/>
              <w:spacing w:after="0"/>
              <w:rPr>
                <w:sz w:val="20"/>
                <w:szCs w:val="20"/>
                <w:color w:val="auto"/>
              </w:rPr>
            </w:pPr>
            <w:r>
              <w:rPr>
                <w:rFonts w:ascii="Arial" w:cs="Arial" w:eastAsia="Arial" w:hAnsi="Arial"/>
                <w:sz w:val="16"/>
                <w:szCs w:val="16"/>
                <w:b w:val="1"/>
                <w:bCs w:val="1"/>
                <w:color w:val="auto"/>
              </w:rPr>
              <w:t>Unrealized gain (loss)</w:t>
            </w:r>
          </w:p>
        </w:tc>
        <w:tc>
          <w:tcPr>
            <w:tcW w:w="1820" w:type="dxa"/>
            <w:vAlign w:val="bottom"/>
            <w:tcBorders>
              <w:top w:val="single" w:sz="8" w:color="auto"/>
            </w:tcBorders>
            <w:gridSpan w:val="3"/>
          </w:tcPr>
          <w:p>
            <w:pPr>
              <w:jc w:val="center"/>
              <w:ind w:right="120"/>
              <w:spacing w:after="0" w:line="161" w:lineRule="exact"/>
              <w:rPr>
                <w:sz w:val="20"/>
                <w:szCs w:val="20"/>
                <w:color w:val="auto"/>
              </w:rPr>
            </w:pPr>
            <w:r>
              <w:rPr>
                <w:rFonts w:ascii="Arial" w:cs="Arial" w:eastAsia="Arial" w:hAnsi="Arial"/>
                <w:sz w:val="16"/>
                <w:szCs w:val="16"/>
                <w:b w:val="1"/>
                <w:bCs w:val="1"/>
                <w:color w:val="auto"/>
                <w:w w:val="90"/>
              </w:rPr>
              <w:t>Unrealized gain (loss)</w:t>
            </w:r>
          </w:p>
        </w:tc>
        <w:tc>
          <w:tcPr>
            <w:tcW w:w="38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0" w:type="dxa"/>
            <w:vAlign w:val="bottom"/>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180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0"/>
              </w:rPr>
              <w:t>on available-for-sale</w:t>
            </w:r>
          </w:p>
        </w:tc>
        <w:tc>
          <w:tcPr>
            <w:tcW w:w="380" w:type="dxa"/>
            <w:vAlign w:val="bottom"/>
          </w:tcPr>
          <w:p>
            <w:pPr>
              <w:spacing w:after="0"/>
              <w:rPr>
                <w:sz w:val="14"/>
                <w:szCs w:val="14"/>
                <w:color w:val="auto"/>
              </w:rPr>
            </w:pPr>
          </w:p>
        </w:tc>
        <w:tc>
          <w:tcPr>
            <w:tcW w:w="1300" w:type="dxa"/>
            <w:vAlign w:val="bottom"/>
            <w:vMerge w:val="restart"/>
          </w:tcPr>
          <w:p>
            <w:pPr>
              <w:jc w:val="right"/>
              <w:ind w:right="57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1800" w:type="dxa"/>
            <w:vAlign w:val="bottom"/>
            <w:gridSpan w:val="3"/>
          </w:tcPr>
          <w:p>
            <w:pPr>
              <w:ind w:left="20"/>
              <w:spacing w:after="0"/>
              <w:rPr>
                <w:sz w:val="20"/>
                <w:szCs w:val="20"/>
                <w:color w:val="auto"/>
              </w:rPr>
            </w:pPr>
            <w:r>
              <w:rPr>
                <w:rFonts w:ascii="Arial" w:cs="Arial" w:eastAsia="Arial" w:hAnsi="Arial"/>
                <w:sz w:val="16"/>
                <w:szCs w:val="16"/>
                <w:b w:val="1"/>
                <w:bCs w:val="1"/>
                <w:color w:val="auto"/>
                <w:w w:val="97"/>
              </w:rPr>
              <w:t>translation adjustments</w:t>
            </w:r>
          </w:p>
        </w:tc>
        <w:tc>
          <w:tcPr>
            <w:tcW w:w="120" w:type="dxa"/>
            <w:vAlign w:val="bottom"/>
          </w:tcPr>
          <w:p>
            <w:pPr>
              <w:spacing w:after="0"/>
              <w:rPr>
                <w:sz w:val="18"/>
                <w:szCs w:val="18"/>
                <w:color w:val="auto"/>
              </w:rPr>
            </w:pPr>
          </w:p>
        </w:tc>
        <w:tc>
          <w:tcPr>
            <w:tcW w:w="1680" w:type="dxa"/>
            <w:vAlign w:val="bottom"/>
            <w:gridSpan w:val="2"/>
          </w:tcPr>
          <w:p>
            <w:pPr>
              <w:spacing w:after="0"/>
              <w:rPr>
                <w:sz w:val="20"/>
                <w:szCs w:val="20"/>
                <w:color w:val="auto"/>
              </w:rPr>
            </w:pPr>
            <w:r>
              <w:rPr>
                <w:rFonts w:ascii="Arial" w:cs="Arial" w:eastAsia="Arial" w:hAnsi="Arial"/>
                <w:sz w:val="16"/>
                <w:szCs w:val="16"/>
                <w:b w:val="1"/>
                <w:bCs w:val="1"/>
                <w:color w:val="auto"/>
              </w:rPr>
              <w:t>on forward contracts</w:t>
            </w:r>
          </w:p>
        </w:tc>
        <w:tc>
          <w:tcPr>
            <w:tcW w:w="140" w:type="dxa"/>
            <w:vAlign w:val="bottom"/>
          </w:tcPr>
          <w:p>
            <w:pPr>
              <w:spacing w:after="0"/>
              <w:rPr>
                <w:sz w:val="18"/>
                <w:szCs w:val="18"/>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5"/>
              </w:rPr>
              <w:t>securities</w:t>
            </w:r>
          </w:p>
        </w:tc>
        <w:tc>
          <w:tcPr>
            <w:tcW w:w="38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1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(624)</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404"/>
        </w:trPr>
        <w:tc>
          <w:tcPr>
            <w:tcW w:w="18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05"/>
        </w:trPr>
        <w:tc>
          <w:tcPr>
            <w:tcW w:w="1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r>
        <w:trPr>
          <w:trHeight w:val="21"/>
        </w:trPr>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-2623185</wp:posOffset>
            </wp:positionH>
            <wp:positionV relativeFrom="paragraph">
              <wp:posOffset>-856615</wp:posOffset>
            </wp:positionV>
            <wp:extent cx="7132320"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-2623185</wp:posOffset>
            </wp:positionH>
            <wp:positionV relativeFrom="paragraph">
              <wp:posOffset>-445135</wp:posOffset>
            </wp:positionV>
            <wp:extent cx="7132320" cy="2571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1880"/>
        <w:spacing w:after="0"/>
        <w:rPr>
          <w:sz w:val="20"/>
          <w:szCs w:val="20"/>
          <w:color w:val="auto"/>
        </w:rPr>
      </w:pPr>
      <w:r>
        <w:rPr>
          <w:rFonts w:ascii="Arial" w:cs="Arial" w:eastAsia="Arial" w:hAnsi="Arial"/>
          <w:sz w:val="16"/>
          <w:szCs w:val="16"/>
          <w:b w:val="1"/>
          <w:bCs w:val="1"/>
          <w:color w:val="auto"/>
        </w:rPr>
        <w:t>For the Nine Months Ended September 30, 2019</w:t>
      </w:r>
    </w:p>
    <w:p>
      <w:pPr>
        <w:spacing w:after="0" w:line="26" w:lineRule="exact"/>
        <w:rPr>
          <w:sz w:val="20"/>
          <w:szCs w:val="20"/>
          <w:color w:val="auto"/>
        </w:rPr>
      </w:pPr>
    </w:p>
    <w:p>
      <w:pPr>
        <w:sectPr>
          <w:pgSz w:w="11900" w:h="16838" w:orient="portrait"/>
          <w:cols w:equalWidth="0" w:num="2">
            <w:col w:w="3420" w:space="720"/>
            <w:col w:w="7100"/>
          </w:cols>
          <w:pgMar w:left="320" w:top="125" w:right="339" w:bottom="1440" w:gutter="0" w:footer="0" w:header="0"/>
          <w:type w:val="continuous"/>
        </w:sectPr>
      </w:pPr>
    </w:p>
    <w:p>
      <w:pPr>
        <w:spacing w:after="0" w:line="200" w:lineRule="exact"/>
        <w:rPr>
          <w:sz w:val="20"/>
          <w:szCs w:val="20"/>
          <w:color w:val="auto"/>
        </w:rPr>
      </w:pPr>
    </w:p>
    <w:p>
      <w:pPr>
        <w:spacing w:after="0" w:line="359"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at December 31, 2018</w:t>
      </w:r>
    </w:p>
    <w:p>
      <w:pPr>
        <w:spacing w:after="0" w:line="36" w:lineRule="exact"/>
        <w:rPr>
          <w:sz w:val="20"/>
          <w:szCs w:val="20"/>
          <w:color w:val="auto"/>
        </w:rPr>
      </w:pPr>
    </w:p>
    <w:p>
      <w:pPr>
        <w:ind w:left="120" w:right="220"/>
        <w:spacing w:after="0" w:line="235" w:lineRule="auto"/>
        <w:rPr>
          <w:sz w:val="20"/>
          <w:szCs w:val="20"/>
          <w:color w:val="auto"/>
        </w:rPr>
      </w:pPr>
      <w:r>
        <w:rPr>
          <w:rFonts w:ascii="Arial" w:cs="Arial" w:eastAsia="Arial" w:hAnsi="Arial"/>
          <w:sz w:val="18"/>
          <w:szCs w:val="18"/>
          <w:color w:val="auto"/>
        </w:rPr>
        <w:t>Other comprehensive income (loss) before reclassifications</w:t>
      </w:r>
    </w:p>
    <w:p>
      <w:pPr>
        <w:ind w:left="120"/>
        <w:spacing w:after="0" w:line="264" w:lineRule="auto"/>
        <w:rPr>
          <w:sz w:val="20"/>
          <w:szCs w:val="20"/>
          <w:color w:val="auto"/>
        </w:rPr>
      </w:pPr>
      <w:r>
        <w:rPr>
          <w:rFonts w:ascii="Arial" w:cs="Arial" w:eastAsia="Arial" w:hAnsi="Arial"/>
          <w:sz w:val="16"/>
          <w:szCs w:val="16"/>
          <w:color w:val="auto"/>
        </w:rPr>
        <w:t>Amounts reclassified from accumulated other comprehensive income (loss) into earnings</w:t>
      </w:r>
    </w:p>
    <w:p>
      <w:pPr>
        <w:ind w:left="20"/>
        <w:spacing w:after="0"/>
        <w:rPr>
          <w:sz w:val="20"/>
          <w:szCs w:val="20"/>
          <w:color w:val="auto"/>
        </w:rPr>
      </w:pPr>
      <w:r>
        <w:rPr>
          <w:rFonts w:ascii="Arial" w:cs="Arial" w:eastAsia="Arial" w:hAnsi="Arial"/>
          <w:sz w:val="18"/>
          <w:szCs w:val="18"/>
          <w:color w:val="auto"/>
        </w:rPr>
        <w:t>Balance at September 30, 2019</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Borders>
              <w:top w:val="single" w:sz="8" w:color="auto"/>
            </w:tcBorders>
          </w:tcPr>
          <w:p>
            <w:pPr>
              <w:spacing w:after="0"/>
              <w:rPr>
                <w:sz w:val="14"/>
                <w:szCs w:val="14"/>
                <w:color w:val="auto"/>
              </w:rPr>
            </w:pPr>
          </w:p>
        </w:tc>
        <w:tc>
          <w:tcPr>
            <w:tcW w:w="1620" w:type="dxa"/>
            <w:vAlign w:val="bottom"/>
            <w:tcBorders>
              <w:top w:val="single" w:sz="8" w:color="auto"/>
            </w:tcBorders>
            <w:gridSpan w:val="2"/>
            <w:vMerge w:val="restart"/>
          </w:tcPr>
          <w:p>
            <w:pPr>
              <w:ind w:left="80"/>
              <w:spacing w:after="0"/>
              <w:rPr>
                <w:sz w:val="20"/>
                <w:szCs w:val="20"/>
                <w:color w:val="auto"/>
              </w:rPr>
            </w:pPr>
            <w:r>
              <w:rPr>
                <w:rFonts w:ascii="Arial" w:cs="Arial" w:eastAsia="Arial" w:hAnsi="Arial"/>
                <w:sz w:val="16"/>
                <w:szCs w:val="16"/>
                <w:b w:val="1"/>
                <w:bCs w:val="1"/>
                <w:color w:val="auto"/>
              </w:rPr>
              <w:t>Foreign currency</w:t>
            </w:r>
          </w:p>
        </w:tc>
        <w:tc>
          <w:tcPr>
            <w:tcW w:w="1800" w:type="dxa"/>
            <w:vAlign w:val="bottom"/>
            <w:tcBorders>
              <w:top w:val="single" w:sz="8" w:color="auto"/>
            </w:tcBorders>
            <w:gridSpan w:val="3"/>
            <w:vMerge w:val="restart"/>
          </w:tcPr>
          <w:p>
            <w:pPr>
              <w:ind w:left="100"/>
              <w:spacing w:after="0"/>
              <w:rPr>
                <w:sz w:val="20"/>
                <w:szCs w:val="20"/>
                <w:color w:val="auto"/>
              </w:rPr>
            </w:pPr>
            <w:r>
              <w:rPr>
                <w:rFonts w:ascii="Arial" w:cs="Arial" w:eastAsia="Arial" w:hAnsi="Arial"/>
                <w:sz w:val="16"/>
                <w:szCs w:val="16"/>
                <w:b w:val="1"/>
                <w:bCs w:val="1"/>
                <w:color w:val="auto"/>
              </w:rPr>
              <w:t>Unrealized gain (loss)</w:t>
            </w:r>
          </w:p>
        </w:tc>
        <w:tc>
          <w:tcPr>
            <w:tcW w:w="1820" w:type="dxa"/>
            <w:vAlign w:val="bottom"/>
            <w:tcBorders>
              <w:top w:val="single" w:sz="8" w:color="auto"/>
            </w:tcBorders>
            <w:gridSpan w:val="3"/>
          </w:tcPr>
          <w:p>
            <w:pPr>
              <w:jc w:val="center"/>
              <w:ind w:right="120"/>
              <w:spacing w:after="0" w:line="161" w:lineRule="exact"/>
              <w:rPr>
                <w:sz w:val="20"/>
                <w:szCs w:val="20"/>
                <w:color w:val="auto"/>
              </w:rPr>
            </w:pPr>
            <w:r>
              <w:rPr>
                <w:rFonts w:ascii="Arial" w:cs="Arial" w:eastAsia="Arial" w:hAnsi="Arial"/>
                <w:sz w:val="16"/>
                <w:szCs w:val="16"/>
                <w:b w:val="1"/>
                <w:bCs w:val="1"/>
                <w:color w:val="auto"/>
                <w:w w:val="90"/>
              </w:rPr>
              <w:t>Unrealized gain (loss)</w:t>
            </w:r>
          </w:p>
        </w:tc>
        <w:tc>
          <w:tcPr>
            <w:tcW w:w="38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0" w:type="dxa"/>
            <w:vAlign w:val="bottom"/>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180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0"/>
              </w:rPr>
              <w:t>on available-for-sale</w:t>
            </w:r>
          </w:p>
        </w:tc>
        <w:tc>
          <w:tcPr>
            <w:tcW w:w="380" w:type="dxa"/>
            <w:vAlign w:val="bottom"/>
          </w:tcPr>
          <w:p>
            <w:pPr>
              <w:spacing w:after="0"/>
              <w:rPr>
                <w:sz w:val="14"/>
                <w:szCs w:val="14"/>
                <w:color w:val="auto"/>
              </w:rPr>
            </w:pPr>
          </w:p>
        </w:tc>
        <w:tc>
          <w:tcPr>
            <w:tcW w:w="1300" w:type="dxa"/>
            <w:vAlign w:val="bottom"/>
            <w:vMerge w:val="restart"/>
          </w:tcPr>
          <w:p>
            <w:pPr>
              <w:jc w:val="right"/>
              <w:ind w:right="57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1800" w:type="dxa"/>
            <w:vAlign w:val="bottom"/>
            <w:gridSpan w:val="3"/>
          </w:tcPr>
          <w:p>
            <w:pPr>
              <w:ind w:left="20"/>
              <w:spacing w:after="0"/>
              <w:rPr>
                <w:sz w:val="20"/>
                <w:szCs w:val="20"/>
                <w:color w:val="auto"/>
              </w:rPr>
            </w:pPr>
            <w:r>
              <w:rPr>
                <w:rFonts w:ascii="Arial" w:cs="Arial" w:eastAsia="Arial" w:hAnsi="Arial"/>
                <w:sz w:val="16"/>
                <w:szCs w:val="16"/>
                <w:b w:val="1"/>
                <w:bCs w:val="1"/>
                <w:color w:val="auto"/>
                <w:w w:val="97"/>
              </w:rPr>
              <w:t>translation adjustments</w:t>
            </w:r>
          </w:p>
        </w:tc>
        <w:tc>
          <w:tcPr>
            <w:tcW w:w="120" w:type="dxa"/>
            <w:vAlign w:val="bottom"/>
          </w:tcPr>
          <w:p>
            <w:pPr>
              <w:spacing w:after="0"/>
              <w:rPr>
                <w:sz w:val="18"/>
                <w:szCs w:val="18"/>
                <w:color w:val="auto"/>
              </w:rPr>
            </w:pPr>
          </w:p>
        </w:tc>
        <w:tc>
          <w:tcPr>
            <w:tcW w:w="1680" w:type="dxa"/>
            <w:vAlign w:val="bottom"/>
            <w:gridSpan w:val="2"/>
          </w:tcPr>
          <w:p>
            <w:pPr>
              <w:spacing w:after="0"/>
              <w:rPr>
                <w:sz w:val="20"/>
                <w:szCs w:val="20"/>
                <w:color w:val="auto"/>
              </w:rPr>
            </w:pPr>
            <w:r>
              <w:rPr>
                <w:rFonts w:ascii="Arial" w:cs="Arial" w:eastAsia="Arial" w:hAnsi="Arial"/>
                <w:sz w:val="16"/>
                <w:szCs w:val="16"/>
                <w:b w:val="1"/>
                <w:bCs w:val="1"/>
                <w:color w:val="auto"/>
              </w:rPr>
              <w:t>on forward contracts</w:t>
            </w:r>
          </w:p>
        </w:tc>
        <w:tc>
          <w:tcPr>
            <w:tcW w:w="140" w:type="dxa"/>
            <w:vAlign w:val="bottom"/>
          </w:tcPr>
          <w:p>
            <w:pPr>
              <w:spacing w:after="0"/>
              <w:rPr>
                <w:sz w:val="18"/>
                <w:szCs w:val="18"/>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5"/>
              </w:rPr>
              <w:t>securities</w:t>
            </w:r>
          </w:p>
        </w:tc>
        <w:tc>
          <w:tcPr>
            <w:tcW w:w="38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1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(629)</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tcPr>
          <w:p>
            <w:pPr>
              <w:jc w:val="center"/>
              <w:ind w:left="1152"/>
              <w:spacing w:after="0"/>
              <w:rPr>
                <w:sz w:val="20"/>
                <w:szCs w:val="20"/>
                <w:color w:val="auto"/>
              </w:rPr>
            </w:pPr>
            <w:r>
              <w:rPr>
                <w:rFonts w:ascii="Arial" w:cs="Arial" w:eastAsia="Arial" w:hAnsi="Arial"/>
                <w:sz w:val="18"/>
                <w:szCs w:val="18"/>
                <w:color w:val="auto"/>
                <w:w w:val="89"/>
              </w:rPr>
              <w:t>23</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404"/>
        </w:trPr>
        <w:tc>
          <w:tcPr>
            <w:tcW w:w="18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jc w:val="center"/>
              <w:ind w:left="1152"/>
              <w:spacing w:after="0"/>
              <w:rPr>
                <w:sz w:val="20"/>
                <w:szCs w:val="20"/>
                <w:color w:val="auto"/>
              </w:rPr>
            </w:pPr>
            <w:r>
              <w:rPr>
                <w:rFonts w:ascii="Arial" w:cs="Arial" w:eastAsia="Arial" w:hAnsi="Arial"/>
                <w:sz w:val="18"/>
                <w:szCs w:val="18"/>
                <w:color w:val="auto"/>
                <w:w w:val="89"/>
              </w:rPr>
              <w:t>28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405"/>
        </w:trPr>
        <w:tc>
          <w:tcPr>
            <w:tcW w:w="180" w:type="dxa"/>
            <w:vAlign w:val="bottom"/>
          </w:tcPr>
          <w:p>
            <w:pPr>
              <w:spacing w:after="0"/>
              <w:rPr>
                <w:sz w:val="24"/>
                <w:szCs w:val="24"/>
                <w:color w:val="auto"/>
              </w:rPr>
            </w:pPr>
          </w:p>
        </w:tc>
        <w:tc>
          <w:tcPr>
            <w:tcW w:w="1620" w:type="dxa"/>
            <w:vAlign w:val="bottom"/>
            <w:gridSpan w:val="2"/>
          </w:tcPr>
          <w:p>
            <w:pPr>
              <w:ind w:left="1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580" w:type="dxa"/>
            <w:vAlign w:val="bottom"/>
          </w:tcPr>
          <w:p>
            <w:pPr>
              <w:jc w:val="center"/>
              <w:ind w:left="1112"/>
              <w:spacing w:after="0"/>
              <w:rPr>
                <w:sz w:val="20"/>
                <w:szCs w:val="20"/>
                <w:color w:val="auto"/>
              </w:rPr>
            </w:pPr>
            <w:r>
              <w:rPr>
                <w:rFonts w:ascii="Arial" w:cs="Arial" w:eastAsia="Arial" w:hAnsi="Arial"/>
                <w:sz w:val="18"/>
                <w:szCs w:val="18"/>
                <w:color w:val="auto"/>
                <w:w w:val="93"/>
              </w:rPr>
              <w:t>(24)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3"/>
        </w:trPr>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(634)</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center"/>
              <w:ind w:left="1152"/>
              <w:spacing w:after="0"/>
              <w:rPr>
                <w:sz w:val="20"/>
                <w:szCs w:val="20"/>
                <w:color w:val="auto"/>
              </w:rPr>
            </w:pPr>
            <w:r>
              <w:rPr>
                <w:rFonts w:ascii="Arial" w:cs="Arial" w:eastAsia="Arial" w:hAnsi="Arial"/>
                <w:sz w:val="18"/>
                <w:szCs w:val="18"/>
                <w:color w:val="auto"/>
                <w:w w:val="89"/>
              </w:rPr>
              <w:t>27</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1"/>
        </w:trPr>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-2623185</wp:posOffset>
            </wp:positionH>
            <wp:positionV relativeFrom="paragraph">
              <wp:posOffset>-856615</wp:posOffset>
            </wp:positionV>
            <wp:extent cx="7132320" cy="1543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-2623185</wp:posOffset>
            </wp:positionH>
            <wp:positionV relativeFrom="paragraph">
              <wp:posOffset>-445135</wp:posOffset>
            </wp:positionV>
            <wp:extent cx="7132320" cy="2571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420" w:space="720"/>
            <w:col w:w="710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Operating Segments and Geographic Region</w:t>
      </w:r>
    </w:p>
    <w:p>
      <w:pPr>
        <w:spacing w:after="0" w:line="229"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We have three reportable segments—Activision, Blizzard, and King. Our operating segments are consistent with the manner in which our operations are reviewed and managed by our Chief Executive Officer, who is our chief operating decision maker (“CODM”). The CODM reviews segment performance exclusive of: the impact of the change in deferred revenues and related cost of revenues with respect to certain of our online-enabled games; share-based compensation expense; amortization of intangible assets as a result of purchase price accounting; fees and other expenses (including legal fees, expenses, and accruals) related to acquisitions, associated integration activities, and financings; certain restructuring and related costs; and certain other non-cash charges. The CODM does not review any information regarding total assets on an operating segment basis, and accordingly, no disclosure is made with respect thereto.</w:t>
      </w:r>
    </w:p>
    <w:p>
      <w:pPr>
        <w:spacing w:after="0" w:line="222"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Our operating segments are also consistent with our internal organizational structure, the way we assess operating performance and allocate resources, and the availability of separate financial information. We do not aggregate operating segments.</w:t>
      </w:r>
    </w:p>
    <w:p>
      <w:pPr>
        <w:spacing w:after="0" w:line="197"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Information on reportable segment net revenues and operating income for the three months ended September 30, 2020 and 2019, are presented below (amounts in millions):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0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gridSpan w:val="7"/>
          </w:tcPr>
          <w:p>
            <w:pPr>
              <w:ind w:left="100"/>
              <w:spacing w:after="0"/>
              <w:rPr>
                <w:sz w:val="20"/>
                <w:szCs w:val="20"/>
                <w:color w:val="auto"/>
              </w:rPr>
            </w:pPr>
            <w:r>
              <w:rPr>
                <w:rFonts w:ascii="Arial" w:cs="Arial" w:eastAsia="Arial" w:hAnsi="Arial"/>
                <w:sz w:val="18"/>
                <w:szCs w:val="18"/>
                <w:b w:val="1"/>
                <w:bCs w:val="1"/>
                <w:color w:val="auto"/>
                <w:w w:val="93"/>
              </w:rPr>
              <w:t>Three Months Ended September 30, 2020</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r>
      <w:tr>
        <w:trPr>
          <w:trHeight w:val="223"/>
        </w:trPr>
        <w:tc>
          <w:tcPr>
            <w:tcW w:w="49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Activision</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Blizzard</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gridSpan w:val="2"/>
          </w:tcPr>
          <w:p>
            <w:pPr>
              <w:ind w:left="220"/>
              <w:spacing w:after="0"/>
              <w:rPr>
                <w:sz w:val="20"/>
                <w:szCs w:val="20"/>
                <w:color w:val="auto"/>
              </w:rPr>
            </w:pPr>
            <w:r>
              <w:rPr>
                <w:rFonts w:ascii="Arial" w:cs="Arial" w:eastAsia="Arial" w:hAnsi="Arial"/>
                <w:sz w:val="18"/>
                <w:szCs w:val="18"/>
                <w:b w:val="1"/>
                <w:bCs w:val="1"/>
                <w:color w:val="auto"/>
              </w:rPr>
              <w:t>King</w:t>
            </w:r>
          </w:p>
        </w:tc>
        <w:tc>
          <w:tcPr>
            <w:tcW w:w="320" w:type="dxa"/>
            <w:vAlign w:val="bottom"/>
          </w:tcPr>
          <w:p>
            <w:pPr>
              <w:spacing w:after="0"/>
              <w:rPr>
                <w:sz w:val="19"/>
                <w:szCs w:val="19"/>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10"/>
        </w:trPr>
        <w:tc>
          <w:tcPr>
            <w:tcW w:w="4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Segment Net Revenues</w:t>
            </w:r>
          </w:p>
        </w:tc>
        <w:tc>
          <w:tcPr>
            <w:tcW w:w="11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r>
      <w:tr>
        <w:trPr>
          <w:trHeight w:val="229"/>
        </w:trPr>
        <w:tc>
          <w:tcPr>
            <w:tcW w:w="4900" w:type="dxa"/>
            <w:vAlign w:val="bottom"/>
          </w:tcPr>
          <w:p>
            <w:pPr>
              <w:ind w:left="20"/>
              <w:spacing w:after="0"/>
              <w:rPr>
                <w:sz w:val="20"/>
                <w:szCs w:val="20"/>
                <w:color w:val="auto"/>
              </w:rPr>
            </w:pPr>
            <w:r>
              <w:rPr>
                <w:rFonts w:ascii="Arial" w:cs="Arial" w:eastAsia="Arial" w:hAnsi="Arial"/>
                <w:sz w:val="18"/>
                <w:szCs w:val="18"/>
                <w:color w:val="auto"/>
              </w:rPr>
              <w:t>Net revenues from external customers</w:t>
            </w:r>
          </w:p>
        </w:tc>
        <w:tc>
          <w:tcPr>
            <w:tcW w:w="1120" w:type="dxa"/>
            <w:vAlign w:val="bottom"/>
          </w:tcPr>
          <w:p>
            <w:pPr>
              <w:jc w:val="right"/>
              <w:ind w:right="930"/>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79"/>
              </w:rPr>
              <w:t>773</w:t>
            </w:r>
          </w:p>
        </w:tc>
        <w:tc>
          <w:tcPr>
            <w:tcW w:w="1240" w:type="dxa"/>
            <w:vAlign w:val="bottom"/>
            <w:gridSpan w:val="2"/>
          </w:tcPr>
          <w:p>
            <w:pPr>
              <w:jc w:val="right"/>
              <w:ind w:right="89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93"/>
              </w:rPr>
              <w:t>393</w:t>
            </w:r>
          </w:p>
        </w:tc>
        <w:tc>
          <w:tcPr>
            <w:tcW w:w="16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536</w:t>
            </w:r>
          </w:p>
        </w:tc>
        <w:tc>
          <w:tcPr>
            <w:tcW w:w="16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1,702</w:t>
            </w:r>
          </w:p>
        </w:tc>
      </w:tr>
      <w:tr>
        <w:trPr>
          <w:trHeight w:val="229"/>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Intersegment net revenues (1)</w:t>
            </w:r>
          </w:p>
        </w:tc>
        <w:tc>
          <w:tcPr>
            <w:tcW w:w="112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23"/>
        </w:trPr>
        <w:tc>
          <w:tcPr>
            <w:tcW w:w="4900" w:type="dxa"/>
            <w:vAlign w:val="bottom"/>
          </w:tcPr>
          <w:p>
            <w:pPr>
              <w:ind w:left="20"/>
              <w:spacing w:after="0"/>
              <w:rPr>
                <w:sz w:val="20"/>
                <w:szCs w:val="20"/>
                <w:color w:val="auto"/>
              </w:rPr>
            </w:pPr>
            <w:r>
              <w:rPr>
                <w:rFonts w:ascii="Arial" w:cs="Arial" w:eastAsia="Arial" w:hAnsi="Arial"/>
                <w:sz w:val="18"/>
                <w:szCs w:val="18"/>
                <w:color w:val="auto"/>
              </w:rPr>
              <w:t>Segment net revenues</w:t>
            </w:r>
          </w:p>
        </w:tc>
        <w:tc>
          <w:tcPr>
            <w:tcW w:w="1120" w:type="dxa"/>
            <w:vAlign w:val="bottom"/>
            <w:tcBorders>
              <w:top w:val="single" w:sz="8" w:color="auto"/>
              <w:bottom w:val="single" w:sz="8" w:color="auto"/>
            </w:tcBorders>
          </w:tcPr>
          <w:p>
            <w:pPr>
              <w:jc w:val="right"/>
              <w:ind w:right="93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773</w:t>
            </w:r>
          </w:p>
        </w:tc>
        <w:tc>
          <w:tcPr>
            <w:tcW w:w="16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ind w:right="890"/>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411</w:t>
            </w:r>
          </w:p>
        </w:tc>
        <w:tc>
          <w:tcPr>
            <w:tcW w:w="1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536</w:t>
            </w:r>
          </w:p>
        </w:tc>
        <w:tc>
          <w:tcPr>
            <w:tcW w:w="1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1,720</w:t>
            </w:r>
          </w:p>
        </w:tc>
      </w:tr>
      <w:tr>
        <w:trPr>
          <w:trHeight w:val="20"/>
        </w:trPr>
        <w:tc>
          <w:tcPr>
            <w:tcW w:w="49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7"/>
        </w:trPr>
        <w:tc>
          <w:tcPr>
            <w:tcW w:w="49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30"/>
        </w:trPr>
        <w:tc>
          <w:tcPr>
            <w:tcW w:w="4900" w:type="dxa"/>
            <w:vAlign w:val="bottom"/>
          </w:tcPr>
          <w:p>
            <w:pPr>
              <w:ind w:left="20"/>
              <w:spacing w:after="0"/>
              <w:rPr>
                <w:sz w:val="20"/>
                <w:szCs w:val="20"/>
                <w:color w:val="auto"/>
              </w:rPr>
            </w:pPr>
            <w:r>
              <w:rPr>
                <w:rFonts w:ascii="Arial" w:cs="Arial" w:eastAsia="Arial" w:hAnsi="Arial"/>
                <w:sz w:val="18"/>
                <w:szCs w:val="18"/>
                <w:b w:val="1"/>
                <w:bCs w:val="1"/>
                <w:color w:val="auto"/>
              </w:rPr>
              <w:t>Segment operating income</w:t>
            </w:r>
          </w:p>
        </w:tc>
        <w:tc>
          <w:tcPr>
            <w:tcW w:w="1120" w:type="dxa"/>
            <w:vAlign w:val="bottom"/>
          </w:tcPr>
          <w:p>
            <w:pPr>
              <w:jc w:val="right"/>
              <w:ind w:right="930"/>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79"/>
              </w:rPr>
              <w:t>345</w:t>
            </w:r>
          </w:p>
        </w:tc>
        <w:tc>
          <w:tcPr>
            <w:tcW w:w="1240" w:type="dxa"/>
            <w:vAlign w:val="bottom"/>
            <w:gridSpan w:val="2"/>
          </w:tcPr>
          <w:p>
            <w:pPr>
              <w:jc w:val="right"/>
              <w:ind w:right="89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93"/>
              </w:rPr>
              <w:t>133</w:t>
            </w:r>
          </w:p>
        </w:tc>
        <w:tc>
          <w:tcPr>
            <w:tcW w:w="16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248</w:t>
            </w:r>
          </w:p>
        </w:tc>
        <w:tc>
          <w:tcPr>
            <w:tcW w:w="16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726</w:t>
            </w:r>
          </w:p>
        </w:tc>
      </w:tr>
      <w:tr>
        <w:trPr>
          <w:trHeight w:val="162"/>
        </w:trPr>
        <w:tc>
          <w:tcPr>
            <w:tcW w:w="49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spacing w:after="0"/>
              <w:rPr>
                <w:sz w:val="14"/>
                <w:szCs w:val="14"/>
                <w:color w:val="auto"/>
              </w:rPr>
            </w:pPr>
          </w:p>
        </w:tc>
        <w:tc>
          <w:tcPr>
            <w:tcW w:w="1620" w:type="dxa"/>
            <w:vAlign w:val="bottom"/>
            <w:gridSpan w:val="3"/>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230"/>
        </w:trPr>
        <w:tc>
          <w:tcPr>
            <w:tcW w:w="490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400" w:type="dxa"/>
            <w:vAlign w:val="bottom"/>
            <w:tcBorders>
              <w:bottom w:val="single" w:sz="8" w:color="auto"/>
            </w:tcBorders>
            <w:gridSpan w:val="7"/>
          </w:tcPr>
          <w:p>
            <w:pPr>
              <w:ind w:left="100"/>
              <w:spacing w:after="0"/>
              <w:rPr>
                <w:sz w:val="20"/>
                <w:szCs w:val="20"/>
                <w:color w:val="auto"/>
              </w:rPr>
            </w:pPr>
            <w:r>
              <w:rPr>
                <w:rFonts w:ascii="Arial" w:cs="Arial" w:eastAsia="Arial" w:hAnsi="Arial"/>
                <w:sz w:val="18"/>
                <w:szCs w:val="18"/>
                <w:b w:val="1"/>
                <w:bCs w:val="1"/>
                <w:color w:val="auto"/>
                <w:w w:val="93"/>
              </w:rPr>
              <w:t>Three Months Ended September 30, 2019</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r>
      <w:tr>
        <w:trPr>
          <w:trHeight w:val="223"/>
        </w:trPr>
        <w:tc>
          <w:tcPr>
            <w:tcW w:w="49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Activision</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Blizzard</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gridSpan w:val="2"/>
          </w:tcPr>
          <w:p>
            <w:pPr>
              <w:ind w:left="220"/>
              <w:spacing w:after="0"/>
              <w:rPr>
                <w:sz w:val="20"/>
                <w:szCs w:val="20"/>
                <w:color w:val="auto"/>
              </w:rPr>
            </w:pPr>
            <w:r>
              <w:rPr>
                <w:rFonts w:ascii="Arial" w:cs="Arial" w:eastAsia="Arial" w:hAnsi="Arial"/>
                <w:sz w:val="18"/>
                <w:szCs w:val="18"/>
                <w:b w:val="1"/>
                <w:bCs w:val="1"/>
                <w:color w:val="auto"/>
              </w:rPr>
              <w:t>King</w:t>
            </w:r>
          </w:p>
        </w:tc>
        <w:tc>
          <w:tcPr>
            <w:tcW w:w="320" w:type="dxa"/>
            <w:vAlign w:val="bottom"/>
          </w:tcPr>
          <w:p>
            <w:pPr>
              <w:spacing w:after="0"/>
              <w:rPr>
                <w:sz w:val="19"/>
                <w:szCs w:val="19"/>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10"/>
        </w:trPr>
        <w:tc>
          <w:tcPr>
            <w:tcW w:w="4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Segment Net Revenues</w:t>
            </w:r>
          </w:p>
        </w:tc>
        <w:tc>
          <w:tcPr>
            <w:tcW w:w="11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r>
      <w:tr>
        <w:trPr>
          <w:trHeight w:val="230"/>
        </w:trPr>
        <w:tc>
          <w:tcPr>
            <w:tcW w:w="4900" w:type="dxa"/>
            <w:vAlign w:val="bottom"/>
          </w:tcPr>
          <w:p>
            <w:pPr>
              <w:ind w:left="20"/>
              <w:spacing w:after="0"/>
              <w:rPr>
                <w:sz w:val="20"/>
                <w:szCs w:val="20"/>
                <w:color w:val="auto"/>
              </w:rPr>
            </w:pPr>
            <w:r>
              <w:rPr>
                <w:rFonts w:ascii="Arial" w:cs="Arial" w:eastAsia="Arial" w:hAnsi="Arial"/>
                <w:sz w:val="18"/>
                <w:szCs w:val="18"/>
                <w:color w:val="auto"/>
              </w:rPr>
              <w:t>Net revenues from external customers</w:t>
            </w:r>
          </w:p>
        </w:tc>
        <w:tc>
          <w:tcPr>
            <w:tcW w:w="1120" w:type="dxa"/>
            <w:vAlign w:val="bottom"/>
          </w:tcPr>
          <w:p>
            <w:pPr>
              <w:jc w:val="right"/>
              <w:ind w:right="930"/>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79"/>
              </w:rPr>
              <w:t>209</w:t>
            </w:r>
          </w:p>
        </w:tc>
        <w:tc>
          <w:tcPr>
            <w:tcW w:w="1240" w:type="dxa"/>
            <w:vAlign w:val="bottom"/>
            <w:gridSpan w:val="2"/>
          </w:tcPr>
          <w:p>
            <w:pPr>
              <w:jc w:val="right"/>
              <w:ind w:right="89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93"/>
              </w:rPr>
              <w:t>392</w:t>
            </w:r>
          </w:p>
        </w:tc>
        <w:tc>
          <w:tcPr>
            <w:tcW w:w="16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500</w:t>
            </w:r>
          </w:p>
        </w:tc>
        <w:tc>
          <w:tcPr>
            <w:tcW w:w="16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1,101</w:t>
            </w:r>
          </w:p>
        </w:tc>
      </w:tr>
      <w:tr>
        <w:trPr>
          <w:trHeight w:val="229"/>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Intersegment net revenues (1)</w:t>
            </w:r>
          </w:p>
        </w:tc>
        <w:tc>
          <w:tcPr>
            <w:tcW w:w="112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4900" w:type="dxa"/>
            <w:vAlign w:val="bottom"/>
          </w:tcPr>
          <w:p>
            <w:pPr>
              <w:ind w:left="20"/>
              <w:spacing w:after="0"/>
              <w:rPr>
                <w:sz w:val="20"/>
                <w:szCs w:val="20"/>
                <w:color w:val="auto"/>
              </w:rPr>
            </w:pPr>
            <w:r>
              <w:rPr>
                <w:rFonts w:ascii="Arial" w:cs="Arial" w:eastAsia="Arial" w:hAnsi="Arial"/>
                <w:sz w:val="18"/>
                <w:szCs w:val="18"/>
                <w:color w:val="auto"/>
              </w:rPr>
              <w:t>Segment net revenues</w:t>
            </w:r>
          </w:p>
        </w:tc>
        <w:tc>
          <w:tcPr>
            <w:tcW w:w="1120" w:type="dxa"/>
            <w:vAlign w:val="bottom"/>
            <w:tcBorders>
              <w:top w:val="single" w:sz="8" w:color="auto"/>
              <w:bottom w:val="single" w:sz="8" w:color="auto"/>
            </w:tcBorders>
          </w:tcPr>
          <w:p>
            <w:pPr>
              <w:jc w:val="right"/>
              <w:ind w:right="93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209</w:t>
            </w:r>
          </w:p>
        </w:tc>
        <w:tc>
          <w:tcPr>
            <w:tcW w:w="16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ind w:right="890"/>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394</w:t>
            </w:r>
          </w:p>
        </w:tc>
        <w:tc>
          <w:tcPr>
            <w:tcW w:w="1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1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1,103</w:t>
            </w:r>
          </w:p>
        </w:tc>
      </w:tr>
      <w:tr>
        <w:trPr>
          <w:trHeight w:val="20"/>
        </w:trPr>
        <w:tc>
          <w:tcPr>
            <w:tcW w:w="49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7"/>
        </w:trPr>
        <w:tc>
          <w:tcPr>
            <w:tcW w:w="49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34"/>
        </w:trPr>
        <w:tc>
          <w:tcPr>
            <w:tcW w:w="4900" w:type="dxa"/>
            <w:vAlign w:val="bottom"/>
          </w:tcPr>
          <w:p>
            <w:pPr>
              <w:ind w:left="20"/>
              <w:spacing w:after="0"/>
              <w:rPr>
                <w:sz w:val="20"/>
                <w:szCs w:val="20"/>
                <w:color w:val="auto"/>
              </w:rPr>
            </w:pPr>
            <w:r>
              <w:rPr>
                <w:rFonts w:ascii="Arial" w:cs="Arial" w:eastAsia="Arial" w:hAnsi="Arial"/>
                <w:sz w:val="18"/>
                <w:szCs w:val="18"/>
                <w:b w:val="1"/>
                <w:bCs w:val="1"/>
                <w:color w:val="auto"/>
              </w:rPr>
              <w:t>Segment operating income</w:t>
            </w:r>
          </w:p>
        </w:tc>
        <w:tc>
          <w:tcPr>
            <w:tcW w:w="1120" w:type="dxa"/>
            <w:vAlign w:val="bottom"/>
          </w:tcPr>
          <w:p>
            <w:pPr>
              <w:jc w:val="right"/>
              <w:ind w:right="930"/>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26</w:t>
            </w:r>
          </w:p>
        </w:tc>
        <w:tc>
          <w:tcPr>
            <w:tcW w:w="1240" w:type="dxa"/>
            <w:vAlign w:val="bottom"/>
            <w:gridSpan w:val="2"/>
          </w:tcPr>
          <w:p>
            <w:pPr>
              <w:jc w:val="right"/>
              <w:ind w:right="89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74</w:t>
            </w:r>
          </w:p>
        </w:tc>
        <w:tc>
          <w:tcPr>
            <w:tcW w:w="16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194</w:t>
            </w:r>
          </w:p>
        </w:tc>
        <w:tc>
          <w:tcPr>
            <w:tcW w:w="16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294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Information on reportable segment net revenues and operating income for the nine months ended September 30, 2020 and 2019, are presented below (amounts in millions):</w:t>
      </w:r>
    </w:p>
    <w:p>
      <w:pPr>
        <w:spacing w:after="0" w:line="328"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8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gridSpan w:val="7"/>
          </w:tcPr>
          <w:p>
            <w:pPr>
              <w:ind w:left="140"/>
              <w:spacing w:after="0"/>
              <w:rPr>
                <w:sz w:val="20"/>
                <w:szCs w:val="20"/>
                <w:color w:val="auto"/>
              </w:rPr>
            </w:pPr>
            <w:r>
              <w:rPr>
                <w:rFonts w:ascii="Arial" w:cs="Arial" w:eastAsia="Arial" w:hAnsi="Arial"/>
                <w:sz w:val="18"/>
                <w:szCs w:val="18"/>
                <w:b w:val="1"/>
                <w:bCs w:val="1"/>
                <w:color w:val="auto"/>
                <w:w w:val="94"/>
              </w:rPr>
              <w:t>Nine Months Ended September 30, 2020</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r>
      <w:tr>
        <w:trPr>
          <w:trHeight w:val="223"/>
        </w:trPr>
        <w:tc>
          <w:tcPr>
            <w:tcW w:w="4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Activision</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gridSpan w:val="2"/>
          </w:tcPr>
          <w:p>
            <w:pPr>
              <w:ind w:left="140"/>
              <w:spacing w:after="0"/>
              <w:rPr>
                <w:sz w:val="20"/>
                <w:szCs w:val="20"/>
                <w:color w:val="auto"/>
              </w:rPr>
            </w:pPr>
            <w:r>
              <w:rPr>
                <w:rFonts w:ascii="Arial" w:cs="Arial" w:eastAsia="Arial" w:hAnsi="Arial"/>
                <w:sz w:val="18"/>
                <w:szCs w:val="18"/>
                <w:b w:val="1"/>
                <w:bCs w:val="1"/>
                <w:color w:val="auto"/>
              </w:rPr>
              <w:t>Blizzard</w:t>
            </w:r>
          </w:p>
        </w:tc>
        <w:tc>
          <w:tcPr>
            <w:tcW w:w="320" w:type="dxa"/>
            <w:vAlign w:val="bottom"/>
          </w:tcPr>
          <w:p>
            <w:pPr>
              <w:spacing w:after="0"/>
              <w:rPr>
                <w:sz w:val="19"/>
                <w:szCs w:val="19"/>
                <w:color w:val="auto"/>
              </w:rPr>
            </w:pPr>
          </w:p>
        </w:tc>
        <w:tc>
          <w:tcPr>
            <w:tcW w:w="1300" w:type="dxa"/>
            <w:vAlign w:val="bottom"/>
            <w:gridSpan w:val="2"/>
          </w:tcPr>
          <w:p>
            <w:pPr>
              <w:ind w:left="220"/>
              <w:spacing w:after="0"/>
              <w:rPr>
                <w:sz w:val="20"/>
                <w:szCs w:val="20"/>
                <w:color w:val="auto"/>
              </w:rPr>
            </w:pPr>
            <w:r>
              <w:rPr>
                <w:rFonts w:ascii="Arial" w:cs="Arial" w:eastAsia="Arial" w:hAnsi="Arial"/>
                <w:sz w:val="18"/>
                <w:szCs w:val="18"/>
                <w:b w:val="1"/>
                <w:bCs w:val="1"/>
                <w:color w:val="auto"/>
              </w:rPr>
              <w:t>King</w:t>
            </w:r>
          </w:p>
        </w:tc>
        <w:tc>
          <w:tcPr>
            <w:tcW w:w="320" w:type="dxa"/>
            <w:vAlign w:val="bottom"/>
          </w:tcPr>
          <w:p>
            <w:pPr>
              <w:spacing w:after="0"/>
              <w:rPr>
                <w:sz w:val="19"/>
                <w:szCs w:val="19"/>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09"/>
        </w:trPr>
        <w:tc>
          <w:tcPr>
            <w:tcW w:w="4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Segment Net Revenues</w:t>
            </w:r>
          </w:p>
        </w:tc>
        <w:tc>
          <w:tcPr>
            <w:tcW w:w="2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r>
      <w:tr>
        <w:trPr>
          <w:trHeight w:val="229"/>
        </w:trPr>
        <w:tc>
          <w:tcPr>
            <w:tcW w:w="4840" w:type="dxa"/>
            <w:vAlign w:val="bottom"/>
          </w:tcPr>
          <w:p>
            <w:pPr>
              <w:ind w:left="20"/>
              <w:spacing w:after="0"/>
              <w:rPr>
                <w:sz w:val="20"/>
                <w:szCs w:val="20"/>
                <w:color w:val="auto"/>
              </w:rPr>
            </w:pPr>
            <w:r>
              <w:rPr>
                <w:rFonts w:ascii="Arial" w:cs="Arial" w:eastAsia="Arial" w:hAnsi="Arial"/>
                <w:sz w:val="18"/>
                <w:szCs w:val="18"/>
                <w:color w:val="auto"/>
              </w:rPr>
              <w:t>Net revenues from external customers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2,285</w:t>
            </w:r>
          </w:p>
        </w:tc>
        <w:tc>
          <w:tcPr>
            <w:tcW w:w="4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1,264</w:t>
            </w:r>
          </w:p>
        </w:tc>
        <w:tc>
          <w:tcPr>
            <w:tcW w:w="16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1,587</w:t>
            </w:r>
          </w:p>
        </w:tc>
        <w:tc>
          <w:tcPr>
            <w:tcW w:w="16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5,136</w:t>
            </w:r>
          </w:p>
        </w:tc>
      </w:tr>
      <w:tr>
        <w:trPr>
          <w:trHeight w:val="230"/>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Intersegment net revenues (1)</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23"/>
        </w:trPr>
        <w:tc>
          <w:tcPr>
            <w:tcW w:w="4840" w:type="dxa"/>
            <w:vAlign w:val="bottom"/>
          </w:tcPr>
          <w:p>
            <w:pPr>
              <w:ind w:left="20"/>
              <w:spacing w:after="0"/>
              <w:rPr>
                <w:sz w:val="20"/>
                <w:szCs w:val="20"/>
                <w:color w:val="auto"/>
              </w:rPr>
            </w:pPr>
            <w:r>
              <w:rPr>
                <w:rFonts w:ascii="Arial" w:cs="Arial" w:eastAsia="Arial" w:hAnsi="Arial"/>
                <w:sz w:val="18"/>
                <w:szCs w:val="18"/>
                <w:color w:val="auto"/>
              </w:rPr>
              <w:t>Segment net revenues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2,285</w:t>
            </w:r>
          </w:p>
        </w:tc>
        <w:tc>
          <w:tcPr>
            <w:tcW w:w="1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1,326</w:t>
            </w:r>
          </w:p>
        </w:tc>
        <w:tc>
          <w:tcPr>
            <w:tcW w:w="1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1,587</w:t>
            </w:r>
          </w:p>
        </w:tc>
        <w:tc>
          <w:tcPr>
            <w:tcW w:w="1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5,198</w:t>
            </w:r>
          </w:p>
        </w:tc>
      </w:tr>
      <w:tr>
        <w:trPr>
          <w:trHeight w:val="20"/>
        </w:trPr>
        <w:tc>
          <w:tcPr>
            <w:tcW w:w="48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7"/>
        </w:trPr>
        <w:tc>
          <w:tcPr>
            <w:tcW w:w="4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29"/>
        </w:trPr>
        <w:tc>
          <w:tcPr>
            <w:tcW w:w="4840" w:type="dxa"/>
            <w:vAlign w:val="bottom"/>
          </w:tcPr>
          <w:p>
            <w:pPr>
              <w:ind w:left="20"/>
              <w:spacing w:after="0"/>
              <w:rPr>
                <w:sz w:val="20"/>
                <w:szCs w:val="20"/>
                <w:color w:val="auto"/>
              </w:rPr>
            </w:pPr>
            <w:r>
              <w:rPr>
                <w:rFonts w:ascii="Arial" w:cs="Arial" w:eastAsia="Arial" w:hAnsi="Arial"/>
                <w:sz w:val="18"/>
                <w:szCs w:val="18"/>
                <w:b w:val="1"/>
                <w:bCs w:val="1"/>
                <w:color w:val="auto"/>
              </w:rPr>
              <w:t>Segment operating income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1,088</w:t>
            </w:r>
          </w:p>
        </w:tc>
        <w:tc>
          <w:tcPr>
            <w:tcW w:w="4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533</w:t>
            </w:r>
          </w:p>
        </w:tc>
        <w:tc>
          <w:tcPr>
            <w:tcW w:w="16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615</w:t>
            </w:r>
          </w:p>
        </w:tc>
        <w:tc>
          <w:tcPr>
            <w:tcW w:w="16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2,236</w:t>
            </w:r>
          </w:p>
        </w:tc>
      </w:tr>
      <w:tr>
        <w:trPr>
          <w:trHeight w:val="162"/>
        </w:trPr>
        <w:tc>
          <w:tcPr>
            <w:tcW w:w="4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spacing w:after="0"/>
              <w:rPr>
                <w:sz w:val="14"/>
                <w:szCs w:val="14"/>
                <w:color w:val="auto"/>
              </w:rPr>
            </w:pPr>
          </w:p>
        </w:tc>
        <w:tc>
          <w:tcPr>
            <w:tcW w:w="1620" w:type="dxa"/>
            <w:vAlign w:val="bottom"/>
            <w:gridSpan w:val="3"/>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229"/>
        </w:trPr>
        <w:tc>
          <w:tcPr>
            <w:tcW w:w="48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3380" w:type="dxa"/>
            <w:vAlign w:val="bottom"/>
            <w:tcBorders>
              <w:bottom w:val="single" w:sz="8" w:color="auto"/>
            </w:tcBorders>
            <w:gridSpan w:val="7"/>
          </w:tcPr>
          <w:p>
            <w:pPr>
              <w:ind w:left="140"/>
              <w:spacing w:after="0"/>
              <w:rPr>
                <w:sz w:val="20"/>
                <w:szCs w:val="20"/>
                <w:color w:val="auto"/>
              </w:rPr>
            </w:pPr>
            <w:r>
              <w:rPr>
                <w:rFonts w:ascii="Arial" w:cs="Arial" w:eastAsia="Arial" w:hAnsi="Arial"/>
                <w:sz w:val="18"/>
                <w:szCs w:val="18"/>
                <w:b w:val="1"/>
                <w:bCs w:val="1"/>
                <w:color w:val="auto"/>
                <w:w w:val="94"/>
              </w:rPr>
              <w:t>Nine Months Ended September 30, 2019</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r>
      <w:tr>
        <w:trPr>
          <w:trHeight w:val="223"/>
        </w:trPr>
        <w:tc>
          <w:tcPr>
            <w:tcW w:w="4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Activision</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gridSpan w:val="2"/>
          </w:tcPr>
          <w:p>
            <w:pPr>
              <w:ind w:left="140"/>
              <w:spacing w:after="0"/>
              <w:rPr>
                <w:sz w:val="20"/>
                <w:szCs w:val="20"/>
                <w:color w:val="auto"/>
              </w:rPr>
            </w:pPr>
            <w:r>
              <w:rPr>
                <w:rFonts w:ascii="Arial" w:cs="Arial" w:eastAsia="Arial" w:hAnsi="Arial"/>
                <w:sz w:val="18"/>
                <w:szCs w:val="18"/>
                <w:b w:val="1"/>
                <w:bCs w:val="1"/>
                <w:color w:val="auto"/>
              </w:rPr>
              <w:t>Blizzard</w:t>
            </w:r>
          </w:p>
        </w:tc>
        <w:tc>
          <w:tcPr>
            <w:tcW w:w="320" w:type="dxa"/>
            <w:vAlign w:val="bottom"/>
          </w:tcPr>
          <w:p>
            <w:pPr>
              <w:spacing w:after="0"/>
              <w:rPr>
                <w:sz w:val="19"/>
                <w:szCs w:val="19"/>
                <w:color w:val="auto"/>
              </w:rPr>
            </w:pPr>
          </w:p>
        </w:tc>
        <w:tc>
          <w:tcPr>
            <w:tcW w:w="1300" w:type="dxa"/>
            <w:vAlign w:val="bottom"/>
            <w:gridSpan w:val="2"/>
          </w:tcPr>
          <w:p>
            <w:pPr>
              <w:ind w:left="220"/>
              <w:spacing w:after="0"/>
              <w:rPr>
                <w:sz w:val="20"/>
                <w:szCs w:val="20"/>
                <w:color w:val="auto"/>
              </w:rPr>
            </w:pPr>
            <w:r>
              <w:rPr>
                <w:rFonts w:ascii="Arial" w:cs="Arial" w:eastAsia="Arial" w:hAnsi="Arial"/>
                <w:sz w:val="18"/>
                <w:szCs w:val="18"/>
                <w:b w:val="1"/>
                <w:bCs w:val="1"/>
                <w:color w:val="auto"/>
              </w:rPr>
              <w:t>King</w:t>
            </w:r>
          </w:p>
        </w:tc>
        <w:tc>
          <w:tcPr>
            <w:tcW w:w="320" w:type="dxa"/>
            <w:vAlign w:val="bottom"/>
          </w:tcPr>
          <w:p>
            <w:pPr>
              <w:spacing w:after="0"/>
              <w:rPr>
                <w:sz w:val="19"/>
                <w:szCs w:val="19"/>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10"/>
        </w:trPr>
        <w:tc>
          <w:tcPr>
            <w:tcW w:w="4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Segment Net Revenues</w:t>
            </w:r>
          </w:p>
        </w:tc>
        <w:tc>
          <w:tcPr>
            <w:tcW w:w="2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r>
      <w:tr>
        <w:trPr>
          <w:trHeight w:val="229"/>
        </w:trPr>
        <w:tc>
          <w:tcPr>
            <w:tcW w:w="4840" w:type="dxa"/>
            <w:vAlign w:val="bottom"/>
          </w:tcPr>
          <w:p>
            <w:pPr>
              <w:ind w:left="20"/>
              <w:spacing w:after="0"/>
              <w:rPr>
                <w:sz w:val="20"/>
                <w:szCs w:val="20"/>
                <w:color w:val="auto"/>
              </w:rPr>
            </w:pPr>
            <w:r>
              <w:rPr>
                <w:rFonts w:ascii="Arial" w:cs="Arial" w:eastAsia="Arial" w:hAnsi="Arial"/>
                <w:sz w:val="18"/>
                <w:szCs w:val="18"/>
                <w:color w:val="auto"/>
              </w:rPr>
              <w:t>Net revenues from external customers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794</w:t>
            </w:r>
          </w:p>
        </w:tc>
        <w:tc>
          <w:tcPr>
            <w:tcW w:w="4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1,113</w:t>
            </w:r>
          </w:p>
        </w:tc>
        <w:tc>
          <w:tcPr>
            <w:tcW w:w="16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1,527</w:t>
            </w:r>
          </w:p>
        </w:tc>
        <w:tc>
          <w:tcPr>
            <w:tcW w:w="16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3,434</w:t>
            </w:r>
          </w:p>
        </w:tc>
      </w:tr>
      <w:tr>
        <w:trPr>
          <w:trHeight w:val="230"/>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Intersegment net revenues (1)</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23"/>
        </w:trPr>
        <w:tc>
          <w:tcPr>
            <w:tcW w:w="4840" w:type="dxa"/>
            <w:vAlign w:val="bottom"/>
          </w:tcPr>
          <w:p>
            <w:pPr>
              <w:ind w:left="20"/>
              <w:spacing w:after="0"/>
              <w:rPr>
                <w:sz w:val="20"/>
                <w:szCs w:val="20"/>
                <w:color w:val="auto"/>
              </w:rPr>
            </w:pPr>
            <w:r>
              <w:rPr>
                <w:rFonts w:ascii="Arial" w:cs="Arial" w:eastAsia="Arial" w:hAnsi="Arial"/>
                <w:sz w:val="18"/>
                <w:szCs w:val="18"/>
                <w:color w:val="auto"/>
              </w:rPr>
              <w:t>Segment net revenues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794</w:t>
            </w:r>
          </w:p>
        </w:tc>
        <w:tc>
          <w:tcPr>
            <w:tcW w:w="1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1,122</w:t>
            </w:r>
          </w:p>
        </w:tc>
        <w:tc>
          <w:tcPr>
            <w:tcW w:w="1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1,527</w:t>
            </w:r>
          </w:p>
        </w:tc>
        <w:tc>
          <w:tcPr>
            <w:tcW w:w="1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3,443</w:t>
            </w:r>
          </w:p>
        </w:tc>
      </w:tr>
      <w:tr>
        <w:trPr>
          <w:trHeight w:val="20"/>
        </w:trPr>
        <w:tc>
          <w:tcPr>
            <w:tcW w:w="48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7"/>
        </w:trPr>
        <w:tc>
          <w:tcPr>
            <w:tcW w:w="4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34"/>
        </w:trPr>
        <w:tc>
          <w:tcPr>
            <w:tcW w:w="4840" w:type="dxa"/>
            <w:vAlign w:val="bottom"/>
          </w:tcPr>
          <w:p>
            <w:pPr>
              <w:ind w:left="20"/>
              <w:spacing w:after="0"/>
              <w:rPr>
                <w:sz w:val="20"/>
                <w:szCs w:val="20"/>
                <w:color w:val="auto"/>
              </w:rPr>
            </w:pPr>
            <w:r>
              <w:rPr>
                <w:rFonts w:ascii="Arial" w:cs="Arial" w:eastAsia="Arial" w:hAnsi="Arial"/>
                <w:sz w:val="18"/>
                <w:szCs w:val="18"/>
                <w:b w:val="1"/>
                <w:bCs w:val="1"/>
                <w:color w:val="auto"/>
              </w:rPr>
              <w:t>Segment operating income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153</w:t>
            </w:r>
          </w:p>
        </w:tc>
        <w:tc>
          <w:tcPr>
            <w:tcW w:w="4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204</w:t>
            </w:r>
          </w:p>
        </w:tc>
        <w:tc>
          <w:tcPr>
            <w:tcW w:w="16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543</w:t>
            </w:r>
          </w:p>
        </w:tc>
        <w:tc>
          <w:tcPr>
            <w:tcW w:w="16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900</w:t>
            </w:r>
          </w:p>
        </w:tc>
      </w:tr>
    </w:tbl>
    <w:p>
      <w:pPr>
        <w:spacing w:after="0" w:line="305" w:lineRule="exact"/>
        <w:rPr>
          <w:sz w:val="20"/>
          <w:szCs w:val="20"/>
          <w:color w:val="auto"/>
        </w:rPr>
      </w:pPr>
    </w:p>
    <w:p>
      <w:pPr>
        <w:ind w:left="400" w:hanging="392"/>
        <w:spacing w:after="0"/>
        <w:tabs>
          <w:tab w:leader="none" w:pos="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Intersegment revenues reflect licensing and service fees charged between segments.</w:t>
      </w:r>
    </w:p>
    <w:p>
      <w:pPr>
        <w:spacing w:after="0" w:line="252"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Reconciliations of total segment net revenues and total segment operating income to consolidated net revenues and consolidated income before income tax expense are presented in the table below (amounts in millions):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20" w:type="dxa"/>
            <w:vAlign w:val="bottom"/>
          </w:tcPr>
          <w:p>
            <w:pPr>
              <w:spacing w:after="0"/>
              <w:rPr>
                <w:sz w:val="20"/>
                <w:szCs w:val="20"/>
                <w:color w:val="auto"/>
              </w:rPr>
            </w:pPr>
          </w:p>
        </w:tc>
        <w:tc>
          <w:tcPr>
            <w:tcW w:w="3040" w:type="dxa"/>
            <w:vAlign w:val="bottom"/>
            <w:gridSpan w:val="6"/>
          </w:tcPr>
          <w:p>
            <w:pPr>
              <w:ind w:left="80"/>
              <w:spacing w:after="0"/>
              <w:rPr>
                <w:sz w:val="20"/>
                <w:szCs w:val="20"/>
                <w:color w:val="auto"/>
              </w:rPr>
            </w:pPr>
            <w:r>
              <w:rPr>
                <w:rFonts w:ascii="Arial" w:cs="Arial" w:eastAsia="Arial" w:hAnsi="Arial"/>
                <w:sz w:val="18"/>
                <w:szCs w:val="18"/>
                <w:b w:val="1"/>
                <w:bCs w:val="1"/>
                <w:color w:val="auto"/>
                <w:w w:val="96"/>
              </w:rPr>
              <w:t>Three Months Ended September 30,</w:t>
            </w:r>
          </w:p>
        </w:tc>
        <w:tc>
          <w:tcPr>
            <w:tcW w:w="140" w:type="dxa"/>
            <w:vAlign w:val="bottom"/>
          </w:tcPr>
          <w:p>
            <w:pPr>
              <w:spacing w:after="0"/>
              <w:rPr>
                <w:sz w:val="20"/>
                <w:szCs w:val="20"/>
                <w:color w:val="auto"/>
              </w:rPr>
            </w:pPr>
          </w:p>
        </w:tc>
        <w:tc>
          <w:tcPr>
            <w:tcW w:w="2840" w:type="dxa"/>
            <w:vAlign w:val="bottom"/>
            <w:gridSpan w:val="4"/>
          </w:tcPr>
          <w:p>
            <w:pPr>
              <w:jc w:val="right"/>
              <w:ind w:right="50"/>
              <w:spacing w:after="0"/>
              <w:rPr>
                <w:sz w:val="20"/>
                <w:szCs w:val="20"/>
                <w:color w:val="auto"/>
              </w:rPr>
            </w:pPr>
            <w:r>
              <w:rPr>
                <w:rFonts w:ascii="Arial" w:cs="Arial" w:eastAsia="Arial" w:hAnsi="Arial"/>
                <w:sz w:val="18"/>
                <w:szCs w:val="18"/>
                <w:b w:val="1"/>
                <w:bCs w:val="1"/>
                <w:color w:val="auto"/>
                <w:w w:val="90"/>
              </w:rPr>
              <w:t>Nine Months Ended September 30,</w:t>
            </w:r>
          </w:p>
        </w:tc>
        <w:tc>
          <w:tcPr>
            <w:tcW w:w="0" w:type="dxa"/>
            <w:vAlign w:val="bottom"/>
          </w:tcPr>
          <w:p>
            <w:pPr>
              <w:spacing w:after="0"/>
              <w:rPr>
                <w:sz w:val="1"/>
                <w:szCs w:val="1"/>
                <w:color w:val="auto"/>
              </w:rPr>
            </w:pPr>
          </w:p>
        </w:tc>
      </w:tr>
      <w:tr>
        <w:trPr>
          <w:trHeight w:val="223"/>
        </w:trPr>
        <w:tc>
          <w:tcPr>
            <w:tcW w:w="5220" w:type="dxa"/>
            <w:vAlign w:val="bottom"/>
            <w:tcBorders>
              <w:bottom w:val="single" w:sz="8" w:color="CCEEFF"/>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10"/>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Reconciliation to consolidated net revenues:</w:t>
            </w: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20"/>
              <w:spacing w:after="0"/>
              <w:rPr>
                <w:sz w:val="20"/>
                <w:szCs w:val="20"/>
                <w:color w:val="auto"/>
              </w:rPr>
            </w:pPr>
            <w:r>
              <w:rPr>
                <w:rFonts w:ascii="Arial" w:cs="Arial" w:eastAsia="Arial" w:hAnsi="Arial"/>
                <w:sz w:val="18"/>
                <w:szCs w:val="18"/>
                <w:color w:val="auto"/>
              </w:rPr>
              <w:t>Segment net revenues</w:t>
            </w: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8"/>
              </w:rPr>
              <w:t>1,720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1,103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5,198</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3,443</w:t>
            </w:r>
          </w:p>
        </w:tc>
        <w:tc>
          <w:tcPr>
            <w:tcW w:w="0" w:type="dxa"/>
            <w:vAlign w:val="bottom"/>
          </w:tcPr>
          <w:p>
            <w:pPr>
              <w:spacing w:after="0"/>
              <w:rPr>
                <w:sz w:val="1"/>
                <w:szCs w:val="1"/>
                <w:color w:val="auto"/>
              </w:rPr>
            </w:pPr>
          </w:p>
        </w:tc>
      </w:tr>
      <w:tr>
        <w:trPr>
          <w:trHeight w:val="230"/>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 from non-reportable segments (1)</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29"/>
        </w:trPr>
        <w:tc>
          <w:tcPr>
            <w:tcW w:w="5220" w:type="dxa"/>
            <w:vAlign w:val="bottom"/>
          </w:tcPr>
          <w:p>
            <w:pPr>
              <w:ind w:left="20"/>
              <w:spacing w:after="0"/>
              <w:rPr>
                <w:sz w:val="20"/>
                <w:szCs w:val="20"/>
                <w:color w:val="auto"/>
              </w:rPr>
            </w:pPr>
            <w:r>
              <w:rPr>
                <w:rFonts w:ascii="Arial" w:cs="Arial" w:eastAsia="Arial" w:hAnsi="Arial"/>
                <w:sz w:val="18"/>
                <w:szCs w:val="18"/>
                <w:color w:val="auto"/>
              </w:rPr>
              <w:t>Net effect from recognition (deferral) of deferred net revenues (2)</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824</w:t>
            </w:r>
          </w:p>
        </w:tc>
        <w:tc>
          <w:tcPr>
            <w:tcW w:w="0" w:type="dxa"/>
            <w:vAlign w:val="bottom"/>
          </w:tcPr>
          <w:p>
            <w:pPr>
              <w:spacing w:after="0"/>
              <w:rPr>
                <w:sz w:val="1"/>
                <w:szCs w:val="1"/>
                <w:color w:val="auto"/>
              </w:rPr>
            </w:pPr>
          </w:p>
        </w:tc>
      </w:tr>
      <w:tr>
        <w:trPr>
          <w:trHeight w:val="230"/>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Elimination of intersegment revenues (3)</w:t>
            </w:r>
          </w:p>
        </w:tc>
        <w:tc>
          <w:tcPr>
            <w:tcW w:w="9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5220" w:type="dxa"/>
            <w:vAlign w:val="bottom"/>
          </w:tcPr>
          <w:p>
            <w:pPr>
              <w:ind w:left="20"/>
              <w:spacing w:after="0"/>
              <w:rPr>
                <w:sz w:val="20"/>
                <w:szCs w:val="20"/>
                <w:color w:val="auto"/>
              </w:rPr>
            </w:pPr>
            <w:r>
              <w:rPr>
                <w:rFonts w:ascii="Arial" w:cs="Arial" w:eastAsia="Arial" w:hAnsi="Arial"/>
                <w:sz w:val="18"/>
                <w:szCs w:val="18"/>
                <w:color w:val="auto"/>
              </w:rPr>
              <w:t>Consolidated net revenues</w:t>
            </w:r>
          </w:p>
        </w:tc>
        <w:tc>
          <w:tcPr>
            <w:tcW w:w="92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1,954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4,503</w:t>
            </w:r>
          </w:p>
        </w:tc>
        <w:tc>
          <w:tcPr>
            <w:tcW w:w="0" w:type="dxa"/>
            <w:vAlign w:val="bottom"/>
          </w:tcPr>
          <w:p>
            <w:pPr>
              <w:spacing w:after="0"/>
              <w:rPr>
                <w:sz w:val="1"/>
                <w:szCs w:val="1"/>
                <w:color w:val="auto"/>
              </w:rPr>
            </w:pP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2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20"/>
              <w:spacing w:after="0"/>
              <w:rPr>
                <w:sz w:val="20"/>
                <w:szCs w:val="20"/>
                <w:color w:val="auto"/>
              </w:rPr>
            </w:pPr>
            <w:r>
              <w:rPr>
                <w:rFonts w:ascii="Arial" w:cs="Arial" w:eastAsia="Arial" w:hAnsi="Arial"/>
                <w:sz w:val="18"/>
                <w:szCs w:val="18"/>
                <w:b w:val="1"/>
                <w:bCs w:val="1"/>
                <w:color w:val="auto"/>
                <w:w w:val="90"/>
              </w:rPr>
              <w:t>Reconciliation to consolidated income before income tax expense:</w:t>
            </w:r>
          </w:p>
        </w:tc>
        <w:tc>
          <w:tcPr>
            <w:tcW w:w="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operating income</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30"/>
        </w:trPr>
        <w:tc>
          <w:tcPr>
            <w:tcW w:w="5220" w:type="dxa"/>
            <w:vAlign w:val="bottom"/>
          </w:tcPr>
          <w:p>
            <w:pPr>
              <w:ind w:left="20"/>
              <w:spacing w:after="0"/>
              <w:rPr>
                <w:sz w:val="20"/>
                <w:szCs w:val="20"/>
                <w:color w:val="auto"/>
              </w:rPr>
            </w:pPr>
            <w:r>
              <w:rPr>
                <w:rFonts w:ascii="Arial" w:cs="Arial" w:eastAsia="Arial" w:hAnsi="Arial"/>
                <w:sz w:val="18"/>
                <w:szCs w:val="18"/>
                <w:color w:val="auto"/>
              </w:rPr>
              <w:t>Operating income (loss) from non-reportable segments (1)</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75"/>
        </w:trPr>
        <w:tc>
          <w:tcPr>
            <w:tcW w:w="52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8"/>
              </w:rPr>
              <w:t>Net effect from recognition (deferral) of deferred net revenues and</w:t>
            </w:r>
          </w:p>
        </w:tc>
        <w:tc>
          <w:tcPr>
            <w:tcW w:w="920" w:type="dxa"/>
            <w:vAlign w:val="bottom"/>
            <w:shd w:val="clear" w:color="auto" w:fill="CCEEFF"/>
          </w:tcPr>
          <w:p>
            <w:pPr>
              <w:spacing w:after="0"/>
              <w:rPr>
                <w:sz w:val="15"/>
                <w:szCs w:val="15"/>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30"/>
        </w:trPr>
        <w:tc>
          <w:tcPr>
            <w:tcW w:w="5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related cost of revenues (2)</w:t>
            </w:r>
          </w:p>
        </w:tc>
        <w:tc>
          <w:tcPr>
            <w:tcW w:w="920" w:type="dxa"/>
            <w:vAlign w:val="bottom"/>
            <w:shd w:val="clear" w:color="auto" w:fill="CCEEFF"/>
          </w:tcPr>
          <w:p>
            <w:pPr>
              <w:spacing w:after="0"/>
              <w:rPr>
                <w:sz w:val="19"/>
                <w:szCs w:val="19"/>
                <w:color w:val="auto"/>
              </w:rPr>
            </w:pPr>
          </w:p>
        </w:tc>
        <w:tc>
          <w:tcPr>
            <w:tcW w:w="5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20"/>
              <w:spacing w:after="0"/>
              <w:rPr>
                <w:sz w:val="20"/>
                <w:szCs w:val="20"/>
                <w:color w:val="auto"/>
              </w:rPr>
            </w:pPr>
            <w:r>
              <w:rPr>
                <w:rFonts w:ascii="Arial" w:cs="Arial" w:eastAsia="Arial" w:hAnsi="Arial"/>
                <w:sz w:val="18"/>
                <w:szCs w:val="18"/>
                <w:color w:val="auto"/>
              </w:rPr>
              <w:t>Share-based compensation expense</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30"/>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intangible assets</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29"/>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Restructuring and related costs (4)</w:t>
            </w:r>
          </w:p>
        </w:tc>
        <w:tc>
          <w:tcPr>
            <w:tcW w:w="9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23"/>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Consolidated operating income</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w:t>
            </w:r>
          </w:p>
        </w:tc>
        <w:tc>
          <w:tcPr>
            <w:tcW w:w="0" w:type="dxa"/>
            <w:vAlign w:val="bottom"/>
          </w:tcPr>
          <w:p>
            <w:pPr>
              <w:spacing w:after="0"/>
              <w:rPr>
                <w:sz w:val="1"/>
                <w:szCs w:val="1"/>
                <w:color w:val="auto"/>
              </w:rPr>
            </w:pPr>
          </w:p>
        </w:tc>
      </w:tr>
      <w:tr>
        <w:trPr>
          <w:trHeight w:val="230"/>
        </w:trPr>
        <w:tc>
          <w:tcPr>
            <w:tcW w:w="5220" w:type="dxa"/>
            <w:vAlign w:val="bottom"/>
          </w:tcPr>
          <w:p>
            <w:pPr>
              <w:ind w:left="20"/>
              <w:spacing w:after="0"/>
              <w:rPr>
                <w:sz w:val="20"/>
                <w:szCs w:val="20"/>
                <w:color w:val="auto"/>
              </w:rPr>
            </w:pPr>
            <w:r>
              <w:rPr>
                <w:rFonts w:ascii="Arial" w:cs="Arial" w:eastAsia="Arial" w:hAnsi="Arial"/>
                <w:sz w:val="18"/>
                <w:szCs w:val="18"/>
                <w:color w:val="auto"/>
              </w:rPr>
              <w:t>Interest and other expense (income), net</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extinguishment of debt</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20" w:type="dxa"/>
            <w:vAlign w:val="bottom"/>
          </w:tcPr>
          <w:p>
            <w:pPr>
              <w:ind w:left="20"/>
              <w:spacing w:after="0"/>
              <w:rPr>
                <w:sz w:val="20"/>
                <w:szCs w:val="20"/>
                <w:color w:val="auto"/>
              </w:rPr>
            </w:pPr>
            <w:r>
              <w:rPr>
                <w:rFonts w:ascii="Arial" w:cs="Arial" w:eastAsia="Arial" w:hAnsi="Arial"/>
                <w:sz w:val="18"/>
                <w:szCs w:val="18"/>
                <w:color w:val="auto"/>
              </w:rPr>
              <w:t>Consolidated income before income tax expense</w:t>
            </w:r>
          </w:p>
        </w:tc>
        <w:tc>
          <w:tcPr>
            <w:tcW w:w="92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722</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2,053</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1,186</w:t>
            </w:r>
          </w:p>
        </w:tc>
        <w:tc>
          <w:tcPr>
            <w:tcW w:w="0" w:type="dxa"/>
            <w:vAlign w:val="bottom"/>
          </w:tcPr>
          <w:p>
            <w:pPr>
              <w:spacing w:after="0"/>
              <w:rPr>
                <w:sz w:val="1"/>
                <w:szCs w:val="1"/>
                <w:color w:val="auto"/>
              </w:rPr>
            </w:pPr>
          </w:p>
        </w:tc>
      </w:tr>
      <w:tr>
        <w:trPr>
          <w:trHeight w:val="21"/>
        </w:trPr>
        <w:tc>
          <w:tcPr>
            <w:tcW w:w="5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7"/>
        </w:trPr>
        <w:tc>
          <w:tcPr>
            <w:tcW w:w="5220" w:type="dxa"/>
            <w:vAlign w:val="bottom"/>
          </w:tcPr>
          <w:p>
            <w:pPr>
              <w:spacing w:after="0"/>
              <w:rPr>
                <w:sz w:val="24"/>
                <w:szCs w:val="24"/>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color w:val="auto"/>
              </w:rPr>
              <w:t>20</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40" w:right="420" w:hanging="332"/>
        <w:spacing w:after="0" w:line="277" w:lineRule="auto"/>
        <w:tabs>
          <w:tab w:leader="none" w:pos="334"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other income and expenses from operating segments managed outside the reportable segments, including our Distribution business. Also includes unallocated corporate income and expenses.</w:t>
      </w:r>
    </w:p>
    <w:p>
      <w:pPr>
        <w:spacing w:after="0" w:line="197" w:lineRule="exact"/>
        <w:rPr>
          <w:rFonts w:ascii="Arial" w:cs="Arial" w:eastAsia="Arial" w:hAnsi="Arial"/>
          <w:sz w:val="18"/>
          <w:szCs w:val="18"/>
          <w:color w:val="auto"/>
        </w:rPr>
      </w:pPr>
    </w:p>
    <w:p>
      <w:pPr>
        <w:ind w:left="340" w:right="580" w:hanging="332"/>
        <w:spacing w:after="0" w:line="277" w:lineRule="auto"/>
        <w:tabs>
          <w:tab w:leader="none" w:pos="334" w:val="left"/>
        </w:tabs>
        <w:numPr>
          <w:ilvl w:val="0"/>
          <w:numId w:val="6"/>
        </w:numPr>
        <w:rPr>
          <w:rFonts w:ascii="Arial" w:cs="Arial" w:eastAsia="Arial" w:hAnsi="Arial"/>
          <w:sz w:val="18"/>
          <w:szCs w:val="18"/>
          <w:color w:val="auto"/>
        </w:rPr>
      </w:pPr>
      <w:r>
        <w:rPr>
          <w:rFonts w:ascii="Arial" w:cs="Arial" w:eastAsia="Arial" w:hAnsi="Arial"/>
          <w:sz w:val="18"/>
          <w:szCs w:val="18"/>
          <w:color w:val="auto"/>
        </w:rPr>
        <w:t>Reflects the net effect from recognition (deferral) of deferred net revenues, along with related cost of revenues, on certain of our online-enabled products.</w:t>
      </w:r>
    </w:p>
    <w:p>
      <w:pPr>
        <w:spacing w:after="0" w:line="197" w:lineRule="exact"/>
        <w:rPr>
          <w:rFonts w:ascii="Arial" w:cs="Arial" w:eastAsia="Arial" w:hAnsi="Arial"/>
          <w:sz w:val="18"/>
          <w:szCs w:val="18"/>
          <w:color w:val="auto"/>
        </w:rPr>
      </w:pPr>
    </w:p>
    <w:p>
      <w:pPr>
        <w:ind w:left="320" w:hanging="312"/>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Intersegment revenues reflect licensing and service fees charged between segments.</w:t>
      </w:r>
    </w:p>
    <w:p>
      <w:pPr>
        <w:spacing w:after="0" w:line="252" w:lineRule="exact"/>
        <w:rPr>
          <w:rFonts w:ascii="Arial" w:cs="Arial" w:eastAsia="Arial" w:hAnsi="Arial"/>
          <w:sz w:val="18"/>
          <w:szCs w:val="18"/>
          <w:color w:val="auto"/>
        </w:rPr>
      </w:pPr>
    </w:p>
    <w:p>
      <w:pPr>
        <w:ind w:left="320" w:hanging="312"/>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Reflects restructuring initiatives, which include severance and other restructuring-related costs.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Net revenues by distribution channel, including a reconciliation to each of our reportable segment’s revenues, for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2020 and 2019, were as follows (amounts in millions):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gridSpan w:val="8"/>
          </w:tcPr>
          <w:p>
            <w:pPr>
              <w:ind w:left="720"/>
              <w:spacing w:after="0"/>
              <w:rPr>
                <w:sz w:val="20"/>
                <w:szCs w:val="20"/>
                <w:color w:val="auto"/>
              </w:rPr>
            </w:pPr>
            <w:r>
              <w:rPr>
                <w:rFonts w:ascii="Arial" w:cs="Arial" w:eastAsia="Arial" w:hAnsi="Arial"/>
                <w:sz w:val="18"/>
                <w:szCs w:val="18"/>
                <w:b w:val="1"/>
                <w:bCs w:val="1"/>
                <w:color w:val="auto"/>
                <w:w w:val="90"/>
              </w:rPr>
              <w:t>Three Months Ended September 30,</w:t>
            </w:r>
          </w:p>
        </w:tc>
        <w:tc>
          <w:tcPr>
            <w:tcW w:w="15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240"/>
              <w:spacing w:after="0" w:line="169" w:lineRule="exact"/>
              <w:rPr>
                <w:sz w:val="20"/>
                <w:szCs w:val="20"/>
                <w:color w:val="auto"/>
              </w:rPr>
            </w:pPr>
            <w:r>
              <w:rPr>
                <w:rFonts w:ascii="Arial" w:cs="Arial" w:eastAsia="Arial" w:hAnsi="Arial"/>
                <w:sz w:val="18"/>
                <w:szCs w:val="18"/>
                <w:b w:val="1"/>
                <w:bCs w:val="1"/>
                <w:color w:val="auto"/>
                <w:w w:val="92"/>
              </w:rPr>
              <w:t>Non-</w:t>
            </w:r>
          </w:p>
        </w:tc>
        <w:tc>
          <w:tcPr>
            <w:tcW w:w="160" w:type="dxa"/>
            <w:vAlign w:val="bottom"/>
          </w:tcPr>
          <w:p>
            <w:pPr>
              <w:spacing w:after="0"/>
              <w:rPr>
                <w:sz w:val="14"/>
                <w:szCs w:val="14"/>
                <w:color w:val="auto"/>
              </w:rPr>
            </w:pPr>
          </w:p>
        </w:tc>
        <w:tc>
          <w:tcPr>
            <w:tcW w:w="1460" w:type="dxa"/>
            <w:vAlign w:val="bottom"/>
            <w:gridSpan w:val="2"/>
          </w:tcPr>
          <w:p>
            <w:pPr>
              <w:jc w:val="center"/>
              <w:ind w:right="240"/>
              <w:spacing w:after="0" w:line="169" w:lineRule="exact"/>
              <w:rPr>
                <w:sz w:val="20"/>
                <w:szCs w:val="20"/>
                <w:color w:val="auto"/>
              </w:rPr>
            </w:pPr>
            <w:r>
              <w:rPr>
                <w:rFonts w:ascii="Arial" w:cs="Arial" w:eastAsia="Arial" w:hAnsi="Arial"/>
                <w:sz w:val="18"/>
                <w:szCs w:val="18"/>
                <w:b w:val="1"/>
                <w:bCs w:val="1"/>
                <w:color w:val="auto"/>
                <w:w w:val="92"/>
              </w:rPr>
              <w:t>Elimination of</w:t>
            </w: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Activision</w:t>
            </w:r>
          </w:p>
        </w:tc>
        <w:tc>
          <w:tcPr>
            <w:tcW w:w="180" w:type="dxa"/>
            <w:vAlign w:val="bottom"/>
          </w:tcPr>
          <w:p>
            <w:pPr>
              <w:spacing w:after="0"/>
              <w:rPr>
                <w:sz w:val="15"/>
                <w:szCs w:val="15"/>
                <w:color w:val="auto"/>
              </w:rPr>
            </w:pPr>
          </w:p>
        </w:tc>
        <w:tc>
          <w:tcPr>
            <w:tcW w:w="108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Blizzard</w:t>
            </w:r>
          </w:p>
        </w:tc>
        <w:tc>
          <w:tcPr>
            <w:tcW w:w="220" w:type="dxa"/>
            <w:vAlign w:val="bottom"/>
          </w:tcPr>
          <w:p>
            <w:pPr>
              <w:spacing w:after="0"/>
              <w:rPr>
                <w:sz w:val="15"/>
                <w:szCs w:val="15"/>
                <w:color w:val="auto"/>
              </w:rPr>
            </w:pPr>
          </w:p>
        </w:tc>
        <w:tc>
          <w:tcPr>
            <w:tcW w:w="94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King</w:t>
            </w:r>
          </w:p>
        </w:tc>
        <w:tc>
          <w:tcPr>
            <w:tcW w:w="140" w:type="dxa"/>
            <w:vAlign w:val="bottom"/>
          </w:tcPr>
          <w:p>
            <w:pPr>
              <w:spacing w:after="0"/>
              <w:rPr>
                <w:sz w:val="15"/>
                <w:szCs w:val="15"/>
                <w:color w:val="auto"/>
              </w:rPr>
            </w:pPr>
          </w:p>
        </w:tc>
        <w:tc>
          <w:tcPr>
            <w:tcW w:w="114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90"/>
              </w:rPr>
              <w:t>reportable</w:t>
            </w:r>
          </w:p>
        </w:tc>
        <w:tc>
          <w:tcPr>
            <w:tcW w:w="160" w:type="dxa"/>
            <w:vAlign w:val="bottom"/>
          </w:tcPr>
          <w:p>
            <w:pPr>
              <w:spacing w:after="0"/>
              <w:rPr>
                <w:sz w:val="15"/>
                <w:szCs w:val="15"/>
                <w:color w:val="auto"/>
              </w:rPr>
            </w:pPr>
          </w:p>
        </w:tc>
        <w:tc>
          <w:tcPr>
            <w:tcW w:w="146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88"/>
              </w:rPr>
              <w:t>intersegment</w:t>
            </w:r>
          </w:p>
        </w:tc>
        <w:tc>
          <w:tcPr>
            <w:tcW w:w="200" w:type="dxa"/>
            <w:vAlign w:val="bottom"/>
          </w:tcPr>
          <w:p>
            <w:pPr>
              <w:spacing w:after="0"/>
              <w:rPr>
                <w:sz w:val="15"/>
                <w:szCs w:val="15"/>
                <w:color w:val="auto"/>
              </w:rPr>
            </w:pPr>
          </w:p>
        </w:tc>
        <w:tc>
          <w:tcPr>
            <w:tcW w:w="74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3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3"/>
              </w:rPr>
              <w:t>segments</w:t>
            </w:r>
          </w:p>
        </w:tc>
        <w:tc>
          <w:tcPr>
            <w:tcW w:w="160" w:type="dxa"/>
            <w:vAlign w:val="bottom"/>
          </w:tcPr>
          <w:p>
            <w:pPr>
              <w:spacing w:after="0"/>
              <w:rPr>
                <w:sz w:val="19"/>
                <w:szCs w:val="19"/>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revenues (3)</w:t>
            </w:r>
          </w:p>
        </w:tc>
        <w:tc>
          <w:tcPr>
            <w:tcW w:w="20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revenues by distribution channel:</w:t>
            </w: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Arial" w:cs="Arial" w:eastAsia="Arial" w:hAnsi="Arial"/>
                <w:sz w:val="18"/>
                <w:szCs w:val="18"/>
                <w:color w:val="auto"/>
              </w:rPr>
              <w:t>Digital online channels (1)</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826</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405</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540</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360" w:type="dxa"/>
            <w:vAlign w:val="bottom"/>
          </w:tcPr>
          <w:p>
            <w:pPr>
              <w:jc w:val="center"/>
              <w:ind w:left="930"/>
              <w:spacing w:after="0"/>
              <w:rPr>
                <w:sz w:val="20"/>
                <w:szCs w:val="20"/>
                <w:color w:val="auto"/>
              </w:rPr>
            </w:pPr>
            <w:r>
              <w:rPr>
                <w:rFonts w:ascii="Arial" w:cs="Arial" w:eastAsia="Arial" w:hAnsi="Arial"/>
                <w:sz w:val="18"/>
                <w:szCs w:val="18"/>
                <w:color w:val="auto"/>
                <w:w w:val="93"/>
              </w:rPr>
              <w:t>(18)</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1,753</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Retail channels</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center"/>
              <w:ind w:left="83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Arial" w:cs="Arial" w:eastAsia="Arial" w:hAnsi="Arial"/>
                <w:sz w:val="18"/>
                <w:szCs w:val="18"/>
                <w:color w:val="auto"/>
              </w:rPr>
              <w:t>Other (2)</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ind w:left="78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center"/>
              <w:ind w:left="83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48"/>
        </w:trPr>
        <w:tc>
          <w:tcPr>
            <w:tcW w:w="3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consolidated net revenues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rPr>
              <w:t>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bottom w:val="single" w:sz="8" w:color="auto"/>
            </w:tcBorders>
            <w:shd w:val="clear" w:color="auto" w:fill="CCEEFF"/>
          </w:tcPr>
          <w:p>
            <w:pPr>
              <w:jc w:val="center"/>
              <w:ind w:left="930"/>
              <w:spacing w:after="0"/>
              <w:rPr>
                <w:sz w:val="20"/>
                <w:szCs w:val="20"/>
                <w:color w:val="auto"/>
              </w:rPr>
            </w:pPr>
            <w:r>
              <w:rPr>
                <w:rFonts w:ascii="Arial" w:cs="Arial" w:eastAsia="Arial" w:hAnsi="Arial"/>
                <w:sz w:val="18"/>
                <w:szCs w:val="18"/>
                <w:color w:val="auto"/>
                <w:w w:val="93"/>
              </w:rPr>
              <w:t>(18)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1,954</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3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deferred revenues:</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Arial" w:cs="Arial" w:eastAsia="Arial" w:hAnsi="Arial"/>
                <w:sz w:val="18"/>
                <w:szCs w:val="18"/>
                <w:color w:val="auto"/>
              </w:rPr>
              <w:t>Digital online channels (1)</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center"/>
              <w:ind w:left="830"/>
              <w:spacing w:after="0"/>
              <w:rPr>
                <w:sz w:val="20"/>
                <w:szCs w:val="20"/>
                <w:color w:val="auto"/>
              </w:rPr>
            </w:pPr>
            <w:r>
              <w:rPr>
                <w:rFonts w:ascii="Arial" w:cs="Arial" w:eastAsia="Arial" w:hAnsi="Arial"/>
                <w:sz w:val="18"/>
                <w:szCs w:val="18"/>
                <w:color w:val="auto"/>
                <w:w w:val="99"/>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Retail channels</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center"/>
              <w:ind w:left="83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Arial" w:cs="Arial" w:eastAsia="Arial" w:hAnsi="Arial"/>
                <w:sz w:val="18"/>
                <w:szCs w:val="18"/>
                <w:color w:val="auto"/>
              </w:rPr>
              <w:t>Other (2)</w:t>
            </w: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60" w:type="dxa"/>
            <w:vAlign w:val="bottom"/>
            <w:gridSpan w:val="2"/>
          </w:tcPr>
          <w:p>
            <w:pPr>
              <w:jc w:val="center"/>
              <w:ind w:left="83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3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change in deferred revenues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bottom w:val="single" w:sz="8" w:color="auto"/>
            </w:tcBorders>
            <w:shd w:val="clear" w:color="auto" w:fill="CCEEFF"/>
          </w:tcPr>
          <w:p>
            <w:pPr>
              <w:jc w:val="center"/>
              <w:ind w:left="93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3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Segment net revenues:</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Arial" w:cs="Arial" w:eastAsia="Arial" w:hAnsi="Arial"/>
                <w:sz w:val="18"/>
                <w:szCs w:val="18"/>
                <w:color w:val="auto"/>
              </w:rPr>
              <w:t>Digital online channels (1)</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696</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391</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536</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360" w:type="dxa"/>
            <w:vAlign w:val="bottom"/>
          </w:tcPr>
          <w:p>
            <w:pPr>
              <w:jc w:val="center"/>
              <w:ind w:left="930"/>
              <w:spacing w:after="0"/>
              <w:rPr>
                <w:sz w:val="20"/>
                <w:szCs w:val="20"/>
                <w:color w:val="auto"/>
              </w:rPr>
            </w:pPr>
            <w:r>
              <w:rPr>
                <w:rFonts w:ascii="Arial" w:cs="Arial" w:eastAsia="Arial" w:hAnsi="Arial"/>
                <w:sz w:val="18"/>
                <w:szCs w:val="18"/>
                <w:color w:val="auto"/>
                <w:w w:val="93"/>
              </w:rPr>
              <w:t>(18)</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1,605</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Retail channels</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center"/>
              <w:ind w:left="83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Arial" w:cs="Arial" w:eastAsia="Arial" w:hAnsi="Arial"/>
                <w:sz w:val="18"/>
                <w:szCs w:val="18"/>
                <w:color w:val="auto"/>
              </w:rPr>
              <w:t>Other (2)</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ind w:left="78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center"/>
              <w:ind w:left="83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48"/>
        </w:trPr>
        <w:tc>
          <w:tcPr>
            <w:tcW w:w="3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segment net revenues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rPr>
              <w:t>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bottom w:val="single" w:sz="8" w:color="auto"/>
            </w:tcBorders>
            <w:shd w:val="clear" w:color="auto" w:fill="CCEEFF"/>
          </w:tcPr>
          <w:p>
            <w:pPr>
              <w:jc w:val="center"/>
              <w:ind w:left="930"/>
              <w:spacing w:after="0"/>
              <w:rPr>
                <w:sz w:val="20"/>
                <w:szCs w:val="20"/>
                <w:color w:val="auto"/>
              </w:rPr>
            </w:pPr>
            <w:r>
              <w:rPr>
                <w:rFonts w:ascii="Arial" w:cs="Arial" w:eastAsia="Arial" w:hAnsi="Arial"/>
                <w:sz w:val="18"/>
                <w:szCs w:val="18"/>
                <w:color w:val="auto"/>
                <w:w w:val="93"/>
              </w:rPr>
              <w:t>(18)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1,767</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07"/>
        </w:trPr>
        <w:tc>
          <w:tcPr>
            <w:tcW w:w="370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25"/>
        </w:trPr>
        <w:tc>
          <w:tcPr>
            <w:tcW w:w="1280" w:type="dxa"/>
            <w:vAlign w:val="bottom"/>
            <w:tcBorders>
              <w:top w:val="single" w:sz="8" w:color="0000FF"/>
            </w:tcBorders>
          </w:tcPr>
          <w:p>
            <w:pPr>
              <w:spacing w:after="0"/>
              <w:rPr>
                <w:sz w:val="24"/>
                <w:szCs w:val="24"/>
                <w:color w:val="auto"/>
              </w:rPr>
            </w:pPr>
          </w:p>
        </w:tc>
        <w:tc>
          <w:tcPr>
            <w:tcW w:w="24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gridSpan w:val="8"/>
          </w:tcPr>
          <w:p>
            <w:pPr>
              <w:ind w:left="720"/>
              <w:spacing w:after="0"/>
              <w:rPr>
                <w:sz w:val="20"/>
                <w:szCs w:val="20"/>
                <w:color w:val="auto"/>
              </w:rPr>
            </w:pPr>
            <w:r>
              <w:rPr>
                <w:rFonts w:ascii="Arial" w:cs="Arial" w:eastAsia="Arial" w:hAnsi="Arial"/>
                <w:sz w:val="18"/>
                <w:szCs w:val="18"/>
                <w:b w:val="1"/>
                <w:bCs w:val="1"/>
                <w:color w:val="auto"/>
                <w:w w:val="90"/>
              </w:rPr>
              <w:t>Three Months Ended September 30,</w:t>
            </w:r>
          </w:p>
        </w:tc>
        <w:tc>
          <w:tcPr>
            <w:tcW w:w="15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240"/>
              <w:spacing w:after="0" w:line="169" w:lineRule="exact"/>
              <w:rPr>
                <w:sz w:val="20"/>
                <w:szCs w:val="20"/>
                <w:color w:val="auto"/>
              </w:rPr>
            </w:pPr>
            <w:r>
              <w:rPr>
                <w:rFonts w:ascii="Arial" w:cs="Arial" w:eastAsia="Arial" w:hAnsi="Arial"/>
                <w:sz w:val="18"/>
                <w:szCs w:val="18"/>
                <w:b w:val="1"/>
                <w:bCs w:val="1"/>
                <w:color w:val="auto"/>
                <w:w w:val="92"/>
              </w:rPr>
              <w:t>Non-</w:t>
            </w:r>
          </w:p>
        </w:tc>
        <w:tc>
          <w:tcPr>
            <w:tcW w:w="160" w:type="dxa"/>
            <w:vAlign w:val="bottom"/>
          </w:tcPr>
          <w:p>
            <w:pPr>
              <w:spacing w:after="0"/>
              <w:rPr>
                <w:sz w:val="14"/>
                <w:szCs w:val="14"/>
                <w:color w:val="auto"/>
              </w:rPr>
            </w:pPr>
          </w:p>
        </w:tc>
        <w:tc>
          <w:tcPr>
            <w:tcW w:w="1460" w:type="dxa"/>
            <w:vAlign w:val="bottom"/>
            <w:gridSpan w:val="2"/>
          </w:tcPr>
          <w:p>
            <w:pPr>
              <w:jc w:val="center"/>
              <w:ind w:right="240"/>
              <w:spacing w:after="0" w:line="169" w:lineRule="exact"/>
              <w:rPr>
                <w:sz w:val="20"/>
                <w:szCs w:val="20"/>
                <w:color w:val="auto"/>
              </w:rPr>
            </w:pPr>
            <w:r>
              <w:rPr>
                <w:rFonts w:ascii="Arial" w:cs="Arial" w:eastAsia="Arial" w:hAnsi="Arial"/>
                <w:sz w:val="18"/>
                <w:szCs w:val="18"/>
                <w:b w:val="1"/>
                <w:bCs w:val="1"/>
                <w:color w:val="auto"/>
                <w:w w:val="92"/>
              </w:rPr>
              <w:t>Elimination of</w:t>
            </w: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28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Activision</w:t>
            </w:r>
          </w:p>
        </w:tc>
        <w:tc>
          <w:tcPr>
            <w:tcW w:w="180" w:type="dxa"/>
            <w:vAlign w:val="bottom"/>
          </w:tcPr>
          <w:p>
            <w:pPr>
              <w:spacing w:after="0"/>
              <w:rPr>
                <w:sz w:val="15"/>
                <w:szCs w:val="15"/>
                <w:color w:val="auto"/>
              </w:rPr>
            </w:pPr>
          </w:p>
        </w:tc>
        <w:tc>
          <w:tcPr>
            <w:tcW w:w="108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Blizzard</w:t>
            </w:r>
          </w:p>
        </w:tc>
        <w:tc>
          <w:tcPr>
            <w:tcW w:w="220" w:type="dxa"/>
            <w:vAlign w:val="bottom"/>
          </w:tcPr>
          <w:p>
            <w:pPr>
              <w:spacing w:after="0"/>
              <w:rPr>
                <w:sz w:val="15"/>
                <w:szCs w:val="15"/>
                <w:color w:val="auto"/>
              </w:rPr>
            </w:pPr>
          </w:p>
        </w:tc>
        <w:tc>
          <w:tcPr>
            <w:tcW w:w="94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King</w:t>
            </w:r>
          </w:p>
        </w:tc>
        <w:tc>
          <w:tcPr>
            <w:tcW w:w="140" w:type="dxa"/>
            <w:vAlign w:val="bottom"/>
          </w:tcPr>
          <w:p>
            <w:pPr>
              <w:spacing w:after="0"/>
              <w:rPr>
                <w:sz w:val="15"/>
                <w:szCs w:val="15"/>
                <w:color w:val="auto"/>
              </w:rPr>
            </w:pPr>
          </w:p>
        </w:tc>
        <w:tc>
          <w:tcPr>
            <w:tcW w:w="114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90"/>
              </w:rPr>
              <w:t>reportable</w:t>
            </w:r>
          </w:p>
        </w:tc>
        <w:tc>
          <w:tcPr>
            <w:tcW w:w="160" w:type="dxa"/>
            <w:vAlign w:val="bottom"/>
          </w:tcPr>
          <w:p>
            <w:pPr>
              <w:spacing w:after="0"/>
              <w:rPr>
                <w:sz w:val="15"/>
                <w:szCs w:val="15"/>
                <w:color w:val="auto"/>
              </w:rPr>
            </w:pPr>
          </w:p>
        </w:tc>
        <w:tc>
          <w:tcPr>
            <w:tcW w:w="146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88"/>
              </w:rPr>
              <w:t>intersegment</w:t>
            </w:r>
          </w:p>
        </w:tc>
        <w:tc>
          <w:tcPr>
            <w:tcW w:w="200" w:type="dxa"/>
            <w:vAlign w:val="bottom"/>
          </w:tcPr>
          <w:p>
            <w:pPr>
              <w:spacing w:after="0"/>
              <w:rPr>
                <w:sz w:val="15"/>
                <w:szCs w:val="15"/>
                <w:color w:val="auto"/>
              </w:rPr>
            </w:pPr>
          </w:p>
        </w:tc>
        <w:tc>
          <w:tcPr>
            <w:tcW w:w="74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128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3"/>
              </w:rPr>
              <w:t>segments</w:t>
            </w:r>
          </w:p>
        </w:tc>
        <w:tc>
          <w:tcPr>
            <w:tcW w:w="160" w:type="dxa"/>
            <w:vAlign w:val="bottom"/>
          </w:tcPr>
          <w:p>
            <w:pPr>
              <w:spacing w:after="0"/>
              <w:rPr>
                <w:sz w:val="19"/>
                <w:szCs w:val="19"/>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revenues (3)</w:t>
            </w:r>
          </w:p>
        </w:tc>
        <w:tc>
          <w:tcPr>
            <w:tcW w:w="20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7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revenues by distribution channel:</w:t>
            </w: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00" w:type="dxa"/>
            <w:vAlign w:val="bottom"/>
            <w:gridSpan w:val="2"/>
          </w:tcPr>
          <w:p>
            <w:pPr>
              <w:ind w:left="20"/>
              <w:spacing w:after="0"/>
              <w:rPr>
                <w:sz w:val="20"/>
                <w:szCs w:val="20"/>
                <w:color w:val="auto"/>
              </w:rPr>
            </w:pPr>
            <w:r>
              <w:rPr>
                <w:rFonts w:ascii="Arial" w:cs="Arial" w:eastAsia="Arial" w:hAnsi="Arial"/>
                <w:sz w:val="18"/>
                <w:szCs w:val="18"/>
                <w:color w:val="auto"/>
              </w:rPr>
              <w:t>Digital online channels (1)</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502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360" w:type="dxa"/>
            <w:vAlign w:val="bottom"/>
          </w:tcPr>
          <w:p>
            <w:pPr>
              <w:ind w:left="1120"/>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1,014</w:t>
            </w:r>
          </w:p>
        </w:tc>
        <w:tc>
          <w:tcPr>
            <w:tcW w:w="0" w:type="dxa"/>
            <w:vAlign w:val="bottom"/>
          </w:tcPr>
          <w:p>
            <w:pPr>
              <w:spacing w:after="0"/>
              <w:rPr>
                <w:sz w:val="1"/>
                <w:szCs w:val="1"/>
                <w:color w:val="auto"/>
              </w:rPr>
            </w:pPr>
          </w:p>
        </w:tc>
      </w:tr>
      <w:tr>
        <w:trPr>
          <w:trHeight w:val="229"/>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Retail channels</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29"/>
        </w:trPr>
        <w:tc>
          <w:tcPr>
            <w:tcW w:w="3700" w:type="dxa"/>
            <w:vAlign w:val="bottom"/>
            <w:gridSpan w:val="2"/>
          </w:tcPr>
          <w:p>
            <w:pPr>
              <w:ind w:left="20"/>
              <w:spacing w:after="0"/>
              <w:rPr>
                <w:sz w:val="20"/>
                <w:szCs w:val="20"/>
                <w:color w:val="auto"/>
              </w:rPr>
            </w:pPr>
            <w:r>
              <w:rPr>
                <w:rFonts w:ascii="Arial" w:cs="Arial" w:eastAsia="Arial" w:hAnsi="Arial"/>
                <w:sz w:val="18"/>
                <w:szCs w:val="18"/>
                <w:color w:val="auto"/>
              </w:rPr>
              <w:t>Other (2)</w:t>
            </w: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48"/>
        </w:trPr>
        <w:tc>
          <w:tcPr>
            <w:tcW w:w="37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consolidated net revenues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bottom w:val="single" w:sz="8" w:color="auto"/>
            </w:tcBorders>
            <w:shd w:val="clear" w:color="auto" w:fill="CCEEFF"/>
          </w:tcPr>
          <w:p>
            <w:pPr>
              <w:ind w:left="1120"/>
              <w:spacing w:after="0"/>
              <w:rPr>
                <w:sz w:val="20"/>
                <w:szCs w:val="20"/>
                <w:color w:val="auto"/>
              </w:rPr>
            </w:pPr>
            <w:r>
              <w:rPr>
                <w:rFonts w:ascii="Arial" w:cs="Arial" w:eastAsia="Arial" w:hAnsi="Arial"/>
                <w:sz w:val="18"/>
                <w:szCs w:val="18"/>
                <w:color w:val="auto"/>
                <w:w w:val="99"/>
              </w:rPr>
              <w:t>(2)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1,282</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1280" w:type="dxa"/>
            <w:vAlign w:val="bottom"/>
          </w:tcPr>
          <w:p>
            <w:pPr>
              <w:spacing w:after="0"/>
              <w:rPr>
                <w:sz w:val="9"/>
                <w:szCs w:val="9"/>
                <w:color w:val="auto"/>
              </w:rPr>
            </w:pPr>
          </w:p>
        </w:tc>
        <w:tc>
          <w:tcPr>
            <w:tcW w:w="2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Change in deferred revenues:</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gridSpan w:val="2"/>
          </w:tcPr>
          <w:p>
            <w:pPr>
              <w:ind w:left="20"/>
              <w:spacing w:after="0"/>
              <w:rPr>
                <w:sz w:val="20"/>
                <w:szCs w:val="20"/>
                <w:color w:val="auto"/>
              </w:rPr>
            </w:pPr>
            <w:r>
              <w:rPr>
                <w:rFonts w:ascii="Arial" w:cs="Arial" w:eastAsia="Arial" w:hAnsi="Arial"/>
                <w:sz w:val="18"/>
                <w:szCs w:val="18"/>
                <w:color w:val="auto"/>
              </w:rPr>
              <w:t>Digital online channels (1)</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9"/>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Retail channels</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9"/>
        </w:trPr>
        <w:tc>
          <w:tcPr>
            <w:tcW w:w="3700" w:type="dxa"/>
            <w:vAlign w:val="bottom"/>
            <w:gridSpan w:val="2"/>
          </w:tcPr>
          <w:p>
            <w:pPr>
              <w:ind w:left="20"/>
              <w:spacing w:after="0"/>
              <w:rPr>
                <w:sz w:val="20"/>
                <w:szCs w:val="20"/>
                <w:color w:val="auto"/>
              </w:rPr>
            </w:pPr>
            <w:r>
              <w:rPr>
                <w:rFonts w:ascii="Arial" w:cs="Arial" w:eastAsia="Arial" w:hAnsi="Arial"/>
                <w:sz w:val="18"/>
                <w:szCs w:val="18"/>
                <w:color w:val="auto"/>
              </w:rPr>
              <w:t>Other (2)</w:t>
            </w: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6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37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change in deferred revenues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bottom w:val="single" w:sz="8" w:color="auto"/>
            </w:tcBorders>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1280" w:type="dxa"/>
            <w:vAlign w:val="bottom"/>
          </w:tcPr>
          <w:p>
            <w:pPr>
              <w:spacing w:after="0"/>
              <w:rPr>
                <w:sz w:val="9"/>
                <w:szCs w:val="9"/>
                <w:color w:val="auto"/>
              </w:rPr>
            </w:pPr>
          </w:p>
        </w:tc>
        <w:tc>
          <w:tcPr>
            <w:tcW w:w="2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Segment net revenues:</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gridSpan w:val="2"/>
          </w:tcPr>
          <w:p>
            <w:pPr>
              <w:ind w:left="20"/>
              <w:spacing w:after="0"/>
              <w:rPr>
                <w:sz w:val="20"/>
                <w:szCs w:val="20"/>
                <w:color w:val="auto"/>
              </w:rPr>
            </w:pPr>
            <w:r>
              <w:rPr>
                <w:rFonts w:ascii="Arial" w:cs="Arial" w:eastAsia="Arial" w:hAnsi="Arial"/>
                <w:sz w:val="18"/>
                <w:szCs w:val="18"/>
                <w:color w:val="auto"/>
              </w:rPr>
              <w:t>Digital online channels (1)</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360" w:type="dxa"/>
            <w:vAlign w:val="bottom"/>
          </w:tcPr>
          <w:p>
            <w:pPr>
              <w:ind w:left="1120"/>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975</w:t>
            </w:r>
          </w:p>
        </w:tc>
        <w:tc>
          <w:tcPr>
            <w:tcW w:w="0" w:type="dxa"/>
            <w:vAlign w:val="bottom"/>
          </w:tcPr>
          <w:p>
            <w:pPr>
              <w:spacing w:after="0"/>
              <w:rPr>
                <w:sz w:val="1"/>
                <w:szCs w:val="1"/>
                <w:color w:val="auto"/>
              </w:rPr>
            </w:pPr>
          </w:p>
        </w:tc>
      </w:tr>
      <w:tr>
        <w:trPr>
          <w:trHeight w:val="230"/>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Retail channels</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9"/>
        </w:trPr>
        <w:tc>
          <w:tcPr>
            <w:tcW w:w="3700" w:type="dxa"/>
            <w:vAlign w:val="bottom"/>
            <w:gridSpan w:val="2"/>
          </w:tcPr>
          <w:p>
            <w:pPr>
              <w:ind w:left="20"/>
              <w:spacing w:after="0"/>
              <w:rPr>
                <w:sz w:val="20"/>
                <w:szCs w:val="20"/>
                <w:color w:val="auto"/>
              </w:rPr>
            </w:pPr>
            <w:r>
              <w:rPr>
                <w:rFonts w:ascii="Arial" w:cs="Arial" w:eastAsia="Arial" w:hAnsi="Arial"/>
                <w:sz w:val="18"/>
                <w:szCs w:val="18"/>
                <w:color w:val="auto"/>
              </w:rPr>
              <w:t>Other (2)</w:t>
            </w: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48"/>
        </w:trPr>
        <w:tc>
          <w:tcPr>
            <w:tcW w:w="37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segment net revenues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bottom w:val="single" w:sz="8" w:color="auto"/>
            </w:tcBorders>
            <w:shd w:val="clear" w:color="auto" w:fill="CCEEFF"/>
          </w:tcPr>
          <w:p>
            <w:pPr>
              <w:ind w:left="1120"/>
              <w:spacing w:after="0"/>
              <w:rPr>
                <w:sz w:val="20"/>
                <w:szCs w:val="20"/>
                <w:color w:val="auto"/>
              </w:rPr>
            </w:pPr>
            <w:r>
              <w:rPr>
                <w:rFonts w:ascii="Arial" w:cs="Arial" w:eastAsia="Arial" w:hAnsi="Arial"/>
                <w:sz w:val="18"/>
                <w:szCs w:val="18"/>
                <w:color w:val="auto"/>
                <w:w w:val="99"/>
              </w:rPr>
              <w:t>(2)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1,214</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Net revenues by distribution channel, including a reconciliation to each of our reportable segment’s revenues, for the nine months ended September 30, 2020 and 2019, were as follows (amounts in millions):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140" w:type="dxa"/>
            <w:vAlign w:val="bottom"/>
            <w:tcBorders>
              <w:bottom w:val="single" w:sz="8" w:color="auto"/>
            </w:tcBorders>
            <w:gridSpan w:val="11"/>
          </w:tcPr>
          <w:p>
            <w:pPr>
              <w:jc w:val="center"/>
              <w:ind w:right="520"/>
              <w:spacing w:after="0"/>
              <w:rPr>
                <w:sz w:val="20"/>
                <w:szCs w:val="20"/>
                <w:color w:val="auto"/>
              </w:rPr>
            </w:pPr>
            <w:r>
              <w:rPr>
                <w:rFonts w:ascii="Arial" w:cs="Arial" w:eastAsia="Arial" w:hAnsi="Arial"/>
                <w:sz w:val="18"/>
                <w:szCs w:val="18"/>
                <w:b w:val="1"/>
                <w:bCs w:val="1"/>
                <w:color w:val="auto"/>
                <w:w w:val="90"/>
              </w:rPr>
              <w:t>Nine Months Ended September 30, 2020</w:t>
            </w: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240"/>
              <w:spacing w:after="0" w:line="169" w:lineRule="exact"/>
              <w:rPr>
                <w:sz w:val="20"/>
                <w:szCs w:val="20"/>
                <w:color w:val="auto"/>
              </w:rPr>
            </w:pPr>
            <w:r>
              <w:rPr>
                <w:rFonts w:ascii="Arial" w:cs="Arial" w:eastAsia="Arial" w:hAnsi="Arial"/>
                <w:sz w:val="18"/>
                <w:szCs w:val="18"/>
                <w:b w:val="1"/>
                <w:bCs w:val="1"/>
                <w:color w:val="auto"/>
                <w:w w:val="92"/>
              </w:rPr>
              <w:t>Non-</w:t>
            </w:r>
          </w:p>
        </w:tc>
        <w:tc>
          <w:tcPr>
            <w:tcW w:w="160" w:type="dxa"/>
            <w:vAlign w:val="bottom"/>
          </w:tcPr>
          <w:p>
            <w:pPr>
              <w:spacing w:after="0"/>
              <w:rPr>
                <w:sz w:val="14"/>
                <w:szCs w:val="14"/>
                <w:color w:val="auto"/>
              </w:rPr>
            </w:pPr>
          </w:p>
        </w:tc>
        <w:tc>
          <w:tcPr>
            <w:tcW w:w="1460" w:type="dxa"/>
            <w:vAlign w:val="bottom"/>
            <w:gridSpan w:val="2"/>
          </w:tcPr>
          <w:p>
            <w:pPr>
              <w:jc w:val="center"/>
              <w:ind w:right="240"/>
              <w:spacing w:after="0" w:line="169" w:lineRule="exact"/>
              <w:rPr>
                <w:sz w:val="20"/>
                <w:szCs w:val="20"/>
                <w:color w:val="auto"/>
              </w:rPr>
            </w:pPr>
            <w:r>
              <w:rPr>
                <w:rFonts w:ascii="Arial" w:cs="Arial" w:eastAsia="Arial" w:hAnsi="Arial"/>
                <w:sz w:val="18"/>
                <w:szCs w:val="18"/>
                <w:b w:val="1"/>
                <w:bCs w:val="1"/>
                <w:color w:val="auto"/>
                <w:w w:val="92"/>
              </w:rPr>
              <w:t>Elimination of</w:t>
            </w: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Activision</w:t>
            </w:r>
          </w:p>
        </w:tc>
        <w:tc>
          <w:tcPr>
            <w:tcW w:w="180" w:type="dxa"/>
            <w:vAlign w:val="bottom"/>
          </w:tcPr>
          <w:p>
            <w:pPr>
              <w:spacing w:after="0"/>
              <w:rPr>
                <w:sz w:val="15"/>
                <w:szCs w:val="15"/>
                <w:color w:val="auto"/>
              </w:rPr>
            </w:pPr>
          </w:p>
        </w:tc>
        <w:tc>
          <w:tcPr>
            <w:tcW w:w="108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Blizzard</w:t>
            </w:r>
          </w:p>
        </w:tc>
        <w:tc>
          <w:tcPr>
            <w:tcW w:w="220" w:type="dxa"/>
            <w:vAlign w:val="bottom"/>
          </w:tcPr>
          <w:p>
            <w:pPr>
              <w:spacing w:after="0"/>
              <w:rPr>
                <w:sz w:val="15"/>
                <w:szCs w:val="15"/>
                <w:color w:val="auto"/>
              </w:rPr>
            </w:pPr>
          </w:p>
        </w:tc>
        <w:tc>
          <w:tcPr>
            <w:tcW w:w="94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King</w:t>
            </w:r>
          </w:p>
        </w:tc>
        <w:tc>
          <w:tcPr>
            <w:tcW w:w="140" w:type="dxa"/>
            <w:vAlign w:val="bottom"/>
          </w:tcPr>
          <w:p>
            <w:pPr>
              <w:spacing w:after="0"/>
              <w:rPr>
                <w:sz w:val="15"/>
                <w:szCs w:val="15"/>
                <w:color w:val="auto"/>
              </w:rPr>
            </w:pPr>
          </w:p>
        </w:tc>
        <w:tc>
          <w:tcPr>
            <w:tcW w:w="114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90"/>
              </w:rPr>
              <w:t>reportable</w:t>
            </w:r>
          </w:p>
        </w:tc>
        <w:tc>
          <w:tcPr>
            <w:tcW w:w="160" w:type="dxa"/>
            <w:vAlign w:val="bottom"/>
          </w:tcPr>
          <w:p>
            <w:pPr>
              <w:spacing w:after="0"/>
              <w:rPr>
                <w:sz w:val="15"/>
                <w:szCs w:val="15"/>
                <w:color w:val="auto"/>
              </w:rPr>
            </w:pPr>
          </w:p>
        </w:tc>
        <w:tc>
          <w:tcPr>
            <w:tcW w:w="146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88"/>
              </w:rPr>
              <w:t>intersegment</w:t>
            </w:r>
          </w:p>
        </w:tc>
        <w:tc>
          <w:tcPr>
            <w:tcW w:w="200" w:type="dxa"/>
            <w:vAlign w:val="bottom"/>
          </w:tcPr>
          <w:p>
            <w:pPr>
              <w:spacing w:after="0"/>
              <w:rPr>
                <w:sz w:val="15"/>
                <w:szCs w:val="15"/>
                <w:color w:val="auto"/>
              </w:rPr>
            </w:pPr>
          </w:p>
        </w:tc>
        <w:tc>
          <w:tcPr>
            <w:tcW w:w="74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3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3"/>
              </w:rPr>
              <w:t>segments</w:t>
            </w:r>
          </w:p>
        </w:tc>
        <w:tc>
          <w:tcPr>
            <w:tcW w:w="160" w:type="dxa"/>
            <w:vAlign w:val="bottom"/>
          </w:tcPr>
          <w:p>
            <w:pPr>
              <w:spacing w:after="0"/>
              <w:rPr>
                <w:sz w:val="19"/>
                <w:szCs w:val="19"/>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revenues (3)</w:t>
            </w:r>
          </w:p>
        </w:tc>
        <w:tc>
          <w:tcPr>
            <w:tcW w:w="20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revenues by distribution channel:</w:t>
            </w: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Arial" w:cs="Arial" w:eastAsia="Arial" w:hAnsi="Arial"/>
                <w:sz w:val="18"/>
                <w:szCs w:val="18"/>
                <w:color w:val="auto"/>
              </w:rPr>
              <w:t>Digital online channels (1)</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2,054</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1,203</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1,587</w:t>
            </w:r>
          </w:p>
        </w:tc>
        <w:tc>
          <w:tcPr>
            <w:tcW w:w="120" w:type="dxa"/>
            <w:vAlign w:val="bottom"/>
          </w:tcPr>
          <w:p>
            <w:pPr>
              <w:spacing w:after="0"/>
              <w:rPr>
                <w:sz w:val="19"/>
                <w:szCs w:val="19"/>
                <w:color w:val="auto"/>
              </w:rPr>
            </w:pPr>
          </w:p>
        </w:tc>
        <w:tc>
          <w:tcPr>
            <w:tcW w:w="14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center"/>
              <w:ind w:left="930"/>
              <w:spacing w:after="0"/>
              <w:rPr>
                <w:sz w:val="20"/>
                <w:szCs w:val="20"/>
                <w:color w:val="auto"/>
              </w:rPr>
            </w:pPr>
            <w:r>
              <w:rPr>
                <w:rFonts w:ascii="Arial" w:cs="Arial" w:eastAsia="Arial" w:hAnsi="Arial"/>
                <w:sz w:val="18"/>
                <w:szCs w:val="18"/>
                <w:color w:val="auto"/>
                <w:w w:val="93"/>
              </w:rPr>
              <w:t>(62)</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4,782</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Retail channels</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center"/>
              <w:ind w:left="83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Arial" w:cs="Arial" w:eastAsia="Arial" w:hAnsi="Arial"/>
                <w:sz w:val="18"/>
                <w:szCs w:val="18"/>
                <w:color w:val="auto"/>
              </w:rPr>
              <w:t>Other (2)</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center"/>
              <w:ind w:left="83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48"/>
        </w:trPr>
        <w:tc>
          <w:tcPr>
            <w:tcW w:w="3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consolidated net revenues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shd w:val="clear" w:color="auto" w:fill="CCEEFF"/>
          </w:tcPr>
          <w:p>
            <w:pPr>
              <w:jc w:val="center"/>
              <w:ind w:left="930"/>
              <w:spacing w:after="0"/>
              <w:rPr>
                <w:sz w:val="20"/>
                <w:szCs w:val="20"/>
                <w:color w:val="auto"/>
              </w:rPr>
            </w:pPr>
            <w:r>
              <w:rPr>
                <w:rFonts w:ascii="Arial" w:cs="Arial" w:eastAsia="Arial" w:hAnsi="Arial"/>
                <w:sz w:val="18"/>
                <w:szCs w:val="18"/>
                <w:color w:val="auto"/>
                <w:w w:val="93"/>
              </w:rPr>
              <w:t>(62)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5,674</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3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deferred revenues:</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Arial" w:cs="Arial" w:eastAsia="Arial" w:hAnsi="Arial"/>
                <w:sz w:val="18"/>
                <w:szCs w:val="18"/>
                <w:color w:val="auto"/>
              </w:rPr>
              <w:t>Digital online channels (1)</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4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jc w:val="center"/>
              <w:ind w:left="830"/>
              <w:spacing w:after="0"/>
              <w:rPr>
                <w:sz w:val="20"/>
                <w:szCs w:val="20"/>
                <w:color w:val="auto"/>
              </w:rPr>
            </w:pPr>
            <w:r>
              <w:rPr>
                <w:rFonts w:ascii="Arial" w:cs="Arial" w:eastAsia="Arial" w:hAnsi="Arial"/>
                <w:sz w:val="18"/>
                <w:szCs w:val="18"/>
                <w:color w:val="auto"/>
                <w:w w:val="99"/>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Retail channels</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center"/>
              <w:ind w:left="83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Arial" w:cs="Arial" w:eastAsia="Arial" w:hAnsi="Arial"/>
                <w:sz w:val="18"/>
                <w:szCs w:val="18"/>
                <w:color w:val="auto"/>
              </w:rPr>
              <w:t>Other (2)</w:t>
            </w: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center"/>
              <w:ind w:left="83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8"/>
        </w:trPr>
        <w:tc>
          <w:tcPr>
            <w:tcW w:w="3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change in deferred revenues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shd w:val="clear" w:color="auto" w:fill="CCEEFF"/>
          </w:tcPr>
          <w:p>
            <w:pPr>
              <w:jc w:val="center"/>
              <w:ind w:left="93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3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Segment net revenues:</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Arial" w:cs="Arial" w:eastAsia="Arial" w:hAnsi="Arial"/>
                <w:sz w:val="18"/>
                <w:szCs w:val="18"/>
                <w:color w:val="auto"/>
              </w:rPr>
              <w:t>Digital online channels (1)</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2,038</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1,219</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1,586</w:t>
            </w:r>
          </w:p>
        </w:tc>
        <w:tc>
          <w:tcPr>
            <w:tcW w:w="120" w:type="dxa"/>
            <w:vAlign w:val="bottom"/>
          </w:tcPr>
          <w:p>
            <w:pPr>
              <w:spacing w:after="0"/>
              <w:rPr>
                <w:sz w:val="19"/>
                <w:szCs w:val="19"/>
                <w:color w:val="auto"/>
              </w:rPr>
            </w:pPr>
          </w:p>
        </w:tc>
        <w:tc>
          <w:tcPr>
            <w:tcW w:w="14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center"/>
              <w:ind w:left="930"/>
              <w:spacing w:after="0"/>
              <w:rPr>
                <w:sz w:val="20"/>
                <w:szCs w:val="20"/>
                <w:color w:val="auto"/>
              </w:rPr>
            </w:pPr>
            <w:r>
              <w:rPr>
                <w:rFonts w:ascii="Arial" w:cs="Arial" w:eastAsia="Arial" w:hAnsi="Arial"/>
                <w:sz w:val="18"/>
                <w:szCs w:val="18"/>
                <w:color w:val="auto"/>
                <w:w w:val="93"/>
              </w:rPr>
              <w:t>(62)</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4,781</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Retail channels</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center"/>
              <w:ind w:left="83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Arial" w:cs="Arial" w:eastAsia="Arial" w:hAnsi="Arial"/>
                <w:sz w:val="18"/>
                <w:szCs w:val="18"/>
                <w:color w:val="auto"/>
              </w:rPr>
              <w:t>Other (2)</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center"/>
              <w:ind w:left="83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48"/>
        </w:trPr>
        <w:tc>
          <w:tcPr>
            <w:tcW w:w="3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segment net revenues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shd w:val="clear" w:color="auto" w:fill="CCEEFF"/>
          </w:tcPr>
          <w:p>
            <w:pPr>
              <w:jc w:val="center"/>
              <w:ind w:left="930"/>
              <w:spacing w:after="0"/>
              <w:rPr>
                <w:sz w:val="20"/>
                <w:szCs w:val="20"/>
                <w:color w:val="auto"/>
              </w:rPr>
            </w:pPr>
            <w:r>
              <w:rPr>
                <w:rFonts w:ascii="Arial" w:cs="Arial" w:eastAsia="Arial" w:hAnsi="Arial"/>
                <w:sz w:val="18"/>
                <w:szCs w:val="18"/>
                <w:color w:val="auto"/>
                <w:w w:val="93"/>
              </w:rPr>
              <w:t>(62)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5,368</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07"/>
        </w:trPr>
        <w:tc>
          <w:tcPr>
            <w:tcW w:w="370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25"/>
        </w:trPr>
        <w:tc>
          <w:tcPr>
            <w:tcW w:w="1280" w:type="dxa"/>
            <w:vAlign w:val="bottom"/>
            <w:tcBorders>
              <w:top w:val="single" w:sz="8" w:color="0000FF"/>
            </w:tcBorders>
          </w:tcPr>
          <w:p>
            <w:pPr>
              <w:spacing w:after="0"/>
              <w:rPr>
                <w:sz w:val="24"/>
                <w:szCs w:val="24"/>
                <w:color w:val="auto"/>
              </w:rPr>
            </w:pPr>
          </w:p>
        </w:tc>
        <w:tc>
          <w:tcPr>
            <w:tcW w:w="24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gridSpan w:val="11"/>
          </w:tcPr>
          <w:p>
            <w:pPr>
              <w:jc w:val="center"/>
              <w:ind w:right="520"/>
              <w:spacing w:after="0"/>
              <w:rPr>
                <w:sz w:val="20"/>
                <w:szCs w:val="20"/>
                <w:color w:val="auto"/>
              </w:rPr>
            </w:pPr>
            <w:r>
              <w:rPr>
                <w:rFonts w:ascii="Arial" w:cs="Arial" w:eastAsia="Arial" w:hAnsi="Arial"/>
                <w:sz w:val="18"/>
                <w:szCs w:val="18"/>
                <w:b w:val="1"/>
                <w:bCs w:val="1"/>
                <w:color w:val="auto"/>
                <w:w w:val="90"/>
              </w:rPr>
              <w:t>Nine Months Ended September 30, 2019</w:t>
            </w: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240"/>
              <w:spacing w:after="0" w:line="169" w:lineRule="exact"/>
              <w:rPr>
                <w:sz w:val="20"/>
                <w:szCs w:val="20"/>
                <w:color w:val="auto"/>
              </w:rPr>
            </w:pPr>
            <w:r>
              <w:rPr>
                <w:rFonts w:ascii="Arial" w:cs="Arial" w:eastAsia="Arial" w:hAnsi="Arial"/>
                <w:sz w:val="18"/>
                <w:szCs w:val="18"/>
                <w:b w:val="1"/>
                <w:bCs w:val="1"/>
                <w:color w:val="auto"/>
                <w:w w:val="92"/>
              </w:rPr>
              <w:t>Non-</w:t>
            </w:r>
          </w:p>
        </w:tc>
        <w:tc>
          <w:tcPr>
            <w:tcW w:w="160" w:type="dxa"/>
            <w:vAlign w:val="bottom"/>
          </w:tcPr>
          <w:p>
            <w:pPr>
              <w:spacing w:after="0"/>
              <w:rPr>
                <w:sz w:val="14"/>
                <w:szCs w:val="14"/>
                <w:color w:val="auto"/>
              </w:rPr>
            </w:pPr>
          </w:p>
        </w:tc>
        <w:tc>
          <w:tcPr>
            <w:tcW w:w="1460" w:type="dxa"/>
            <w:vAlign w:val="bottom"/>
            <w:gridSpan w:val="2"/>
          </w:tcPr>
          <w:p>
            <w:pPr>
              <w:jc w:val="center"/>
              <w:ind w:right="240"/>
              <w:spacing w:after="0" w:line="169" w:lineRule="exact"/>
              <w:rPr>
                <w:sz w:val="20"/>
                <w:szCs w:val="20"/>
                <w:color w:val="auto"/>
              </w:rPr>
            </w:pPr>
            <w:r>
              <w:rPr>
                <w:rFonts w:ascii="Arial" w:cs="Arial" w:eastAsia="Arial" w:hAnsi="Arial"/>
                <w:sz w:val="18"/>
                <w:szCs w:val="18"/>
                <w:b w:val="1"/>
                <w:bCs w:val="1"/>
                <w:color w:val="auto"/>
                <w:w w:val="92"/>
              </w:rPr>
              <w:t>Elimination of</w:t>
            </w: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28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Activision</w:t>
            </w:r>
          </w:p>
        </w:tc>
        <w:tc>
          <w:tcPr>
            <w:tcW w:w="180" w:type="dxa"/>
            <w:vAlign w:val="bottom"/>
          </w:tcPr>
          <w:p>
            <w:pPr>
              <w:spacing w:after="0"/>
              <w:rPr>
                <w:sz w:val="15"/>
                <w:szCs w:val="15"/>
                <w:color w:val="auto"/>
              </w:rPr>
            </w:pPr>
          </w:p>
        </w:tc>
        <w:tc>
          <w:tcPr>
            <w:tcW w:w="108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Blizzard</w:t>
            </w:r>
          </w:p>
        </w:tc>
        <w:tc>
          <w:tcPr>
            <w:tcW w:w="220" w:type="dxa"/>
            <w:vAlign w:val="bottom"/>
          </w:tcPr>
          <w:p>
            <w:pPr>
              <w:spacing w:after="0"/>
              <w:rPr>
                <w:sz w:val="15"/>
                <w:szCs w:val="15"/>
                <w:color w:val="auto"/>
              </w:rPr>
            </w:pPr>
          </w:p>
        </w:tc>
        <w:tc>
          <w:tcPr>
            <w:tcW w:w="94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King</w:t>
            </w:r>
          </w:p>
        </w:tc>
        <w:tc>
          <w:tcPr>
            <w:tcW w:w="140" w:type="dxa"/>
            <w:vAlign w:val="bottom"/>
          </w:tcPr>
          <w:p>
            <w:pPr>
              <w:spacing w:after="0"/>
              <w:rPr>
                <w:sz w:val="15"/>
                <w:szCs w:val="15"/>
                <w:color w:val="auto"/>
              </w:rPr>
            </w:pPr>
          </w:p>
        </w:tc>
        <w:tc>
          <w:tcPr>
            <w:tcW w:w="114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90"/>
              </w:rPr>
              <w:t>reportable</w:t>
            </w:r>
          </w:p>
        </w:tc>
        <w:tc>
          <w:tcPr>
            <w:tcW w:w="160" w:type="dxa"/>
            <w:vAlign w:val="bottom"/>
          </w:tcPr>
          <w:p>
            <w:pPr>
              <w:spacing w:after="0"/>
              <w:rPr>
                <w:sz w:val="15"/>
                <w:szCs w:val="15"/>
                <w:color w:val="auto"/>
              </w:rPr>
            </w:pPr>
          </w:p>
        </w:tc>
        <w:tc>
          <w:tcPr>
            <w:tcW w:w="146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88"/>
              </w:rPr>
              <w:t>intersegment</w:t>
            </w:r>
          </w:p>
        </w:tc>
        <w:tc>
          <w:tcPr>
            <w:tcW w:w="200" w:type="dxa"/>
            <w:vAlign w:val="bottom"/>
          </w:tcPr>
          <w:p>
            <w:pPr>
              <w:spacing w:after="0"/>
              <w:rPr>
                <w:sz w:val="15"/>
                <w:szCs w:val="15"/>
                <w:color w:val="auto"/>
              </w:rPr>
            </w:pPr>
          </w:p>
        </w:tc>
        <w:tc>
          <w:tcPr>
            <w:tcW w:w="74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128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3"/>
              </w:rPr>
              <w:t>segments</w:t>
            </w:r>
          </w:p>
        </w:tc>
        <w:tc>
          <w:tcPr>
            <w:tcW w:w="160" w:type="dxa"/>
            <w:vAlign w:val="bottom"/>
          </w:tcPr>
          <w:p>
            <w:pPr>
              <w:spacing w:after="0"/>
              <w:rPr>
                <w:sz w:val="19"/>
                <w:szCs w:val="19"/>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revenues (3)</w:t>
            </w:r>
          </w:p>
        </w:tc>
        <w:tc>
          <w:tcPr>
            <w:tcW w:w="20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7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revenues by distribution channel:</w:t>
            </w: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00" w:type="dxa"/>
            <w:vAlign w:val="bottom"/>
            <w:gridSpan w:val="2"/>
          </w:tcPr>
          <w:p>
            <w:pPr>
              <w:ind w:left="20"/>
              <w:spacing w:after="0"/>
              <w:rPr>
                <w:sz w:val="20"/>
                <w:szCs w:val="20"/>
                <w:color w:val="auto"/>
              </w:rPr>
            </w:pPr>
            <w:r>
              <w:rPr>
                <w:rFonts w:ascii="Arial" w:cs="Arial" w:eastAsia="Arial" w:hAnsi="Arial"/>
                <w:sz w:val="18"/>
                <w:szCs w:val="18"/>
                <w:color w:val="auto"/>
              </w:rPr>
              <w:t>Digital online channels (1)</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894</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1,081</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1,527</w:t>
            </w:r>
          </w:p>
        </w:tc>
        <w:tc>
          <w:tcPr>
            <w:tcW w:w="120" w:type="dxa"/>
            <w:vAlign w:val="bottom"/>
          </w:tcPr>
          <w:p>
            <w:pPr>
              <w:spacing w:after="0"/>
              <w:rPr>
                <w:sz w:val="19"/>
                <w:szCs w:val="19"/>
                <w:color w:val="auto"/>
              </w:rPr>
            </w:pPr>
          </w:p>
        </w:tc>
        <w:tc>
          <w:tcPr>
            <w:tcW w:w="14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ind w:left="1120"/>
              <w:spacing w:after="0"/>
              <w:rPr>
                <w:sz w:val="20"/>
                <w:szCs w:val="20"/>
                <w:color w:val="auto"/>
              </w:rPr>
            </w:pPr>
            <w:r>
              <w:rPr>
                <w:rFonts w:ascii="Arial" w:cs="Arial" w:eastAsia="Arial" w:hAnsi="Arial"/>
                <w:sz w:val="18"/>
                <w:szCs w:val="18"/>
                <w:color w:val="auto"/>
                <w:w w:val="99"/>
              </w:rPr>
              <w:t>(9)</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3,493</w:t>
            </w:r>
          </w:p>
        </w:tc>
        <w:tc>
          <w:tcPr>
            <w:tcW w:w="0" w:type="dxa"/>
            <w:vAlign w:val="bottom"/>
          </w:tcPr>
          <w:p>
            <w:pPr>
              <w:spacing w:after="0"/>
              <w:rPr>
                <w:sz w:val="1"/>
                <w:szCs w:val="1"/>
                <w:color w:val="auto"/>
              </w:rPr>
            </w:pPr>
          </w:p>
        </w:tc>
      </w:tr>
      <w:tr>
        <w:trPr>
          <w:trHeight w:val="229"/>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Retail channels</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30"/>
        </w:trPr>
        <w:tc>
          <w:tcPr>
            <w:tcW w:w="3700" w:type="dxa"/>
            <w:vAlign w:val="bottom"/>
            <w:gridSpan w:val="2"/>
          </w:tcPr>
          <w:p>
            <w:pPr>
              <w:ind w:left="20"/>
              <w:spacing w:after="0"/>
              <w:rPr>
                <w:sz w:val="20"/>
                <w:szCs w:val="20"/>
                <w:color w:val="auto"/>
              </w:rPr>
            </w:pPr>
            <w:r>
              <w:rPr>
                <w:rFonts w:ascii="Arial" w:cs="Arial" w:eastAsia="Arial" w:hAnsi="Arial"/>
                <w:sz w:val="18"/>
                <w:szCs w:val="18"/>
                <w:color w:val="auto"/>
              </w:rPr>
              <w:t>Other (2)</w:t>
            </w: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48"/>
        </w:trPr>
        <w:tc>
          <w:tcPr>
            <w:tcW w:w="37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consolidated net revenues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shd w:val="clear" w:color="auto" w:fill="CCEEFF"/>
          </w:tcPr>
          <w:p>
            <w:pPr>
              <w:ind w:left="1120"/>
              <w:spacing w:after="0"/>
              <w:rPr>
                <w:sz w:val="20"/>
                <w:szCs w:val="20"/>
                <w:color w:val="auto"/>
              </w:rPr>
            </w:pPr>
            <w:r>
              <w:rPr>
                <w:rFonts w:ascii="Arial" w:cs="Arial" w:eastAsia="Arial" w:hAnsi="Arial"/>
                <w:sz w:val="18"/>
                <w:szCs w:val="18"/>
                <w:color w:val="auto"/>
                <w:w w:val="99"/>
              </w:rPr>
              <w:t>(9)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4,503</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1280" w:type="dxa"/>
            <w:vAlign w:val="bottom"/>
          </w:tcPr>
          <w:p>
            <w:pPr>
              <w:spacing w:after="0"/>
              <w:rPr>
                <w:sz w:val="9"/>
                <w:szCs w:val="9"/>
                <w:color w:val="auto"/>
              </w:rPr>
            </w:pPr>
          </w:p>
        </w:tc>
        <w:tc>
          <w:tcPr>
            <w:tcW w:w="2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Change in deferred revenues:</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gridSpan w:val="2"/>
          </w:tcPr>
          <w:p>
            <w:pPr>
              <w:ind w:left="20"/>
              <w:spacing w:after="0"/>
              <w:rPr>
                <w:sz w:val="20"/>
                <w:szCs w:val="20"/>
                <w:color w:val="auto"/>
              </w:rPr>
            </w:pPr>
            <w:r>
              <w:rPr>
                <w:rFonts w:ascii="Arial" w:cs="Arial" w:eastAsia="Arial" w:hAnsi="Arial"/>
                <w:sz w:val="18"/>
                <w:szCs w:val="18"/>
                <w:color w:val="auto"/>
              </w:rPr>
              <w:t>Digital online channels (1)</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(285)</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29"/>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Retail channels</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29"/>
        </w:trPr>
        <w:tc>
          <w:tcPr>
            <w:tcW w:w="3700" w:type="dxa"/>
            <w:vAlign w:val="bottom"/>
            <w:gridSpan w:val="2"/>
          </w:tcPr>
          <w:p>
            <w:pPr>
              <w:ind w:left="20"/>
              <w:spacing w:after="0"/>
              <w:rPr>
                <w:sz w:val="20"/>
                <w:szCs w:val="20"/>
                <w:color w:val="auto"/>
              </w:rPr>
            </w:pPr>
            <w:r>
              <w:rPr>
                <w:rFonts w:ascii="Arial" w:cs="Arial" w:eastAsia="Arial" w:hAnsi="Arial"/>
                <w:sz w:val="18"/>
                <w:szCs w:val="18"/>
                <w:color w:val="auto"/>
              </w:rPr>
              <w:t>Other (2)</w:t>
            </w: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8"/>
        </w:trPr>
        <w:tc>
          <w:tcPr>
            <w:tcW w:w="37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change in deferred revenues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1280" w:type="dxa"/>
            <w:vAlign w:val="bottom"/>
          </w:tcPr>
          <w:p>
            <w:pPr>
              <w:spacing w:after="0"/>
              <w:rPr>
                <w:sz w:val="9"/>
                <w:szCs w:val="9"/>
                <w:color w:val="auto"/>
              </w:rPr>
            </w:pPr>
          </w:p>
        </w:tc>
        <w:tc>
          <w:tcPr>
            <w:tcW w:w="2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Segment net revenues:</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gridSpan w:val="2"/>
          </w:tcPr>
          <w:p>
            <w:pPr>
              <w:ind w:left="20"/>
              <w:spacing w:after="0"/>
              <w:rPr>
                <w:sz w:val="20"/>
                <w:szCs w:val="20"/>
                <w:color w:val="auto"/>
              </w:rPr>
            </w:pPr>
            <w:r>
              <w:rPr>
                <w:rFonts w:ascii="Arial" w:cs="Arial" w:eastAsia="Arial" w:hAnsi="Arial"/>
                <w:sz w:val="18"/>
                <w:szCs w:val="18"/>
                <w:color w:val="auto"/>
              </w:rPr>
              <w:t>Digital online channels (1)</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609</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922</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1,527</w:t>
            </w:r>
          </w:p>
        </w:tc>
        <w:tc>
          <w:tcPr>
            <w:tcW w:w="120" w:type="dxa"/>
            <w:vAlign w:val="bottom"/>
          </w:tcPr>
          <w:p>
            <w:pPr>
              <w:spacing w:after="0"/>
              <w:rPr>
                <w:sz w:val="19"/>
                <w:szCs w:val="19"/>
                <w:color w:val="auto"/>
              </w:rPr>
            </w:pPr>
          </w:p>
        </w:tc>
        <w:tc>
          <w:tcPr>
            <w:tcW w:w="14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ind w:left="1120"/>
              <w:spacing w:after="0"/>
              <w:rPr>
                <w:sz w:val="20"/>
                <w:szCs w:val="20"/>
                <w:color w:val="auto"/>
              </w:rPr>
            </w:pPr>
            <w:r>
              <w:rPr>
                <w:rFonts w:ascii="Arial" w:cs="Arial" w:eastAsia="Arial" w:hAnsi="Arial"/>
                <w:sz w:val="18"/>
                <w:szCs w:val="18"/>
                <w:color w:val="auto"/>
                <w:w w:val="99"/>
              </w:rPr>
              <w:t>(9)</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3,049</w:t>
            </w:r>
          </w:p>
        </w:tc>
        <w:tc>
          <w:tcPr>
            <w:tcW w:w="0" w:type="dxa"/>
            <w:vAlign w:val="bottom"/>
          </w:tcPr>
          <w:p>
            <w:pPr>
              <w:spacing w:after="0"/>
              <w:rPr>
                <w:sz w:val="1"/>
                <w:szCs w:val="1"/>
                <w:color w:val="auto"/>
              </w:rPr>
            </w:pPr>
          </w:p>
        </w:tc>
      </w:tr>
      <w:tr>
        <w:trPr>
          <w:trHeight w:val="229"/>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Retail channels</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29"/>
        </w:trPr>
        <w:tc>
          <w:tcPr>
            <w:tcW w:w="3700" w:type="dxa"/>
            <w:vAlign w:val="bottom"/>
            <w:gridSpan w:val="2"/>
          </w:tcPr>
          <w:p>
            <w:pPr>
              <w:ind w:left="20"/>
              <w:spacing w:after="0"/>
              <w:rPr>
                <w:sz w:val="20"/>
                <w:szCs w:val="20"/>
                <w:color w:val="auto"/>
              </w:rPr>
            </w:pPr>
            <w:r>
              <w:rPr>
                <w:rFonts w:ascii="Arial" w:cs="Arial" w:eastAsia="Arial" w:hAnsi="Arial"/>
                <w:sz w:val="18"/>
                <w:szCs w:val="18"/>
                <w:color w:val="auto"/>
              </w:rPr>
              <w:t>Other (2)</w:t>
            </w: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48"/>
        </w:trPr>
        <w:tc>
          <w:tcPr>
            <w:tcW w:w="37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segment net revenues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shd w:val="clear" w:color="auto" w:fill="CCEEFF"/>
          </w:tcPr>
          <w:p>
            <w:pPr>
              <w:ind w:left="1120"/>
              <w:spacing w:after="0"/>
              <w:rPr>
                <w:sz w:val="20"/>
                <w:szCs w:val="20"/>
                <w:color w:val="auto"/>
              </w:rPr>
            </w:pPr>
            <w:r>
              <w:rPr>
                <w:rFonts w:ascii="Arial" w:cs="Arial" w:eastAsia="Arial" w:hAnsi="Arial"/>
                <w:sz w:val="18"/>
                <w:szCs w:val="18"/>
                <w:color w:val="auto"/>
                <w:w w:val="99"/>
              </w:rPr>
              <w:t>(9)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3,679</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340" w:right="120" w:hanging="332"/>
        <w:spacing w:after="0" w:line="277" w:lineRule="auto"/>
        <w:tabs>
          <w:tab w:leader="none" w:pos="406" w:val="left"/>
        </w:tabs>
        <w:numPr>
          <w:ilvl w:val="0"/>
          <w:numId w:val="7"/>
        </w:numPr>
        <w:rPr>
          <w:rFonts w:ascii="Arial" w:cs="Arial" w:eastAsia="Arial" w:hAnsi="Arial"/>
          <w:sz w:val="18"/>
          <w:szCs w:val="18"/>
          <w:color w:val="auto"/>
        </w:rPr>
      </w:pPr>
      <w:r>
        <w:rPr>
          <w:rFonts w:ascii="Arial" w:cs="Arial" w:eastAsia="Arial" w:hAnsi="Arial"/>
          <w:sz w:val="18"/>
          <w:szCs w:val="18"/>
          <w:color w:val="auto"/>
        </w:rPr>
        <w:t>Net revenues from “Digital online channels” include revenues from digitally-distributed subscriptions, downloadable content, microtransactions, and products, as well as licensing royalties.</w:t>
      </w:r>
    </w:p>
    <w:p>
      <w:pPr>
        <w:spacing w:after="0" w:line="197" w:lineRule="exact"/>
        <w:rPr>
          <w:rFonts w:ascii="Arial" w:cs="Arial" w:eastAsia="Arial" w:hAnsi="Arial"/>
          <w:sz w:val="18"/>
          <w:szCs w:val="18"/>
          <w:color w:val="auto"/>
        </w:rPr>
      </w:pPr>
    </w:p>
    <w:p>
      <w:pPr>
        <w:ind w:left="400" w:hanging="392"/>
        <w:spacing w:after="0"/>
        <w:tabs>
          <w:tab w:leader="none" w:pos="4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Net revenues from “Other” include revenues from our Distribution business, the Overwatch League, and the Call of Duty League.</w:t>
      </w:r>
    </w:p>
    <w:p>
      <w:pPr>
        <w:spacing w:after="0" w:line="252" w:lineRule="exact"/>
        <w:rPr>
          <w:rFonts w:ascii="Arial" w:cs="Arial" w:eastAsia="Arial" w:hAnsi="Arial"/>
          <w:sz w:val="18"/>
          <w:szCs w:val="18"/>
          <w:color w:val="auto"/>
        </w:rPr>
      </w:pPr>
    </w:p>
    <w:p>
      <w:pPr>
        <w:ind w:left="400" w:hanging="392"/>
        <w:spacing w:after="0"/>
        <w:tabs>
          <w:tab w:leader="none" w:pos="4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Intersegment revenues reflect licensing and service fees charged between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380" w:firstLine="324"/>
        <w:spacing w:after="0" w:line="263" w:lineRule="auto"/>
        <w:rPr>
          <w:sz w:val="20"/>
          <w:szCs w:val="20"/>
          <w:color w:val="auto"/>
        </w:rPr>
      </w:pPr>
      <w:r>
        <w:rPr>
          <w:rFonts w:ascii="Arial" w:cs="Arial" w:eastAsia="Arial" w:hAnsi="Arial"/>
          <w:sz w:val="18"/>
          <w:szCs w:val="18"/>
          <w:color w:val="auto"/>
        </w:rPr>
        <w:t>Geographic information presented below is based on the location of the paying customer. Net revenues by geographic region, including a reconciliation to each of our reportable segment’s net revenues, for the three months ended September 30, 2020 and 2019, were as follows (amounts in millions):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120" w:type="dxa"/>
            <w:vAlign w:val="bottom"/>
            <w:tcBorders>
              <w:bottom w:val="single" w:sz="8" w:color="auto"/>
            </w:tcBorders>
            <w:gridSpan w:val="11"/>
          </w:tcPr>
          <w:p>
            <w:pPr>
              <w:jc w:val="center"/>
              <w:ind w:right="520"/>
              <w:spacing w:after="0"/>
              <w:rPr>
                <w:sz w:val="20"/>
                <w:szCs w:val="20"/>
                <w:color w:val="auto"/>
              </w:rPr>
            </w:pPr>
            <w:r>
              <w:rPr>
                <w:rFonts w:ascii="Arial" w:cs="Arial" w:eastAsia="Arial" w:hAnsi="Arial"/>
                <w:sz w:val="18"/>
                <w:szCs w:val="18"/>
                <w:b w:val="1"/>
                <w:bCs w:val="1"/>
                <w:color w:val="auto"/>
                <w:w w:val="91"/>
              </w:rPr>
              <w:t>Three Months Ended September 30, 2020</w:t>
            </w: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240"/>
              <w:spacing w:after="0" w:line="169" w:lineRule="exact"/>
              <w:rPr>
                <w:sz w:val="20"/>
                <w:szCs w:val="20"/>
                <w:color w:val="auto"/>
              </w:rPr>
            </w:pPr>
            <w:r>
              <w:rPr>
                <w:rFonts w:ascii="Arial" w:cs="Arial" w:eastAsia="Arial" w:hAnsi="Arial"/>
                <w:sz w:val="18"/>
                <w:szCs w:val="18"/>
                <w:b w:val="1"/>
                <w:bCs w:val="1"/>
                <w:color w:val="auto"/>
                <w:w w:val="92"/>
              </w:rPr>
              <w:t>Non-</w:t>
            </w:r>
          </w:p>
        </w:tc>
        <w:tc>
          <w:tcPr>
            <w:tcW w:w="160" w:type="dxa"/>
            <w:vAlign w:val="bottom"/>
          </w:tcPr>
          <w:p>
            <w:pPr>
              <w:spacing w:after="0"/>
              <w:rPr>
                <w:sz w:val="14"/>
                <w:szCs w:val="14"/>
                <w:color w:val="auto"/>
              </w:rPr>
            </w:pPr>
          </w:p>
        </w:tc>
        <w:tc>
          <w:tcPr>
            <w:tcW w:w="1440" w:type="dxa"/>
            <w:vAlign w:val="bottom"/>
            <w:gridSpan w:val="2"/>
          </w:tcPr>
          <w:p>
            <w:pPr>
              <w:jc w:val="center"/>
              <w:ind w:right="260"/>
              <w:spacing w:after="0" w:line="169" w:lineRule="exact"/>
              <w:rPr>
                <w:sz w:val="20"/>
                <w:szCs w:val="20"/>
                <w:color w:val="auto"/>
              </w:rPr>
            </w:pPr>
            <w:r>
              <w:rPr>
                <w:rFonts w:ascii="Arial" w:cs="Arial" w:eastAsia="Arial" w:hAnsi="Arial"/>
                <w:sz w:val="18"/>
                <w:szCs w:val="18"/>
                <w:b w:val="1"/>
                <w:bCs w:val="1"/>
                <w:color w:val="auto"/>
                <w:w w:val="92"/>
              </w:rPr>
              <w:t>Elimination of</w:t>
            </w: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Activision</w:t>
            </w:r>
          </w:p>
        </w:tc>
        <w:tc>
          <w:tcPr>
            <w:tcW w:w="200" w:type="dxa"/>
            <w:vAlign w:val="bottom"/>
          </w:tcPr>
          <w:p>
            <w:pPr>
              <w:spacing w:after="0"/>
              <w:rPr>
                <w:sz w:val="15"/>
                <w:szCs w:val="15"/>
                <w:color w:val="auto"/>
              </w:rPr>
            </w:pPr>
          </w:p>
        </w:tc>
        <w:tc>
          <w:tcPr>
            <w:tcW w:w="108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Blizzard</w:t>
            </w:r>
          </w:p>
        </w:tc>
        <w:tc>
          <w:tcPr>
            <w:tcW w:w="220" w:type="dxa"/>
            <w:vAlign w:val="bottom"/>
          </w:tcPr>
          <w:p>
            <w:pPr>
              <w:spacing w:after="0"/>
              <w:rPr>
                <w:sz w:val="15"/>
                <w:szCs w:val="15"/>
                <w:color w:val="auto"/>
              </w:rPr>
            </w:pPr>
          </w:p>
        </w:tc>
        <w:tc>
          <w:tcPr>
            <w:tcW w:w="92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King</w:t>
            </w:r>
          </w:p>
        </w:tc>
        <w:tc>
          <w:tcPr>
            <w:tcW w:w="160" w:type="dxa"/>
            <w:vAlign w:val="bottom"/>
          </w:tcPr>
          <w:p>
            <w:pPr>
              <w:spacing w:after="0"/>
              <w:rPr>
                <w:sz w:val="15"/>
                <w:szCs w:val="15"/>
                <w:color w:val="auto"/>
              </w:rPr>
            </w:pPr>
          </w:p>
        </w:tc>
        <w:tc>
          <w:tcPr>
            <w:tcW w:w="114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90"/>
              </w:rPr>
              <w:t>reportable</w:t>
            </w:r>
          </w:p>
        </w:tc>
        <w:tc>
          <w:tcPr>
            <w:tcW w:w="160" w:type="dxa"/>
            <w:vAlign w:val="bottom"/>
          </w:tcPr>
          <w:p>
            <w:pPr>
              <w:spacing w:after="0"/>
              <w:rPr>
                <w:sz w:val="15"/>
                <w:szCs w:val="15"/>
                <w:color w:val="auto"/>
              </w:rPr>
            </w:pPr>
          </w:p>
        </w:tc>
        <w:tc>
          <w:tcPr>
            <w:tcW w:w="1440" w:type="dxa"/>
            <w:vAlign w:val="bottom"/>
            <w:gridSpan w:val="2"/>
          </w:tcPr>
          <w:p>
            <w:pPr>
              <w:jc w:val="center"/>
              <w:ind w:right="240"/>
              <w:spacing w:after="0" w:line="176" w:lineRule="exact"/>
              <w:rPr>
                <w:sz w:val="20"/>
                <w:szCs w:val="20"/>
                <w:color w:val="auto"/>
              </w:rPr>
            </w:pPr>
            <w:r>
              <w:rPr>
                <w:rFonts w:ascii="Arial" w:cs="Arial" w:eastAsia="Arial" w:hAnsi="Arial"/>
                <w:sz w:val="18"/>
                <w:szCs w:val="18"/>
                <w:b w:val="1"/>
                <w:bCs w:val="1"/>
                <w:color w:val="auto"/>
                <w:w w:val="88"/>
              </w:rPr>
              <w:t>intersegment</w:t>
            </w:r>
          </w:p>
        </w:tc>
        <w:tc>
          <w:tcPr>
            <w:tcW w:w="200" w:type="dxa"/>
            <w:vAlign w:val="bottom"/>
          </w:tcPr>
          <w:p>
            <w:pPr>
              <w:spacing w:after="0"/>
              <w:rPr>
                <w:sz w:val="15"/>
                <w:szCs w:val="15"/>
                <w:color w:val="auto"/>
              </w:rPr>
            </w:pPr>
          </w:p>
        </w:tc>
        <w:tc>
          <w:tcPr>
            <w:tcW w:w="74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3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0"/>
              </w:rPr>
              <w:t>segments</w:t>
            </w:r>
          </w:p>
        </w:tc>
        <w:tc>
          <w:tcPr>
            <w:tcW w:w="160" w:type="dxa"/>
            <w:vAlign w:val="bottom"/>
          </w:tcPr>
          <w:p>
            <w:pPr>
              <w:spacing w:after="0"/>
              <w:rPr>
                <w:sz w:val="19"/>
                <w:szCs w:val="19"/>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revenues (2)</w:t>
            </w:r>
          </w:p>
        </w:tc>
        <w:tc>
          <w:tcPr>
            <w:tcW w:w="20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revenues by geographic region:</w:t>
            </w: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20" w:type="dxa"/>
            <w:vAlign w:val="bottom"/>
          </w:tcPr>
          <w:p>
            <w:pPr>
              <w:ind w:left="20"/>
              <w:spacing w:after="0"/>
              <w:rPr>
                <w:sz w:val="20"/>
                <w:szCs w:val="20"/>
                <w:color w:val="auto"/>
              </w:rPr>
            </w:pPr>
            <w:r>
              <w:rPr>
                <w:rFonts w:ascii="Arial" w:cs="Arial" w:eastAsia="Arial" w:hAnsi="Arial"/>
                <w:sz w:val="18"/>
                <w:szCs w:val="18"/>
                <w:color w:val="auto"/>
              </w:rPr>
              <w:t>Americas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595</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19"/>
                <w:szCs w:val="19"/>
                <w:color w:val="auto"/>
              </w:rPr>
            </w:pPr>
          </w:p>
        </w:tc>
        <w:tc>
          <w:tcPr>
            <w:tcW w:w="1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1,127</w:t>
            </w:r>
          </w:p>
        </w:tc>
        <w:tc>
          <w:tcPr>
            <w:tcW w:w="0" w:type="dxa"/>
            <w:vAlign w:val="bottom"/>
          </w:tcPr>
          <w:p>
            <w:pPr>
              <w:spacing w:after="0"/>
              <w:rPr>
                <w:sz w:val="1"/>
                <w:szCs w:val="1"/>
                <w:color w:val="auto"/>
              </w:rPr>
            </w:pPr>
          </w:p>
        </w:tc>
      </w:tr>
      <w:tr>
        <w:trPr>
          <w:trHeight w:val="229"/>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EMEA (1)</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30"/>
        </w:trPr>
        <w:tc>
          <w:tcPr>
            <w:tcW w:w="3720" w:type="dxa"/>
            <w:vAlign w:val="bottom"/>
          </w:tcPr>
          <w:p>
            <w:pPr>
              <w:ind w:left="20"/>
              <w:spacing w:after="0"/>
              <w:rPr>
                <w:sz w:val="20"/>
                <w:szCs w:val="20"/>
                <w:color w:val="auto"/>
              </w:rPr>
            </w:pPr>
            <w:r>
              <w:rPr>
                <w:rFonts w:ascii="Arial" w:cs="Arial" w:eastAsia="Arial" w:hAnsi="Arial"/>
                <w:sz w:val="18"/>
                <w:szCs w:val="18"/>
                <w:color w:val="auto"/>
              </w:rPr>
              <w:t>Asia Pacific</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48"/>
        </w:trPr>
        <w:tc>
          <w:tcPr>
            <w:tcW w:w="3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consolidated net revenues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1,954</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3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deferred revenues:</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20" w:type="dxa"/>
            <w:vAlign w:val="bottom"/>
          </w:tcPr>
          <w:p>
            <w:pPr>
              <w:ind w:left="20"/>
              <w:spacing w:after="0"/>
              <w:rPr>
                <w:sz w:val="20"/>
                <w:szCs w:val="20"/>
                <w:color w:val="auto"/>
              </w:rPr>
            </w:pPr>
            <w:r>
              <w:rPr>
                <w:rFonts w:ascii="Arial" w:cs="Arial" w:eastAsia="Arial" w:hAnsi="Arial"/>
                <w:sz w:val="18"/>
                <w:szCs w:val="18"/>
                <w:color w:val="auto"/>
              </w:rPr>
              <w:t>Americas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29"/>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EMEA (1)</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30"/>
        </w:trPr>
        <w:tc>
          <w:tcPr>
            <w:tcW w:w="3720" w:type="dxa"/>
            <w:vAlign w:val="bottom"/>
          </w:tcPr>
          <w:p>
            <w:pPr>
              <w:ind w:left="20"/>
              <w:spacing w:after="0"/>
              <w:rPr>
                <w:sz w:val="20"/>
                <w:szCs w:val="20"/>
                <w:color w:val="auto"/>
              </w:rPr>
            </w:pPr>
            <w:r>
              <w:rPr>
                <w:rFonts w:ascii="Arial" w:cs="Arial" w:eastAsia="Arial" w:hAnsi="Arial"/>
                <w:sz w:val="18"/>
                <w:szCs w:val="18"/>
                <w:color w:val="auto"/>
              </w:rPr>
              <w:t>Asia Pacific</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8"/>
        </w:trPr>
        <w:tc>
          <w:tcPr>
            <w:tcW w:w="3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change in deferred revenues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3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Segment net revenues:</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20" w:type="dxa"/>
            <w:vAlign w:val="bottom"/>
          </w:tcPr>
          <w:p>
            <w:pPr>
              <w:ind w:left="20"/>
              <w:spacing w:after="0"/>
              <w:rPr>
                <w:sz w:val="20"/>
                <w:szCs w:val="20"/>
                <w:color w:val="auto"/>
              </w:rPr>
            </w:pPr>
            <w:r>
              <w:rPr>
                <w:rFonts w:ascii="Arial" w:cs="Arial" w:eastAsia="Arial" w:hAnsi="Arial"/>
                <w:sz w:val="18"/>
                <w:szCs w:val="18"/>
                <w:color w:val="auto"/>
              </w:rPr>
              <w:t>Americas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518</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19"/>
                <w:szCs w:val="19"/>
                <w:color w:val="auto"/>
              </w:rPr>
            </w:pPr>
          </w:p>
        </w:tc>
        <w:tc>
          <w:tcPr>
            <w:tcW w:w="1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1,041</w:t>
            </w:r>
          </w:p>
        </w:tc>
        <w:tc>
          <w:tcPr>
            <w:tcW w:w="0" w:type="dxa"/>
            <w:vAlign w:val="bottom"/>
          </w:tcPr>
          <w:p>
            <w:pPr>
              <w:spacing w:after="0"/>
              <w:rPr>
                <w:sz w:val="1"/>
                <w:szCs w:val="1"/>
                <w:color w:val="auto"/>
              </w:rPr>
            </w:pPr>
          </w:p>
        </w:tc>
      </w:tr>
      <w:tr>
        <w:trPr>
          <w:trHeight w:val="229"/>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EMEA (1)</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29"/>
        </w:trPr>
        <w:tc>
          <w:tcPr>
            <w:tcW w:w="3720" w:type="dxa"/>
            <w:vAlign w:val="bottom"/>
          </w:tcPr>
          <w:p>
            <w:pPr>
              <w:ind w:left="20"/>
              <w:spacing w:after="0"/>
              <w:rPr>
                <w:sz w:val="20"/>
                <w:szCs w:val="20"/>
                <w:color w:val="auto"/>
              </w:rPr>
            </w:pPr>
            <w:r>
              <w:rPr>
                <w:rFonts w:ascii="Arial" w:cs="Arial" w:eastAsia="Arial" w:hAnsi="Arial"/>
                <w:sz w:val="18"/>
                <w:szCs w:val="18"/>
                <w:color w:val="auto"/>
              </w:rPr>
              <w:t>Asia Pacific</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48"/>
        </w:trPr>
        <w:tc>
          <w:tcPr>
            <w:tcW w:w="3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segment net revenues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1,767</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9"/>
        </w:trPr>
        <w:tc>
          <w:tcPr>
            <w:tcW w:w="37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120" w:type="dxa"/>
            <w:vAlign w:val="bottom"/>
            <w:tcBorders>
              <w:bottom w:val="single" w:sz="8" w:color="auto"/>
            </w:tcBorders>
            <w:gridSpan w:val="11"/>
          </w:tcPr>
          <w:p>
            <w:pPr>
              <w:jc w:val="center"/>
              <w:ind w:right="520"/>
              <w:spacing w:after="0"/>
              <w:rPr>
                <w:sz w:val="20"/>
                <w:szCs w:val="20"/>
                <w:color w:val="auto"/>
              </w:rPr>
            </w:pPr>
            <w:r>
              <w:rPr>
                <w:rFonts w:ascii="Arial" w:cs="Arial" w:eastAsia="Arial" w:hAnsi="Arial"/>
                <w:sz w:val="18"/>
                <w:szCs w:val="18"/>
                <w:b w:val="1"/>
                <w:bCs w:val="1"/>
                <w:color w:val="auto"/>
                <w:w w:val="91"/>
              </w:rPr>
              <w:t>Three Months Ended September 30, 2019</w:t>
            </w: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240"/>
              <w:spacing w:after="0" w:line="169" w:lineRule="exact"/>
              <w:rPr>
                <w:sz w:val="20"/>
                <w:szCs w:val="20"/>
                <w:color w:val="auto"/>
              </w:rPr>
            </w:pPr>
            <w:r>
              <w:rPr>
                <w:rFonts w:ascii="Arial" w:cs="Arial" w:eastAsia="Arial" w:hAnsi="Arial"/>
                <w:sz w:val="18"/>
                <w:szCs w:val="18"/>
                <w:b w:val="1"/>
                <w:bCs w:val="1"/>
                <w:color w:val="auto"/>
                <w:w w:val="92"/>
              </w:rPr>
              <w:t>Non-</w:t>
            </w:r>
          </w:p>
        </w:tc>
        <w:tc>
          <w:tcPr>
            <w:tcW w:w="160" w:type="dxa"/>
            <w:vAlign w:val="bottom"/>
          </w:tcPr>
          <w:p>
            <w:pPr>
              <w:spacing w:after="0"/>
              <w:rPr>
                <w:sz w:val="14"/>
                <w:szCs w:val="14"/>
                <w:color w:val="auto"/>
              </w:rPr>
            </w:pPr>
          </w:p>
        </w:tc>
        <w:tc>
          <w:tcPr>
            <w:tcW w:w="1440" w:type="dxa"/>
            <w:vAlign w:val="bottom"/>
            <w:gridSpan w:val="2"/>
          </w:tcPr>
          <w:p>
            <w:pPr>
              <w:jc w:val="center"/>
              <w:ind w:right="260"/>
              <w:spacing w:after="0" w:line="169" w:lineRule="exact"/>
              <w:rPr>
                <w:sz w:val="20"/>
                <w:szCs w:val="20"/>
                <w:color w:val="auto"/>
              </w:rPr>
            </w:pPr>
            <w:r>
              <w:rPr>
                <w:rFonts w:ascii="Arial" w:cs="Arial" w:eastAsia="Arial" w:hAnsi="Arial"/>
                <w:sz w:val="18"/>
                <w:szCs w:val="18"/>
                <w:b w:val="1"/>
                <w:bCs w:val="1"/>
                <w:color w:val="auto"/>
                <w:w w:val="92"/>
              </w:rPr>
              <w:t>Elimination of</w:t>
            </w: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Activision</w:t>
            </w:r>
          </w:p>
        </w:tc>
        <w:tc>
          <w:tcPr>
            <w:tcW w:w="200" w:type="dxa"/>
            <w:vAlign w:val="bottom"/>
          </w:tcPr>
          <w:p>
            <w:pPr>
              <w:spacing w:after="0"/>
              <w:rPr>
                <w:sz w:val="15"/>
                <w:szCs w:val="15"/>
                <w:color w:val="auto"/>
              </w:rPr>
            </w:pPr>
          </w:p>
        </w:tc>
        <w:tc>
          <w:tcPr>
            <w:tcW w:w="108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Blizzard</w:t>
            </w:r>
          </w:p>
        </w:tc>
        <w:tc>
          <w:tcPr>
            <w:tcW w:w="220" w:type="dxa"/>
            <w:vAlign w:val="bottom"/>
          </w:tcPr>
          <w:p>
            <w:pPr>
              <w:spacing w:after="0"/>
              <w:rPr>
                <w:sz w:val="15"/>
                <w:szCs w:val="15"/>
                <w:color w:val="auto"/>
              </w:rPr>
            </w:pPr>
          </w:p>
        </w:tc>
        <w:tc>
          <w:tcPr>
            <w:tcW w:w="92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King</w:t>
            </w:r>
          </w:p>
        </w:tc>
        <w:tc>
          <w:tcPr>
            <w:tcW w:w="160" w:type="dxa"/>
            <w:vAlign w:val="bottom"/>
          </w:tcPr>
          <w:p>
            <w:pPr>
              <w:spacing w:after="0"/>
              <w:rPr>
                <w:sz w:val="15"/>
                <w:szCs w:val="15"/>
                <w:color w:val="auto"/>
              </w:rPr>
            </w:pPr>
          </w:p>
        </w:tc>
        <w:tc>
          <w:tcPr>
            <w:tcW w:w="114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90"/>
              </w:rPr>
              <w:t>reportable</w:t>
            </w:r>
          </w:p>
        </w:tc>
        <w:tc>
          <w:tcPr>
            <w:tcW w:w="160" w:type="dxa"/>
            <w:vAlign w:val="bottom"/>
          </w:tcPr>
          <w:p>
            <w:pPr>
              <w:spacing w:after="0"/>
              <w:rPr>
                <w:sz w:val="15"/>
                <w:szCs w:val="15"/>
                <w:color w:val="auto"/>
              </w:rPr>
            </w:pPr>
          </w:p>
        </w:tc>
        <w:tc>
          <w:tcPr>
            <w:tcW w:w="1440" w:type="dxa"/>
            <w:vAlign w:val="bottom"/>
            <w:gridSpan w:val="2"/>
          </w:tcPr>
          <w:p>
            <w:pPr>
              <w:jc w:val="center"/>
              <w:ind w:right="240"/>
              <w:spacing w:after="0" w:line="176" w:lineRule="exact"/>
              <w:rPr>
                <w:sz w:val="20"/>
                <w:szCs w:val="20"/>
                <w:color w:val="auto"/>
              </w:rPr>
            </w:pPr>
            <w:r>
              <w:rPr>
                <w:rFonts w:ascii="Arial" w:cs="Arial" w:eastAsia="Arial" w:hAnsi="Arial"/>
                <w:sz w:val="18"/>
                <w:szCs w:val="18"/>
                <w:b w:val="1"/>
                <w:bCs w:val="1"/>
                <w:color w:val="auto"/>
                <w:w w:val="88"/>
              </w:rPr>
              <w:t>intersegment</w:t>
            </w:r>
          </w:p>
        </w:tc>
        <w:tc>
          <w:tcPr>
            <w:tcW w:w="200" w:type="dxa"/>
            <w:vAlign w:val="bottom"/>
          </w:tcPr>
          <w:p>
            <w:pPr>
              <w:spacing w:after="0"/>
              <w:rPr>
                <w:sz w:val="15"/>
                <w:szCs w:val="15"/>
                <w:color w:val="auto"/>
              </w:rPr>
            </w:pPr>
          </w:p>
        </w:tc>
        <w:tc>
          <w:tcPr>
            <w:tcW w:w="74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3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0"/>
              </w:rPr>
              <w:t>segments</w:t>
            </w:r>
          </w:p>
        </w:tc>
        <w:tc>
          <w:tcPr>
            <w:tcW w:w="160" w:type="dxa"/>
            <w:vAlign w:val="bottom"/>
          </w:tcPr>
          <w:p>
            <w:pPr>
              <w:spacing w:after="0"/>
              <w:rPr>
                <w:sz w:val="19"/>
                <w:szCs w:val="19"/>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revenues (2)</w:t>
            </w:r>
          </w:p>
        </w:tc>
        <w:tc>
          <w:tcPr>
            <w:tcW w:w="20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revenues by geographic region:</w:t>
            </w: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20" w:type="dxa"/>
            <w:vAlign w:val="bottom"/>
          </w:tcPr>
          <w:p>
            <w:pPr>
              <w:ind w:left="20"/>
              <w:spacing w:after="0"/>
              <w:rPr>
                <w:sz w:val="20"/>
                <w:szCs w:val="20"/>
                <w:color w:val="auto"/>
              </w:rPr>
            </w:pPr>
            <w:r>
              <w:rPr>
                <w:rFonts w:ascii="Arial" w:cs="Arial" w:eastAsia="Arial" w:hAnsi="Arial"/>
                <w:sz w:val="18"/>
                <w:szCs w:val="18"/>
                <w:color w:val="auto"/>
              </w:rPr>
              <w:t>Americas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19"/>
                <w:szCs w:val="19"/>
                <w:color w:val="auto"/>
              </w:rPr>
            </w:pPr>
          </w:p>
        </w:tc>
        <w:tc>
          <w:tcPr>
            <w:tcW w:w="1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EMEA (1)</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30"/>
        </w:trPr>
        <w:tc>
          <w:tcPr>
            <w:tcW w:w="3720" w:type="dxa"/>
            <w:vAlign w:val="bottom"/>
          </w:tcPr>
          <w:p>
            <w:pPr>
              <w:ind w:left="20"/>
              <w:spacing w:after="0"/>
              <w:rPr>
                <w:sz w:val="20"/>
                <w:szCs w:val="20"/>
                <w:color w:val="auto"/>
              </w:rPr>
            </w:pPr>
            <w:r>
              <w:rPr>
                <w:rFonts w:ascii="Arial" w:cs="Arial" w:eastAsia="Arial" w:hAnsi="Arial"/>
                <w:sz w:val="18"/>
                <w:szCs w:val="18"/>
                <w:color w:val="auto"/>
              </w:rPr>
              <w:t>Asia Pacific</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48"/>
        </w:trPr>
        <w:tc>
          <w:tcPr>
            <w:tcW w:w="3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consolidated net revenues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1,282</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3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deferred revenues:</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20" w:type="dxa"/>
            <w:vAlign w:val="bottom"/>
          </w:tcPr>
          <w:p>
            <w:pPr>
              <w:ind w:left="20"/>
              <w:spacing w:after="0"/>
              <w:rPr>
                <w:sz w:val="20"/>
                <w:szCs w:val="20"/>
                <w:color w:val="auto"/>
              </w:rPr>
            </w:pPr>
            <w:r>
              <w:rPr>
                <w:rFonts w:ascii="Arial" w:cs="Arial" w:eastAsia="Arial" w:hAnsi="Arial"/>
                <w:sz w:val="18"/>
                <w:szCs w:val="18"/>
                <w:color w:val="auto"/>
              </w:rPr>
              <w:t>Americas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EMEA (1)</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3720" w:type="dxa"/>
            <w:vAlign w:val="bottom"/>
          </w:tcPr>
          <w:p>
            <w:pPr>
              <w:ind w:left="20"/>
              <w:spacing w:after="0"/>
              <w:rPr>
                <w:sz w:val="20"/>
                <w:szCs w:val="20"/>
                <w:color w:val="auto"/>
              </w:rPr>
            </w:pPr>
            <w:r>
              <w:rPr>
                <w:rFonts w:ascii="Arial" w:cs="Arial" w:eastAsia="Arial" w:hAnsi="Arial"/>
                <w:sz w:val="18"/>
                <w:szCs w:val="18"/>
                <w:color w:val="auto"/>
              </w:rPr>
              <w:t>Asia Pacific</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8"/>
        </w:trPr>
        <w:tc>
          <w:tcPr>
            <w:tcW w:w="3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change in deferred revenues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3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Segment net revenues:</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20" w:type="dxa"/>
            <w:vAlign w:val="bottom"/>
          </w:tcPr>
          <w:p>
            <w:pPr>
              <w:ind w:left="20"/>
              <w:spacing w:after="0"/>
              <w:rPr>
                <w:sz w:val="20"/>
                <w:szCs w:val="20"/>
                <w:color w:val="auto"/>
              </w:rPr>
            </w:pPr>
            <w:r>
              <w:rPr>
                <w:rFonts w:ascii="Arial" w:cs="Arial" w:eastAsia="Arial" w:hAnsi="Arial"/>
                <w:sz w:val="18"/>
                <w:szCs w:val="18"/>
                <w:color w:val="auto"/>
              </w:rPr>
              <w:t>Americas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19"/>
                <w:szCs w:val="19"/>
                <w:color w:val="auto"/>
              </w:rPr>
            </w:pPr>
          </w:p>
        </w:tc>
        <w:tc>
          <w:tcPr>
            <w:tcW w:w="1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EMEA (1)</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29"/>
        </w:trPr>
        <w:tc>
          <w:tcPr>
            <w:tcW w:w="3720" w:type="dxa"/>
            <w:vAlign w:val="bottom"/>
          </w:tcPr>
          <w:p>
            <w:pPr>
              <w:ind w:left="20"/>
              <w:spacing w:after="0"/>
              <w:rPr>
                <w:sz w:val="20"/>
                <w:szCs w:val="20"/>
                <w:color w:val="auto"/>
              </w:rPr>
            </w:pPr>
            <w:r>
              <w:rPr>
                <w:rFonts w:ascii="Arial" w:cs="Arial" w:eastAsia="Arial" w:hAnsi="Arial"/>
                <w:sz w:val="18"/>
                <w:szCs w:val="18"/>
                <w:color w:val="auto"/>
              </w:rPr>
              <w:t>Asia Pacific</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48"/>
        </w:trPr>
        <w:tc>
          <w:tcPr>
            <w:tcW w:w="3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segment net revenues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1,214</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Net revenues by geographic region, including a reconciliation to each of our reportable segment’s net revenues, for the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2020 and 2019, were as follows (amounts in millions):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140" w:type="dxa"/>
            <w:vAlign w:val="bottom"/>
            <w:tcBorders>
              <w:bottom w:val="single" w:sz="8" w:color="auto"/>
            </w:tcBorders>
            <w:gridSpan w:val="17"/>
          </w:tcPr>
          <w:p>
            <w:pPr>
              <w:jc w:val="center"/>
              <w:ind w:right="520"/>
              <w:spacing w:after="0"/>
              <w:rPr>
                <w:sz w:val="20"/>
                <w:szCs w:val="20"/>
                <w:color w:val="auto"/>
              </w:rPr>
            </w:pPr>
            <w:r>
              <w:rPr>
                <w:rFonts w:ascii="Arial" w:cs="Arial" w:eastAsia="Arial" w:hAnsi="Arial"/>
                <w:sz w:val="18"/>
                <w:szCs w:val="18"/>
                <w:b w:val="1"/>
                <w:bCs w:val="1"/>
                <w:color w:val="auto"/>
                <w:w w:val="90"/>
              </w:rPr>
              <w:t>Nine Months Ended September 30, 2020</w:t>
            </w: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3"/>
          </w:tcPr>
          <w:p>
            <w:pPr>
              <w:jc w:val="center"/>
              <w:ind w:right="240"/>
              <w:spacing w:after="0" w:line="169" w:lineRule="exact"/>
              <w:rPr>
                <w:sz w:val="20"/>
                <w:szCs w:val="20"/>
                <w:color w:val="auto"/>
              </w:rPr>
            </w:pPr>
            <w:r>
              <w:rPr>
                <w:rFonts w:ascii="Arial" w:cs="Arial" w:eastAsia="Arial" w:hAnsi="Arial"/>
                <w:sz w:val="18"/>
                <w:szCs w:val="18"/>
                <w:b w:val="1"/>
                <w:bCs w:val="1"/>
                <w:color w:val="auto"/>
                <w:w w:val="92"/>
              </w:rPr>
              <w:t>Non-</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center"/>
              <w:ind w:right="260"/>
              <w:spacing w:after="0" w:line="169" w:lineRule="exact"/>
              <w:rPr>
                <w:sz w:val="20"/>
                <w:szCs w:val="20"/>
                <w:color w:val="auto"/>
              </w:rPr>
            </w:pPr>
            <w:r>
              <w:rPr>
                <w:rFonts w:ascii="Arial" w:cs="Arial" w:eastAsia="Arial" w:hAnsi="Arial"/>
                <w:sz w:val="18"/>
                <w:szCs w:val="18"/>
                <w:b w:val="1"/>
                <w:bCs w:val="1"/>
                <w:color w:val="auto"/>
                <w:w w:val="92"/>
              </w:rPr>
              <w:t>Elimination of</w:t>
            </w: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Activision</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3"/>
            <w:vMerge w:val="restart"/>
          </w:tcPr>
          <w:p>
            <w:pPr>
              <w:ind w:left="80"/>
              <w:spacing w:after="0"/>
              <w:rPr>
                <w:sz w:val="20"/>
                <w:szCs w:val="20"/>
                <w:color w:val="auto"/>
              </w:rPr>
            </w:pPr>
            <w:r>
              <w:rPr>
                <w:rFonts w:ascii="Arial" w:cs="Arial" w:eastAsia="Arial" w:hAnsi="Arial"/>
                <w:sz w:val="18"/>
                <w:szCs w:val="18"/>
                <w:b w:val="1"/>
                <w:bCs w:val="1"/>
                <w:color w:val="auto"/>
              </w:rPr>
              <w:t>Blizzard</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gridSpan w:val="3"/>
            <w:vMerge w:val="restart"/>
          </w:tcPr>
          <w:p>
            <w:pPr>
              <w:ind w:left="100"/>
              <w:spacing w:after="0"/>
              <w:rPr>
                <w:sz w:val="20"/>
                <w:szCs w:val="20"/>
                <w:color w:val="auto"/>
              </w:rPr>
            </w:pPr>
            <w:r>
              <w:rPr>
                <w:rFonts w:ascii="Arial" w:cs="Arial" w:eastAsia="Arial" w:hAnsi="Arial"/>
                <w:sz w:val="18"/>
                <w:szCs w:val="18"/>
                <w:b w:val="1"/>
                <w:bCs w:val="1"/>
                <w:color w:val="auto"/>
              </w:rPr>
              <w:t>King</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3"/>
          </w:tcPr>
          <w:p>
            <w:pPr>
              <w:jc w:val="center"/>
              <w:ind w:right="260"/>
              <w:spacing w:after="0" w:line="176" w:lineRule="exact"/>
              <w:rPr>
                <w:sz w:val="20"/>
                <w:szCs w:val="20"/>
                <w:color w:val="auto"/>
              </w:rPr>
            </w:pPr>
            <w:r>
              <w:rPr>
                <w:rFonts w:ascii="Arial" w:cs="Arial" w:eastAsia="Arial" w:hAnsi="Arial"/>
                <w:sz w:val="18"/>
                <w:szCs w:val="18"/>
                <w:b w:val="1"/>
                <w:bCs w:val="1"/>
                <w:color w:val="auto"/>
                <w:w w:val="90"/>
              </w:rPr>
              <w:t>reportable</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gridSpan w:val="2"/>
          </w:tcPr>
          <w:p>
            <w:pPr>
              <w:jc w:val="center"/>
              <w:ind w:right="280"/>
              <w:spacing w:after="0" w:line="176" w:lineRule="exact"/>
              <w:rPr>
                <w:sz w:val="20"/>
                <w:szCs w:val="20"/>
                <w:color w:val="auto"/>
              </w:rPr>
            </w:pPr>
            <w:r>
              <w:rPr>
                <w:rFonts w:ascii="Arial" w:cs="Arial" w:eastAsia="Arial" w:hAnsi="Arial"/>
                <w:sz w:val="18"/>
                <w:szCs w:val="18"/>
                <w:b w:val="1"/>
                <w:bCs w:val="1"/>
                <w:color w:val="auto"/>
                <w:w w:val="88"/>
              </w:rPr>
              <w:t>intersegment</w:t>
            </w:r>
          </w:p>
        </w:tc>
        <w:tc>
          <w:tcPr>
            <w:tcW w:w="200" w:type="dxa"/>
            <w:vAlign w:val="bottom"/>
          </w:tcPr>
          <w:p>
            <w:pPr>
              <w:spacing w:after="0"/>
              <w:rPr>
                <w:sz w:val="15"/>
                <w:szCs w:val="15"/>
                <w:color w:val="auto"/>
              </w:rPr>
            </w:pPr>
          </w:p>
        </w:tc>
        <w:tc>
          <w:tcPr>
            <w:tcW w:w="74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3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3"/>
              </w:rPr>
              <w:t>segments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revenues (2)</w:t>
            </w:r>
          </w:p>
        </w:tc>
        <w:tc>
          <w:tcPr>
            <w:tcW w:w="20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revenues by geographic region:</w:t>
            </w: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Arial" w:cs="Arial" w:eastAsia="Arial" w:hAnsi="Arial"/>
                <w:sz w:val="18"/>
                <w:szCs w:val="18"/>
                <w:color w:val="auto"/>
              </w:rPr>
              <w:t>Americas</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1,615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580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1,024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11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3,188</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EMEA (1)</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1,770</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Arial" w:cs="Arial" w:eastAsia="Arial" w:hAnsi="Arial"/>
                <w:sz w:val="18"/>
                <w:szCs w:val="18"/>
                <w:color w:val="auto"/>
              </w:rPr>
              <w:t>Asia Pacific</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48"/>
        </w:trPr>
        <w:tc>
          <w:tcPr>
            <w:tcW w:w="3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consolidated net revenues</w:t>
            </w: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2,594</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1,313</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1,588</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5,674</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3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deferred revenues:</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Arial" w:cs="Arial" w:eastAsia="Arial" w:hAnsi="Arial"/>
                <w:sz w:val="18"/>
                <w:szCs w:val="18"/>
                <w:color w:val="auto"/>
              </w:rPr>
              <w:t>Americas</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11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EMEA (1)</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Arial" w:cs="Arial" w:eastAsia="Arial" w:hAnsi="Arial"/>
                <w:sz w:val="18"/>
                <w:szCs w:val="18"/>
                <w:color w:val="auto"/>
              </w:rPr>
              <w:t>Asia Pacific</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48"/>
        </w:trPr>
        <w:tc>
          <w:tcPr>
            <w:tcW w:w="3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change in deferred revenues</w:t>
            </w: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3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Segment net revenues:</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Arial" w:cs="Arial" w:eastAsia="Arial" w:hAnsi="Arial"/>
                <w:sz w:val="18"/>
                <w:szCs w:val="18"/>
                <w:color w:val="auto"/>
              </w:rPr>
              <w:t>Americas</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1,491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598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1,024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11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3,082</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EMEA (1)</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1,611</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Arial" w:cs="Arial" w:eastAsia="Arial" w:hAnsi="Arial"/>
                <w:sz w:val="18"/>
                <w:szCs w:val="18"/>
                <w:color w:val="auto"/>
              </w:rPr>
              <w:t>Asia Pacific</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48"/>
        </w:trPr>
        <w:tc>
          <w:tcPr>
            <w:tcW w:w="3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segment net revenues</w:t>
            </w: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2,285</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1,326</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1,587</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5,368</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9"/>
        </w:trPr>
        <w:tc>
          <w:tcPr>
            <w:tcW w:w="3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gridSpan w:val="17"/>
          </w:tcPr>
          <w:p>
            <w:pPr>
              <w:jc w:val="center"/>
              <w:ind w:right="500"/>
              <w:spacing w:after="0"/>
              <w:rPr>
                <w:sz w:val="20"/>
                <w:szCs w:val="20"/>
                <w:color w:val="auto"/>
              </w:rPr>
            </w:pPr>
            <w:r>
              <w:rPr>
                <w:rFonts w:ascii="Arial" w:cs="Arial" w:eastAsia="Arial" w:hAnsi="Arial"/>
                <w:sz w:val="18"/>
                <w:szCs w:val="18"/>
                <w:b w:val="1"/>
                <w:bCs w:val="1"/>
                <w:color w:val="auto"/>
                <w:w w:val="90"/>
              </w:rPr>
              <w:t>Nine Months Ended September 30, 2019</w:t>
            </w: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3"/>
          </w:tcPr>
          <w:p>
            <w:pPr>
              <w:jc w:val="center"/>
              <w:ind w:right="200"/>
              <w:spacing w:after="0" w:line="169" w:lineRule="exact"/>
              <w:rPr>
                <w:sz w:val="20"/>
                <w:szCs w:val="20"/>
                <w:color w:val="auto"/>
              </w:rPr>
            </w:pPr>
            <w:r>
              <w:rPr>
                <w:rFonts w:ascii="Arial" w:cs="Arial" w:eastAsia="Arial" w:hAnsi="Arial"/>
                <w:sz w:val="18"/>
                <w:szCs w:val="18"/>
                <w:b w:val="1"/>
                <w:bCs w:val="1"/>
                <w:color w:val="auto"/>
                <w:w w:val="92"/>
              </w:rPr>
              <w:t>Non-</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center"/>
              <w:ind w:right="260"/>
              <w:spacing w:after="0" w:line="169" w:lineRule="exact"/>
              <w:rPr>
                <w:sz w:val="20"/>
                <w:szCs w:val="20"/>
                <w:color w:val="auto"/>
              </w:rPr>
            </w:pPr>
            <w:r>
              <w:rPr>
                <w:rFonts w:ascii="Arial" w:cs="Arial" w:eastAsia="Arial" w:hAnsi="Arial"/>
                <w:sz w:val="18"/>
                <w:szCs w:val="18"/>
                <w:b w:val="1"/>
                <w:bCs w:val="1"/>
                <w:color w:val="auto"/>
                <w:w w:val="92"/>
              </w:rPr>
              <w:t>Elimination of</w:t>
            </w: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3"/>
            <w:vMerge w:val="restart"/>
          </w:tcPr>
          <w:p>
            <w:pPr>
              <w:ind w:left="60"/>
              <w:spacing w:after="0"/>
              <w:rPr>
                <w:sz w:val="20"/>
                <w:szCs w:val="20"/>
                <w:color w:val="auto"/>
              </w:rPr>
            </w:pPr>
            <w:r>
              <w:rPr>
                <w:rFonts w:ascii="Arial" w:cs="Arial" w:eastAsia="Arial" w:hAnsi="Arial"/>
                <w:sz w:val="18"/>
                <w:szCs w:val="18"/>
                <w:b w:val="1"/>
                <w:bCs w:val="1"/>
                <w:color w:val="auto"/>
              </w:rPr>
              <w:t>Activision</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3"/>
            <w:vMerge w:val="restart"/>
          </w:tcPr>
          <w:p>
            <w:pPr>
              <w:ind w:left="80"/>
              <w:spacing w:after="0"/>
              <w:rPr>
                <w:sz w:val="20"/>
                <w:szCs w:val="20"/>
                <w:color w:val="auto"/>
              </w:rPr>
            </w:pPr>
            <w:r>
              <w:rPr>
                <w:rFonts w:ascii="Arial" w:cs="Arial" w:eastAsia="Arial" w:hAnsi="Arial"/>
                <w:sz w:val="18"/>
                <w:szCs w:val="18"/>
                <w:b w:val="1"/>
                <w:bCs w:val="1"/>
                <w:color w:val="auto"/>
              </w:rPr>
              <w:t>Blizzard</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gridSpan w:val="3"/>
            <w:vMerge w:val="restart"/>
          </w:tcPr>
          <w:p>
            <w:pPr>
              <w:ind w:left="100"/>
              <w:spacing w:after="0"/>
              <w:rPr>
                <w:sz w:val="20"/>
                <w:szCs w:val="20"/>
                <w:color w:val="auto"/>
              </w:rPr>
            </w:pPr>
            <w:r>
              <w:rPr>
                <w:rFonts w:ascii="Arial" w:cs="Arial" w:eastAsia="Arial" w:hAnsi="Arial"/>
                <w:sz w:val="18"/>
                <w:szCs w:val="18"/>
                <w:b w:val="1"/>
                <w:bCs w:val="1"/>
                <w:color w:val="auto"/>
              </w:rPr>
              <w:t>King</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3"/>
          </w:tcPr>
          <w:p>
            <w:pPr>
              <w:jc w:val="center"/>
              <w:ind w:right="220"/>
              <w:spacing w:after="0" w:line="176" w:lineRule="exact"/>
              <w:rPr>
                <w:sz w:val="20"/>
                <w:szCs w:val="20"/>
                <w:color w:val="auto"/>
              </w:rPr>
            </w:pPr>
            <w:r>
              <w:rPr>
                <w:rFonts w:ascii="Arial" w:cs="Arial" w:eastAsia="Arial" w:hAnsi="Arial"/>
                <w:sz w:val="18"/>
                <w:szCs w:val="18"/>
                <w:b w:val="1"/>
                <w:bCs w:val="1"/>
                <w:color w:val="auto"/>
                <w:w w:val="90"/>
              </w:rPr>
              <w:t>reportable</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gridSpan w:val="2"/>
          </w:tcPr>
          <w:p>
            <w:pPr>
              <w:jc w:val="center"/>
              <w:ind w:right="240"/>
              <w:spacing w:after="0" w:line="176" w:lineRule="exact"/>
              <w:rPr>
                <w:sz w:val="20"/>
                <w:szCs w:val="20"/>
                <w:color w:val="auto"/>
              </w:rPr>
            </w:pPr>
            <w:r>
              <w:rPr>
                <w:rFonts w:ascii="Arial" w:cs="Arial" w:eastAsia="Arial" w:hAnsi="Arial"/>
                <w:sz w:val="18"/>
                <w:szCs w:val="18"/>
                <w:b w:val="1"/>
                <w:bCs w:val="1"/>
                <w:color w:val="auto"/>
                <w:w w:val="88"/>
              </w:rPr>
              <w:t>intersegment</w:t>
            </w:r>
          </w:p>
        </w:tc>
        <w:tc>
          <w:tcPr>
            <w:tcW w:w="200" w:type="dxa"/>
            <w:vAlign w:val="bottom"/>
          </w:tcPr>
          <w:p>
            <w:pPr>
              <w:spacing w:after="0"/>
              <w:rPr>
                <w:sz w:val="15"/>
                <w:szCs w:val="15"/>
                <w:color w:val="auto"/>
              </w:rPr>
            </w:pPr>
          </w:p>
        </w:tc>
        <w:tc>
          <w:tcPr>
            <w:tcW w:w="74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3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0"/>
              </w:rPr>
              <w:t>segments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revenues (2)</w:t>
            </w:r>
          </w:p>
        </w:tc>
        <w:tc>
          <w:tcPr>
            <w:tcW w:w="20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revenues by geographic region:</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Arial" w:cs="Arial" w:eastAsia="Arial" w:hAnsi="Arial"/>
                <w:sz w:val="18"/>
                <w:szCs w:val="18"/>
                <w:color w:val="auto"/>
              </w:rPr>
              <w:t>Americas</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852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613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946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2,406</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EMEA (1)</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Arial" w:cs="Arial" w:eastAsia="Arial" w:hAnsi="Arial"/>
                <w:sz w:val="18"/>
                <w:szCs w:val="18"/>
                <w:color w:val="auto"/>
              </w:rPr>
              <w:t>Asia Pacific</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48"/>
        </w:trPr>
        <w:tc>
          <w:tcPr>
            <w:tcW w:w="3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consolidated net revenues</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1,442</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1,289</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1,527</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4,503</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3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deferred revenues:</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Arial" w:cs="Arial" w:eastAsia="Arial" w:hAnsi="Arial"/>
                <w:sz w:val="18"/>
                <w:szCs w:val="18"/>
                <w:color w:val="auto"/>
              </w:rPr>
              <w:t>Americas</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(390)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EMEA (1)</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Arial" w:cs="Arial" w:eastAsia="Arial" w:hAnsi="Arial"/>
                <w:sz w:val="18"/>
                <w:szCs w:val="18"/>
                <w:color w:val="auto"/>
              </w:rPr>
              <w:t>Asia Pacific</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48"/>
        </w:trPr>
        <w:tc>
          <w:tcPr>
            <w:tcW w:w="3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change in deferred revenues</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3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Segment net revenues:</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Arial" w:cs="Arial" w:eastAsia="Arial" w:hAnsi="Arial"/>
                <w:sz w:val="18"/>
                <w:szCs w:val="18"/>
                <w:color w:val="auto"/>
              </w:rPr>
              <w:t>Americas</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462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533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947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1,937</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EMEA (1)</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Arial" w:cs="Arial" w:eastAsia="Arial" w:hAnsi="Arial"/>
                <w:sz w:val="18"/>
                <w:szCs w:val="18"/>
                <w:color w:val="auto"/>
              </w:rPr>
              <w:t>Asia Pacific</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48"/>
        </w:trPr>
        <w:tc>
          <w:tcPr>
            <w:tcW w:w="3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segment net revenues</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1,122</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1,527</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3,679</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400" w:hanging="392"/>
        <w:spacing w:after="0"/>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“EMEA” consists of the Europe, Middle East, and Africa geographic regions.</w:t>
      </w:r>
    </w:p>
    <w:p>
      <w:pPr>
        <w:spacing w:after="0" w:line="252" w:lineRule="exact"/>
        <w:rPr>
          <w:rFonts w:ascii="Arial" w:cs="Arial" w:eastAsia="Arial" w:hAnsi="Arial"/>
          <w:sz w:val="18"/>
          <w:szCs w:val="18"/>
          <w:color w:val="auto"/>
        </w:rPr>
      </w:pPr>
    </w:p>
    <w:p>
      <w:pPr>
        <w:ind w:left="400" w:hanging="392"/>
        <w:spacing w:after="0"/>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Intersegment revenues reflect licensing and service fees charged between segments.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The Company’s net revenues in the U.S. were 50% and 46% of consolidated net revenues for the three months ended September 30, 2020 and 2019, respectively. The Company’s net revenues in the United Kingdom (the “U.K.”) were 9% and 13% of consolidated net revenues for the three months ended September 30, 2020 and 2019, respectively. No other country’s net revenues exceeded 10% of consolidated net revenues for either the three months ended September 30, 2020 or 2019.</w:t>
      </w:r>
    </w:p>
    <w:p>
      <w:pPr>
        <w:spacing w:after="0" w:line="214" w:lineRule="exact"/>
        <w:rPr>
          <w:sz w:val="20"/>
          <w:szCs w:val="20"/>
          <w:color w:val="auto"/>
        </w:rPr>
      </w:pPr>
    </w:p>
    <w:p>
      <w:pPr>
        <w:ind w:right="280" w:firstLine="324"/>
        <w:spacing w:after="0" w:line="311" w:lineRule="auto"/>
        <w:rPr>
          <w:sz w:val="20"/>
          <w:szCs w:val="20"/>
          <w:color w:val="auto"/>
        </w:rPr>
      </w:pPr>
      <w:r>
        <w:rPr>
          <w:rFonts w:ascii="Arial" w:cs="Arial" w:eastAsia="Arial" w:hAnsi="Arial"/>
          <w:sz w:val="16"/>
          <w:szCs w:val="16"/>
          <w:color w:val="auto"/>
        </w:rPr>
        <w:t>The Company’s net revenues in the U.S. were 50% and 48% of consolidated net revenues for the nine months ended September 30, 2020 and 2019, respectively. The Company’s net revenues in the U.K. were 10% of consolidated net revenues for both the nine months ended September 30, 2020 and 2019. No other country’s net revenues exceeded 10% of consolidated net revenues for either the nine months ended September 30, 2020 or 2019.</w:t>
      </w:r>
    </w:p>
    <w:p>
      <w:pPr>
        <w:spacing w:after="0" w:line="176"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Net revenues by platform, including a reconciliation to each of our reportable segment’s net revenues, for the three months ended September 30, 2020 and 2019, were as follows (amounts in millions):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120" w:type="dxa"/>
            <w:vAlign w:val="bottom"/>
            <w:tcBorders>
              <w:bottom w:val="single" w:sz="8" w:color="auto"/>
            </w:tcBorders>
            <w:gridSpan w:val="11"/>
          </w:tcPr>
          <w:p>
            <w:pPr>
              <w:jc w:val="center"/>
              <w:ind w:right="520"/>
              <w:spacing w:after="0"/>
              <w:rPr>
                <w:sz w:val="20"/>
                <w:szCs w:val="20"/>
                <w:color w:val="auto"/>
              </w:rPr>
            </w:pPr>
            <w:r>
              <w:rPr>
                <w:rFonts w:ascii="Arial" w:cs="Arial" w:eastAsia="Arial" w:hAnsi="Arial"/>
                <w:sz w:val="18"/>
                <w:szCs w:val="18"/>
                <w:b w:val="1"/>
                <w:bCs w:val="1"/>
                <w:color w:val="auto"/>
                <w:w w:val="91"/>
              </w:rPr>
              <w:t>Three Months Ended September 30, 2020</w:t>
            </w: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240"/>
              <w:spacing w:after="0" w:line="169" w:lineRule="exact"/>
              <w:rPr>
                <w:sz w:val="20"/>
                <w:szCs w:val="20"/>
                <w:color w:val="auto"/>
              </w:rPr>
            </w:pPr>
            <w:r>
              <w:rPr>
                <w:rFonts w:ascii="Arial" w:cs="Arial" w:eastAsia="Arial" w:hAnsi="Arial"/>
                <w:sz w:val="18"/>
                <w:szCs w:val="18"/>
                <w:b w:val="1"/>
                <w:bCs w:val="1"/>
                <w:color w:val="auto"/>
                <w:w w:val="92"/>
              </w:rPr>
              <w:t>Non-</w:t>
            </w:r>
          </w:p>
        </w:tc>
        <w:tc>
          <w:tcPr>
            <w:tcW w:w="160" w:type="dxa"/>
            <w:vAlign w:val="bottom"/>
          </w:tcPr>
          <w:p>
            <w:pPr>
              <w:spacing w:after="0"/>
              <w:rPr>
                <w:sz w:val="14"/>
                <w:szCs w:val="14"/>
                <w:color w:val="auto"/>
              </w:rPr>
            </w:pPr>
          </w:p>
        </w:tc>
        <w:tc>
          <w:tcPr>
            <w:tcW w:w="1440" w:type="dxa"/>
            <w:vAlign w:val="bottom"/>
            <w:gridSpan w:val="2"/>
          </w:tcPr>
          <w:p>
            <w:pPr>
              <w:jc w:val="center"/>
              <w:ind w:right="260"/>
              <w:spacing w:after="0" w:line="169" w:lineRule="exact"/>
              <w:rPr>
                <w:sz w:val="20"/>
                <w:szCs w:val="20"/>
                <w:color w:val="auto"/>
              </w:rPr>
            </w:pPr>
            <w:r>
              <w:rPr>
                <w:rFonts w:ascii="Arial" w:cs="Arial" w:eastAsia="Arial" w:hAnsi="Arial"/>
                <w:sz w:val="18"/>
                <w:szCs w:val="18"/>
                <w:b w:val="1"/>
                <w:bCs w:val="1"/>
                <w:color w:val="auto"/>
                <w:w w:val="92"/>
              </w:rPr>
              <w:t>Elimination of</w:t>
            </w: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Activision</w:t>
            </w:r>
          </w:p>
        </w:tc>
        <w:tc>
          <w:tcPr>
            <w:tcW w:w="200" w:type="dxa"/>
            <w:vAlign w:val="bottom"/>
          </w:tcPr>
          <w:p>
            <w:pPr>
              <w:spacing w:after="0"/>
              <w:rPr>
                <w:sz w:val="15"/>
                <w:szCs w:val="15"/>
                <w:color w:val="auto"/>
              </w:rPr>
            </w:pPr>
          </w:p>
        </w:tc>
        <w:tc>
          <w:tcPr>
            <w:tcW w:w="108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Blizzard</w:t>
            </w:r>
          </w:p>
        </w:tc>
        <w:tc>
          <w:tcPr>
            <w:tcW w:w="220" w:type="dxa"/>
            <w:vAlign w:val="bottom"/>
          </w:tcPr>
          <w:p>
            <w:pPr>
              <w:spacing w:after="0"/>
              <w:rPr>
                <w:sz w:val="15"/>
                <w:szCs w:val="15"/>
                <w:color w:val="auto"/>
              </w:rPr>
            </w:pPr>
          </w:p>
        </w:tc>
        <w:tc>
          <w:tcPr>
            <w:tcW w:w="92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King</w:t>
            </w:r>
          </w:p>
        </w:tc>
        <w:tc>
          <w:tcPr>
            <w:tcW w:w="160" w:type="dxa"/>
            <w:vAlign w:val="bottom"/>
          </w:tcPr>
          <w:p>
            <w:pPr>
              <w:spacing w:after="0"/>
              <w:rPr>
                <w:sz w:val="15"/>
                <w:szCs w:val="15"/>
                <w:color w:val="auto"/>
              </w:rPr>
            </w:pPr>
          </w:p>
        </w:tc>
        <w:tc>
          <w:tcPr>
            <w:tcW w:w="114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90"/>
              </w:rPr>
              <w:t>reportable</w:t>
            </w:r>
          </w:p>
        </w:tc>
        <w:tc>
          <w:tcPr>
            <w:tcW w:w="160" w:type="dxa"/>
            <w:vAlign w:val="bottom"/>
          </w:tcPr>
          <w:p>
            <w:pPr>
              <w:spacing w:after="0"/>
              <w:rPr>
                <w:sz w:val="15"/>
                <w:szCs w:val="15"/>
                <w:color w:val="auto"/>
              </w:rPr>
            </w:pPr>
          </w:p>
        </w:tc>
        <w:tc>
          <w:tcPr>
            <w:tcW w:w="1440" w:type="dxa"/>
            <w:vAlign w:val="bottom"/>
            <w:gridSpan w:val="2"/>
          </w:tcPr>
          <w:p>
            <w:pPr>
              <w:jc w:val="center"/>
              <w:ind w:right="240"/>
              <w:spacing w:after="0" w:line="176" w:lineRule="exact"/>
              <w:rPr>
                <w:sz w:val="20"/>
                <w:szCs w:val="20"/>
                <w:color w:val="auto"/>
              </w:rPr>
            </w:pPr>
            <w:r>
              <w:rPr>
                <w:rFonts w:ascii="Arial" w:cs="Arial" w:eastAsia="Arial" w:hAnsi="Arial"/>
                <w:sz w:val="18"/>
                <w:szCs w:val="18"/>
                <w:b w:val="1"/>
                <w:bCs w:val="1"/>
                <w:color w:val="auto"/>
                <w:w w:val="88"/>
              </w:rPr>
              <w:t>intersegment</w:t>
            </w:r>
          </w:p>
        </w:tc>
        <w:tc>
          <w:tcPr>
            <w:tcW w:w="200" w:type="dxa"/>
            <w:vAlign w:val="bottom"/>
          </w:tcPr>
          <w:p>
            <w:pPr>
              <w:spacing w:after="0"/>
              <w:rPr>
                <w:sz w:val="15"/>
                <w:szCs w:val="15"/>
                <w:color w:val="auto"/>
              </w:rPr>
            </w:pPr>
          </w:p>
        </w:tc>
        <w:tc>
          <w:tcPr>
            <w:tcW w:w="74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3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0"/>
              </w:rPr>
              <w:t>segments</w:t>
            </w:r>
          </w:p>
        </w:tc>
        <w:tc>
          <w:tcPr>
            <w:tcW w:w="160" w:type="dxa"/>
            <w:vAlign w:val="bottom"/>
          </w:tcPr>
          <w:p>
            <w:pPr>
              <w:spacing w:after="0"/>
              <w:rPr>
                <w:sz w:val="19"/>
                <w:szCs w:val="19"/>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revenues (3)</w:t>
            </w:r>
          </w:p>
        </w:tc>
        <w:tc>
          <w:tcPr>
            <w:tcW w:w="20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revenues by platform:</w:t>
            </w: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20" w:type="dxa"/>
            <w:vAlign w:val="bottom"/>
          </w:tcPr>
          <w:p>
            <w:pPr>
              <w:ind w:left="20"/>
              <w:spacing w:after="0"/>
              <w:rPr>
                <w:sz w:val="20"/>
                <w:szCs w:val="20"/>
                <w:color w:val="auto"/>
              </w:rPr>
            </w:pPr>
            <w:r>
              <w:rPr>
                <w:rFonts w:ascii="Arial" w:cs="Arial" w:eastAsia="Arial" w:hAnsi="Arial"/>
                <w:sz w:val="18"/>
                <w:szCs w:val="18"/>
                <w:color w:val="auto"/>
              </w:rPr>
              <w:t>Console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664</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center"/>
              <w:ind w:left="810"/>
              <w:spacing w:after="0"/>
              <w:rPr>
                <w:sz w:val="20"/>
                <w:szCs w:val="20"/>
                <w:color w:val="auto"/>
              </w:rPr>
            </w:pPr>
            <w:r>
              <w:rPr>
                <w:rFonts w:ascii="Arial" w:cs="Arial" w:eastAsia="Arial" w:hAnsi="Arial"/>
                <w:sz w:val="18"/>
                <w:szCs w:val="18"/>
                <w:color w:val="auto"/>
                <w:w w:val="99"/>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PC</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center"/>
              <w:ind w:left="910"/>
              <w:spacing w:after="0"/>
              <w:rPr>
                <w:sz w:val="20"/>
                <w:szCs w:val="20"/>
                <w:color w:val="auto"/>
              </w:rPr>
            </w:pPr>
            <w:r>
              <w:rPr>
                <w:rFonts w:ascii="Arial" w:cs="Arial" w:eastAsia="Arial" w:hAnsi="Arial"/>
                <w:sz w:val="18"/>
                <w:szCs w:val="18"/>
                <w:color w:val="auto"/>
                <w:w w:val="93"/>
              </w:rPr>
              <w:t>(18)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29"/>
        </w:trPr>
        <w:tc>
          <w:tcPr>
            <w:tcW w:w="3720" w:type="dxa"/>
            <w:vAlign w:val="bottom"/>
          </w:tcPr>
          <w:p>
            <w:pPr>
              <w:ind w:left="20"/>
              <w:spacing w:after="0"/>
              <w:rPr>
                <w:sz w:val="20"/>
                <w:szCs w:val="20"/>
                <w:color w:val="auto"/>
              </w:rPr>
            </w:pPr>
            <w:r>
              <w:rPr>
                <w:rFonts w:ascii="Arial" w:cs="Arial" w:eastAsia="Arial" w:hAnsi="Arial"/>
                <w:sz w:val="18"/>
                <w:szCs w:val="18"/>
                <w:color w:val="auto"/>
              </w:rPr>
              <w:t>Mobile and ancillary (1)</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40" w:type="dxa"/>
            <w:vAlign w:val="bottom"/>
            <w:gridSpan w:val="2"/>
          </w:tcPr>
          <w:p>
            <w:pPr>
              <w:jc w:val="center"/>
              <w:ind w:left="81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229"/>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(2)</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center"/>
              <w:ind w:left="81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23"/>
        </w:trPr>
        <w:tc>
          <w:tcPr>
            <w:tcW w:w="3720" w:type="dxa"/>
            <w:vAlign w:val="bottom"/>
          </w:tcPr>
          <w:p>
            <w:pPr>
              <w:ind w:left="20"/>
              <w:spacing w:after="0"/>
              <w:rPr>
                <w:sz w:val="20"/>
                <w:szCs w:val="20"/>
                <w:color w:val="auto"/>
              </w:rPr>
            </w:pPr>
            <w:r>
              <w:rPr>
                <w:rFonts w:ascii="Arial" w:cs="Arial" w:eastAsia="Arial" w:hAnsi="Arial"/>
                <w:sz w:val="18"/>
                <w:szCs w:val="18"/>
                <w:color w:val="auto"/>
              </w:rPr>
              <w:t>Total consolidated net revenues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944</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540</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center"/>
              <w:ind w:left="910"/>
              <w:spacing w:after="0"/>
              <w:rPr>
                <w:sz w:val="20"/>
                <w:szCs w:val="20"/>
                <w:color w:val="auto"/>
              </w:rPr>
            </w:pPr>
            <w:r>
              <w:rPr>
                <w:rFonts w:ascii="Arial" w:cs="Arial" w:eastAsia="Arial" w:hAnsi="Arial"/>
                <w:sz w:val="18"/>
                <w:szCs w:val="18"/>
                <w:color w:val="auto"/>
                <w:w w:val="93"/>
              </w:rPr>
              <w:t>(18)</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1,954</w:t>
            </w:r>
          </w:p>
        </w:tc>
        <w:tc>
          <w:tcPr>
            <w:tcW w:w="0" w:type="dxa"/>
            <w:vAlign w:val="bottom"/>
          </w:tcPr>
          <w:p>
            <w:pPr>
              <w:spacing w:after="0"/>
              <w:rPr>
                <w:sz w:val="1"/>
                <w:szCs w:val="1"/>
                <w:color w:val="auto"/>
              </w:rPr>
            </w:pPr>
          </w:p>
        </w:tc>
      </w:tr>
      <w:tr>
        <w:trPr>
          <w:trHeight w:val="20"/>
        </w:trPr>
        <w:tc>
          <w:tcPr>
            <w:tcW w:w="37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3720" w:type="dxa"/>
            <w:vAlign w:val="bottom"/>
          </w:tcPr>
          <w:p>
            <w:pPr>
              <w:ind w:left="20"/>
              <w:spacing w:after="0"/>
              <w:rPr>
                <w:sz w:val="20"/>
                <w:szCs w:val="20"/>
                <w:color w:val="auto"/>
              </w:rPr>
            </w:pPr>
            <w:r>
              <w:rPr>
                <w:rFonts w:ascii="Arial" w:cs="Arial" w:eastAsia="Arial" w:hAnsi="Arial"/>
                <w:sz w:val="18"/>
                <w:szCs w:val="18"/>
                <w:color w:val="auto"/>
              </w:rPr>
              <w:t>Change in deferred revenues:</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Console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CEEFF"/>
          </w:tcPr>
          <w:p>
            <w:pPr>
              <w:jc w:val="center"/>
              <w:ind w:left="81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30"/>
        </w:trPr>
        <w:tc>
          <w:tcPr>
            <w:tcW w:w="3720" w:type="dxa"/>
            <w:vAlign w:val="bottom"/>
          </w:tcPr>
          <w:p>
            <w:pPr>
              <w:ind w:left="20"/>
              <w:spacing w:after="0"/>
              <w:rPr>
                <w:sz w:val="20"/>
                <w:szCs w:val="20"/>
                <w:color w:val="auto"/>
              </w:rPr>
            </w:pPr>
            <w:r>
              <w:rPr>
                <w:rFonts w:ascii="Arial" w:cs="Arial" w:eastAsia="Arial" w:hAnsi="Arial"/>
                <w:sz w:val="18"/>
                <w:szCs w:val="18"/>
                <w:color w:val="auto"/>
              </w:rPr>
              <w:t>PC</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40" w:type="dxa"/>
            <w:vAlign w:val="bottom"/>
            <w:gridSpan w:val="2"/>
          </w:tcPr>
          <w:p>
            <w:pPr>
              <w:jc w:val="center"/>
              <w:ind w:left="81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9"/>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Mobile and ancillary (1)</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center"/>
              <w:ind w:left="81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3720" w:type="dxa"/>
            <w:vAlign w:val="bottom"/>
          </w:tcPr>
          <w:p>
            <w:pPr>
              <w:ind w:left="20"/>
              <w:spacing w:after="0"/>
              <w:rPr>
                <w:sz w:val="20"/>
                <w:szCs w:val="20"/>
                <w:color w:val="auto"/>
              </w:rPr>
            </w:pPr>
            <w:r>
              <w:rPr>
                <w:rFonts w:ascii="Arial" w:cs="Arial" w:eastAsia="Arial" w:hAnsi="Arial"/>
                <w:sz w:val="18"/>
                <w:szCs w:val="18"/>
                <w:color w:val="auto"/>
              </w:rPr>
              <w:t>Other (2)</w:t>
            </w:r>
          </w:p>
        </w:tc>
        <w:tc>
          <w:tcPr>
            <w:tcW w:w="1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40" w:type="dxa"/>
            <w:vAlign w:val="bottom"/>
            <w:gridSpan w:val="2"/>
          </w:tcPr>
          <w:p>
            <w:pPr>
              <w:jc w:val="center"/>
              <w:ind w:left="81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3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change in deferred revenues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CEEFF"/>
          </w:tcPr>
          <w:p>
            <w:pPr>
              <w:jc w:val="center"/>
              <w:ind w:left="91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3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Segment net revenues:</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20" w:type="dxa"/>
            <w:vAlign w:val="bottom"/>
          </w:tcPr>
          <w:p>
            <w:pPr>
              <w:ind w:left="20"/>
              <w:spacing w:after="0"/>
              <w:rPr>
                <w:sz w:val="20"/>
                <w:szCs w:val="20"/>
                <w:color w:val="auto"/>
              </w:rPr>
            </w:pPr>
            <w:r>
              <w:rPr>
                <w:rFonts w:ascii="Arial" w:cs="Arial" w:eastAsia="Arial" w:hAnsi="Arial"/>
                <w:sz w:val="18"/>
                <w:szCs w:val="18"/>
                <w:color w:val="auto"/>
              </w:rPr>
              <w:t>Console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539</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center"/>
              <w:ind w:left="810"/>
              <w:spacing w:after="0"/>
              <w:rPr>
                <w:sz w:val="20"/>
                <w:szCs w:val="20"/>
                <w:color w:val="auto"/>
              </w:rPr>
            </w:pPr>
            <w:r>
              <w:rPr>
                <w:rFonts w:ascii="Arial" w:cs="Arial" w:eastAsia="Arial" w:hAnsi="Arial"/>
                <w:sz w:val="18"/>
                <w:szCs w:val="18"/>
                <w:color w:val="auto"/>
                <w:w w:val="99"/>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PC</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center"/>
              <w:ind w:left="910"/>
              <w:spacing w:after="0"/>
              <w:rPr>
                <w:sz w:val="20"/>
                <w:szCs w:val="20"/>
                <w:color w:val="auto"/>
              </w:rPr>
            </w:pPr>
            <w:r>
              <w:rPr>
                <w:rFonts w:ascii="Arial" w:cs="Arial" w:eastAsia="Arial" w:hAnsi="Arial"/>
                <w:sz w:val="18"/>
                <w:szCs w:val="18"/>
                <w:color w:val="auto"/>
                <w:w w:val="93"/>
              </w:rPr>
              <w:t>(18)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30"/>
        </w:trPr>
        <w:tc>
          <w:tcPr>
            <w:tcW w:w="3720" w:type="dxa"/>
            <w:vAlign w:val="bottom"/>
          </w:tcPr>
          <w:p>
            <w:pPr>
              <w:ind w:left="20"/>
              <w:spacing w:after="0"/>
              <w:rPr>
                <w:sz w:val="20"/>
                <w:szCs w:val="20"/>
                <w:color w:val="auto"/>
              </w:rPr>
            </w:pPr>
            <w:r>
              <w:rPr>
                <w:rFonts w:ascii="Arial" w:cs="Arial" w:eastAsia="Arial" w:hAnsi="Arial"/>
                <w:sz w:val="18"/>
                <w:szCs w:val="18"/>
                <w:color w:val="auto"/>
              </w:rPr>
              <w:t>Mobile and ancillary (1)</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40" w:type="dxa"/>
            <w:vAlign w:val="bottom"/>
            <w:gridSpan w:val="2"/>
          </w:tcPr>
          <w:p>
            <w:pPr>
              <w:jc w:val="center"/>
              <w:ind w:left="81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(2)</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center"/>
              <w:ind w:left="81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23"/>
        </w:trPr>
        <w:tc>
          <w:tcPr>
            <w:tcW w:w="3720" w:type="dxa"/>
            <w:vAlign w:val="bottom"/>
          </w:tcPr>
          <w:p>
            <w:pPr>
              <w:ind w:left="20"/>
              <w:spacing w:after="0"/>
              <w:rPr>
                <w:sz w:val="20"/>
                <w:szCs w:val="20"/>
                <w:color w:val="auto"/>
              </w:rPr>
            </w:pPr>
            <w:r>
              <w:rPr>
                <w:rFonts w:ascii="Arial" w:cs="Arial" w:eastAsia="Arial" w:hAnsi="Arial"/>
                <w:sz w:val="18"/>
                <w:szCs w:val="18"/>
                <w:color w:val="auto"/>
              </w:rPr>
              <w:t>Total segment net revenues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773</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536</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center"/>
              <w:ind w:left="910"/>
              <w:spacing w:after="0"/>
              <w:rPr>
                <w:sz w:val="20"/>
                <w:szCs w:val="20"/>
                <w:color w:val="auto"/>
              </w:rPr>
            </w:pPr>
            <w:r>
              <w:rPr>
                <w:rFonts w:ascii="Arial" w:cs="Arial" w:eastAsia="Arial" w:hAnsi="Arial"/>
                <w:sz w:val="18"/>
                <w:szCs w:val="18"/>
                <w:color w:val="auto"/>
                <w:w w:val="93"/>
              </w:rPr>
              <w:t>(18)</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1,767</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07"/>
        </w:trPr>
        <w:tc>
          <w:tcPr>
            <w:tcW w:w="372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25"/>
        </w:trPr>
        <w:tc>
          <w:tcPr>
            <w:tcW w:w="1280" w:type="dxa"/>
            <w:vAlign w:val="bottom"/>
            <w:tcBorders>
              <w:top w:val="single" w:sz="8" w:color="0000FF"/>
            </w:tcBorders>
          </w:tcPr>
          <w:p>
            <w:pPr>
              <w:spacing w:after="0"/>
              <w:rPr>
                <w:sz w:val="24"/>
                <w:szCs w:val="24"/>
                <w:color w:val="auto"/>
              </w:rPr>
            </w:pPr>
          </w:p>
        </w:tc>
        <w:tc>
          <w:tcPr>
            <w:tcW w:w="24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120" w:type="dxa"/>
            <w:vAlign w:val="bottom"/>
            <w:tcBorders>
              <w:bottom w:val="single" w:sz="8" w:color="auto"/>
            </w:tcBorders>
            <w:gridSpan w:val="11"/>
          </w:tcPr>
          <w:p>
            <w:pPr>
              <w:jc w:val="center"/>
              <w:ind w:right="520"/>
              <w:spacing w:after="0"/>
              <w:rPr>
                <w:sz w:val="20"/>
                <w:szCs w:val="20"/>
                <w:color w:val="auto"/>
              </w:rPr>
            </w:pPr>
            <w:r>
              <w:rPr>
                <w:rFonts w:ascii="Arial" w:cs="Arial" w:eastAsia="Arial" w:hAnsi="Arial"/>
                <w:sz w:val="18"/>
                <w:szCs w:val="18"/>
                <w:b w:val="1"/>
                <w:bCs w:val="1"/>
                <w:color w:val="auto"/>
                <w:w w:val="91"/>
              </w:rPr>
              <w:t>Three Months Ended September 30, 2019</w:t>
            </w: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240"/>
              <w:spacing w:after="0" w:line="169" w:lineRule="exact"/>
              <w:rPr>
                <w:sz w:val="20"/>
                <w:szCs w:val="20"/>
                <w:color w:val="auto"/>
              </w:rPr>
            </w:pPr>
            <w:r>
              <w:rPr>
                <w:rFonts w:ascii="Arial" w:cs="Arial" w:eastAsia="Arial" w:hAnsi="Arial"/>
                <w:sz w:val="18"/>
                <w:szCs w:val="18"/>
                <w:b w:val="1"/>
                <w:bCs w:val="1"/>
                <w:color w:val="auto"/>
                <w:w w:val="92"/>
              </w:rPr>
              <w:t>Non-</w:t>
            </w:r>
          </w:p>
        </w:tc>
        <w:tc>
          <w:tcPr>
            <w:tcW w:w="160" w:type="dxa"/>
            <w:vAlign w:val="bottom"/>
          </w:tcPr>
          <w:p>
            <w:pPr>
              <w:spacing w:after="0"/>
              <w:rPr>
                <w:sz w:val="14"/>
                <w:szCs w:val="14"/>
                <w:color w:val="auto"/>
              </w:rPr>
            </w:pPr>
          </w:p>
        </w:tc>
        <w:tc>
          <w:tcPr>
            <w:tcW w:w="1440" w:type="dxa"/>
            <w:vAlign w:val="bottom"/>
            <w:gridSpan w:val="2"/>
          </w:tcPr>
          <w:p>
            <w:pPr>
              <w:jc w:val="center"/>
              <w:ind w:right="260"/>
              <w:spacing w:after="0" w:line="169" w:lineRule="exact"/>
              <w:rPr>
                <w:sz w:val="20"/>
                <w:szCs w:val="20"/>
                <w:color w:val="auto"/>
              </w:rPr>
            </w:pPr>
            <w:r>
              <w:rPr>
                <w:rFonts w:ascii="Arial" w:cs="Arial" w:eastAsia="Arial" w:hAnsi="Arial"/>
                <w:sz w:val="18"/>
                <w:szCs w:val="18"/>
                <w:b w:val="1"/>
                <w:bCs w:val="1"/>
                <w:color w:val="auto"/>
                <w:w w:val="92"/>
              </w:rPr>
              <w:t>Elimination of</w:t>
            </w: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28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Activision</w:t>
            </w:r>
          </w:p>
        </w:tc>
        <w:tc>
          <w:tcPr>
            <w:tcW w:w="200" w:type="dxa"/>
            <w:vAlign w:val="bottom"/>
          </w:tcPr>
          <w:p>
            <w:pPr>
              <w:spacing w:after="0"/>
              <w:rPr>
                <w:sz w:val="15"/>
                <w:szCs w:val="15"/>
                <w:color w:val="auto"/>
              </w:rPr>
            </w:pPr>
          </w:p>
        </w:tc>
        <w:tc>
          <w:tcPr>
            <w:tcW w:w="108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Blizzard</w:t>
            </w:r>
          </w:p>
        </w:tc>
        <w:tc>
          <w:tcPr>
            <w:tcW w:w="220" w:type="dxa"/>
            <w:vAlign w:val="bottom"/>
          </w:tcPr>
          <w:p>
            <w:pPr>
              <w:spacing w:after="0"/>
              <w:rPr>
                <w:sz w:val="15"/>
                <w:szCs w:val="15"/>
                <w:color w:val="auto"/>
              </w:rPr>
            </w:pPr>
          </w:p>
        </w:tc>
        <w:tc>
          <w:tcPr>
            <w:tcW w:w="92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King</w:t>
            </w:r>
          </w:p>
        </w:tc>
        <w:tc>
          <w:tcPr>
            <w:tcW w:w="160" w:type="dxa"/>
            <w:vAlign w:val="bottom"/>
          </w:tcPr>
          <w:p>
            <w:pPr>
              <w:spacing w:after="0"/>
              <w:rPr>
                <w:sz w:val="15"/>
                <w:szCs w:val="15"/>
                <w:color w:val="auto"/>
              </w:rPr>
            </w:pPr>
          </w:p>
        </w:tc>
        <w:tc>
          <w:tcPr>
            <w:tcW w:w="114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90"/>
              </w:rPr>
              <w:t>reportable</w:t>
            </w:r>
          </w:p>
        </w:tc>
        <w:tc>
          <w:tcPr>
            <w:tcW w:w="160" w:type="dxa"/>
            <w:vAlign w:val="bottom"/>
          </w:tcPr>
          <w:p>
            <w:pPr>
              <w:spacing w:after="0"/>
              <w:rPr>
                <w:sz w:val="15"/>
                <w:szCs w:val="15"/>
                <w:color w:val="auto"/>
              </w:rPr>
            </w:pPr>
          </w:p>
        </w:tc>
        <w:tc>
          <w:tcPr>
            <w:tcW w:w="1440" w:type="dxa"/>
            <w:vAlign w:val="bottom"/>
            <w:gridSpan w:val="2"/>
          </w:tcPr>
          <w:p>
            <w:pPr>
              <w:jc w:val="center"/>
              <w:ind w:right="240"/>
              <w:spacing w:after="0" w:line="176" w:lineRule="exact"/>
              <w:rPr>
                <w:sz w:val="20"/>
                <w:szCs w:val="20"/>
                <w:color w:val="auto"/>
              </w:rPr>
            </w:pPr>
            <w:r>
              <w:rPr>
                <w:rFonts w:ascii="Arial" w:cs="Arial" w:eastAsia="Arial" w:hAnsi="Arial"/>
                <w:sz w:val="18"/>
                <w:szCs w:val="18"/>
                <w:b w:val="1"/>
                <w:bCs w:val="1"/>
                <w:color w:val="auto"/>
                <w:w w:val="88"/>
              </w:rPr>
              <w:t>intersegment</w:t>
            </w:r>
          </w:p>
        </w:tc>
        <w:tc>
          <w:tcPr>
            <w:tcW w:w="200" w:type="dxa"/>
            <w:vAlign w:val="bottom"/>
          </w:tcPr>
          <w:p>
            <w:pPr>
              <w:spacing w:after="0"/>
              <w:rPr>
                <w:sz w:val="15"/>
                <w:szCs w:val="15"/>
                <w:color w:val="auto"/>
              </w:rPr>
            </w:pPr>
          </w:p>
        </w:tc>
        <w:tc>
          <w:tcPr>
            <w:tcW w:w="74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128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0"/>
              </w:rPr>
              <w:t>segments</w:t>
            </w:r>
          </w:p>
        </w:tc>
        <w:tc>
          <w:tcPr>
            <w:tcW w:w="160" w:type="dxa"/>
            <w:vAlign w:val="bottom"/>
          </w:tcPr>
          <w:p>
            <w:pPr>
              <w:spacing w:after="0"/>
              <w:rPr>
                <w:sz w:val="19"/>
                <w:szCs w:val="19"/>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revenues (3)</w:t>
            </w:r>
          </w:p>
        </w:tc>
        <w:tc>
          <w:tcPr>
            <w:tcW w:w="20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7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revenues by platform:</w:t>
            </w: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20" w:type="dxa"/>
            <w:vAlign w:val="bottom"/>
            <w:gridSpan w:val="2"/>
          </w:tcPr>
          <w:p>
            <w:pPr>
              <w:ind w:left="20"/>
              <w:spacing w:after="0"/>
              <w:rPr>
                <w:sz w:val="20"/>
                <w:szCs w:val="20"/>
                <w:color w:val="auto"/>
              </w:rPr>
            </w:pPr>
            <w:r>
              <w:rPr>
                <w:rFonts w:ascii="Arial" w:cs="Arial" w:eastAsia="Arial" w:hAnsi="Arial"/>
                <w:sz w:val="18"/>
                <w:szCs w:val="18"/>
                <w:color w:val="auto"/>
              </w:rPr>
              <w:t>Console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29"/>
        </w:trPr>
        <w:tc>
          <w:tcPr>
            <w:tcW w:w="3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PC</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ind w:left="1100"/>
              <w:spacing w:after="0"/>
              <w:rPr>
                <w:sz w:val="20"/>
                <w:szCs w:val="20"/>
                <w:color w:val="auto"/>
              </w:rPr>
            </w:pPr>
            <w:r>
              <w:rPr>
                <w:rFonts w:ascii="Arial" w:cs="Arial" w:eastAsia="Arial" w:hAnsi="Arial"/>
                <w:sz w:val="18"/>
                <w:szCs w:val="18"/>
                <w:color w:val="auto"/>
                <w:w w:val="99"/>
              </w:rPr>
              <w:t>(2)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30"/>
        </w:trPr>
        <w:tc>
          <w:tcPr>
            <w:tcW w:w="3720" w:type="dxa"/>
            <w:vAlign w:val="bottom"/>
            <w:gridSpan w:val="2"/>
          </w:tcPr>
          <w:p>
            <w:pPr>
              <w:ind w:left="20"/>
              <w:spacing w:after="0"/>
              <w:rPr>
                <w:sz w:val="20"/>
                <w:szCs w:val="20"/>
                <w:color w:val="auto"/>
              </w:rPr>
            </w:pPr>
            <w:r>
              <w:rPr>
                <w:rFonts w:ascii="Arial" w:cs="Arial" w:eastAsia="Arial" w:hAnsi="Arial"/>
                <w:sz w:val="18"/>
                <w:szCs w:val="18"/>
                <w:color w:val="auto"/>
              </w:rPr>
              <w:t>Mobile and ancillary (1)</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4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29"/>
        </w:trPr>
        <w:tc>
          <w:tcPr>
            <w:tcW w:w="3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(2)</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23"/>
        </w:trPr>
        <w:tc>
          <w:tcPr>
            <w:tcW w:w="3720" w:type="dxa"/>
            <w:vAlign w:val="bottom"/>
            <w:gridSpan w:val="2"/>
          </w:tcPr>
          <w:p>
            <w:pPr>
              <w:ind w:left="20"/>
              <w:spacing w:after="0"/>
              <w:rPr>
                <w:sz w:val="20"/>
                <w:szCs w:val="20"/>
                <w:color w:val="auto"/>
              </w:rPr>
            </w:pPr>
            <w:r>
              <w:rPr>
                <w:rFonts w:ascii="Arial" w:cs="Arial" w:eastAsia="Arial" w:hAnsi="Arial"/>
                <w:sz w:val="18"/>
                <w:szCs w:val="18"/>
                <w:color w:val="auto"/>
              </w:rPr>
              <w:t>Total consolidated net revenues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502</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ind w:left="1100"/>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1,282</w:t>
            </w:r>
          </w:p>
        </w:tc>
        <w:tc>
          <w:tcPr>
            <w:tcW w:w="0" w:type="dxa"/>
            <w:vAlign w:val="bottom"/>
          </w:tcPr>
          <w:p>
            <w:pPr>
              <w:spacing w:after="0"/>
              <w:rPr>
                <w:sz w:val="1"/>
                <w:szCs w:val="1"/>
                <w:color w:val="auto"/>
              </w:rPr>
            </w:pP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24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8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3720" w:type="dxa"/>
            <w:vAlign w:val="bottom"/>
            <w:gridSpan w:val="2"/>
          </w:tcPr>
          <w:p>
            <w:pPr>
              <w:ind w:left="20"/>
              <w:spacing w:after="0"/>
              <w:rPr>
                <w:sz w:val="20"/>
                <w:szCs w:val="20"/>
                <w:color w:val="auto"/>
              </w:rPr>
            </w:pPr>
            <w:r>
              <w:rPr>
                <w:rFonts w:ascii="Arial" w:cs="Arial" w:eastAsia="Arial" w:hAnsi="Arial"/>
                <w:sz w:val="18"/>
                <w:szCs w:val="18"/>
                <w:color w:val="auto"/>
              </w:rPr>
              <w:t>Change in deferred revenues:</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Console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0"/>
        </w:trPr>
        <w:tc>
          <w:tcPr>
            <w:tcW w:w="3720" w:type="dxa"/>
            <w:vAlign w:val="bottom"/>
            <w:gridSpan w:val="2"/>
          </w:tcPr>
          <w:p>
            <w:pPr>
              <w:ind w:left="20"/>
              <w:spacing w:after="0"/>
              <w:rPr>
                <w:sz w:val="20"/>
                <w:szCs w:val="20"/>
                <w:color w:val="auto"/>
              </w:rPr>
            </w:pPr>
            <w:r>
              <w:rPr>
                <w:rFonts w:ascii="Arial" w:cs="Arial" w:eastAsia="Arial" w:hAnsi="Arial"/>
                <w:sz w:val="18"/>
                <w:szCs w:val="18"/>
                <w:color w:val="auto"/>
              </w:rPr>
              <w:t>PC</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4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9"/>
        </w:trPr>
        <w:tc>
          <w:tcPr>
            <w:tcW w:w="3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Mobile and ancillary (1)</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3720" w:type="dxa"/>
            <w:vAlign w:val="bottom"/>
            <w:gridSpan w:val="2"/>
          </w:tcPr>
          <w:p>
            <w:pPr>
              <w:ind w:left="20"/>
              <w:spacing w:after="0"/>
              <w:rPr>
                <w:sz w:val="20"/>
                <w:szCs w:val="20"/>
                <w:color w:val="auto"/>
              </w:rPr>
            </w:pPr>
            <w:r>
              <w:rPr>
                <w:rFonts w:ascii="Arial" w:cs="Arial" w:eastAsia="Arial" w:hAnsi="Arial"/>
                <w:sz w:val="18"/>
                <w:szCs w:val="18"/>
                <w:color w:val="auto"/>
              </w:rPr>
              <w:t>Other (2)</w:t>
            </w:r>
          </w:p>
        </w:tc>
        <w:tc>
          <w:tcPr>
            <w:tcW w:w="1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4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37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change in deferred revenues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1280" w:type="dxa"/>
            <w:vAlign w:val="bottom"/>
          </w:tcPr>
          <w:p>
            <w:pPr>
              <w:spacing w:after="0"/>
              <w:rPr>
                <w:sz w:val="9"/>
                <w:szCs w:val="9"/>
                <w:color w:val="auto"/>
              </w:rPr>
            </w:pPr>
          </w:p>
        </w:tc>
        <w:tc>
          <w:tcPr>
            <w:tcW w:w="2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37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Segment net revenues:</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20" w:type="dxa"/>
            <w:vAlign w:val="bottom"/>
            <w:gridSpan w:val="2"/>
          </w:tcPr>
          <w:p>
            <w:pPr>
              <w:ind w:left="20"/>
              <w:spacing w:after="0"/>
              <w:rPr>
                <w:sz w:val="20"/>
                <w:szCs w:val="20"/>
                <w:color w:val="auto"/>
              </w:rPr>
            </w:pPr>
            <w:r>
              <w:rPr>
                <w:rFonts w:ascii="Arial" w:cs="Arial" w:eastAsia="Arial" w:hAnsi="Arial"/>
                <w:sz w:val="18"/>
                <w:szCs w:val="18"/>
                <w:color w:val="auto"/>
              </w:rPr>
              <w:t>Console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30"/>
        </w:trPr>
        <w:tc>
          <w:tcPr>
            <w:tcW w:w="3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PC</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ind w:left="1100"/>
              <w:spacing w:after="0"/>
              <w:rPr>
                <w:sz w:val="20"/>
                <w:szCs w:val="20"/>
                <w:color w:val="auto"/>
              </w:rPr>
            </w:pPr>
            <w:r>
              <w:rPr>
                <w:rFonts w:ascii="Arial" w:cs="Arial" w:eastAsia="Arial" w:hAnsi="Arial"/>
                <w:sz w:val="18"/>
                <w:szCs w:val="18"/>
                <w:color w:val="auto"/>
                <w:w w:val="99"/>
              </w:rPr>
              <w:t>(2)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29"/>
        </w:trPr>
        <w:tc>
          <w:tcPr>
            <w:tcW w:w="3720" w:type="dxa"/>
            <w:vAlign w:val="bottom"/>
            <w:gridSpan w:val="2"/>
          </w:tcPr>
          <w:p>
            <w:pPr>
              <w:ind w:left="20"/>
              <w:spacing w:after="0"/>
              <w:rPr>
                <w:sz w:val="20"/>
                <w:szCs w:val="20"/>
                <w:color w:val="auto"/>
              </w:rPr>
            </w:pPr>
            <w:r>
              <w:rPr>
                <w:rFonts w:ascii="Arial" w:cs="Arial" w:eastAsia="Arial" w:hAnsi="Arial"/>
                <w:sz w:val="18"/>
                <w:szCs w:val="18"/>
                <w:color w:val="auto"/>
              </w:rPr>
              <w:t>Mobile and ancillary (1)</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4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30"/>
        </w:trPr>
        <w:tc>
          <w:tcPr>
            <w:tcW w:w="3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(2)</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23"/>
        </w:trPr>
        <w:tc>
          <w:tcPr>
            <w:tcW w:w="3720" w:type="dxa"/>
            <w:vAlign w:val="bottom"/>
            <w:gridSpan w:val="2"/>
          </w:tcPr>
          <w:p>
            <w:pPr>
              <w:ind w:left="20"/>
              <w:spacing w:after="0"/>
              <w:rPr>
                <w:sz w:val="20"/>
                <w:szCs w:val="20"/>
                <w:color w:val="auto"/>
              </w:rPr>
            </w:pPr>
            <w:r>
              <w:rPr>
                <w:rFonts w:ascii="Arial" w:cs="Arial" w:eastAsia="Arial" w:hAnsi="Arial"/>
                <w:sz w:val="18"/>
                <w:szCs w:val="18"/>
                <w:color w:val="auto"/>
              </w:rPr>
              <w:t>Total segment net revenues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ind w:left="1100"/>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1,214</w:t>
            </w:r>
          </w:p>
        </w:tc>
        <w:tc>
          <w:tcPr>
            <w:tcW w:w="0" w:type="dxa"/>
            <w:vAlign w:val="bottom"/>
          </w:tcPr>
          <w:p>
            <w:pPr>
              <w:spacing w:after="0"/>
              <w:rPr>
                <w:sz w:val="1"/>
                <w:szCs w:val="1"/>
                <w:color w:val="auto"/>
              </w:rPr>
            </w:pPr>
          </w:p>
        </w:tc>
      </w:tr>
      <w:tr>
        <w:trPr>
          <w:trHeight w:val="21"/>
        </w:trPr>
        <w:tc>
          <w:tcPr>
            <w:tcW w:w="12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12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80" w:type="dxa"/>
            <w:vAlign w:val="bottom"/>
            <w:tcBorders>
              <w:bottom w:val="single" w:sz="8" w:color="9A9A9A"/>
            </w:tcBorders>
          </w:tcPr>
          <w:p>
            <w:pPr>
              <w:spacing w:after="0"/>
              <w:rPr>
                <w:sz w:val="10"/>
                <w:szCs w:val="10"/>
                <w:color w:val="auto"/>
              </w:rPr>
            </w:pPr>
          </w:p>
        </w:tc>
        <w:tc>
          <w:tcPr>
            <w:tcW w:w="24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Net revenues by platform, including a reconciliation to each of our reportable segment’s net revenues, for the nine months ended September 30, 2020 and 2019, were as follows (amounts in millions):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120" w:type="dxa"/>
            <w:vAlign w:val="bottom"/>
            <w:tcBorders>
              <w:bottom w:val="single" w:sz="8" w:color="auto"/>
            </w:tcBorders>
            <w:gridSpan w:val="11"/>
          </w:tcPr>
          <w:p>
            <w:pPr>
              <w:ind w:left="760"/>
              <w:spacing w:after="0"/>
              <w:rPr>
                <w:sz w:val="20"/>
                <w:szCs w:val="20"/>
                <w:color w:val="auto"/>
              </w:rPr>
            </w:pPr>
            <w:r>
              <w:rPr>
                <w:rFonts w:ascii="Arial" w:cs="Arial" w:eastAsia="Arial" w:hAnsi="Arial"/>
                <w:sz w:val="18"/>
                <w:szCs w:val="18"/>
                <w:b w:val="1"/>
                <w:bCs w:val="1"/>
                <w:color w:val="auto"/>
              </w:rPr>
              <w:t>Nine Months Ended September 30, 2020</w:t>
            </w: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240"/>
              <w:spacing w:after="0" w:line="169" w:lineRule="exact"/>
              <w:rPr>
                <w:sz w:val="20"/>
                <w:szCs w:val="20"/>
                <w:color w:val="auto"/>
              </w:rPr>
            </w:pPr>
            <w:r>
              <w:rPr>
                <w:rFonts w:ascii="Arial" w:cs="Arial" w:eastAsia="Arial" w:hAnsi="Arial"/>
                <w:sz w:val="18"/>
                <w:szCs w:val="18"/>
                <w:b w:val="1"/>
                <w:bCs w:val="1"/>
                <w:color w:val="auto"/>
                <w:w w:val="92"/>
              </w:rPr>
              <w:t>Non-</w:t>
            </w:r>
          </w:p>
        </w:tc>
        <w:tc>
          <w:tcPr>
            <w:tcW w:w="160" w:type="dxa"/>
            <w:vAlign w:val="bottom"/>
          </w:tcPr>
          <w:p>
            <w:pPr>
              <w:spacing w:after="0"/>
              <w:rPr>
                <w:sz w:val="14"/>
                <w:szCs w:val="14"/>
                <w:color w:val="auto"/>
              </w:rPr>
            </w:pPr>
          </w:p>
        </w:tc>
        <w:tc>
          <w:tcPr>
            <w:tcW w:w="1440" w:type="dxa"/>
            <w:vAlign w:val="bottom"/>
            <w:gridSpan w:val="2"/>
          </w:tcPr>
          <w:p>
            <w:pPr>
              <w:jc w:val="center"/>
              <w:ind w:right="260"/>
              <w:spacing w:after="0" w:line="169" w:lineRule="exact"/>
              <w:rPr>
                <w:sz w:val="20"/>
                <w:szCs w:val="20"/>
                <w:color w:val="auto"/>
              </w:rPr>
            </w:pPr>
            <w:r>
              <w:rPr>
                <w:rFonts w:ascii="Arial" w:cs="Arial" w:eastAsia="Arial" w:hAnsi="Arial"/>
                <w:sz w:val="18"/>
                <w:szCs w:val="18"/>
                <w:b w:val="1"/>
                <w:bCs w:val="1"/>
                <w:color w:val="auto"/>
                <w:w w:val="92"/>
              </w:rPr>
              <w:t>Elimination of</w:t>
            </w: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Activision</w:t>
            </w:r>
          </w:p>
        </w:tc>
        <w:tc>
          <w:tcPr>
            <w:tcW w:w="200" w:type="dxa"/>
            <w:vAlign w:val="bottom"/>
          </w:tcPr>
          <w:p>
            <w:pPr>
              <w:spacing w:after="0"/>
              <w:rPr>
                <w:sz w:val="15"/>
                <w:szCs w:val="15"/>
                <w:color w:val="auto"/>
              </w:rPr>
            </w:pPr>
          </w:p>
        </w:tc>
        <w:tc>
          <w:tcPr>
            <w:tcW w:w="108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Blizzard</w:t>
            </w:r>
          </w:p>
        </w:tc>
        <w:tc>
          <w:tcPr>
            <w:tcW w:w="220" w:type="dxa"/>
            <w:vAlign w:val="bottom"/>
          </w:tcPr>
          <w:p>
            <w:pPr>
              <w:spacing w:after="0"/>
              <w:rPr>
                <w:sz w:val="15"/>
                <w:szCs w:val="15"/>
                <w:color w:val="auto"/>
              </w:rPr>
            </w:pPr>
          </w:p>
        </w:tc>
        <w:tc>
          <w:tcPr>
            <w:tcW w:w="92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King</w:t>
            </w:r>
          </w:p>
        </w:tc>
        <w:tc>
          <w:tcPr>
            <w:tcW w:w="160" w:type="dxa"/>
            <w:vAlign w:val="bottom"/>
          </w:tcPr>
          <w:p>
            <w:pPr>
              <w:spacing w:after="0"/>
              <w:rPr>
                <w:sz w:val="15"/>
                <w:szCs w:val="15"/>
                <w:color w:val="auto"/>
              </w:rPr>
            </w:pPr>
          </w:p>
        </w:tc>
        <w:tc>
          <w:tcPr>
            <w:tcW w:w="114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90"/>
              </w:rPr>
              <w:t>reportable</w:t>
            </w:r>
          </w:p>
        </w:tc>
        <w:tc>
          <w:tcPr>
            <w:tcW w:w="160" w:type="dxa"/>
            <w:vAlign w:val="bottom"/>
          </w:tcPr>
          <w:p>
            <w:pPr>
              <w:spacing w:after="0"/>
              <w:rPr>
                <w:sz w:val="15"/>
                <w:szCs w:val="15"/>
                <w:color w:val="auto"/>
              </w:rPr>
            </w:pPr>
          </w:p>
        </w:tc>
        <w:tc>
          <w:tcPr>
            <w:tcW w:w="1440" w:type="dxa"/>
            <w:vAlign w:val="bottom"/>
            <w:gridSpan w:val="2"/>
          </w:tcPr>
          <w:p>
            <w:pPr>
              <w:jc w:val="center"/>
              <w:ind w:right="240"/>
              <w:spacing w:after="0" w:line="176" w:lineRule="exact"/>
              <w:rPr>
                <w:sz w:val="20"/>
                <w:szCs w:val="20"/>
                <w:color w:val="auto"/>
              </w:rPr>
            </w:pPr>
            <w:r>
              <w:rPr>
                <w:rFonts w:ascii="Arial" w:cs="Arial" w:eastAsia="Arial" w:hAnsi="Arial"/>
                <w:sz w:val="18"/>
                <w:szCs w:val="18"/>
                <w:b w:val="1"/>
                <w:bCs w:val="1"/>
                <w:color w:val="auto"/>
                <w:w w:val="88"/>
              </w:rPr>
              <w:t>intersegment</w:t>
            </w:r>
          </w:p>
        </w:tc>
        <w:tc>
          <w:tcPr>
            <w:tcW w:w="200" w:type="dxa"/>
            <w:vAlign w:val="bottom"/>
          </w:tcPr>
          <w:p>
            <w:pPr>
              <w:spacing w:after="0"/>
              <w:rPr>
                <w:sz w:val="15"/>
                <w:szCs w:val="15"/>
                <w:color w:val="auto"/>
              </w:rPr>
            </w:pPr>
          </w:p>
        </w:tc>
        <w:tc>
          <w:tcPr>
            <w:tcW w:w="74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3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0"/>
              </w:rPr>
              <w:t>segments</w:t>
            </w:r>
          </w:p>
        </w:tc>
        <w:tc>
          <w:tcPr>
            <w:tcW w:w="160" w:type="dxa"/>
            <w:vAlign w:val="bottom"/>
          </w:tcPr>
          <w:p>
            <w:pPr>
              <w:spacing w:after="0"/>
              <w:rPr>
                <w:sz w:val="19"/>
                <w:szCs w:val="19"/>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revenues (3)</w:t>
            </w:r>
          </w:p>
        </w:tc>
        <w:tc>
          <w:tcPr>
            <w:tcW w:w="20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revenues by platform:</w:t>
            </w: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20" w:type="dxa"/>
            <w:vAlign w:val="bottom"/>
          </w:tcPr>
          <w:p>
            <w:pPr>
              <w:ind w:left="20"/>
              <w:spacing w:after="0"/>
              <w:rPr>
                <w:sz w:val="20"/>
                <w:szCs w:val="20"/>
                <w:color w:val="auto"/>
              </w:rPr>
            </w:pPr>
            <w:r>
              <w:rPr>
                <w:rFonts w:ascii="Arial" w:cs="Arial" w:eastAsia="Arial" w:hAnsi="Arial"/>
                <w:sz w:val="18"/>
                <w:szCs w:val="18"/>
                <w:color w:val="auto"/>
              </w:rPr>
              <w:t>Console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1,855</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center"/>
              <w:ind w:left="810"/>
              <w:spacing w:after="0"/>
              <w:rPr>
                <w:sz w:val="20"/>
                <w:szCs w:val="20"/>
                <w:color w:val="auto"/>
              </w:rPr>
            </w:pPr>
            <w:r>
              <w:rPr>
                <w:rFonts w:ascii="Arial" w:cs="Arial" w:eastAsia="Arial" w:hAnsi="Arial"/>
                <w:sz w:val="18"/>
                <w:szCs w:val="18"/>
                <w:color w:val="auto"/>
                <w:w w:val="99"/>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1,944</w:t>
            </w:r>
          </w:p>
        </w:tc>
        <w:tc>
          <w:tcPr>
            <w:tcW w:w="0" w:type="dxa"/>
            <w:vAlign w:val="bottom"/>
          </w:tcPr>
          <w:p>
            <w:pPr>
              <w:spacing w:after="0"/>
              <w:rPr>
                <w:sz w:val="1"/>
                <w:szCs w:val="1"/>
                <w:color w:val="auto"/>
              </w:rPr>
            </w:pPr>
          </w:p>
        </w:tc>
      </w:tr>
      <w:tr>
        <w:trPr>
          <w:trHeight w:val="229"/>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PC</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center"/>
              <w:ind w:left="910"/>
              <w:spacing w:after="0"/>
              <w:rPr>
                <w:sz w:val="20"/>
                <w:szCs w:val="20"/>
                <w:color w:val="auto"/>
              </w:rPr>
            </w:pPr>
            <w:r>
              <w:rPr>
                <w:rFonts w:ascii="Arial" w:cs="Arial" w:eastAsia="Arial" w:hAnsi="Arial"/>
                <w:sz w:val="18"/>
                <w:szCs w:val="18"/>
                <w:color w:val="auto"/>
                <w:w w:val="93"/>
              </w:rPr>
              <w:t>(62)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1,494</w:t>
            </w:r>
          </w:p>
        </w:tc>
        <w:tc>
          <w:tcPr>
            <w:tcW w:w="0" w:type="dxa"/>
            <w:vAlign w:val="bottom"/>
          </w:tcPr>
          <w:p>
            <w:pPr>
              <w:spacing w:after="0"/>
              <w:rPr>
                <w:sz w:val="1"/>
                <w:szCs w:val="1"/>
                <w:color w:val="auto"/>
              </w:rPr>
            </w:pPr>
          </w:p>
        </w:tc>
      </w:tr>
      <w:tr>
        <w:trPr>
          <w:trHeight w:val="230"/>
        </w:trPr>
        <w:tc>
          <w:tcPr>
            <w:tcW w:w="3720" w:type="dxa"/>
            <w:vAlign w:val="bottom"/>
          </w:tcPr>
          <w:p>
            <w:pPr>
              <w:ind w:left="20"/>
              <w:spacing w:after="0"/>
              <w:rPr>
                <w:sz w:val="20"/>
                <w:szCs w:val="20"/>
                <w:color w:val="auto"/>
              </w:rPr>
            </w:pPr>
            <w:r>
              <w:rPr>
                <w:rFonts w:ascii="Arial" w:cs="Arial" w:eastAsia="Arial" w:hAnsi="Arial"/>
                <w:sz w:val="18"/>
                <w:szCs w:val="18"/>
                <w:color w:val="auto"/>
              </w:rPr>
              <w:t>Mobile and ancillary (1)</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40" w:type="dxa"/>
            <w:vAlign w:val="bottom"/>
            <w:gridSpan w:val="2"/>
          </w:tcPr>
          <w:p>
            <w:pPr>
              <w:jc w:val="center"/>
              <w:ind w:left="81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1,853</w:t>
            </w:r>
          </w:p>
        </w:tc>
        <w:tc>
          <w:tcPr>
            <w:tcW w:w="0" w:type="dxa"/>
            <w:vAlign w:val="bottom"/>
          </w:tcPr>
          <w:p>
            <w:pPr>
              <w:spacing w:after="0"/>
              <w:rPr>
                <w:sz w:val="1"/>
                <w:szCs w:val="1"/>
                <w:color w:val="auto"/>
              </w:rPr>
            </w:pPr>
          </w:p>
        </w:tc>
      </w:tr>
      <w:tr>
        <w:trPr>
          <w:trHeight w:val="229"/>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(2)</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center"/>
              <w:ind w:left="81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23"/>
        </w:trPr>
        <w:tc>
          <w:tcPr>
            <w:tcW w:w="3720" w:type="dxa"/>
            <w:vAlign w:val="bottom"/>
          </w:tcPr>
          <w:p>
            <w:pPr>
              <w:ind w:left="20"/>
              <w:spacing w:after="0"/>
              <w:rPr>
                <w:sz w:val="20"/>
                <w:szCs w:val="20"/>
                <w:color w:val="auto"/>
              </w:rPr>
            </w:pPr>
            <w:r>
              <w:rPr>
                <w:rFonts w:ascii="Arial" w:cs="Arial" w:eastAsia="Arial" w:hAnsi="Arial"/>
                <w:sz w:val="18"/>
                <w:szCs w:val="18"/>
                <w:color w:val="auto"/>
              </w:rPr>
              <w:t>Total consolidated net revenues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2,594</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1,313</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1,588</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center"/>
              <w:ind w:left="910"/>
              <w:spacing w:after="0"/>
              <w:rPr>
                <w:sz w:val="20"/>
                <w:szCs w:val="20"/>
                <w:color w:val="auto"/>
              </w:rPr>
            </w:pPr>
            <w:r>
              <w:rPr>
                <w:rFonts w:ascii="Arial" w:cs="Arial" w:eastAsia="Arial" w:hAnsi="Arial"/>
                <w:sz w:val="18"/>
                <w:szCs w:val="18"/>
                <w:color w:val="auto"/>
                <w:w w:val="93"/>
              </w:rPr>
              <w:t>(62)</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5,674</w:t>
            </w:r>
          </w:p>
        </w:tc>
        <w:tc>
          <w:tcPr>
            <w:tcW w:w="0" w:type="dxa"/>
            <w:vAlign w:val="bottom"/>
          </w:tcPr>
          <w:p>
            <w:pPr>
              <w:spacing w:after="0"/>
              <w:rPr>
                <w:sz w:val="1"/>
                <w:szCs w:val="1"/>
                <w:color w:val="auto"/>
              </w:rPr>
            </w:pPr>
          </w:p>
        </w:tc>
      </w:tr>
      <w:tr>
        <w:trPr>
          <w:trHeight w:val="20"/>
        </w:trPr>
        <w:tc>
          <w:tcPr>
            <w:tcW w:w="37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3720" w:type="dxa"/>
            <w:vAlign w:val="bottom"/>
          </w:tcPr>
          <w:p>
            <w:pPr>
              <w:ind w:left="20"/>
              <w:spacing w:after="0"/>
              <w:rPr>
                <w:sz w:val="20"/>
                <w:szCs w:val="20"/>
                <w:color w:val="auto"/>
              </w:rPr>
            </w:pPr>
            <w:r>
              <w:rPr>
                <w:rFonts w:ascii="Arial" w:cs="Arial" w:eastAsia="Arial" w:hAnsi="Arial"/>
                <w:sz w:val="18"/>
                <w:szCs w:val="18"/>
                <w:color w:val="auto"/>
              </w:rPr>
              <w:t>Change in deferred revenues:</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Console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CEEFF"/>
          </w:tcPr>
          <w:p>
            <w:pPr>
              <w:jc w:val="center"/>
              <w:ind w:left="81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30"/>
        </w:trPr>
        <w:tc>
          <w:tcPr>
            <w:tcW w:w="3720" w:type="dxa"/>
            <w:vAlign w:val="bottom"/>
          </w:tcPr>
          <w:p>
            <w:pPr>
              <w:ind w:left="20"/>
              <w:spacing w:after="0"/>
              <w:rPr>
                <w:sz w:val="20"/>
                <w:szCs w:val="20"/>
                <w:color w:val="auto"/>
              </w:rPr>
            </w:pPr>
            <w:r>
              <w:rPr>
                <w:rFonts w:ascii="Arial" w:cs="Arial" w:eastAsia="Arial" w:hAnsi="Arial"/>
                <w:sz w:val="18"/>
                <w:szCs w:val="18"/>
                <w:color w:val="auto"/>
              </w:rPr>
              <w:t>PC</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40" w:type="dxa"/>
            <w:vAlign w:val="bottom"/>
            <w:gridSpan w:val="2"/>
          </w:tcPr>
          <w:p>
            <w:pPr>
              <w:jc w:val="center"/>
              <w:ind w:left="81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9"/>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Mobile and ancillary (1)</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center"/>
              <w:ind w:left="81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9"/>
        </w:trPr>
        <w:tc>
          <w:tcPr>
            <w:tcW w:w="3720" w:type="dxa"/>
            <w:vAlign w:val="bottom"/>
          </w:tcPr>
          <w:p>
            <w:pPr>
              <w:ind w:left="20"/>
              <w:spacing w:after="0"/>
              <w:rPr>
                <w:sz w:val="20"/>
                <w:szCs w:val="20"/>
                <w:color w:val="auto"/>
              </w:rPr>
            </w:pPr>
            <w:r>
              <w:rPr>
                <w:rFonts w:ascii="Arial" w:cs="Arial" w:eastAsia="Arial" w:hAnsi="Arial"/>
                <w:sz w:val="18"/>
                <w:szCs w:val="18"/>
                <w:color w:val="auto"/>
              </w:rPr>
              <w:t>Other (2)</w:t>
            </w:r>
          </w:p>
        </w:tc>
        <w:tc>
          <w:tcPr>
            <w:tcW w:w="1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center"/>
              <w:ind w:left="81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8"/>
        </w:trPr>
        <w:tc>
          <w:tcPr>
            <w:tcW w:w="3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change in deferred revenues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CEEFF"/>
          </w:tcPr>
          <w:p>
            <w:pPr>
              <w:jc w:val="center"/>
              <w:ind w:left="91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3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Segment net revenues:</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20" w:type="dxa"/>
            <w:vAlign w:val="bottom"/>
          </w:tcPr>
          <w:p>
            <w:pPr>
              <w:ind w:left="20"/>
              <w:spacing w:after="0"/>
              <w:rPr>
                <w:sz w:val="20"/>
                <w:szCs w:val="20"/>
                <w:color w:val="auto"/>
              </w:rPr>
            </w:pPr>
            <w:r>
              <w:rPr>
                <w:rFonts w:ascii="Arial" w:cs="Arial" w:eastAsia="Arial" w:hAnsi="Arial"/>
                <w:sz w:val="18"/>
                <w:szCs w:val="18"/>
                <w:color w:val="auto"/>
              </w:rPr>
              <w:t>Console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1,560</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center"/>
              <w:ind w:left="810"/>
              <w:spacing w:after="0"/>
              <w:rPr>
                <w:sz w:val="20"/>
                <w:szCs w:val="20"/>
                <w:color w:val="auto"/>
              </w:rPr>
            </w:pPr>
            <w:r>
              <w:rPr>
                <w:rFonts w:ascii="Arial" w:cs="Arial" w:eastAsia="Arial" w:hAnsi="Arial"/>
                <w:sz w:val="18"/>
                <w:szCs w:val="18"/>
                <w:color w:val="auto"/>
                <w:w w:val="99"/>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1,643</w:t>
            </w: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PC</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center"/>
              <w:ind w:left="910"/>
              <w:spacing w:after="0"/>
              <w:rPr>
                <w:sz w:val="20"/>
                <w:szCs w:val="20"/>
                <w:color w:val="auto"/>
              </w:rPr>
            </w:pPr>
            <w:r>
              <w:rPr>
                <w:rFonts w:ascii="Arial" w:cs="Arial" w:eastAsia="Arial" w:hAnsi="Arial"/>
                <w:sz w:val="18"/>
                <w:szCs w:val="18"/>
                <w:color w:val="auto"/>
                <w:w w:val="93"/>
              </w:rPr>
              <w:t>(62)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1,467</w:t>
            </w:r>
          </w:p>
        </w:tc>
        <w:tc>
          <w:tcPr>
            <w:tcW w:w="0" w:type="dxa"/>
            <w:vAlign w:val="bottom"/>
          </w:tcPr>
          <w:p>
            <w:pPr>
              <w:spacing w:after="0"/>
              <w:rPr>
                <w:sz w:val="1"/>
                <w:szCs w:val="1"/>
                <w:color w:val="auto"/>
              </w:rPr>
            </w:pPr>
          </w:p>
        </w:tc>
      </w:tr>
      <w:tr>
        <w:trPr>
          <w:trHeight w:val="229"/>
        </w:trPr>
        <w:tc>
          <w:tcPr>
            <w:tcW w:w="3720" w:type="dxa"/>
            <w:vAlign w:val="bottom"/>
          </w:tcPr>
          <w:p>
            <w:pPr>
              <w:ind w:left="20"/>
              <w:spacing w:after="0"/>
              <w:rPr>
                <w:sz w:val="20"/>
                <w:szCs w:val="20"/>
                <w:color w:val="auto"/>
              </w:rPr>
            </w:pPr>
            <w:r>
              <w:rPr>
                <w:rFonts w:ascii="Arial" w:cs="Arial" w:eastAsia="Arial" w:hAnsi="Arial"/>
                <w:sz w:val="18"/>
                <w:szCs w:val="18"/>
                <w:color w:val="auto"/>
              </w:rPr>
              <w:t>Mobile and ancillary (1)</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40" w:type="dxa"/>
            <w:vAlign w:val="bottom"/>
            <w:gridSpan w:val="2"/>
          </w:tcPr>
          <w:p>
            <w:pPr>
              <w:jc w:val="center"/>
              <w:ind w:left="81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1,885</w:t>
            </w: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(2)</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center"/>
              <w:ind w:left="81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23"/>
        </w:trPr>
        <w:tc>
          <w:tcPr>
            <w:tcW w:w="3720" w:type="dxa"/>
            <w:vAlign w:val="bottom"/>
          </w:tcPr>
          <w:p>
            <w:pPr>
              <w:ind w:left="20"/>
              <w:spacing w:after="0"/>
              <w:rPr>
                <w:sz w:val="20"/>
                <w:szCs w:val="20"/>
                <w:color w:val="auto"/>
              </w:rPr>
            </w:pPr>
            <w:r>
              <w:rPr>
                <w:rFonts w:ascii="Arial" w:cs="Arial" w:eastAsia="Arial" w:hAnsi="Arial"/>
                <w:sz w:val="18"/>
                <w:szCs w:val="18"/>
                <w:color w:val="auto"/>
              </w:rPr>
              <w:t>Total segment net revenues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2,285</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1,326</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1,587</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center"/>
              <w:ind w:left="910"/>
              <w:spacing w:after="0"/>
              <w:rPr>
                <w:sz w:val="20"/>
                <w:szCs w:val="20"/>
                <w:color w:val="auto"/>
              </w:rPr>
            </w:pPr>
            <w:r>
              <w:rPr>
                <w:rFonts w:ascii="Arial" w:cs="Arial" w:eastAsia="Arial" w:hAnsi="Arial"/>
                <w:sz w:val="18"/>
                <w:szCs w:val="18"/>
                <w:color w:val="auto"/>
                <w:w w:val="93"/>
              </w:rPr>
              <w:t>(62)</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5,368</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07"/>
        </w:trPr>
        <w:tc>
          <w:tcPr>
            <w:tcW w:w="372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25"/>
        </w:trPr>
        <w:tc>
          <w:tcPr>
            <w:tcW w:w="1280" w:type="dxa"/>
            <w:vAlign w:val="bottom"/>
            <w:tcBorders>
              <w:top w:val="single" w:sz="8" w:color="0000FF"/>
            </w:tcBorders>
          </w:tcPr>
          <w:p>
            <w:pPr>
              <w:spacing w:after="0"/>
              <w:rPr>
                <w:sz w:val="24"/>
                <w:szCs w:val="24"/>
                <w:color w:val="auto"/>
              </w:rPr>
            </w:pPr>
          </w:p>
        </w:tc>
        <w:tc>
          <w:tcPr>
            <w:tcW w:w="24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120" w:type="dxa"/>
            <w:vAlign w:val="bottom"/>
            <w:tcBorders>
              <w:bottom w:val="single" w:sz="8" w:color="auto"/>
            </w:tcBorders>
            <w:gridSpan w:val="11"/>
          </w:tcPr>
          <w:p>
            <w:pPr>
              <w:jc w:val="center"/>
              <w:ind w:right="520"/>
              <w:spacing w:after="0"/>
              <w:rPr>
                <w:sz w:val="20"/>
                <w:szCs w:val="20"/>
                <w:color w:val="auto"/>
              </w:rPr>
            </w:pPr>
            <w:r>
              <w:rPr>
                <w:rFonts w:ascii="Arial" w:cs="Arial" w:eastAsia="Arial" w:hAnsi="Arial"/>
                <w:sz w:val="18"/>
                <w:szCs w:val="18"/>
                <w:b w:val="1"/>
                <w:bCs w:val="1"/>
                <w:color w:val="auto"/>
                <w:w w:val="90"/>
              </w:rPr>
              <w:t>Nine Months Ended September 30, 2019</w:t>
            </w: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240"/>
              <w:spacing w:after="0" w:line="169" w:lineRule="exact"/>
              <w:rPr>
                <w:sz w:val="20"/>
                <w:szCs w:val="20"/>
                <w:color w:val="auto"/>
              </w:rPr>
            </w:pPr>
            <w:r>
              <w:rPr>
                <w:rFonts w:ascii="Arial" w:cs="Arial" w:eastAsia="Arial" w:hAnsi="Arial"/>
                <w:sz w:val="18"/>
                <w:szCs w:val="18"/>
                <w:b w:val="1"/>
                <w:bCs w:val="1"/>
                <w:color w:val="auto"/>
                <w:w w:val="92"/>
              </w:rPr>
              <w:t>Non-</w:t>
            </w:r>
          </w:p>
        </w:tc>
        <w:tc>
          <w:tcPr>
            <w:tcW w:w="160" w:type="dxa"/>
            <w:vAlign w:val="bottom"/>
          </w:tcPr>
          <w:p>
            <w:pPr>
              <w:spacing w:after="0"/>
              <w:rPr>
                <w:sz w:val="14"/>
                <w:szCs w:val="14"/>
                <w:color w:val="auto"/>
              </w:rPr>
            </w:pPr>
          </w:p>
        </w:tc>
        <w:tc>
          <w:tcPr>
            <w:tcW w:w="1440" w:type="dxa"/>
            <w:vAlign w:val="bottom"/>
            <w:gridSpan w:val="2"/>
          </w:tcPr>
          <w:p>
            <w:pPr>
              <w:jc w:val="center"/>
              <w:ind w:right="260"/>
              <w:spacing w:after="0" w:line="169" w:lineRule="exact"/>
              <w:rPr>
                <w:sz w:val="20"/>
                <w:szCs w:val="20"/>
                <w:color w:val="auto"/>
              </w:rPr>
            </w:pPr>
            <w:r>
              <w:rPr>
                <w:rFonts w:ascii="Arial" w:cs="Arial" w:eastAsia="Arial" w:hAnsi="Arial"/>
                <w:sz w:val="18"/>
                <w:szCs w:val="18"/>
                <w:b w:val="1"/>
                <w:bCs w:val="1"/>
                <w:color w:val="auto"/>
                <w:w w:val="92"/>
              </w:rPr>
              <w:t>Elimination of</w:t>
            </w: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28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Activision</w:t>
            </w:r>
          </w:p>
        </w:tc>
        <w:tc>
          <w:tcPr>
            <w:tcW w:w="200" w:type="dxa"/>
            <w:vAlign w:val="bottom"/>
          </w:tcPr>
          <w:p>
            <w:pPr>
              <w:spacing w:after="0"/>
              <w:rPr>
                <w:sz w:val="15"/>
                <w:szCs w:val="15"/>
                <w:color w:val="auto"/>
              </w:rPr>
            </w:pPr>
          </w:p>
        </w:tc>
        <w:tc>
          <w:tcPr>
            <w:tcW w:w="108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Blizzard</w:t>
            </w:r>
          </w:p>
        </w:tc>
        <w:tc>
          <w:tcPr>
            <w:tcW w:w="220" w:type="dxa"/>
            <w:vAlign w:val="bottom"/>
          </w:tcPr>
          <w:p>
            <w:pPr>
              <w:spacing w:after="0"/>
              <w:rPr>
                <w:sz w:val="15"/>
                <w:szCs w:val="15"/>
                <w:color w:val="auto"/>
              </w:rPr>
            </w:pPr>
          </w:p>
        </w:tc>
        <w:tc>
          <w:tcPr>
            <w:tcW w:w="92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King</w:t>
            </w:r>
          </w:p>
        </w:tc>
        <w:tc>
          <w:tcPr>
            <w:tcW w:w="160" w:type="dxa"/>
            <w:vAlign w:val="bottom"/>
          </w:tcPr>
          <w:p>
            <w:pPr>
              <w:spacing w:after="0"/>
              <w:rPr>
                <w:sz w:val="15"/>
                <w:szCs w:val="15"/>
                <w:color w:val="auto"/>
              </w:rPr>
            </w:pPr>
          </w:p>
        </w:tc>
        <w:tc>
          <w:tcPr>
            <w:tcW w:w="114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90"/>
              </w:rPr>
              <w:t>reportable</w:t>
            </w:r>
          </w:p>
        </w:tc>
        <w:tc>
          <w:tcPr>
            <w:tcW w:w="160" w:type="dxa"/>
            <w:vAlign w:val="bottom"/>
          </w:tcPr>
          <w:p>
            <w:pPr>
              <w:spacing w:after="0"/>
              <w:rPr>
                <w:sz w:val="15"/>
                <w:szCs w:val="15"/>
                <w:color w:val="auto"/>
              </w:rPr>
            </w:pPr>
          </w:p>
        </w:tc>
        <w:tc>
          <w:tcPr>
            <w:tcW w:w="1440" w:type="dxa"/>
            <w:vAlign w:val="bottom"/>
            <w:gridSpan w:val="2"/>
          </w:tcPr>
          <w:p>
            <w:pPr>
              <w:jc w:val="center"/>
              <w:ind w:right="240"/>
              <w:spacing w:after="0" w:line="176" w:lineRule="exact"/>
              <w:rPr>
                <w:sz w:val="20"/>
                <w:szCs w:val="20"/>
                <w:color w:val="auto"/>
              </w:rPr>
            </w:pPr>
            <w:r>
              <w:rPr>
                <w:rFonts w:ascii="Arial" w:cs="Arial" w:eastAsia="Arial" w:hAnsi="Arial"/>
                <w:sz w:val="18"/>
                <w:szCs w:val="18"/>
                <w:b w:val="1"/>
                <w:bCs w:val="1"/>
                <w:color w:val="auto"/>
                <w:w w:val="88"/>
              </w:rPr>
              <w:t>intersegment</w:t>
            </w:r>
          </w:p>
        </w:tc>
        <w:tc>
          <w:tcPr>
            <w:tcW w:w="200" w:type="dxa"/>
            <w:vAlign w:val="bottom"/>
          </w:tcPr>
          <w:p>
            <w:pPr>
              <w:spacing w:after="0"/>
              <w:rPr>
                <w:sz w:val="15"/>
                <w:szCs w:val="15"/>
                <w:color w:val="auto"/>
              </w:rPr>
            </w:pPr>
          </w:p>
        </w:tc>
        <w:tc>
          <w:tcPr>
            <w:tcW w:w="74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128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0"/>
              </w:rPr>
              <w:t>segments</w:t>
            </w:r>
          </w:p>
        </w:tc>
        <w:tc>
          <w:tcPr>
            <w:tcW w:w="160" w:type="dxa"/>
            <w:vAlign w:val="bottom"/>
          </w:tcPr>
          <w:p>
            <w:pPr>
              <w:spacing w:after="0"/>
              <w:rPr>
                <w:sz w:val="19"/>
                <w:szCs w:val="19"/>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revenues (3)</w:t>
            </w:r>
          </w:p>
        </w:tc>
        <w:tc>
          <w:tcPr>
            <w:tcW w:w="20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7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revenues by platform:</w:t>
            </w: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20" w:type="dxa"/>
            <w:vAlign w:val="bottom"/>
            <w:gridSpan w:val="2"/>
          </w:tcPr>
          <w:p>
            <w:pPr>
              <w:ind w:left="20"/>
              <w:spacing w:after="0"/>
              <w:rPr>
                <w:sz w:val="20"/>
                <w:szCs w:val="20"/>
                <w:color w:val="auto"/>
              </w:rPr>
            </w:pPr>
            <w:r>
              <w:rPr>
                <w:rFonts w:ascii="Arial" w:cs="Arial" w:eastAsia="Arial" w:hAnsi="Arial"/>
                <w:sz w:val="18"/>
                <w:szCs w:val="18"/>
                <w:color w:val="auto"/>
              </w:rPr>
              <w:t>Console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1,222</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1,324</w:t>
            </w:r>
          </w:p>
        </w:tc>
        <w:tc>
          <w:tcPr>
            <w:tcW w:w="0" w:type="dxa"/>
            <w:vAlign w:val="bottom"/>
          </w:tcPr>
          <w:p>
            <w:pPr>
              <w:spacing w:after="0"/>
              <w:rPr>
                <w:sz w:val="1"/>
                <w:szCs w:val="1"/>
                <w:color w:val="auto"/>
              </w:rPr>
            </w:pPr>
          </w:p>
        </w:tc>
      </w:tr>
      <w:tr>
        <w:trPr>
          <w:trHeight w:val="229"/>
        </w:trPr>
        <w:tc>
          <w:tcPr>
            <w:tcW w:w="3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PC</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ind w:left="1100"/>
              <w:spacing w:after="0"/>
              <w:rPr>
                <w:sz w:val="20"/>
                <w:szCs w:val="20"/>
                <w:color w:val="auto"/>
              </w:rPr>
            </w:pPr>
            <w:r>
              <w:rPr>
                <w:rFonts w:ascii="Arial" w:cs="Arial" w:eastAsia="Arial" w:hAnsi="Arial"/>
                <w:sz w:val="18"/>
                <w:szCs w:val="18"/>
                <w:color w:val="auto"/>
                <w:w w:val="99"/>
              </w:rPr>
              <w:t>(9)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w:t>
            </w:r>
          </w:p>
        </w:tc>
        <w:tc>
          <w:tcPr>
            <w:tcW w:w="0" w:type="dxa"/>
            <w:vAlign w:val="bottom"/>
          </w:tcPr>
          <w:p>
            <w:pPr>
              <w:spacing w:after="0"/>
              <w:rPr>
                <w:sz w:val="1"/>
                <w:szCs w:val="1"/>
                <w:color w:val="auto"/>
              </w:rPr>
            </w:pPr>
          </w:p>
        </w:tc>
      </w:tr>
      <w:tr>
        <w:trPr>
          <w:trHeight w:val="230"/>
        </w:trPr>
        <w:tc>
          <w:tcPr>
            <w:tcW w:w="3720" w:type="dxa"/>
            <w:vAlign w:val="bottom"/>
            <w:gridSpan w:val="2"/>
          </w:tcPr>
          <w:p>
            <w:pPr>
              <w:ind w:left="20"/>
              <w:spacing w:after="0"/>
              <w:rPr>
                <w:sz w:val="20"/>
                <w:szCs w:val="20"/>
                <w:color w:val="auto"/>
              </w:rPr>
            </w:pPr>
            <w:r>
              <w:rPr>
                <w:rFonts w:ascii="Arial" w:cs="Arial" w:eastAsia="Arial" w:hAnsi="Arial"/>
                <w:sz w:val="18"/>
                <w:szCs w:val="18"/>
                <w:color w:val="auto"/>
              </w:rPr>
              <w:t>Mobile and ancillary (1)</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1,435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4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1,572</w:t>
            </w:r>
          </w:p>
        </w:tc>
        <w:tc>
          <w:tcPr>
            <w:tcW w:w="0" w:type="dxa"/>
            <w:vAlign w:val="bottom"/>
          </w:tcPr>
          <w:p>
            <w:pPr>
              <w:spacing w:after="0"/>
              <w:rPr>
                <w:sz w:val="1"/>
                <w:szCs w:val="1"/>
                <w:color w:val="auto"/>
              </w:rPr>
            </w:pPr>
          </w:p>
        </w:tc>
      </w:tr>
      <w:tr>
        <w:trPr>
          <w:trHeight w:val="229"/>
        </w:trPr>
        <w:tc>
          <w:tcPr>
            <w:tcW w:w="3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(2)</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23"/>
        </w:trPr>
        <w:tc>
          <w:tcPr>
            <w:tcW w:w="3720" w:type="dxa"/>
            <w:vAlign w:val="bottom"/>
            <w:gridSpan w:val="2"/>
          </w:tcPr>
          <w:p>
            <w:pPr>
              <w:ind w:left="20"/>
              <w:spacing w:after="0"/>
              <w:rPr>
                <w:sz w:val="20"/>
                <w:szCs w:val="20"/>
                <w:color w:val="auto"/>
              </w:rPr>
            </w:pPr>
            <w:r>
              <w:rPr>
                <w:rFonts w:ascii="Arial" w:cs="Arial" w:eastAsia="Arial" w:hAnsi="Arial"/>
                <w:sz w:val="18"/>
                <w:szCs w:val="18"/>
                <w:color w:val="auto"/>
              </w:rPr>
              <w:t>Total consolidated net revenues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1,442</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1,289</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1,527</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ind w:left="1100"/>
              <w:spacing w:after="0"/>
              <w:rPr>
                <w:sz w:val="20"/>
                <w:szCs w:val="20"/>
                <w:color w:val="auto"/>
              </w:rPr>
            </w:pPr>
            <w:r>
              <w:rPr>
                <w:rFonts w:ascii="Arial" w:cs="Arial" w:eastAsia="Arial" w:hAnsi="Arial"/>
                <w:sz w:val="18"/>
                <w:szCs w:val="18"/>
                <w:color w:val="auto"/>
                <w:w w:val="99"/>
              </w:rPr>
              <w:t>(9)</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4,503</w:t>
            </w:r>
          </w:p>
        </w:tc>
        <w:tc>
          <w:tcPr>
            <w:tcW w:w="0" w:type="dxa"/>
            <w:vAlign w:val="bottom"/>
          </w:tcPr>
          <w:p>
            <w:pPr>
              <w:spacing w:after="0"/>
              <w:rPr>
                <w:sz w:val="1"/>
                <w:szCs w:val="1"/>
                <w:color w:val="auto"/>
              </w:rPr>
            </w:pP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24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8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3720" w:type="dxa"/>
            <w:vAlign w:val="bottom"/>
            <w:gridSpan w:val="2"/>
          </w:tcPr>
          <w:p>
            <w:pPr>
              <w:ind w:left="20"/>
              <w:spacing w:after="0"/>
              <w:rPr>
                <w:sz w:val="20"/>
                <w:szCs w:val="20"/>
                <w:color w:val="auto"/>
              </w:rPr>
            </w:pPr>
            <w:r>
              <w:rPr>
                <w:rFonts w:ascii="Arial" w:cs="Arial" w:eastAsia="Arial" w:hAnsi="Arial"/>
                <w:sz w:val="18"/>
                <w:szCs w:val="18"/>
                <w:color w:val="auto"/>
              </w:rPr>
              <w:t>Change in deferred revenues:</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Console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30"/>
        </w:trPr>
        <w:tc>
          <w:tcPr>
            <w:tcW w:w="3720" w:type="dxa"/>
            <w:vAlign w:val="bottom"/>
            <w:gridSpan w:val="2"/>
          </w:tcPr>
          <w:p>
            <w:pPr>
              <w:ind w:left="20"/>
              <w:spacing w:after="0"/>
              <w:rPr>
                <w:sz w:val="20"/>
                <w:szCs w:val="20"/>
                <w:color w:val="auto"/>
              </w:rPr>
            </w:pPr>
            <w:r>
              <w:rPr>
                <w:rFonts w:ascii="Arial" w:cs="Arial" w:eastAsia="Arial" w:hAnsi="Arial"/>
                <w:sz w:val="18"/>
                <w:szCs w:val="18"/>
                <w:color w:val="auto"/>
              </w:rPr>
              <w:t>PC</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4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29"/>
        </w:trPr>
        <w:tc>
          <w:tcPr>
            <w:tcW w:w="3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Mobile and ancillary (1)</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3720" w:type="dxa"/>
            <w:vAlign w:val="bottom"/>
            <w:gridSpan w:val="2"/>
          </w:tcPr>
          <w:p>
            <w:pPr>
              <w:ind w:left="20"/>
              <w:spacing w:after="0"/>
              <w:rPr>
                <w:sz w:val="20"/>
                <w:szCs w:val="20"/>
                <w:color w:val="auto"/>
              </w:rPr>
            </w:pPr>
            <w:r>
              <w:rPr>
                <w:rFonts w:ascii="Arial" w:cs="Arial" w:eastAsia="Arial" w:hAnsi="Arial"/>
                <w:sz w:val="18"/>
                <w:szCs w:val="18"/>
                <w:color w:val="auto"/>
              </w:rPr>
              <w:t>Other (2)</w:t>
            </w:r>
          </w:p>
        </w:tc>
        <w:tc>
          <w:tcPr>
            <w:tcW w:w="1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8"/>
        </w:trPr>
        <w:tc>
          <w:tcPr>
            <w:tcW w:w="37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change in deferred revenues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1280" w:type="dxa"/>
            <w:vAlign w:val="bottom"/>
          </w:tcPr>
          <w:p>
            <w:pPr>
              <w:spacing w:after="0"/>
              <w:rPr>
                <w:sz w:val="9"/>
                <w:szCs w:val="9"/>
                <w:color w:val="auto"/>
              </w:rPr>
            </w:pPr>
          </w:p>
        </w:tc>
        <w:tc>
          <w:tcPr>
            <w:tcW w:w="2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37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Segment net revenues:</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20" w:type="dxa"/>
            <w:vAlign w:val="bottom"/>
            <w:gridSpan w:val="2"/>
          </w:tcPr>
          <w:p>
            <w:pPr>
              <w:ind w:left="20"/>
              <w:spacing w:after="0"/>
              <w:rPr>
                <w:sz w:val="20"/>
                <w:szCs w:val="20"/>
                <w:color w:val="auto"/>
              </w:rPr>
            </w:pPr>
            <w:r>
              <w:rPr>
                <w:rFonts w:ascii="Arial" w:cs="Arial" w:eastAsia="Arial" w:hAnsi="Arial"/>
                <w:sz w:val="18"/>
                <w:szCs w:val="18"/>
                <w:color w:val="auto"/>
              </w:rPr>
              <w:t>Console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659</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30"/>
        </w:trPr>
        <w:tc>
          <w:tcPr>
            <w:tcW w:w="3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PC</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ind w:left="1100"/>
              <w:spacing w:after="0"/>
              <w:rPr>
                <w:sz w:val="20"/>
                <w:szCs w:val="20"/>
                <w:color w:val="auto"/>
              </w:rPr>
            </w:pPr>
            <w:r>
              <w:rPr>
                <w:rFonts w:ascii="Arial" w:cs="Arial" w:eastAsia="Arial" w:hAnsi="Arial"/>
                <w:sz w:val="18"/>
                <w:szCs w:val="18"/>
                <w:color w:val="auto"/>
                <w:w w:val="99"/>
              </w:rPr>
              <w:t>(9)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0" w:type="dxa"/>
            <w:vAlign w:val="bottom"/>
          </w:tcPr>
          <w:p>
            <w:pPr>
              <w:spacing w:after="0"/>
              <w:rPr>
                <w:sz w:val="1"/>
                <w:szCs w:val="1"/>
                <w:color w:val="auto"/>
              </w:rPr>
            </w:pPr>
          </w:p>
        </w:tc>
      </w:tr>
      <w:tr>
        <w:trPr>
          <w:trHeight w:val="229"/>
        </w:trPr>
        <w:tc>
          <w:tcPr>
            <w:tcW w:w="3720" w:type="dxa"/>
            <w:vAlign w:val="bottom"/>
            <w:gridSpan w:val="2"/>
          </w:tcPr>
          <w:p>
            <w:pPr>
              <w:ind w:left="20"/>
              <w:spacing w:after="0"/>
              <w:rPr>
                <w:sz w:val="20"/>
                <w:szCs w:val="20"/>
                <w:color w:val="auto"/>
              </w:rPr>
            </w:pPr>
            <w:r>
              <w:rPr>
                <w:rFonts w:ascii="Arial" w:cs="Arial" w:eastAsia="Arial" w:hAnsi="Arial"/>
                <w:sz w:val="18"/>
                <w:szCs w:val="18"/>
                <w:color w:val="auto"/>
              </w:rPr>
              <w:t>Mobile and ancillary (1)</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1,436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4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1,562</w:t>
            </w:r>
          </w:p>
        </w:tc>
        <w:tc>
          <w:tcPr>
            <w:tcW w:w="0" w:type="dxa"/>
            <w:vAlign w:val="bottom"/>
          </w:tcPr>
          <w:p>
            <w:pPr>
              <w:spacing w:after="0"/>
              <w:rPr>
                <w:sz w:val="1"/>
                <w:szCs w:val="1"/>
                <w:color w:val="auto"/>
              </w:rPr>
            </w:pPr>
          </w:p>
        </w:tc>
      </w:tr>
      <w:tr>
        <w:trPr>
          <w:trHeight w:val="230"/>
        </w:trPr>
        <w:tc>
          <w:tcPr>
            <w:tcW w:w="3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(2)</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23"/>
        </w:trPr>
        <w:tc>
          <w:tcPr>
            <w:tcW w:w="3720" w:type="dxa"/>
            <w:vAlign w:val="bottom"/>
            <w:gridSpan w:val="2"/>
          </w:tcPr>
          <w:p>
            <w:pPr>
              <w:ind w:left="20"/>
              <w:spacing w:after="0"/>
              <w:rPr>
                <w:sz w:val="20"/>
                <w:szCs w:val="20"/>
                <w:color w:val="auto"/>
              </w:rPr>
            </w:pPr>
            <w:r>
              <w:rPr>
                <w:rFonts w:ascii="Arial" w:cs="Arial" w:eastAsia="Arial" w:hAnsi="Arial"/>
                <w:sz w:val="18"/>
                <w:szCs w:val="18"/>
                <w:color w:val="auto"/>
              </w:rPr>
              <w:t>Total segment net revenues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794</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1,122</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1,527</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ind w:left="1100"/>
              <w:spacing w:after="0"/>
              <w:rPr>
                <w:sz w:val="20"/>
                <w:szCs w:val="20"/>
                <w:color w:val="auto"/>
              </w:rPr>
            </w:pPr>
            <w:r>
              <w:rPr>
                <w:rFonts w:ascii="Arial" w:cs="Arial" w:eastAsia="Arial" w:hAnsi="Arial"/>
                <w:sz w:val="18"/>
                <w:szCs w:val="18"/>
                <w:color w:val="auto"/>
                <w:w w:val="99"/>
              </w:rPr>
              <w:t>(9)</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3,679</w:t>
            </w:r>
          </w:p>
        </w:tc>
        <w:tc>
          <w:tcPr>
            <w:tcW w:w="0" w:type="dxa"/>
            <w:vAlign w:val="bottom"/>
          </w:tcPr>
          <w:p>
            <w:pPr>
              <w:spacing w:after="0"/>
              <w:rPr>
                <w:sz w:val="1"/>
                <w:szCs w:val="1"/>
                <w:color w:val="auto"/>
              </w:rPr>
            </w:pPr>
          </w:p>
        </w:tc>
      </w:tr>
      <w:tr>
        <w:trPr>
          <w:trHeight w:val="21"/>
        </w:trPr>
        <w:tc>
          <w:tcPr>
            <w:tcW w:w="12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340" w:right="340" w:hanging="332"/>
        <w:spacing w:after="0" w:line="277" w:lineRule="auto"/>
        <w:tabs>
          <w:tab w:leader="none" w:pos="406" w:val="left"/>
        </w:tabs>
        <w:numPr>
          <w:ilvl w:val="0"/>
          <w:numId w:val="9"/>
        </w:numPr>
        <w:rPr>
          <w:rFonts w:ascii="Arial" w:cs="Arial" w:eastAsia="Arial" w:hAnsi="Arial"/>
          <w:sz w:val="18"/>
          <w:szCs w:val="18"/>
          <w:color w:val="auto"/>
        </w:rPr>
      </w:pPr>
      <w:r>
        <w:rPr>
          <w:rFonts w:ascii="Arial" w:cs="Arial" w:eastAsia="Arial" w:hAnsi="Arial"/>
          <w:sz w:val="18"/>
          <w:szCs w:val="18"/>
          <w:color w:val="auto"/>
        </w:rPr>
        <w:t>Net revenues from “Mobile and ancillary” include revenues from mobile devices, as well as non-platform specific game-related revenues, such as standalone sales of physical merchandise and accessories.</w:t>
      </w:r>
    </w:p>
    <w:p>
      <w:pPr>
        <w:spacing w:after="0" w:line="197" w:lineRule="exact"/>
        <w:rPr>
          <w:rFonts w:ascii="Arial" w:cs="Arial" w:eastAsia="Arial" w:hAnsi="Arial"/>
          <w:sz w:val="18"/>
          <w:szCs w:val="18"/>
          <w:color w:val="auto"/>
        </w:rPr>
      </w:pPr>
    </w:p>
    <w:p>
      <w:pPr>
        <w:ind w:left="400" w:hanging="392"/>
        <w:spacing w:after="0"/>
        <w:tabs>
          <w:tab w:leader="none" w:pos="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Net revenues from “Other” include revenues from our Distribution business, the Overwatch League, and the Call of Duty League.</w:t>
      </w:r>
    </w:p>
    <w:p>
      <w:pPr>
        <w:spacing w:after="0" w:line="252" w:lineRule="exact"/>
        <w:rPr>
          <w:rFonts w:ascii="Arial" w:cs="Arial" w:eastAsia="Arial" w:hAnsi="Arial"/>
          <w:sz w:val="18"/>
          <w:szCs w:val="18"/>
          <w:color w:val="auto"/>
        </w:rPr>
      </w:pPr>
    </w:p>
    <w:p>
      <w:pPr>
        <w:ind w:left="400" w:hanging="392"/>
        <w:spacing w:after="0"/>
        <w:tabs>
          <w:tab w:leader="none" w:pos="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Intersegment revenues reflect licensing and service fees charged between segments.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Long-lived assets by geographic region were as follows (amounts in millions):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gridSpan w:val="2"/>
          </w:tcPr>
          <w:p>
            <w:pPr>
              <w:ind w:left="120"/>
              <w:spacing w:after="0"/>
              <w:rPr>
                <w:sz w:val="20"/>
                <w:szCs w:val="20"/>
                <w:color w:val="auto"/>
              </w:rPr>
            </w:pPr>
            <w:r>
              <w:rPr>
                <w:rFonts w:ascii="Arial" w:cs="Arial" w:eastAsia="Arial" w:hAnsi="Arial"/>
                <w:sz w:val="18"/>
                <w:szCs w:val="18"/>
                <w:b w:val="1"/>
                <w:bCs w:val="1"/>
                <w:color w:val="auto"/>
              </w:rPr>
              <w:t>At September 30, 2020</w:t>
            </w:r>
          </w:p>
        </w:tc>
        <w:tc>
          <w:tcPr>
            <w:tcW w:w="240" w:type="dxa"/>
            <w:vAlign w:val="bottom"/>
          </w:tcPr>
          <w:p>
            <w:pPr>
              <w:spacing w:after="0"/>
              <w:rPr>
                <w:sz w:val="20"/>
                <w:szCs w:val="20"/>
                <w:color w:val="auto"/>
              </w:rPr>
            </w:pPr>
          </w:p>
        </w:tc>
        <w:tc>
          <w:tcPr>
            <w:tcW w:w="2160" w:type="dxa"/>
            <w:vAlign w:val="bottom"/>
          </w:tcPr>
          <w:p>
            <w:pPr>
              <w:jc w:val="right"/>
              <w:ind w:right="270"/>
              <w:spacing w:after="0"/>
              <w:rPr>
                <w:sz w:val="20"/>
                <w:szCs w:val="20"/>
                <w:color w:val="auto"/>
              </w:rPr>
            </w:pPr>
            <w:r>
              <w:rPr>
                <w:rFonts w:ascii="Arial" w:cs="Arial" w:eastAsia="Arial" w:hAnsi="Arial"/>
                <w:sz w:val="18"/>
                <w:szCs w:val="18"/>
                <w:b w:val="1"/>
                <w:bCs w:val="1"/>
                <w:color w:val="auto"/>
                <w:w w:val="95"/>
              </w:rPr>
              <w:t>At December 31, 2019</w:t>
            </w:r>
          </w:p>
        </w:tc>
      </w:tr>
      <w:tr>
        <w:trPr>
          <w:trHeight w:val="210"/>
        </w:trPr>
        <w:tc>
          <w:tcPr>
            <w:tcW w:w="6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Long-lived assets (1) by geographic region:</w:t>
            </w:r>
          </w:p>
        </w:tc>
        <w:tc>
          <w:tcPr>
            <w:tcW w:w="220" w:type="dxa"/>
            <w:vAlign w:val="bottom"/>
            <w:tcBorders>
              <w:top w:val="single" w:sz="8" w:color="auto"/>
            </w:tcBorders>
            <w:shd w:val="clear" w:color="auto" w:fill="CCEEFF"/>
          </w:tcPr>
          <w:p>
            <w:pPr>
              <w:spacing w:after="0"/>
              <w:rPr>
                <w:sz w:val="18"/>
                <w:szCs w:val="18"/>
                <w:color w:val="auto"/>
              </w:rPr>
            </w:pPr>
          </w:p>
        </w:tc>
        <w:tc>
          <w:tcPr>
            <w:tcW w:w="2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spacing w:after="0"/>
              <w:rPr>
                <w:sz w:val="18"/>
                <w:szCs w:val="18"/>
                <w:color w:val="auto"/>
              </w:rPr>
            </w:pPr>
          </w:p>
        </w:tc>
      </w:tr>
      <w:tr>
        <w:trPr>
          <w:trHeight w:val="230"/>
        </w:trPr>
        <w:tc>
          <w:tcPr>
            <w:tcW w:w="6320" w:type="dxa"/>
            <w:vAlign w:val="bottom"/>
          </w:tcPr>
          <w:p>
            <w:pPr>
              <w:ind w:left="120"/>
              <w:spacing w:after="0"/>
              <w:rPr>
                <w:sz w:val="20"/>
                <w:szCs w:val="20"/>
                <w:color w:val="auto"/>
              </w:rPr>
            </w:pPr>
            <w:r>
              <w:rPr>
                <w:rFonts w:ascii="Arial" w:cs="Arial" w:eastAsia="Arial" w:hAnsi="Arial"/>
                <w:sz w:val="18"/>
                <w:szCs w:val="18"/>
                <w:color w:val="auto"/>
              </w:rPr>
              <w:t>Americas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180" w:type="dxa"/>
            <w:vAlign w:val="bottom"/>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2160" w:type="dxa"/>
            <w:vAlign w:val="bottom"/>
          </w:tcPr>
          <w:p>
            <w:pPr>
              <w:jc w:val="right"/>
              <w:spacing w:after="0"/>
              <w:rPr>
                <w:sz w:val="20"/>
                <w:szCs w:val="20"/>
                <w:color w:val="auto"/>
              </w:rPr>
            </w:pPr>
            <w:r>
              <w:rPr>
                <w:rFonts w:ascii="Arial" w:cs="Arial" w:eastAsia="Arial" w:hAnsi="Arial"/>
                <w:sz w:val="18"/>
                <w:szCs w:val="18"/>
                <w:color w:val="auto"/>
              </w:rPr>
              <w:t>322</w:t>
            </w:r>
          </w:p>
        </w:tc>
      </w:tr>
      <w:tr>
        <w:trPr>
          <w:trHeight w:val="230"/>
        </w:trPr>
        <w:tc>
          <w:tcPr>
            <w:tcW w:w="6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EMEA</w:t>
            </w:r>
          </w:p>
        </w:tc>
        <w:tc>
          <w:tcPr>
            <w:tcW w:w="22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r>
      <w:tr>
        <w:trPr>
          <w:trHeight w:val="229"/>
        </w:trPr>
        <w:tc>
          <w:tcPr>
            <w:tcW w:w="63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Asia Pacific</w:t>
            </w:r>
          </w:p>
        </w:tc>
        <w:tc>
          <w:tcPr>
            <w:tcW w:w="22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r>
      <w:tr>
        <w:trPr>
          <w:trHeight w:val="248"/>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long-lived assets by geographic region</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16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340" w:right="220" w:hanging="332"/>
        <w:spacing w:after="0" w:line="277" w:lineRule="auto"/>
        <w:tabs>
          <w:tab w:leader="none" w:pos="402"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only long-lived assets that we classify by region are our long-term tangible fixed assets, which consist of property, plant, and equipment assets, and our lease right-of-use assets; all other long-term assets are not allocated by location.</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Restructuring</w:t>
      </w:r>
    </w:p>
    <w:p>
      <w:pPr>
        <w:spacing w:after="0" w:line="256"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During 2019, we began implementing a restructuring plan aimed at refocusing our resources on our largest opportunities and removing unnecessary levels of complexity from certain parts of our business. We have been:</w:t>
      </w:r>
    </w:p>
    <w:p>
      <w:pPr>
        <w:spacing w:after="0" w:line="197" w:lineRule="exact"/>
        <w:rPr>
          <w:sz w:val="20"/>
          <w:szCs w:val="20"/>
          <w:color w:val="auto"/>
        </w:rPr>
      </w:pPr>
    </w:p>
    <w:p>
      <w:pPr>
        <w:ind w:left="980" w:right="80" w:hanging="324"/>
        <w:spacing w:after="0" w:line="277" w:lineRule="auto"/>
        <w:tabs>
          <w:tab w:leader="none" w:pos="9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increasing our investment in development for our largest, internally-owned franchises—across upfront releases, in-game content, mobile, and geographic expansion;</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reducing certain non-development and administrative-related costs across our business; and</w:t>
      </w:r>
    </w:p>
    <w:p>
      <w:pPr>
        <w:spacing w:after="0" w:line="252" w:lineRule="exact"/>
        <w:rPr>
          <w:rFonts w:ascii="Arial" w:cs="Arial" w:eastAsia="Arial" w:hAnsi="Arial"/>
          <w:sz w:val="18"/>
          <w:szCs w:val="18"/>
          <w:color w:val="auto"/>
        </w:rPr>
      </w:pPr>
    </w:p>
    <w:p>
      <w:pPr>
        <w:ind w:left="980" w:right="560" w:hanging="324"/>
        <w:spacing w:after="0" w:line="342" w:lineRule="auto"/>
        <w:tabs>
          <w:tab w:leader="none" w:pos="975"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integrating our global and regional sales and “go-to-market,” partnerships, and sponsorships capabilities across the business, which we believe will enable us to provide better opportunities for talent, and greater expertise and scale on behalf of our business units.</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restructuring actions remain in progress as we continue to focus on these goals and execute against our plan.</w:t>
      </w:r>
    </w:p>
    <w:p>
      <w:pPr>
        <w:spacing w:after="0" w:line="252" w:lineRule="exact"/>
        <w:rPr>
          <w:sz w:val="20"/>
          <w:szCs w:val="20"/>
          <w:color w:val="auto"/>
        </w:rPr>
      </w:pPr>
    </w:p>
    <w:p>
      <w:pPr>
        <w:ind w:right="700" w:firstLine="324"/>
        <w:spacing w:after="0" w:line="277" w:lineRule="auto"/>
        <w:rPr>
          <w:sz w:val="20"/>
          <w:szCs w:val="20"/>
          <w:color w:val="auto"/>
        </w:rPr>
      </w:pPr>
      <w:r>
        <w:rPr>
          <w:rFonts w:ascii="Arial" w:cs="Arial" w:eastAsia="Arial" w:hAnsi="Arial"/>
          <w:sz w:val="18"/>
          <w:szCs w:val="18"/>
          <w:color w:val="auto"/>
        </w:rPr>
        <w:t>The following table summarizes accrued restructuring and related costs included in “Accrued expenses and other liabilities” in our condensed consolidated balance sheet and the cumulative charges incurred (amounts in millions):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Severance and</w:t>
            </w:r>
          </w:p>
        </w:tc>
        <w:tc>
          <w:tcPr>
            <w:tcW w:w="140" w:type="dxa"/>
            <w:vAlign w:val="bottom"/>
          </w:tcPr>
          <w:p>
            <w:pPr>
              <w:spacing w:after="0"/>
              <w:rPr>
                <w:sz w:val="17"/>
                <w:szCs w:val="17"/>
                <w:color w:val="auto"/>
              </w:rPr>
            </w:pPr>
          </w:p>
        </w:tc>
        <w:tc>
          <w:tcPr>
            <w:tcW w:w="19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Facilities and related</w:t>
            </w:r>
          </w:p>
        </w:tc>
        <w:tc>
          <w:tcPr>
            <w:tcW w:w="340" w:type="dxa"/>
            <w:vAlign w:val="bottom"/>
          </w:tcPr>
          <w:p>
            <w:pPr>
              <w:spacing w:after="0"/>
              <w:rPr>
                <w:sz w:val="17"/>
                <w:szCs w:val="17"/>
                <w:color w:val="auto"/>
              </w:rPr>
            </w:pPr>
          </w:p>
        </w:tc>
        <w:tc>
          <w:tcPr>
            <w:tcW w:w="1740" w:type="dxa"/>
            <w:vAlign w:val="bottom"/>
            <w:gridSpan w:val="2"/>
            <w:vMerge w:val="restart"/>
          </w:tcPr>
          <w:p>
            <w:pPr>
              <w:ind w:left="220"/>
              <w:spacing w:after="0"/>
              <w:rPr>
                <w:sz w:val="20"/>
                <w:szCs w:val="20"/>
                <w:color w:val="auto"/>
              </w:rPr>
            </w:pPr>
            <w:r>
              <w:rPr>
                <w:rFonts w:ascii="Arial" w:cs="Arial" w:eastAsia="Arial" w:hAnsi="Arial"/>
                <w:sz w:val="18"/>
                <w:szCs w:val="18"/>
                <w:b w:val="1"/>
                <w:bCs w:val="1"/>
                <w:color w:val="auto"/>
              </w:rPr>
              <w:t>Other costs</w:t>
            </w:r>
          </w:p>
        </w:tc>
        <w:tc>
          <w:tcPr>
            <w:tcW w:w="460" w:type="dxa"/>
            <w:vAlign w:val="bottom"/>
          </w:tcPr>
          <w:p>
            <w:pPr>
              <w:spacing w:after="0"/>
              <w:rPr>
                <w:sz w:val="17"/>
                <w:szCs w:val="17"/>
                <w:color w:val="auto"/>
              </w:rPr>
            </w:pPr>
          </w:p>
        </w:tc>
        <w:tc>
          <w:tcPr>
            <w:tcW w:w="1520" w:type="dxa"/>
            <w:vAlign w:val="bottom"/>
            <w:vMerge w:val="restart"/>
          </w:tcPr>
          <w:p>
            <w:pPr>
              <w:jc w:val="right"/>
              <w:ind w:right="6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3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employee-related costs</w:t>
            </w:r>
          </w:p>
        </w:tc>
        <w:tc>
          <w:tcPr>
            <w:tcW w:w="140" w:type="dxa"/>
            <w:vAlign w:val="bottom"/>
          </w:tcPr>
          <w:p>
            <w:pPr>
              <w:spacing w:after="0"/>
              <w:rPr>
                <w:sz w:val="19"/>
                <w:szCs w:val="19"/>
                <w:color w:val="auto"/>
              </w:rPr>
            </w:pPr>
          </w:p>
        </w:tc>
        <w:tc>
          <w:tcPr>
            <w:tcW w:w="19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76"/>
              </w:rPr>
              <w:t>costs</w:t>
            </w:r>
          </w:p>
        </w:tc>
        <w:tc>
          <w:tcPr>
            <w:tcW w:w="340" w:type="dxa"/>
            <w:vAlign w:val="bottom"/>
          </w:tcPr>
          <w:p>
            <w:pPr>
              <w:spacing w:after="0"/>
              <w:rPr>
                <w:sz w:val="19"/>
                <w:szCs w:val="19"/>
                <w:color w:val="auto"/>
              </w:rPr>
            </w:pPr>
          </w:p>
        </w:tc>
        <w:tc>
          <w:tcPr>
            <w:tcW w:w="1740" w:type="dxa"/>
            <w:vAlign w:val="bottom"/>
            <w:gridSpan w:val="2"/>
            <w:vMerge w:val="continue"/>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9"/>
        </w:trPr>
        <w:tc>
          <w:tcPr>
            <w:tcW w:w="3040" w:type="dxa"/>
            <w:vAlign w:val="bottom"/>
          </w:tcPr>
          <w:p>
            <w:pPr>
              <w:ind w:left="120"/>
              <w:spacing w:after="0"/>
              <w:rPr>
                <w:sz w:val="20"/>
                <w:szCs w:val="20"/>
                <w:color w:val="auto"/>
              </w:rPr>
            </w:pPr>
            <w:r>
              <w:rPr>
                <w:rFonts w:ascii="Arial" w:cs="Arial" w:eastAsia="Arial" w:hAnsi="Arial"/>
                <w:sz w:val="18"/>
                <w:szCs w:val="18"/>
                <w:color w:val="auto"/>
              </w:rPr>
              <w:t>Costs charged to expense</w:t>
            </w:r>
          </w:p>
        </w:tc>
        <w:tc>
          <w:tcPr>
            <w:tcW w:w="1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9"/>
        </w:trPr>
        <w:tc>
          <w:tcPr>
            <w:tcW w:w="3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payments</w:t>
            </w: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3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Balance at March 31, 2020</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3"/>
        </w:trPr>
        <w:tc>
          <w:tcPr>
            <w:tcW w:w="3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Costs charged to expense</w:t>
            </w: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3040" w:type="dxa"/>
            <w:vAlign w:val="bottom"/>
          </w:tcPr>
          <w:p>
            <w:pPr>
              <w:ind w:left="120"/>
              <w:spacing w:after="0"/>
              <w:rPr>
                <w:sz w:val="20"/>
                <w:szCs w:val="20"/>
                <w:color w:val="auto"/>
              </w:rPr>
            </w:pPr>
            <w:r>
              <w:rPr>
                <w:rFonts w:ascii="Arial" w:cs="Arial" w:eastAsia="Arial" w:hAnsi="Arial"/>
                <w:sz w:val="18"/>
                <w:szCs w:val="18"/>
                <w:color w:val="auto"/>
              </w:rPr>
              <w:t>Cash payments</w:t>
            </w:r>
          </w:p>
        </w:tc>
        <w:tc>
          <w:tcPr>
            <w:tcW w:w="1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3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2020</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3"/>
        </w:trPr>
        <w:tc>
          <w:tcPr>
            <w:tcW w:w="3040" w:type="dxa"/>
            <w:vAlign w:val="bottom"/>
          </w:tcPr>
          <w:p>
            <w:pPr>
              <w:ind w:left="120"/>
              <w:spacing w:after="0"/>
              <w:rPr>
                <w:sz w:val="20"/>
                <w:szCs w:val="20"/>
                <w:color w:val="auto"/>
              </w:rPr>
            </w:pPr>
            <w:r>
              <w:rPr>
                <w:rFonts w:ascii="Arial" w:cs="Arial" w:eastAsia="Arial" w:hAnsi="Arial"/>
                <w:sz w:val="18"/>
                <w:szCs w:val="18"/>
                <w:color w:val="auto"/>
              </w:rPr>
              <w:t>Costs charged to expense</w:t>
            </w:r>
          </w:p>
        </w:tc>
        <w:tc>
          <w:tcPr>
            <w:tcW w:w="1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3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payments</w:t>
            </w: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3040" w:type="dxa"/>
            <w:vAlign w:val="bottom"/>
          </w:tcPr>
          <w:p>
            <w:pPr>
              <w:ind w:left="120"/>
              <w:spacing w:after="0"/>
              <w:rPr>
                <w:sz w:val="20"/>
                <w:szCs w:val="20"/>
                <w:color w:val="auto"/>
              </w:rPr>
            </w:pPr>
            <w:r>
              <w:rPr>
                <w:rFonts w:ascii="Arial" w:cs="Arial" w:eastAsia="Arial" w:hAnsi="Arial"/>
                <w:sz w:val="18"/>
                <w:szCs w:val="18"/>
                <w:color w:val="auto"/>
              </w:rPr>
              <w:t>Non-cash charge adjustment (1)</w:t>
            </w:r>
          </w:p>
        </w:tc>
        <w:tc>
          <w:tcPr>
            <w:tcW w:w="120" w:type="dxa"/>
            <w:vAlign w:val="bottom"/>
          </w:tcPr>
          <w:p>
            <w:pPr>
              <w:spacing w:after="0"/>
              <w:rPr>
                <w:sz w:val="19"/>
                <w:szCs w:val="19"/>
                <w:color w:val="auto"/>
              </w:rPr>
            </w:pPr>
          </w:p>
        </w:tc>
        <w:tc>
          <w:tcPr>
            <w:tcW w:w="1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8"/>
        </w:trPr>
        <w:tc>
          <w:tcPr>
            <w:tcW w:w="3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2020</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0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Cumulative charges incurred through</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8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15"/>
                <w:szCs w:val="15"/>
                <w:color w:val="auto"/>
              </w:rPr>
            </w:pPr>
          </w:p>
        </w:tc>
        <w:tc>
          <w:tcPr>
            <w:tcW w:w="460" w:type="dxa"/>
            <w:vAlign w:val="bottom"/>
            <w:vMerge w:val="restart"/>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30"/>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September 30, 2020</w:t>
            </w:r>
          </w:p>
        </w:tc>
        <w:tc>
          <w:tcPr>
            <w:tcW w:w="120" w:type="dxa"/>
            <w:vAlign w:val="bottom"/>
            <w:vMerge w:val="continue"/>
            <w:shd w:val="clear" w:color="auto" w:fill="CCEEFF"/>
          </w:tcPr>
          <w:p>
            <w:pPr>
              <w:spacing w:after="0"/>
              <w:rPr>
                <w:sz w:val="19"/>
                <w:szCs w:val="19"/>
                <w:color w:val="auto"/>
              </w:rPr>
            </w:pPr>
          </w:p>
        </w:tc>
        <w:tc>
          <w:tcPr>
            <w:tcW w:w="1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8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vMerge w:val="continue"/>
            <w:shd w:val="clear" w:color="auto" w:fill="CCEEFF"/>
          </w:tcPr>
          <w:p>
            <w:pPr>
              <w:spacing w:after="0"/>
              <w:rPr>
                <w:sz w:val="19"/>
                <w:szCs w:val="19"/>
                <w:color w:val="auto"/>
              </w:rPr>
            </w:pPr>
          </w:p>
        </w:tc>
        <w:tc>
          <w:tcPr>
            <w:tcW w:w="16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vMerge w:val="continue"/>
            <w:shd w:val="clear" w:color="auto" w:fill="CCEEFF"/>
          </w:tcPr>
          <w:p>
            <w:pPr>
              <w:spacing w:after="0"/>
              <w:rPr>
                <w:sz w:val="19"/>
                <w:szCs w:val="19"/>
                <w:color w:val="auto"/>
              </w:rPr>
            </w:pPr>
          </w:p>
        </w:tc>
        <w:tc>
          <w:tcPr>
            <w:tcW w:w="15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340" w:right="260" w:hanging="332"/>
        <w:spacing w:after="0" w:line="559" w:lineRule="auto"/>
        <w:tabs>
          <w:tab w:leader="none" w:pos="271"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Adjustments relate to non-cash charges included in “Costs charged to expense” for the write-down of assets for our lease facilities that were vacated. Total restructuring and related costs by segment are (amounts in millions):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342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rPr>
              <w:t>Three Months Ended September 30,</w:t>
            </w:r>
          </w:p>
        </w:tc>
        <w:tc>
          <w:tcPr>
            <w:tcW w:w="3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34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b w:val="1"/>
                <w:bCs w:val="1"/>
                <w:color w:val="auto"/>
              </w:rPr>
              <w:t>Nine Months Ended September 30,</w:t>
            </w:r>
          </w:p>
        </w:tc>
        <w:tc>
          <w:tcPr>
            <w:tcW w:w="460" w:type="dxa"/>
            <w:vAlign w:val="bottom"/>
            <w:tcBorders>
              <w:bottom w:val="single" w:sz="8" w:color="auto"/>
            </w:tcBorders>
          </w:tcPr>
          <w:p>
            <w:pPr>
              <w:spacing w:after="0"/>
              <w:rPr>
                <w:sz w:val="20"/>
                <w:szCs w:val="20"/>
                <w:color w:val="auto"/>
              </w:rPr>
            </w:pPr>
          </w:p>
        </w:tc>
      </w:tr>
      <w:tr>
        <w:trPr>
          <w:trHeight w:val="223"/>
        </w:trPr>
        <w:tc>
          <w:tcPr>
            <w:tcW w:w="352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2020</w:t>
            </w:r>
          </w:p>
        </w:tc>
        <w:tc>
          <w:tcPr>
            <w:tcW w:w="5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3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2020</w:t>
            </w:r>
          </w:p>
        </w:tc>
        <w:tc>
          <w:tcPr>
            <w:tcW w:w="5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460" w:type="dxa"/>
            <w:vAlign w:val="bottom"/>
            <w:tcBorders>
              <w:bottom w:val="single" w:sz="8" w:color="auto"/>
            </w:tcBorders>
          </w:tcPr>
          <w:p>
            <w:pPr>
              <w:spacing w:after="0"/>
              <w:rPr>
                <w:sz w:val="19"/>
                <w:szCs w:val="19"/>
                <w:color w:val="auto"/>
              </w:rPr>
            </w:pPr>
          </w:p>
        </w:tc>
      </w:tr>
      <w:tr>
        <w:trPr>
          <w:trHeight w:val="223"/>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Activision</w:t>
            </w:r>
          </w:p>
        </w:tc>
        <w:tc>
          <w:tcPr>
            <w:tcW w:w="1340" w:type="dxa"/>
            <w:vAlign w:val="bottom"/>
            <w:shd w:val="clear" w:color="auto" w:fill="CCEEFF"/>
          </w:tcPr>
          <w:p>
            <w:pPr>
              <w:jc w:val="right"/>
              <w:ind w:right="115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27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5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9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3520" w:type="dxa"/>
            <w:vAlign w:val="bottom"/>
          </w:tcPr>
          <w:p>
            <w:pPr>
              <w:ind w:left="20"/>
              <w:spacing w:after="0"/>
              <w:rPr>
                <w:sz w:val="20"/>
                <w:szCs w:val="20"/>
                <w:color w:val="auto"/>
              </w:rPr>
            </w:pPr>
            <w:r>
              <w:rPr>
                <w:rFonts w:ascii="Arial" w:cs="Arial" w:eastAsia="Arial" w:hAnsi="Arial"/>
                <w:sz w:val="18"/>
                <w:szCs w:val="18"/>
                <w:color w:val="auto"/>
              </w:rPr>
              <w:t>Blizzard</w:t>
            </w:r>
          </w:p>
        </w:tc>
        <w:tc>
          <w:tcPr>
            <w:tcW w:w="13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29"/>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King</w:t>
            </w:r>
          </w:p>
        </w:tc>
        <w:tc>
          <w:tcPr>
            <w:tcW w:w="13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3520" w:type="dxa"/>
            <w:vAlign w:val="bottom"/>
          </w:tcPr>
          <w:p>
            <w:pPr>
              <w:ind w:left="20"/>
              <w:spacing w:after="0"/>
              <w:rPr>
                <w:sz w:val="20"/>
                <w:szCs w:val="20"/>
                <w:color w:val="auto"/>
              </w:rPr>
            </w:pPr>
            <w:r>
              <w:rPr>
                <w:rFonts w:ascii="Arial" w:cs="Arial" w:eastAsia="Arial" w:hAnsi="Arial"/>
                <w:sz w:val="18"/>
                <w:szCs w:val="18"/>
                <w:color w:val="auto"/>
              </w:rPr>
              <w:t>Other segments (1)</w:t>
            </w:r>
          </w:p>
        </w:tc>
        <w:tc>
          <w:tcPr>
            <w:tcW w:w="134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48"/>
        </w:trPr>
        <w:tc>
          <w:tcPr>
            <w:tcW w:w="3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340" w:type="dxa"/>
            <w:vAlign w:val="bottom"/>
            <w:tcBorders>
              <w:top w:val="single" w:sz="8" w:color="auto"/>
              <w:bottom w:val="single" w:sz="8" w:color="auto"/>
            </w:tcBorders>
            <w:shd w:val="clear" w:color="auto" w:fill="CCEEFF"/>
          </w:tcPr>
          <w:p>
            <w:pPr>
              <w:jc w:val="right"/>
              <w:ind w:right="115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auto"/>
            </w:tcBorders>
            <w:shd w:val="clear" w:color="auto" w:fill="CCEEFF"/>
          </w:tcPr>
          <w:p>
            <w:pPr>
              <w:jc w:val="right"/>
              <w:ind w:right="1270"/>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ind w:right="115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auto"/>
            </w:tcBorders>
            <w:shd w:val="clear" w:color="auto" w:fill="CCEEFF"/>
          </w:tcPr>
          <w:p>
            <w:pPr>
              <w:jc w:val="right"/>
              <w:ind w:right="119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340" w:right="720" w:hanging="332"/>
        <w:spacing w:after="0" w:line="277" w:lineRule="auto"/>
        <w:tabs>
          <w:tab w:leader="none" w:pos="451"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charges related to operating segments managed outside the reportable segments, including our Distribution business. Also includes restructuring charges for our corporate and administrative functions.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740" w:firstLine="324"/>
        <w:spacing w:after="0" w:line="261" w:lineRule="auto"/>
        <w:rPr>
          <w:sz w:val="20"/>
          <w:szCs w:val="20"/>
          <w:color w:val="auto"/>
        </w:rPr>
      </w:pPr>
      <w:r>
        <w:rPr>
          <w:rFonts w:ascii="Arial" w:cs="Arial" w:eastAsia="Arial" w:hAnsi="Arial"/>
          <w:sz w:val="18"/>
          <w:szCs w:val="18"/>
          <w:color w:val="auto"/>
        </w:rPr>
        <w:t>During the nine months ended September 30, 2020 we incurred additional restructuring charges that are not included in the restructuring plan discussed above. Such amounts were not material.</w:t>
      </w:r>
    </w:p>
    <w:p>
      <w:pPr>
        <w:spacing w:after="0" w:line="198" w:lineRule="exact"/>
        <w:rPr>
          <w:sz w:val="20"/>
          <w:szCs w:val="20"/>
          <w:color w:val="auto"/>
        </w:rPr>
      </w:pPr>
    </w:p>
    <w:p>
      <w:pPr>
        <w:ind w:right="200" w:firstLine="324"/>
        <w:spacing w:after="0" w:line="241" w:lineRule="auto"/>
        <w:rPr>
          <w:sz w:val="20"/>
          <w:szCs w:val="20"/>
          <w:color w:val="auto"/>
        </w:rPr>
      </w:pPr>
      <w:r>
        <w:rPr>
          <w:rFonts w:ascii="Arial" w:cs="Arial" w:eastAsia="Arial" w:hAnsi="Arial"/>
          <w:sz w:val="18"/>
          <w:szCs w:val="18"/>
          <w:color w:val="auto"/>
        </w:rPr>
        <w:t>As of September 30, 2020, we had board approval to incur up to $190 million of pre-tax charges under our restructuring plan. These charges were expected to relate to severance and employee-related costs (approximately 60% of the aggregate charge), including, in many cases, amounts above those that are legally required, facilities and related costs (approximately 20% of the aggregate charge), and other costs (approximately 20% of the aggregate charge), including charges for restructuring related fees and the write-down of assets. A majority of these charges were expected be paid in cash and such outlays were largely expected to be completed by the end of 2021.</w:t>
      </w:r>
    </w:p>
    <w:p>
      <w:pPr>
        <w:spacing w:after="0" w:line="216"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 total charges incurred through September 30, 2020 and total expected pre-tax restructuring charges related to the $190 million restructuring plan, by segment, inclusive of amounts already incurred, are presented below (amounts in millions):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Total Charges Incurred Through</w:t>
            </w:r>
          </w:p>
        </w:tc>
        <w:tc>
          <w:tcPr>
            <w:tcW w:w="280" w:type="dxa"/>
            <w:vAlign w:val="bottom"/>
          </w:tcPr>
          <w:p>
            <w:pPr>
              <w:spacing w:after="0"/>
              <w:rPr>
                <w:sz w:val="17"/>
                <w:szCs w:val="17"/>
                <w:color w:val="auto"/>
              </w:rPr>
            </w:pPr>
          </w:p>
        </w:tc>
        <w:tc>
          <w:tcPr>
            <w:tcW w:w="2840" w:type="dxa"/>
            <w:vAlign w:val="bottom"/>
          </w:tcPr>
          <w:p>
            <w:pPr>
              <w:jc w:val="right"/>
              <w:ind w:right="350"/>
              <w:spacing w:after="0"/>
              <w:rPr>
                <w:sz w:val="20"/>
                <w:szCs w:val="20"/>
                <w:color w:val="auto"/>
              </w:rPr>
            </w:pPr>
            <w:r>
              <w:rPr>
                <w:rFonts w:ascii="Arial" w:cs="Arial" w:eastAsia="Arial" w:hAnsi="Arial"/>
                <w:sz w:val="18"/>
                <w:szCs w:val="18"/>
                <w:b w:val="1"/>
                <w:bCs w:val="1"/>
                <w:color w:val="auto"/>
                <w:w w:val="94"/>
              </w:rPr>
              <w:t>Total Charges Expected as of</w:t>
            </w:r>
          </w:p>
        </w:tc>
      </w:tr>
      <w:tr>
        <w:trPr>
          <w:trHeight w:val="230"/>
        </w:trPr>
        <w:tc>
          <w:tcPr>
            <w:tcW w:w="4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September 30, 2020</w:t>
            </w:r>
          </w:p>
        </w:tc>
        <w:tc>
          <w:tcPr>
            <w:tcW w:w="280" w:type="dxa"/>
            <w:vAlign w:val="bottom"/>
          </w:tcPr>
          <w:p>
            <w:pPr>
              <w:spacing w:after="0"/>
              <w:rPr>
                <w:sz w:val="19"/>
                <w:szCs w:val="19"/>
                <w:color w:val="auto"/>
              </w:rPr>
            </w:pPr>
          </w:p>
        </w:tc>
        <w:tc>
          <w:tcPr>
            <w:tcW w:w="2840" w:type="dxa"/>
            <w:vAlign w:val="bottom"/>
          </w:tcPr>
          <w:p>
            <w:pPr>
              <w:jc w:val="right"/>
              <w:ind w:right="710"/>
              <w:spacing w:after="0"/>
              <w:rPr>
                <w:sz w:val="20"/>
                <w:szCs w:val="20"/>
                <w:color w:val="auto"/>
              </w:rPr>
            </w:pPr>
            <w:r>
              <w:rPr>
                <w:rFonts w:ascii="Arial" w:cs="Arial" w:eastAsia="Arial" w:hAnsi="Arial"/>
                <w:sz w:val="18"/>
                <w:szCs w:val="18"/>
                <w:b w:val="1"/>
                <w:bCs w:val="1"/>
                <w:color w:val="auto"/>
              </w:rPr>
              <w:t>September 30, 2020</w:t>
            </w:r>
          </w:p>
        </w:tc>
      </w:tr>
      <w:tr>
        <w:trPr>
          <w:trHeight w:val="223"/>
        </w:trPr>
        <w:tc>
          <w:tcPr>
            <w:tcW w:w="4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Activision</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2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Blizzard</w:t>
            </w:r>
          </w:p>
        </w:tc>
        <w:tc>
          <w:tcPr>
            <w:tcW w:w="200" w:type="dxa"/>
            <w:vAlign w:val="bottom"/>
          </w:tcPr>
          <w:p>
            <w:pPr>
              <w:spacing w:after="0"/>
              <w:rPr>
                <w:sz w:val="19"/>
                <w:szCs w:val="19"/>
                <w:color w:val="auto"/>
              </w:rPr>
            </w:pPr>
          </w:p>
        </w:tc>
        <w:tc>
          <w:tcPr>
            <w:tcW w:w="2920" w:type="dxa"/>
            <w:vAlign w:val="bottom"/>
          </w:tcPr>
          <w:p>
            <w:pPr>
              <w:jc w:val="right"/>
              <w:spacing w:after="0"/>
              <w:rPr>
                <w:sz w:val="20"/>
                <w:szCs w:val="20"/>
                <w:color w:val="auto"/>
              </w:rPr>
            </w:pPr>
            <w:r>
              <w:rPr>
                <w:rFonts w:ascii="Arial" w:cs="Arial" w:eastAsia="Arial" w:hAnsi="Arial"/>
                <w:sz w:val="18"/>
                <w:szCs w:val="18"/>
                <w:color w:val="auto"/>
              </w:rPr>
              <w:t>103</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4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29"/>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King</w:t>
            </w:r>
          </w:p>
        </w:tc>
        <w:tc>
          <w:tcPr>
            <w:tcW w:w="200" w:type="dxa"/>
            <w:vAlign w:val="bottom"/>
            <w:shd w:val="clear" w:color="auto" w:fill="CCEEFF"/>
          </w:tcPr>
          <w:p>
            <w:pPr>
              <w:spacing w:after="0"/>
              <w:rPr>
                <w:sz w:val="19"/>
                <w:szCs w:val="19"/>
                <w:color w:val="auto"/>
              </w:rPr>
            </w:pPr>
          </w:p>
        </w:tc>
        <w:tc>
          <w:tcPr>
            <w:tcW w:w="2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29"/>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segments (1)</w:t>
            </w:r>
          </w:p>
        </w:tc>
        <w:tc>
          <w:tcPr>
            <w:tcW w:w="20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r>
      <w:tr>
        <w:trPr>
          <w:trHeight w:val="248"/>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2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84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340" w:right="720" w:hanging="332"/>
        <w:spacing w:after="0" w:line="277" w:lineRule="auto"/>
        <w:tabs>
          <w:tab w:leader="none" w:pos="451"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charges related to operating segments managed outside the reportable segments, including our Distribution business. Also includes restructuring charges for our corporate and administrative functions.</w:t>
      </w:r>
    </w:p>
    <w:p>
      <w:pPr>
        <w:spacing w:after="0" w:line="197" w:lineRule="exact"/>
        <w:rPr>
          <w:sz w:val="20"/>
          <w:szCs w:val="20"/>
          <w:color w:val="auto"/>
        </w:rPr>
      </w:pPr>
    </w:p>
    <w:p>
      <w:pPr>
        <w:ind w:right="40" w:firstLine="324"/>
        <w:spacing w:after="0" w:line="253" w:lineRule="auto"/>
        <w:rPr>
          <w:sz w:val="20"/>
          <w:szCs w:val="20"/>
          <w:color w:val="auto"/>
        </w:rPr>
      </w:pPr>
      <w:r>
        <w:rPr>
          <w:rFonts w:ascii="Arial" w:cs="Arial" w:eastAsia="Arial" w:hAnsi="Arial"/>
          <w:sz w:val="17"/>
          <w:szCs w:val="17"/>
          <w:color w:val="auto"/>
        </w:rPr>
        <w:t>On October 27, 2020, our Board of Directors approved an expansion to the scope of certain actions within our restructuring plan that are aimed at integrating our global and regional functions to allow continued focus on investing in our largest, internally-owned franchises and to provide us with the ability to better leverage our scale across the organization. As a result, subsequent to the end of the third quarter, we now expect to incur total aggregate pre-tax restructuring charges of approximately $310 million associated with the restructuring plan, of which the remaining charges that have not yet been incurred are expected to largely be incurred within the next 12 months. The charges associated with the restructuring plan are expected to relate to severance and employee-related costs (approximately 60% of the aggregate charge), facilities and related costs (approximately 20% of the aggregate charge), and other costs (approximately 20% of the aggregate charge), including charges for restructuring related fees and the write-down of assets. A substantial majority (approximately 70%) of the total pre-tax charge associated with the restructuring is expected to be paid in cash using amounts on hand, and such cash outlays are largely expected to be completed by the end of 2021.</w:t>
      </w:r>
    </w:p>
    <w:p>
      <w:pPr>
        <w:spacing w:after="0" w:line="207"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Interest and Other Expense (Income), Net</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Interest and other expense (income), net is comprised of the following (amounts in millions):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Interest income</w:t>
      </w:r>
    </w:p>
    <w:p>
      <w:pPr>
        <w:spacing w:after="0" w:line="23" w:lineRule="exact"/>
        <w:rPr>
          <w:sz w:val="20"/>
          <w:szCs w:val="20"/>
          <w:color w:val="auto"/>
        </w:rPr>
      </w:pPr>
    </w:p>
    <w:p>
      <w:pPr>
        <w:ind w:left="20"/>
        <w:spacing w:after="0" w:line="234" w:lineRule="auto"/>
        <w:rPr>
          <w:sz w:val="20"/>
          <w:szCs w:val="20"/>
          <w:color w:val="auto"/>
        </w:rPr>
      </w:pPr>
      <w:r>
        <w:rPr>
          <w:rFonts w:ascii="Arial" w:cs="Arial" w:eastAsia="Arial" w:hAnsi="Arial"/>
          <w:sz w:val="18"/>
          <w:szCs w:val="18"/>
          <w:color w:val="auto"/>
        </w:rPr>
        <w:t>Interest expense from debt and amortization of debt discount and deferred financing costs</w:t>
      </w:r>
    </w:p>
    <w:p>
      <w:pPr>
        <w:spacing w:after="0" w:line="1" w:lineRule="exact"/>
        <w:rPr>
          <w:sz w:val="20"/>
          <w:szCs w:val="20"/>
          <w:color w:val="auto"/>
        </w:rPr>
      </w:pPr>
    </w:p>
    <w:p>
      <w:pPr>
        <w:ind w:left="20" w:right="1020"/>
        <w:spacing w:after="0" w:line="325" w:lineRule="auto"/>
        <w:rPr>
          <w:sz w:val="20"/>
          <w:szCs w:val="20"/>
          <w:color w:val="auto"/>
        </w:rPr>
      </w:pPr>
      <w:r>
        <w:rPr>
          <w:rFonts w:ascii="Arial" w:cs="Arial" w:eastAsia="Arial" w:hAnsi="Arial"/>
          <w:sz w:val="16"/>
          <w:szCs w:val="16"/>
          <w:color w:val="auto"/>
        </w:rPr>
        <w:t>Unrealized gain on equity investment Other expense (income), net</w:t>
      </w:r>
    </w:p>
    <w:p>
      <w:pPr>
        <w:ind w:left="20"/>
        <w:spacing w:after="0"/>
        <w:rPr>
          <w:sz w:val="20"/>
          <w:szCs w:val="20"/>
          <w:color w:val="auto"/>
        </w:rPr>
      </w:pPr>
      <w:r>
        <w:rPr>
          <w:rFonts w:ascii="Arial" w:cs="Arial" w:eastAsia="Arial" w:hAnsi="Arial"/>
          <w:sz w:val="18"/>
          <w:szCs w:val="18"/>
          <w:color w:val="auto"/>
        </w:rPr>
        <w:t>Interest and other expense (income), net</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3700" w:type="dxa"/>
            <w:vAlign w:val="bottom"/>
            <w:gridSpan w:val="6"/>
          </w:tcPr>
          <w:p>
            <w:pPr>
              <w:ind w:left="100"/>
              <w:spacing w:after="0"/>
              <w:rPr>
                <w:sz w:val="20"/>
                <w:szCs w:val="20"/>
                <w:color w:val="auto"/>
              </w:rPr>
            </w:pPr>
            <w:r>
              <w:rPr>
                <w:rFonts w:ascii="Arial" w:cs="Arial" w:eastAsia="Arial" w:hAnsi="Arial"/>
                <w:sz w:val="18"/>
                <w:szCs w:val="18"/>
                <w:b w:val="1"/>
                <w:bCs w:val="1"/>
                <w:color w:val="auto"/>
                <w:w w:val="96"/>
              </w:rPr>
              <w:t>For the Three Months Ended September 30,</w:t>
            </w:r>
          </w:p>
        </w:tc>
        <w:tc>
          <w:tcPr>
            <w:tcW w:w="120" w:type="dxa"/>
            <w:vAlign w:val="bottom"/>
          </w:tcPr>
          <w:p>
            <w:pPr>
              <w:spacing w:after="0"/>
              <w:rPr>
                <w:sz w:val="20"/>
                <w:szCs w:val="20"/>
                <w:color w:val="auto"/>
              </w:rPr>
            </w:pPr>
          </w:p>
        </w:tc>
        <w:tc>
          <w:tcPr>
            <w:tcW w:w="348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w w:val="91"/>
              </w:rPr>
              <w:t>For the Nine Months Ended September 30,</w:t>
            </w:r>
          </w:p>
        </w:tc>
      </w:tr>
      <w:tr>
        <w:trPr>
          <w:trHeight w:val="223"/>
        </w:trPr>
        <w:tc>
          <w:tcPr>
            <w:tcW w:w="4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62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2019</w:t>
            </w:r>
          </w:p>
        </w:tc>
      </w:tr>
      <w:tr>
        <w:trPr>
          <w:trHeight w:val="224"/>
        </w:trPr>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403"/>
        </w:trPr>
        <w:tc>
          <w:tcPr>
            <w:tcW w:w="4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29"/>
        </w:trPr>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-2496185</wp:posOffset>
            </wp:positionH>
            <wp:positionV relativeFrom="paragraph">
              <wp:posOffset>-890905</wp:posOffset>
            </wp:positionV>
            <wp:extent cx="7132320" cy="1543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-479425</wp:posOffset>
            </wp:positionV>
            <wp:extent cx="7132320" cy="146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-187960</wp:posOffset>
            </wp:positionV>
            <wp:extent cx="7132320"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740" w:space="200"/>
            <w:col w:w="730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229"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 xml:space="preserve">We account for our provision for income taxes in accordance with ASC 740, </w:t>
      </w:r>
      <w:r>
        <w:rPr>
          <w:rFonts w:ascii="Arial" w:cs="Arial" w:eastAsia="Arial" w:hAnsi="Arial"/>
          <w:sz w:val="17"/>
          <w:szCs w:val="17"/>
          <w:i w:val="1"/>
          <w:iCs w:val="1"/>
          <w:color w:val="auto"/>
        </w:rPr>
        <w:t>Income Taxes</w:t>
      </w:r>
      <w:r>
        <w:rPr>
          <w:rFonts w:ascii="Arial" w:cs="Arial" w:eastAsia="Arial" w:hAnsi="Arial"/>
          <w:sz w:val="17"/>
          <w:szCs w:val="17"/>
          <w:color w:val="auto"/>
        </w:rPr>
        <w:t>, which requires an estimate of the annual effective tax rate for the full year to be applied to the interim period, taking into account year-to-date amounts and projected results for the full year. The provision for income taxes represents federal, foreign, state, and local income taxes. Our effective tax rate could be different from the statutory U.S. income tax rate due to: the effect of state and local income taxes; tax rates that apply to our foreign income (including U.S. tax on foreign income); research and development credits; and certain nondeductible expenses. Our effective tax rate could fluctuate significantly from quarter to quarter based on recurring and nonrecurring factors including, but not limited to: variations in the estimated and actual level of pre-tax income or loss by jurisdiction; changes in enacted tax laws and regulations, and interpretations thereof, including with respect to tax credits and state and local income taxes; developments in tax audits and other matters; recognition of excess tax benefits and tax deficiencies from share-based payments; and certain nondeductible expenses. Changes in judgment from the evaluation of new information resulting in the recognition, derecognition, or remeasurement of a tax position taken in a prior annual period are recognized separately in the quarter of the change.</w:t>
      </w:r>
    </w:p>
    <w:p>
      <w:pPr>
        <w:spacing w:after="0" w:line="212"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color w:val="auto"/>
        </w:rPr>
        <w:t>The income tax expense of $118 million for the three months ended September 30, 2020, reflects an effective tax rate of 16%, which is lower than the effective tax rate of 18% for the three months ended September 30, 2019. This decrease is primarily due to discrete tax benefits recognized in the current quarter for the remeasurement of deferred tax assets, partially offset by an increase in taxes on foreign earnings.</w:t>
      </w:r>
    </w:p>
    <w:p>
      <w:pPr>
        <w:spacing w:after="0" w:line="192"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The income tax expense of $365 million for the nine months ended September 30, 2020, reflects, an effective tax rate of 18%, which is comparable to effective tax rate of 18% for the nine months ended September 30, 2019. Discrete tax benefits recognized in the current year for the remeasurement of deferred tax assets were offset by an increase in taxes on foreign earnings.</w:t>
      </w:r>
    </w:p>
    <w:p>
      <w:pPr>
        <w:spacing w:after="0" w:line="211" w:lineRule="exact"/>
        <w:rPr>
          <w:sz w:val="20"/>
          <w:szCs w:val="20"/>
          <w:color w:val="auto"/>
        </w:rPr>
      </w:pPr>
    </w:p>
    <w:p>
      <w:pPr>
        <w:ind w:right="180" w:firstLine="324"/>
        <w:spacing w:after="0" w:line="248" w:lineRule="auto"/>
        <w:rPr>
          <w:sz w:val="20"/>
          <w:szCs w:val="20"/>
          <w:color w:val="auto"/>
        </w:rPr>
      </w:pPr>
      <w:r>
        <w:rPr>
          <w:rFonts w:ascii="Arial" w:cs="Arial" w:eastAsia="Arial" w:hAnsi="Arial"/>
          <w:sz w:val="18"/>
          <w:szCs w:val="18"/>
          <w:color w:val="auto"/>
        </w:rPr>
        <w:t>The effective tax rates of 16% and 18% for the three and nine months ended September 30, 2020, are lower than the U.S. statutory rate of 21% primarily due to discrete tax benefits recognized for the remeasurement of deferred tax assets and the recognition of excess tax benefits from share-based payments.</w:t>
      </w:r>
    </w:p>
    <w:p>
      <w:pPr>
        <w:spacing w:after="0" w:line="209" w:lineRule="exact"/>
        <w:rPr>
          <w:sz w:val="20"/>
          <w:szCs w:val="20"/>
          <w:color w:val="auto"/>
        </w:rPr>
      </w:pPr>
    </w:p>
    <w:p>
      <w:pPr>
        <w:ind w:right="40" w:firstLine="324"/>
        <w:spacing w:after="0" w:line="248" w:lineRule="auto"/>
        <w:rPr>
          <w:sz w:val="20"/>
          <w:szCs w:val="20"/>
          <w:color w:val="auto"/>
        </w:rPr>
      </w:pPr>
      <w:r>
        <w:rPr>
          <w:rFonts w:ascii="Arial" w:cs="Arial" w:eastAsia="Arial" w:hAnsi="Arial"/>
          <w:sz w:val="18"/>
          <w:szCs w:val="18"/>
          <w:color w:val="auto"/>
        </w:rPr>
        <w:t>During the quarter ended September 30, 2020, the U.S. Treasury Department issued tax regulations under various provisions of the 2017 Tax Cuts and Jobs Act, including the global intangible low-taxed income high tax exclusion. While these regulations did not result in a material impact to our financial statements in the current quarter, we will continue to assess their impact on future periods.</w:t>
      </w:r>
    </w:p>
    <w:p>
      <w:pPr>
        <w:spacing w:after="0" w:line="209"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212529"/>
        </w:rPr>
        <w:t>Activision Blizzard’s tax years after 2008 remain open to examination by certain major taxing jurisdictions to which we are subject. The Internal Revenue Service is currently examining our federal tax returns for the 2012 through 2016 tax years. We also have several state and non-U.S. audits pending. In addition, King’s pre-acquisition tax returns remain open in various jurisdictions, primarily as a result of transfer pricing matters. We anticipate resolving King’s transfer pricing for both pre- and post-acquisition tax years through a collaborative multilateral process with the tax authorities in the relevant jurisdictions, which include the U.K. and Sweden. While the outcome of this process remains uncertain, it could result in an agreement that changes the allocation of profits and losses between these and other relevant jurisdictions or a failure to reach an agreement that results in unilateral adjustments to the amount and timing of taxable income in the jurisdictions in which King operates.</w:t>
      </w:r>
    </w:p>
    <w:p>
      <w:pPr>
        <w:spacing w:after="0" w:line="204"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In December 2018, we received a decision from the Swedish Tax Agency (“STA”) informing us of an audit assessment of a Swedish subsidiary of King for the 2016 tax year (“Initial Decision”). The Initial Decision described the basis for issuing a transfer pricing assessment of approximately 3.5kr billion (approximately $386 million), primarily concerning an alleged intercompany asset transfer. On June 17, 2019, we received a reassessment from the STA (the “Reassessment”) which changed the Initial Decision based on a revision of the transfer pricing approach reflected in King’s 2016 Swedish tax return and removal of the alleged intercompany asset transfer that was the basis of the Initial Decision. The STA also, at the same time, reassessed the 2017 tax year on the same transfer pricing basis as 2016. The transfer pricing approach reflected in the Reassessment for both 2016 and 2017 remains subject to further review by taxing authorities in other jurisdictions. In July 2019, the Company made a payment to the STA for the Reassessment for the 2016 and 2017 tax years, which did not result in a significant impact to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In December 2017, we received a Notice of Reassessment from the French Tax Authority (“FTA”) related to transfer pricing for intercompany transactions involving one of our French subsidiaries for the 2011 through 2013 tax years. The total assessment, including penalties and interest, was approximately €571 million (approximately $666 million). In December 2019, the Company reached a settlement with the FTA for the 2011 through 2018 tax years, resulting in the recognition of $54 million of tax expense in the period ended December 31, 2019, and a tax payment of €161 million (approximately $188 million), including interest and penalties, in January 2020.</w:t>
      </w:r>
    </w:p>
    <w:p>
      <w:pPr>
        <w:spacing w:after="0" w:line="215"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212529"/>
        </w:rPr>
        <w:t>In addition, certain of our subsidiaries are under examination or investigation, or may be subject to examination or investigation, by tax authorities in various jurisdictions. These proceedings may lead to adjustments or proposed adjustments to our taxes or provisions for uncertain tax positions. Such proceedings may have a material adverse effect on the Company’s consolidated financial position, liquidity, or results of operations in the earlier of the period or periods in which the matters are resolved and in which appropriate tax provisions are taken into account in our financial statements. If we were to receive a materially adverse assessment from a taxing jurisdiction, we would plan to vigorously contest it and consider all of our options, including the pursuit of judicial remedies.</w:t>
      </w:r>
    </w:p>
    <w:p>
      <w:pPr>
        <w:spacing w:after="0" w:line="219" w:lineRule="exact"/>
        <w:rPr>
          <w:sz w:val="20"/>
          <w:szCs w:val="20"/>
          <w:color w:val="auto"/>
        </w:rPr>
      </w:pPr>
    </w:p>
    <w:p>
      <w:pPr>
        <w:ind w:right="40" w:firstLine="405"/>
        <w:spacing w:after="0" w:line="275" w:lineRule="auto"/>
        <w:rPr>
          <w:sz w:val="20"/>
          <w:szCs w:val="20"/>
          <w:color w:val="auto"/>
        </w:rPr>
      </w:pPr>
      <w:r>
        <w:rPr>
          <w:rFonts w:ascii="Arial" w:cs="Arial" w:eastAsia="Arial" w:hAnsi="Arial"/>
          <w:sz w:val="17"/>
          <w:szCs w:val="17"/>
          <w:color w:val="212529"/>
        </w:rPr>
        <w:t>We regularly assess the likelihood of adverse outcomes resulting from these examinations and monitor the progress of ongoing discussions with tax authorities in determining the appropriateness of our tax provisions. The final resolution of the Company’s global tax disputes is uncertain. There is significant judgment required in the analysis of disputes, including the probability determination and estimation of the potential exposure. Based on current information, in the opinion of the Company’s management, the ultimate resolution of these matters is not expected to have a material adverse effect on the Company’s consolidated financial position, liquidity or results of operations, except as noted above.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Computation of Basic/Diluted Earnings Per Common Share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sets forth the computation of basic and diluted earnings per common share (amounts in millions, except per share data):</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p>
        </w:tc>
        <w:tc>
          <w:tcPr>
            <w:tcW w:w="3700" w:type="dxa"/>
            <w:vAlign w:val="bottom"/>
            <w:gridSpan w:val="6"/>
          </w:tcPr>
          <w:p>
            <w:pPr>
              <w:ind w:left="100"/>
              <w:spacing w:after="0"/>
              <w:rPr>
                <w:sz w:val="20"/>
                <w:szCs w:val="20"/>
                <w:color w:val="auto"/>
              </w:rPr>
            </w:pPr>
            <w:r>
              <w:rPr>
                <w:rFonts w:ascii="Arial" w:cs="Arial" w:eastAsia="Arial" w:hAnsi="Arial"/>
                <w:sz w:val="18"/>
                <w:szCs w:val="18"/>
                <w:b w:val="1"/>
                <w:bCs w:val="1"/>
                <w:color w:val="auto"/>
                <w:w w:val="96"/>
              </w:rPr>
              <w:t>For the Three Months Ended September 30,</w:t>
            </w:r>
          </w:p>
        </w:tc>
        <w:tc>
          <w:tcPr>
            <w:tcW w:w="140" w:type="dxa"/>
            <w:vAlign w:val="bottom"/>
          </w:tcPr>
          <w:p>
            <w:pPr>
              <w:spacing w:after="0"/>
              <w:rPr>
                <w:sz w:val="20"/>
                <w:szCs w:val="20"/>
                <w:color w:val="auto"/>
              </w:rPr>
            </w:pPr>
          </w:p>
        </w:tc>
        <w:tc>
          <w:tcPr>
            <w:tcW w:w="348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w w:val="91"/>
              </w:rPr>
              <w:t>For the Nine Months Ended September 30,</w:t>
            </w:r>
          </w:p>
        </w:tc>
        <w:tc>
          <w:tcPr>
            <w:tcW w:w="0" w:type="dxa"/>
            <w:vAlign w:val="bottom"/>
          </w:tcPr>
          <w:p>
            <w:pPr>
              <w:spacing w:after="0"/>
              <w:rPr>
                <w:sz w:val="1"/>
                <w:szCs w:val="1"/>
                <w:color w:val="auto"/>
              </w:rPr>
            </w:pPr>
          </w:p>
        </w:tc>
      </w:tr>
      <w:tr>
        <w:trPr>
          <w:trHeight w:val="223"/>
        </w:trPr>
        <w:tc>
          <w:tcPr>
            <w:tcW w:w="3920" w:type="dxa"/>
            <w:vAlign w:val="bottom"/>
            <w:tcBorders>
              <w:bottom w:val="single" w:sz="8" w:color="CCEEFF"/>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2020</w:t>
            </w:r>
          </w:p>
        </w:tc>
        <w:tc>
          <w:tcPr>
            <w:tcW w:w="54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60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23"/>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1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tcPr>
          <w:p>
            <w:pPr>
              <w:ind w:left="220"/>
              <w:spacing w:after="0"/>
              <w:rPr>
                <w:sz w:val="20"/>
                <w:szCs w:val="20"/>
                <w:color w:val="auto"/>
              </w:rPr>
            </w:pPr>
            <w:r>
              <w:rPr>
                <w:rFonts w:ascii="Arial" w:cs="Arial" w:eastAsia="Arial" w:hAnsi="Arial"/>
                <w:sz w:val="18"/>
                <w:szCs w:val="18"/>
                <w:color w:val="auto"/>
              </w:rPr>
              <w:t>Consolidated net income</w:t>
            </w:r>
          </w:p>
        </w:tc>
        <w:tc>
          <w:tcPr>
            <w:tcW w:w="1200" w:type="dxa"/>
            <w:vAlign w:val="bottom"/>
          </w:tcPr>
          <w:p>
            <w:pPr>
              <w:jc w:val="right"/>
              <w:ind w:right="99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604</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1,688</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978</w:t>
            </w:r>
          </w:p>
        </w:tc>
        <w:tc>
          <w:tcPr>
            <w:tcW w:w="0" w:type="dxa"/>
            <w:vAlign w:val="bottom"/>
          </w:tcPr>
          <w:p>
            <w:pPr>
              <w:spacing w:after="0"/>
              <w:rPr>
                <w:sz w:val="1"/>
                <w:szCs w:val="1"/>
                <w:color w:val="auto"/>
              </w:rPr>
            </w:pPr>
          </w:p>
        </w:tc>
      </w:tr>
      <w:tr>
        <w:trPr>
          <w:trHeight w:val="230"/>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Denominator:</w:t>
            </w:r>
          </w:p>
        </w:tc>
        <w:tc>
          <w:tcPr>
            <w:tcW w:w="1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920" w:type="dxa"/>
            <w:vAlign w:val="bottom"/>
          </w:tcPr>
          <w:p>
            <w:pPr>
              <w:ind w:left="220"/>
              <w:spacing w:after="0" w:line="176" w:lineRule="exact"/>
              <w:rPr>
                <w:sz w:val="20"/>
                <w:szCs w:val="20"/>
                <w:color w:val="auto"/>
              </w:rPr>
            </w:pPr>
            <w:r>
              <w:rPr>
                <w:rFonts w:ascii="Arial" w:cs="Arial" w:eastAsia="Arial" w:hAnsi="Arial"/>
                <w:sz w:val="18"/>
                <w:szCs w:val="18"/>
                <w:color w:val="auto"/>
                <w:w w:val="90"/>
              </w:rPr>
              <w:t>Denominator for basic earnings per common share</w:t>
            </w:r>
          </w:p>
        </w:tc>
        <w:tc>
          <w:tcPr>
            <w:tcW w:w="1200" w:type="dxa"/>
            <w:vAlign w:val="bottom"/>
          </w:tcPr>
          <w:p>
            <w:pPr>
              <w:spacing w:after="0"/>
              <w:rPr>
                <w:sz w:val="15"/>
                <w:szCs w:val="15"/>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772</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767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vMerge w:val="restart"/>
          </w:tcPr>
          <w:p>
            <w:pPr>
              <w:jc w:val="right"/>
              <w:spacing w:after="0"/>
              <w:rPr>
                <w:sz w:val="20"/>
                <w:szCs w:val="20"/>
                <w:color w:val="auto"/>
              </w:rPr>
            </w:pPr>
            <w:r>
              <w:rPr>
                <w:rFonts w:ascii="Arial" w:cs="Arial" w:eastAsia="Arial" w:hAnsi="Arial"/>
                <w:sz w:val="18"/>
                <w:szCs w:val="18"/>
                <w:color w:val="auto"/>
              </w:rPr>
              <w:t>771</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766</w:t>
            </w:r>
          </w:p>
        </w:tc>
        <w:tc>
          <w:tcPr>
            <w:tcW w:w="0" w:type="dxa"/>
            <w:vAlign w:val="bottom"/>
          </w:tcPr>
          <w:p>
            <w:pPr>
              <w:spacing w:after="0"/>
              <w:rPr>
                <w:sz w:val="1"/>
                <w:szCs w:val="1"/>
                <w:color w:val="auto"/>
              </w:rPr>
            </w:pPr>
          </w:p>
        </w:tc>
      </w:tr>
      <w:tr>
        <w:trPr>
          <w:trHeight w:val="229"/>
        </w:trPr>
        <w:tc>
          <w:tcPr>
            <w:tcW w:w="3920" w:type="dxa"/>
            <w:vAlign w:val="bottom"/>
          </w:tcPr>
          <w:p>
            <w:pPr>
              <w:ind w:left="220"/>
              <w:spacing w:after="0"/>
              <w:rPr>
                <w:sz w:val="20"/>
                <w:szCs w:val="20"/>
                <w:color w:val="auto"/>
              </w:rPr>
            </w:pPr>
            <w:r>
              <w:rPr>
                <w:rFonts w:ascii="Arial" w:cs="Arial" w:eastAsia="Arial" w:hAnsi="Arial"/>
                <w:sz w:val="18"/>
                <w:szCs w:val="18"/>
                <w:color w:val="auto"/>
                <w:w w:val="93"/>
              </w:rPr>
              <w:t>—weighted-average common shares outstanding</w:t>
            </w:r>
          </w:p>
        </w:tc>
        <w:tc>
          <w:tcPr>
            <w:tcW w:w="1200" w:type="dxa"/>
            <w:vAlign w:val="bottom"/>
          </w:tcPr>
          <w:p>
            <w:pPr>
              <w:spacing w:after="0"/>
              <w:rPr>
                <w:sz w:val="19"/>
                <w:szCs w:val="19"/>
                <w:color w:val="auto"/>
              </w:rPr>
            </w:pPr>
          </w:p>
        </w:tc>
        <w:tc>
          <w:tcPr>
            <w:tcW w:w="5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92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5"/>
              </w:rPr>
              <w:t>Effect of potential dilutive common shares under</w:t>
            </w:r>
          </w:p>
        </w:tc>
        <w:tc>
          <w:tcPr>
            <w:tcW w:w="12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92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the treasury stock method—employee stock</w:t>
            </w:r>
          </w:p>
        </w:tc>
        <w:tc>
          <w:tcPr>
            <w:tcW w:w="120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3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options and awards</w:t>
            </w:r>
          </w:p>
        </w:tc>
        <w:tc>
          <w:tcPr>
            <w:tcW w:w="12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3920" w:type="dxa"/>
            <w:vAlign w:val="bottom"/>
          </w:tcPr>
          <w:p>
            <w:pPr>
              <w:ind w:left="20"/>
              <w:spacing w:after="0" w:line="156" w:lineRule="exact"/>
              <w:rPr>
                <w:sz w:val="20"/>
                <w:szCs w:val="20"/>
                <w:color w:val="auto"/>
              </w:rPr>
            </w:pPr>
            <w:r>
              <w:rPr>
                <w:rFonts w:ascii="Arial" w:cs="Arial" w:eastAsia="Arial" w:hAnsi="Arial"/>
                <w:sz w:val="18"/>
                <w:szCs w:val="18"/>
                <w:color w:val="auto"/>
                <w:w w:val="91"/>
              </w:rPr>
              <w:t>Denominator for basic earnings per common share—</w:t>
            </w:r>
          </w:p>
        </w:tc>
        <w:tc>
          <w:tcPr>
            <w:tcW w:w="1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920" w:type="dxa"/>
            <w:vAlign w:val="bottom"/>
          </w:tcPr>
          <w:p>
            <w:pPr>
              <w:ind w:left="20"/>
              <w:spacing w:after="0" w:line="176" w:lineRule="exact"/>
              <w:rPr>
                <w:sz w:val="20"/>
                <w:szCs w:val="20"/>
                <w:color w:val="auto"/>
              </w:rPr>
            </w:pPr>
            <w:r>
              <w:rPr>
                <w:rFonts w:ascii="Arial" w:cs="Arial" w:eastAsia="Arial" w:hAnsi="Arial"/>
                <w:sz w:val="18"/>
                <w:szCs w:val="18"/>
                <w:color w:val="auto"/>
              </w:rPr>
              <w:t>weighted-average dilutive common shares</w:t>
            </w:r>
          </w:p>
        </w:tc>
        <w:tc>
          <w:tcPr>
            <w:tcW w:w="1200" w:type="dxa"/>
            <w:vAlign w:val="bottom"/>
          </w:tcPr>
          <w:p>
            <w:pPr>
              <w:spacing w:after="0"/>
              <w:rPr>
                <w:sz w:val="15"/>
                <w:szCs w:val="15"/>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779</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771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vMerge w:val="restart"/>
          </w:tcPr>
          <w:p>
            <w:pPr>
              <w:jc w:val="right"/>
              <w:spacing w:after="0"/>
              <w:rPr>
                <w:sz w:val="20"/>
                <w:szCs w:val="20"/>
                <w:color w:val="auto"/>
              </w:rPr>
            </w:pPr>
            <w:r>
              <w:rPr>
                <w:rFonts w:ascii="Arial" w:cs="Arial" w:eastAsia="Arial" w:hAnsi="Arial"/>
                <w:sz w:val="18"/>
                <w:szCs w:val="18"/>
                <w:color w:val="auto"/>
              </w:rPr>
              <w:t>777</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203"/>
        </w:trPr>
        <w:tc>
          <w:tcPr>
            <w:tcW w:w="3920" w:type="dxa"/>
            <w:vAlign w:val="bottom"/>
          </w:tcPr>
          <w:p>
            <w:pPr>
              <w:ind w:left="20"/>
              <w:spacing w:after="0" w:line="202" w:lineRule="exact"/>
              <w:rPr>
                <w:sz w:val="20"/>
                <w:szCs w:val="20"/>
                <w:color w:val="auto"/>
              </w:rPr>
            </w:pPr>
            <w:r>
              <w:rPr>
                <w:rFonts w:ascii="Arial" w:cs="Arial" w:eastAsia="Arial" w:hAnsi="Arial"/>
                <w:sz w:val="18"/>
                <w:szCs w:val="18"/>
                <w:color w:val="auto"/>
              </w:rPr>
              <w:t>outstanding</w:t>
            </w:r>
          </w:p>
        </w:tc>
        <w:tc>
          <w:tcPr>
            <w:tcW w:w="12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9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920" w:type="dxa"/>
            <w:vAlign w:val="bottom"/>
          </w:tcPr>
          <w:p>
            <w:pPr>
              <w:ind w:left="20"/>
              <w:spacing w:after="0"/>
              <w:rPr>
                <w:sz w:val="20"/>
                <w:szCs w:val="20"/>
                <w:color w:val="auto"/>
              </w:rPr>
            </w:pPr>
            <w:r>
              <w:rPr>
                <w:rFonts w:ascii="Arial" w:cs="Arial" w:eastAsia="Arial" w:hAnsi="Arial"/>
                <w:sz w:val="18"/>
                <w:szCs w:val="18"/>
                <w:color w:val="auto"/>
              </w:rPr>
              <w:t>Basic earnings per common share</w:t>
            </w:r>
          </w:p>
        </w:tc>
        <w:tc>
          <w:tcPr>
            <w:tcW w:w="1200" w:type="dxa"/>
            <w:vAlign w:val="bottom"/>
          </w:tcPr>
          <w:p>
            <w:pPr>
              <w:jc w:val="right"/>
              <w:ind w:right="99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0.78</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0.27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30"/>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common share</w:t>
            </w:r>
          </w:p>
        </w:tc>
        <w:tc>
          <w:tcPr>
            <w:tcW w:w="1200" w:type="dxa"/>
            <w:vAlign w:val="bottom"/>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The vesting of certain of our employee-related restricted stock units and options is contingent upon the satisfaction of pre-defined performance measures. The shares underlying these equity awards are included in the weighted-average dilutive common shares only if the performance measures are met as of the end of the reporting period. Additionally, potential common shares are not included in the denominator of the diluted earnings per common share calculation when the inclusion of such shares would be anti-dilutive.</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Weighted-average shares excluded from the computation of diluted earnings per share were as follows (amounts in millions):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p>
        </w:tc>
        <w:tc>
          <w:tcPr>
            <w:tcW w:w="3700" w:type="dxa"/>
            <w:vAlign w:val="bottom"/>
            <w:gridSpan w:val="5"/>
          </w:tcPr>
          <w:p>
            <w:pPr>
              <w:ind w:left="100"/>
              <w:spacing w:after="0"/>
              <w:rPr>
                <w:sz w:val="20"/>
                <w:szCs w:val="20"/>
                <w:color w:val="auto"/>
              </w:rPr>
            </w:pPr>
            <w:r>
              <w:rPr>
                <w:rFonts w:ascii="Arial" w:cs="Arial" w:eastAsia="Arial" w:hAnsi="Arial"/>
                <w:sz w:val="18"/>
                <w:szCs w:val="18"/>
                <w:b w:val="1"/>
                <w:bCs w:val="1"/>
                <w:color w:val="auto"/>
                <w:w w:val="96"/>
              </w:rPr>
              <w:t>For the Three Months Ended September 30,</w:t>
            </w:r>
          </w:p>
        </w:tc>
        <w:tc>
          <w:tcPr>
            <w:tcW w:w="362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w w:val="94"/>
              </w:rPr>
              <w:t>For the Nine Months Ended September 30,</w:t>
            </w:r>
          </w:p>
        </w:tc>
        <w:tc>
          <w:tcPr>
            <w:tcW w:w="0" w:type="dxa"/>
            <w:vAlign w:val="bottom"/>
          </w:tcPr>
          <w:p>
            <w:pPr>
              <w:spacing w:after="0"/>
              <w:rPr>
                <w:sz w:val="1"/>
                <w:szCs w:val="1"/>
                <w:color w:val="auto"/>
              </w:rPr>
            </w:pPr>
          </w:p>
        </w:tc>
      </w:tr>
      <w:tr>
        <w:trPr>
          <w:trHeight w:val="223"/>
        </w:trPr>
        <w:tc>
          <w:tcPr>
            <w:tcW w:w="3920" w:type="dxa"/>
            <w:vAlign w:val="bottom"/>
            <w:tcBorders>
              <w:bottom w:val="single" w:sz="8" w:color="CCEEFF"/>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2020</w:t>
            </w:r>
          </w:p>
        </w:tc>
        <w:tc>
          <w:tcPr>
            <w:tcW w:w="4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174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174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bottom w:val="single" w:sz="8" w:color="CCEEFF"/>
            </w:tcBorders>
          </w:tcPr>
          <w:p>
            <w:pPr>
              <w:spacing w:after="0"/>
              <w:rPr>
                <w:sz w:val="19"/>
                <w:szCs w:val="19"/>
                <w:color w:val="auto"/>
              </w:rPr>
            </w:pPr>
          </w:p>
        </w:tc>
        <w:tc>
          <w:tcPr>
            <w:tcW w:w="176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156"/>
        </w:trPr>
        <w:tc>
          <w:tcPr>
            <w:tcW w:w="392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w w:val="94"/>
              </w:rPr>
              <w:t>Restricted stock units and options with performance</w:t>
            </w:r>
          </w:p>
        </w:tc>
        <w:tc>
          <w:tcPr>
            <w:tcW w:w="1280" w:type="dxa"/>
            <w:vAlign w:val="bottom"/>
            <w:shd w:val="clear" w:color="auto" w:fill="CCEEFF"/>
          </w:tcPr>
          <w:p>
            <w:pPr>
              <w:spacing w:after="0"/>
              <w:rPr>
                <w:sz w:val="13"/>
                <w:szCs w:val="13"/>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3"/>
                <w:szCs w:val="13"/>
                <w:color w:val="auto"/>
              </w:rPr>
            </w:pPr>
          </w:p>
        </w:tc>
        <w:tc>
          <w:tcPr>
            <w:tcW w:w="1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3"/>
                <w:szCs w:val="13"/>
                <w:color w:val="auto"/>
              </w:rPr>
            </w:pPr>
          </w:p>
        </w:tc>
        <w:tc>
          <w:tcPr>
            <w:tcW w:w="1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3"/>
                <w:szCs w:val="13"/>
                <w:color w:val="auto"/>
              </w:rPr>
            </w:pPr>
          </w:p>
        </w:tc>
        <w:tc>
          <w:tcPr>
            <w:tcW w:w="1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measures not yet met</w:t>
            </w:r>
          </w:p>
        </w:tc>
        <w:tc>
          <w:tcPr>
            <w:tcW w:w="4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Anti-dilutive employee stock options</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Capital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 Program</w:t>
      </w:r>
    </w:p>
    <w:p>
      <w:pPr>
        <w:spacing w:after="0" w:line="225"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On January 31, 2019, our Board of Directors authorized a stock repurchase program under which we are authorized to repurchase up to $1.5 billion of our common stock from February 14, 2019, until the earlier of February 13, 2021, and a determination by the Board of Directors to discontinue the repurchase program. As of September 30, 2020, we have not repurchased any shares under this program.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52"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On February 6, 2020, our Board of Directors declared a cash dividend of $0.41 per common share. On May 6, 2020, we made an aggregate cash dividend payment of $316 million to shareholders of record at the close of business on April 15, 2020.</w:t>
      </w:r>
    </w:p>
    <w:p>
      <w:pPr>
        <w:spacing w:after="0" w:line="197"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On February 12, 2019, our Board of Directors declared a cash dividend of $0.37 per common share. On May 9, 2019, we made an aggregate cash dividend payment of $283 million to shareholders of record at the close of business on March 28, 2019.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52" w:lineRule="exact"/>
        <w:rPr>
          <w:sz w:val="20"/>
          <w:szCs w:val="20"/>
          <w:color w:val="auto"/>
        </w:rPr>
      </w:pPr>
    </w:p>
    <w:p>
      <w:pPr>
        <w:ind w:right="120" w:firstLine="324"/>
        <w:spacing w:after="0" w:line="301" w:lineRule="auto"/>
        <w:rPr>
          <w:sz w:val="20"/>
          <w:szCs w:val="20"/>
          <w:color w:val="auto"/>
        </w:rPr>
      </w:pPr>
      <w:r>
        <w:rPr>
          <w:rFonts w:ascii="Arial" w:cs="Arial" w:eastAsia="Arial" w:hAnsi="Arial"/>
          <w:sz w:val="16"/>
          <w:szCs w:val="16"/>
          <w:color w:val="auto"/>
        </w:rPr>
        <w:t>We are party to routine claims, suits, investigations, audits, and other proceedings arising from the ordinary course of business, including with respect to intellectual property rights, contractual claims, labor and employment matters, regulatory matters, tax matters, unclaimed property matters, compliance matters, and collection matters. In the opinion of management, after consultation with legal counsel, such routine claims and lawsuits are not significant, and we do not expect them to have a material adverse effect on our business, financial condition, results of operations, or liquidity.</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ind w:right="420" w:firstLine="324"/>
        <w:spacing w:after="0" w:line="259" w:lineRule="auto"/>
        <w:rPr>
          <w:sz w:val="20"/>
          <w:szCs w:val="20"/>
          <w:color w:val="auto"/>
        </w:rPr>
      </w:pPr>
      <w:r>
        <w:rPr>
          <w:rFonts w:ascii="Arial" w:cs="Arial" w:eastAsia="Arial" w:hAnsi="Arial"/>
          <w:sz w:val="18"/>
          <w:szCs w:val="18"/>
          <w:color w:val="auto"/>
        </w:rPr>
        <w:t>Activision Blizzard, Inc. is a leading global developer and publisher of interactive entertainment content and services. We develop and distribute content and services on video game consoles, personal computers (“PC”s), and mobile devices. We also operate esports leagues and offer digital advertising within our content. The terms “Activision Blizzard,” the “Company,” “we,” “us,” and “our” are used to refer collectively to Activision Blizzard, Inc. and its subsidiaries.</w:t>
      </w:r>
    </w:p>
    <w:p>
      <w:pPr>
        <w:spacing w:after="0" w:line="187"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Company was originally incorporated in California in 1979 and was reincorporated in Delaware in December 1992. In connection with the 2008 business combination by and among the Company (then known as Activision, Inc.), Vivendi S.A, and Vivendi Games, Inc., pursuant to which we acquired Blizzard Entertainment, Inc. (“Blizzard”), we were renamed Activision Blizzard, Inc. On February 23, 2016, we acquired King Digital Entertainment plc ("King") by purchasing all of its outstanding shares.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Segments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Based on our organizational structure, we conduct our business through three reportable segments,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 Activision Publishing, Inc.</w:t>
      </w:r>
    </w:p>
    <w:p>
      <w:pPr>
        <w:spacing w:after="0" w:line="225" w:lineRule="exact"/>
        <w:rPr>
          <w:sz w:val="20"/>
          <w:szCs w:val="20"/>
          <w:color w:val="auto"/>
        </w:rPr>
      </w:pPr>
    </w:p>
    <w:p>
      <w:pPr>
        <w:ind w:right="20" w:firstLine="324"/>
        <w:spacing w:after="0"/>
        <w:rPr>
          <w:sz w:val="20"/>
          <w:szCs w:val="20"/>
          <w:color w:val="auto"/>
        </w:rPr>
      </w:pPr>
      <w:r>
        <w:rPr>
          <w:rFonts w:ascii="Arial" w:cs="Arial" w:eastAsia="Arial" w:hAnsi="Arial"/>
          <w:sz w:val="18"/>
          <w:szCs w:val="18"/>
          <w:color w:val="auto"/>
        </w:rPr>
        <w:t>Activision Publishing, Inc. (“Activision”) is a leading global developer and publisher of interactive software products and entertainment content, particularly for the console platform. Activision primarily delivers content through retail and digital channels, including full-game and in-game sales, as well as by licensing software to third-party or related-party companies that distribute Activision products. Activision develops, markets, and sells products primarily based on our internally developed intellectual properties. Activision also includes the activities of the Call of Duty League</w:t>
      </w:r>
      <w:r>
        <w:rPr>
          <w:rFonts w:ascii="Arial" w:cs="Arial" w:eastAsia="Arial" w:hAnsi="Arial"/>
          <w:sz w:val="23"/>
          <w:szCs w:val="23"/>
          <w:color w:val="auto"/>
          <w:vertAlign w:val="superscript"/>
        </w:rPr>
        <w:t>TM</w:t>
      </w:r>
      <w:r>
        <w:rPr>
          <w:rFonts w:ascii="Arial" w:cs="Arial" w:eastAsia="Arial" w:hAnsi="Arial"/>
          <w:sz w:val="18"/>
          <w:szCs w:val="18"/>
          <w:color w:val="auto"/>
        </w:rPr>
        <w:t>, a global professional esports league with city-based teams.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Activision’s key product franchise is Call of Duty</w:t>
      </w:r>
      <w:r>
        <w:rPr>
          <w:rFonts w:ascii="Arial" w:cs="Arial" w:eastAsia="Arial" w:hAnsi="Arial"/>
          <w:sz w:val="23"/>
          <w:szCs w:val="23"/>
          <w:color w:val="auto"/>
          <w:vertAlign w:val="superscript"/>
        </w:rPr>
        <w:t>®</w:t>
      </w:r>
      <w:r>
        <w:rPr>
          <w:rFonts w:ascii="Arial" w:cs="Arial" w:eastAsia="Arial" w:hAnsi="Arial"/>
          <w:sz w:val="18"/>
          <w:szCs w:val="18"/>
          <w:color w:val="auto"/>
        </w:rPr>
        <w:t>, a first-person action title for the console, PC, and mobile platforms.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(ii) Blizzard Entertainment, Inc.</w:t>
      </w:r>
    </w:p>
    <w:p>
      <w:pPr>
        <w:spacing w:after="0" w:line="225" w:lineRule="exact"/>
        <w:rPr>
          <w:sz w:val="20"/>
          <w:szCs w:val="20"/>
          <w:color w:val="auto"/>
        </w:rPr>
      </w:pPr>
    </w:p>
    <w:p>
      <w:pPr>
        <w:ind w:right="120" w:firstLine="324"/>
        <w:spacing w:after="0" w:line="283" w:lineRule="auto"/>
        <w:rPr>
          <w:sz w:val="20"/>
          <w:szCs w:val="20"/>
          <w:color w:val="auto"/>
        </w:rPr>
      </w:pPr>
      <w:r>
        <w:rPr>
          <w:rFonts w:ascii="Arial" w:cs="Arial" w:eastAsia="Arial" w:hAnsi="Arial"/>
          <w:sz w:val="16"/>
          <w:szCs w:val="16"/>
          <w:color w:val="auto"/>
        </w:rPr>
        <w:t>Blizzard is a leading global developer and publisher of interactive software products and entertainment content, particularly for the PC platform. Blizzard primarily delivers content through retail and digital channels, including subscriptions, full-game, and in-game sales, as well as by licensing software to third-party or related-party companies that distribute Blizzard products. Blizzard also maintains a proprietary online gaming service, Blizzard Battle.net</w:t>
      </w:r>
      <w:r>
        <w:rPr>
          <w:rFonts w:ascii="Arial" w:cs="Arial" w:eastAsia="Arial" w:hAnsi="Arial"/>
          <w:sz w:val="20"/>
          <w:szCs w:val="20"/>
          <w:color w:val="auto"/>
          <w:vertAlign w:val="superscript"/>
        </w:rPr>
        <w:t>®</w:t>
      </w:r>
      <w:r>
        <w:rPr>
          <w:rFonts w:ascii="Arial" w:cs="Arial" w:eastAsia="Arial" w:hAnsi="Arial"/>
          <w:sz w:val="16"/>
          <w:szCs w:val="16"/>
          <w:color w:val="auto"/>
        </w:rPr>
        <w:t>, which facilitates digital distribution of Blizzard content and selected Activision content, online social connectivity, and the creation of user-generated content. Blizzard also includes the activities of the Overwatch League</w:t>
      </w:r>
      <w:r>
        <w:rPr>
          <w:rFonts w:ascii="Arial" w:cs="Arial" w:eastAsia="Arial" w:hAnsi="Arial"/>
          <w:sz w:val="20"/>
          <w:szCs w:val="20"/>
          <w:color w:val="auto"/>
          <w:vertAlign w:val="superscript"/>
        </w:rPr>
        <w:t>TM</w:t>
      </w:r>
      <w:r>
        <w:rPr>
          <w:rFonts w:ascii="Arial" w:cs="Arial" w:eastAsia="Arial" w:hAnsi="Arial"/>
          <w:sz w:val="16"/>
          <w:szCs w:val="16"/>
          <w:color w:val="auto"/>
        </w:rPr>
        <w:t>, a global professional esports league with city-based teams.</w:t>
      </w:r>
    </w:p>
    <w:p>
      <w:pPr>
        <w:spacing w:after="0" w:line="124" w:lineRule="exact"/>
        <w:rPr>
          <w:sz w:val="20"/>
          <w:szCs w:val="20"/>
          <w:color w:val="auto"/>
        </w:rPr>
      </w:pPr>
    </w:p>
    <w:p>
      <w:pPr>
        <w:ind w:right="320" w:firstLine="324"/>
        <w:spacing w:after="0" w:line="222" w:lineRule="auto"/>
        <w:rPr>
          <w:sz w:val="20"/>
          <w:szCs w:val="20"/>
          <w:color w:val="auto"/>
        </w:rPr>
      </w:pPr>
      <w:r>
        <w:rPr>
          <w:rFonts w:ascii="Arial" w:cs="Arial" w:eastAsia="Arial" w:hAnsi="Arial"/>
          <w:sz w:val="18"/>
          <w:szCs w:val="18"/>
          <w:color w:val="auto"/>
        </w:rPr>
        <w:t>Blizzard’s key product franchises include: World of Warcraft</w:t>
      </w:r>
      <w:r>
        <w:rPr>
          <w:rFonts w:ascii="Arial" w:cs="Arial" w:eastAsia="Arial" w:hAnsi="Arial"/>
          <w:sz w:val="23"/>
          <w:szCs w:val="23"/>
          <w:color w:val="auto"/>
          <w:vertAlign w:val="superscript"/>
        </w:rPr>
        <w:t>®</w:t>
      </w:r>
      <w:r>
        <w:rPr>
          <w:rFonts w:ascii="Arial" w:cs="Arial" w:eastAsia="Arial" w:hAnsi="Arial"/>
          <w:sz w:val="18"/>
          <w:szCs w:val="18"/>
          <w:color w:val="auto"/>
        </w:rPr>
        <w:t>, a subscription-based massive multi-player online role-playing game for the PC platform; Diablo</w:t>
      </w:r>
      <w:r>
        <w:rPr>
          <w:rFonts w:ascii="Arial" w:cs="Arial" w:eastAsia="Arial" w:hAnsi="Arial"/>
          <w:sz w:val="23"/>
          <w:szCs w:val="23"/>
          <w:color w:val="auto"/>
          <w:vertAlign w:val="superscript"/>
        </w:rPr>
        <w:t>®</w:t>
      </w:r>
      <w:r>
        <w:rPr>
          <w:rFonts w:ascii="Arial" w:cs="Arial" w:eastAsia="Arial" w:hAnsi="Arial"/>
          <w:sz w:val="18"/>
          <w:szCs w:val="18"/>
          <w:color w:val="auto"/>
        </w:rPr>
        <w:t>, an action role-playing franchise for the PC and console platforms; Hearthstone</w:t>
      </w:r>
      <w:r>
        <w:rPr>
          <w:rFonts w:ascii="Arial" w:cs="Arial" w:eastAsia="Arial" w:hAnsi="Arial"/>
          <w:sz w:val="23"/>
          <w:szCs w:val="23"/>
          <w:color w:val="auto"/>
          <w:vertAlign w:val="superscript"/>
        </w:rPr>
        <w:t>®</w:t>
      </w:r>
      <w:r>
        <w:rPr>
          <w:rFonts w:ascii="Arial" w:cs="Arial" w:eastAsia="Arial" w:hAnsi="Arial"/>
          <w:sz w:val="18"/>
          <w:szCs w:val="18"/>
          <w:color w:val="auto"/>
        </w:rPr>
        <w:t>, an online collectible card franchise for the PC and mobile platforms; and Overwatch</w:t>
      </w:r>
      <w:r>
        <w:rPr>
          <w:rFonts w:ascii="Arial" w:cs="Arial" w:eastAsia="Arial" w:hAnsi="Arial"/>
          <w:sz w:val="23"/>
          <w:szCs w:val="23"/>
          <w:color w:val="auto"/>
          <w:vertAlign w:val="superscript"/>
        </w:rPr>
        <w:t>®</w:t>
      </w:r>
      <w:r>
        <w:rPr>
          <w:rFonts w:ascii="Arial" w:cs="Arial" w:eastAsia="Arial" w:hAnsi="Arial"/>
          <w:sz w:val="18"/>
          <w:szCs w:val="18"/>
          <w:color w:val="auto"/>
        </w:rPr>
        <w:t>, a team-based first-person action title for the PC and console platforms.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(iii) King Digital Entertainment</w:t>
      </w:r>
    </w:p>
    <w:p>
      <w:pPr>
        <w:spacing w:after="0" w:line="225"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King is a leading global developer and publisher of interactive entertainment content and services, particularly for the mobile platform. King also distributes its content and services on the PC platform, primarily via Facebook. King’s games are free to play; however, players can acquire in-game items, either with virtual currency or real currency, and we continue to focus on in-game advertising as a growing source of revenue.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King’s key product franchise is Candy Crush</w:t>
      </w:r>
      <w:r>
        <w:rPr>
          <w:rFonts w:ascii="Arial" w:cs="Arial" w:eastAsia="Arial" w:hAnsi="Arial"/>
          <w:sz w:val="23"/>
          <w:szCs w:val="23"/>
          <w:color w:val="auto"/>
          <w:vertAlign w:val="superscript"/>
        </w:rPr>
        <w:t>TM</w:t>
      </w:r>
      <w:r>
        <w:rPr>
          <w:rFonts w:ascii="Arial" w:cs="Arial" w:eastAsia="Arial" w:hAnsi="Arial"/>
          <w:sz w:val="18"/>
          <w:szCs w:val="18"/>
          <w:color w:val="auto"/>
        </w:rPr>
        <w:t>, which features “match three” games for the mobile and PC platforms.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We also engage in other businesses that do not represent reportable segments, including the Activision Blizzard Distribution (“Distribution”) business, which consists of operations in Europe that provide warehousing, logistics, and sales distribution services to third-party publishers of interactive entertainment software, our own publishing operations, and manufacturers of interactive entertainment hardware.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Impacts of the Global COVID-19 Pandemic</w:t>
      </w:r>
    </w:p>
    <w:p>
      <w:pPr>
        <w:spacing w:after="0" w:line="225"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In December 2019, a novel strain of coronavirus (“COVID-19”) emerged and has since extensively impacted global health and the economic environment. On February 28, 2020, the World Health Organization (“WHO”) raised its assessment of the COVID-19 threat from high to very high at a global level due to the continued increase in the number of cases and affected countries, and on March 11, 2020, the WHO characterized COVID-19 as a pandemic. In an effort to contain the spread of COVID-19, domestic and international governments around the world enacted various measures, including orders to close all businesses not deemed “essential,” quarantine orders for individuals to stay in their homes or places of residence, and to practice social distancing when engaging in essential activities. We anticipate that these actions and the global health crisis caused by COVID-19 will continue to negatively impact many business activities and financial markets across the globe.</w:t>
      </w:r>
    </w:p>
    <w:p>
      <w:pPr>
        <w:spacing w:after="0" w:line="204" w:lineRule="exact"/>
        <w:rPr>
          <w:sz w:val="20"/>
          <w:szCs w:val="20"/>
          <w:color w:val="auto"/>
        </w:rPr>
      </w:pPr>
    </w:p>
    <w:p>
      <w:pPr>
        <w:ind w:right="200" w:firstLine="324"/>
        <w:spacing w:after="0" w:line="241" w:lineRule="auto"/>
        <w:rPr>
          <w:sz w:val="20"/>
          <w:szCs w:val="20"/>
          <w:color w:val="auto"/>
        </w:rPr>
      </w:pPr>
      <w:r>
        <w:rPr>
          <w:rFonts w:ascii="Arial" w:cs="Arial" w:eastAsia="Arial" w:hAnsi="Arial"/>
          <w:sz w:val="18"/>
          <w:szCs w:val="18"/>
          <w:color w:val="auto"/>
        </w:rPr>
        <w:t>The full extent of the impact of the COVID-19 pandemic on our business, reputation, financial condition, results of operations, income, revenue, profitability, cash flows, liquidity, or stock price will depend on numerous evolving factors that we are not able to fully predict at this time. However, we believe that given our strong balance sheet, with cash and cash equivalents and short-term investments of $7.6 billion as of September 30, 2020, and the fact that our business has increasingly shifted to digital channels, we have substantial flexibility as we navigate through the uncertain environment and near-term implications of the COVID-19 pandemic.</w:t>
      </w:r>
    </w:p>
    <w:p>
      <w:pPr>
        <w:spacing w:after="0" w:line="216" w:lineRule="exact"/>
        <w:rPr>
          <w:sz w:val="20"/>
          <w:szCs w:val="20"/>
          <w:color w:val="auto"/>
        </w:rPr>
      </w:pPr>
    </w:p>
    <w:p>
      <w:pPr>
        <w:ind w:firstLine="324"/>
        <w:spacing w:after="0" w:line="269" w:lineRule="auto"/>
        <w:rPr>
          <w:sz w:val="20"/>
          <w:szCs w:val="20"/>
          <w:color w:val="auto"/>
        </w:rPr>
      </w:pPr>
      <w:r>
        <w:rPr>
          <w:rFonts w:ascii="Arial" w:cs="Arial" w:eastAsia="Arial" w:hAnsi="Arial"/>
          <w:sz w:val="16"/>
          <w:szCs w:val="16"/>
          <w:color w:val="auto"/>
        </w:rPr>
        <w:t>During the COVID-19 pandemic, our business has experienced an increase in demand for certain of our products and services as a result of the stay-at-home orders enacted in various regions as players have more time to engage with our games. These trends contributed to strong full game and in-game content sales for Call of Duty: Modern Warfare</w:t>
      </w:r>
      <w:r>
        <w:rPr>
          <w:rFonts w:ascii="Arial" w:cs="Arial" w:eastAsia="Arial" w:hAnsi="Arial"/>
          <w:sz w:val="20"/>
          <w:szCs w:val="20"/>
          <w:color w:val="auto"/>
          <w:vertAlign w:val="superscript"/>
        </w:rPr>
        <w:t>®</w:t>
      </w:r>
      <w:r>
        <w:rPr>
          <w:rFonts w:ascii="Arial" w:cs="Arial" w:eastAsia="Arial" w:hAnsi="Arial"/>
          <w:sz w:val="16"/>
          <w:szCs w:val="16"/>
          <w:color w:val="auto"/>
        </w:rPr>
        <w:t>, which also benefited from the launch of Call of Duty: Warzone</w:t>
      </w:r>
      <w:r>
        <w:rPr>
          <w:rFonts w:ascii="Arial" w:cs="Arial" w:eastAsia="Arial" w:hAnsi="Arial"/>
          <w:sz w:val="20"/>
          <w:szCs w:val="20"/>
          <w:color w:val="auto"/>
          <w:vertAlign w:val="superscript"/>
        </w:rPr>
        <w:t>TM</w:t>
      </w:r>
      <w:r>
        <w:rPr>
          <w:rFonts w:ascii="Arial" w:cs="Arial" w:eastAsia="Arial" w:hAnsi="Arial"/>
          <w:sz w:val="16"/>
          <w:szCs w:val="16"/>
          <w:color w:val="auto"/>
        </w:rPr>
        <w:t xml:space="preserve"> in March. In addition, we saw further demand for World of Warcraft, including its in-game content, which also continued to benefit from the release of World of Warcraft Classic in August</w:t>
      </w:r>
    </w:p>
    <w:p>
      <w:pPr>
        <w:spacing w:after="0" w:line="2"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2019. Beginning in the month of March, our business also experienced an increase in monthly active users for certain franchises. We have, however, seen a moderation in these trends since the stay-at-home orders were originally enacted earlier in the year.</w:t>
      </w:r>
    </w:p>
    <w:p>
      <w:pPr>
        <w:spacing w:after="0" w:line="212" w:lineRule="exact"/>
        <w:rPr>
          <w:sz w:val="20"/>
          <w:szCs w:val="20"/>
          <w:color w:val="auto"/>
        </w:rPr>
      </w:pPr>
    </w:p>
    <w:p>
      <w:pPr>
        <w:ind w:right="160" w:firstLine="324"/>
        <w:spacing w:after="0" w:line="254" w:lineRule="auto"/>
        <w:rPr>
          <w:sz w:val="20"/>
          <w:szCs w:val="20"/>
          <w:color w:val="auto"/>
        </w:rPr>
      </w:pPr>
      <w:r>
        <w:rPr>
          <w:rFonts w:ascii="Arial" w:cs="Arial" w:eastAsia="Arial" w:hAnsi="Arial"/>
          <w:sz w:val="18"/>
          <w:szCs w:val="18"/>
          <w:color w:val="auto"/>
        </w:rPr>
        <w:t>As a result of the COVID-19 pandemic and stay-at-home orders enacted in various regions, both the Overwatch League and the Call of Duty League pivoted all matches from their originally planned local homestand formats to online play and remote production for the remainder of the regular and postseason in order to keep players and fans safe while still delivering premium esports content to a global audience. Additionally, to support our Overwatch League and Call of Duty League team owners and ecosystems amid a challenging environment, which includes losing the ability to have live fan-attended home venue events, we have taken certain actions to support their short-term cash flow needs, adjusted our league operations to reduce operating costs and improve franchise terms, and made certain investments which have impacted our operating results in the third quarter of 2020. This impact was primarily in the Blizzard segment.</w:t>
      </w:r>
    </w:p>
    <w:p>
      <w:pPr>
        <w:spacing w:after="0" w:line="222"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The sustainability of these trends and long-term implications to our business is dependent on future developments, including the duration of the COVID-19 pandemic and the related length of its impact on the global economy, which are uncertain and cannot be predicted at this time. See Item 1A “Risk Factors” within Part II of this Quarterly Report on Form 10-Q for additional details on risks and uncertainties regarding the impacts of the global COVID-19 pandemic on our business, reputation, financial condition, results of operations, income, revenue, profitability, cash flows, liquidity, and stock price.</w:t>
      </w:r>
    </w:p>
    <w:p>
      <w:pPr>
        <w:spacing w:after="0" w:line="215" w:lineRule="exact"/>
        <w:rPr>
          <w:sz w:val="20"/>
          <w:szCs w:val="20"/>
          <w:color w:val="auto"/>
        </w:rPr>
      </w:pPr>
    </w:p>
    <w:p>
      <w:pPr>
        <w:ind w:right="100" w:firstLine="324"/>
        <w:spacing w:after="0" w:line="271" w:lineRule="auto"/>
        <w:rPr>
          <w:sz w:val="20"/>
          <w:szCs w:val="20"/>
          <w:color w:val="auto"/>
        </w:rPr>
      </w:pPr>
      <w:r>
        <w:rPr>
          <w:rFonts w:ascii="Arial" w:cs="Arial" w:eastAsia="Arial" w:hAnsi="Arial"/>
          <w:sz w:val="17"/>
          <w:szCs w:val="17"/>
          <w:color w:val="auto"/>
        </w:rPr>
        <w:t>In an effort to protect the health and safety of our employees, the majority of our workforce is currently working from home and we have placed restrictions on non-essential business travel. We have implemented business continuity plans and have increased support and resources to enable our employees to work remotely and, thus far, our business has been able to operate with minimal disruption to our game titles’ published release dates. The global COVID-19 pandemic remains a rapidly evolving situation. We will continue to actively monitor the developments of the COVID-19 pandemic and may take further actions that could alter our business operations as may be required by federal, state, local, or foreign authorities, or that we determine are in the best interests of our employees, customers, partners and shareholders. It is not clear what effects any such potential actions may have on our business, including the effects on our employees, players and consumers, customers, partners, game development and content pipelines, or on our reputation, financial condition, results of operations, income, revenue, profitability, cash flows, liquidity, or stock price.</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Results and Highlights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the three months ended September 30, 2020:</w:t>
      </w:r>
    </w:p>
    <w:p>
      <w:pPr>
        <w:spacing w:after="0" w:line="252" w:lineRule="exact"/>
        <w:rPr>
          <w:sz w:val="20"/>
          <w:szCs w:val="20"/>
          <w:color w:val="auto"/>
        </w:rPr>
      </w:pPr>
    </w:p>
    <w:p>
      <w:pPr>
        <w:ind w:left="980" w:hanging="324"/>
        <w:spacing w:after="0" w:line="263" w:lineRule="auto"/>
        <w:tabs>
          <w:tab w:leader="none" w:pos="975"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consolidated net revenues increased 52% to $1.95 billion, while consolidated operating income increased 215% to $778 million, as compared to consolidated net revenues of $1.28 billion and consolidated operating income of $247 million for the three months ended September 30, 2019;</w:t>
      </w:r>
    </w:p>
    <w:p>
      <w:pPr>
        <w:spacing w:after="0" w:line="210" w:lineRule="exact"/>
        <w:rPr>
          <w:rFonts w:ascii="Arial" w:cs="Arial" w:eastAsia="Arial" w:hAnsi="Arial"/>
          <w:sz w:val="18"/>
          <w:szCs w:val="18"/>
          <w:color w:val="auto"/>
        </w:rPr>
      </w:pPr>
    </w:p>
    <w:p>
      <w:pPr>
        <w:ind w:left="980" w:right="460" w:hanging="324"/>
        <w:spacing w:after="0" w:line="277" w:lineRule="auto"/>
        <w:tabs>
          <w:tab w:leader="none" w:pos="975"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revenues from digital online channels were $1.75 billion, or 90% of consolidated net revenues, as compared to $1.01 billion, or 79% of consolidated net revenues, for the three months ended September 30, 2019;</w:t>
      </w:r>
    </w:p>
    <w:p>
      <w:pPr>
        <w:spacing w:after="0" w:line="197" w:lineRule="exact"/>
        <w:rPr>
          <w:rFonts w:ascii="Arial" w:cs="Arial" w:eastAsia="Arial" w:hAnsi="Arial"/>
          <w:sz w:val="18"/>
          <w:szCs w:val="18"/>
          <w:color w:val="auto"/>
        </w:rPr>
      </w:pPr>
    </w:p>
    <w:p>
      <w:pPr>
        <w:ind w:left="980" w:right="60" w:hanging="324"/>
        <w:spacing w:after="0" w:line="277" w:lineRule="auto"/>
        <w:tabs>
          <w:tab w:leader="none" w:pos="975" w:val="left"/>
        </w:tabs>
        <w:numPr>
          <w:ilvl w:val="0"/>
          <w:numId w:val="16"/>
        </w:numPr>
        <w:rPr>
          <w:rFonts w:ascii="Arial" w:cs="Arial" w:eastAsia="Arial" w:hAnsi="Arial"/>
          <w:sz w:val="18"/>
          <w:szCs w:val="18"/>
          <w:color w:val="auto"/>
        </w:rPr>
      </w:pPr>
      <w:r>
        <w:rPr>
          <w:rFonts w:ascii="Arial" w:cs="Arial" w:eastAsia="Arial" w:hAnsi="Arial"/>
          <w:sz w:val="18"/>
          <w:szCs w:val="18"/>
          <w:color w:val="auto"/>
        </w:rPr>
        <w:t>operating margin was 39.8%, which includes $9 million in restructuring and related costs, as compared to 19.3%, for the three months ended September 30, 2019, which included $28 million in restructuring and related costs;</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consolidated net income increased 196% to $604 million, as compared to $204 million for the three months ended September 30, 2019; and</w:t>
      </w:r>
    </w:p>
    <w:p>
      <w:pPr>
        <w:spacing w:after="0" w:line="275" w:lineRule="exact"/>
        <w:rPr>
          <w:rFonts w:ascii="Arial" w:cs="Arial" w:eastAsia="Arial" w:hAnsi="Arial"/>
          <w:sz w:val="16"/>
          <w:szCs w:val="16"/>
          <w:color w:val="auto"/>
        </w:rPr>
      </w:pPr>
    </w:p>
    <w:p>
      <w:pPr>
        <w:ind w:left="980" w:hanging="324"/>
        <w:spacing w:after="0"/>
        <w:tabs>
          <w:tab w:leader="none" w:pos="9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diluted earnings per common share increased 200% to $0.78, as compared to $0.26 for the three months ended September 30, 2019.</w:t>
      </w:r>
    </w:p>
    <w:p>
      <w:pPr>
        <w:spacing w:after="0" w:line="2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the nine months ended September 30, 2020:</w:t>
      </w:r>
    </w:p>
    <w:p>
      <w:pPr>
        <w:spacing w:after="0" w:line="252" w:lineRule="exact"/>
        <w:rPr>
          <w:sz w:val="20"/>
          <w:szCs w:val="20"/>
          <w:color w:val="auto"/>
        </w:rPr>
      </w:pPr>
    </w:p>
    <w:p>
      <w:pPr>
        <w:ind w:left="980" w:right="100" w:hanging="324"/>
        <w:spacing w:after="0" w:line="263" w:lineRule="auto"/>
        <w:tabs>
          <w:tab w:leader="none" w:pos="975"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consolidated net revenues increased 26% to $5.67 billion, while consolidated operating income increased 86% to $2.14 billion, as compared to consolidated net revenues of $4.50 billion and consolidated operating income of $1.15 billion for the nine months ended September 30, 2019;</w:t>
      </w:r>
    </w:p>
    <w:p>
      <w:pPr>
        <w:spacing w:after="0" w:line="210" w:lineRule="exact"/>
        <w:rPr>
          <w:rFonts w:ascii="Arial" w:cs="Arial" w:eastAsia="Arial" w:hAnsi="Arial"/>
          <w:sz w:val="18"/>
          <w:szCs w:val="18"/>
          <w:color w:val="auto"/>
        </w:rPr>
      </w:pPr>
    </w:p>
    <w:p>
      <w:pPr>
        <w:ind w:left="980" w:right="460" w:hanging="324"/>
        <w:spacing w:after="0" w:line="277" w:lineRule="auto"/>
        <w:tabs>
          <w:tab w:leader="none" w:pos="975"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revenues from digital online channels were $4.78 billion, or 84% of consolidated net revenues, as compared to $3.49 billion, or 78% of consolidated net revenues, for the nine months ended September 30, 2019;</w:t>
      </w:r>
    </w:p>
    <w:p>
      <w:pPr>
        <w:spacing w:after="0" w:line="197" w:lineRule="exact"/>
        <w:rPr>
          <w:rFonts w:ascii="Arial" w:cs="Arial" w:eastAsia="Arial" w:hAnsi="Arial"/>
          <w:sz w:val="18"/>
          <w:szCs w:val="18"/>
          <w:color w:val="auto"/>
        </w:rPr>
      </w:pPr>
    </w:p>
    <w:p>
      <w:pPr>
        <w:ind w:left="980" w:right="20" w:hanging="324"/>
        <w:spacing w:after="0" w:line="277" w:lineRule="auto"/>
        <w:tabs>
          <w:tab w:leader="none" w:pos="975" w:val="left"/>
        </w:tabs>
        <w:numPr>
          <w:ilvl w:val="0"/>
          <w:numId w:val="17"/>
        </w:numPr>
        <w:rPr>
          <w:rFonts w:ascii="Arial" w:cs="Arial" w:eastAsia="Arial" w:hAnsi="Arial"/>
          <w:sz w:val="18"/>
          <w:szCs w:val="18"/>
          <w:color w:val="auto"/>
        </w:rPr>
      </w:pPr>
      <w:r>
        <w:rPr>
          <w:rFonts w:ascii="Arial" w:cs="Arial" w:eastAsia="Arial" w:hAnsi="Arial"/>
          <w:sz w:val="18"/>
          <w:szCs w:val="18"/>
          <w:color w:val="auto"/>
        </w:rPr>
        <w:t>operating margin was 37.7%, which includes $39 million in restructuring and related costs, as compared to 25.6%, for the nine months ended September 30, 2019, which included $108 million in restructuring and related costs;</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consolidated net income increased 73% to $1.69 billion, as compared to $978 million for the nine months ended September 30, 2019;</w:t>
      </w:r>
    </w:p>
    <w:p>
      <w:pPr>
        <w:spacing w:after="0" w:line="263" w:lineRule="exact"/>
        <w:rPr>
          <w:rFonts w:ascii="Arial" w:cs="Arial" w:eastAsia="Arial" w:hAnsi="Arial"/>
          <w:sz w:val="17"/>
          <w:szCs w:val="17"/>
          <w:color w:val="auto"/>
        </w:rPr>
      </w:pPr>
    </w:p>
    <w:p>
      <w:pPr>
        <w:ind w:left="980" w:hanging="324"/>
        <w:spacing w:after="0"/>
        <w:tabs>
          <w:tab w:leader="none" w:pos="9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diluted earnings per common share increased 71% to $2.17, as compared to $1.27 for the nine months ended September 30, 2019; and</w:t>
      </w:r>
    </w:p>
    <w:p>
      <w:pPr>
        <w:spacing w:after="0" w:line="275" w:lineRule="exact"/>
        <w:rPr>
          <w:rFonts w:ascii="Arial" w:cs="Arial" w:eastAsia="Arial" w:hAnsi="Arial"/>
          <w:sz w:val="16"/>
          <w:szCs w:val="16"/>
          <w:color w:val="auto"/>
        </w:rPr>
      </w:pPr>
    </w:p>
    <w:p>
      <w:pPr>
        <w:ind w:left="980" w:right="720" w:hanging="324"/>
        <w:spacing w:after="0" w:line="277" w:lineRule="auto"/>
        <w:tabs>
          <w:tab w:leader="none" w:pos="975" w:val="left"/>
        </w:tabs>
        <w:numPr>
          <w:ilvl w:val="0"/>
          <w:numId w:val="17"/>
        </w:numPr>
        <w:rPr>
          <w:rFonts w:ascii="Arial" w:cs="Arial" w:eastAsia="Arial" w:hAnsi="Arial"/>
          <w:sz w:val="18"/>
          <w:szCs w:val="18"/>
          <w:color w:val="auto"/>
        </w:rPr>
      </w:pPr>
      <w:r>
        <w:rPr>
          <w:rFonts w:ascii="Arial" w:cs="Arial" w:eastAsia="Arial" w:hAnsi="Arial"/>
          <w:sz w:val="18"/>
          <w:szCs w:val="18"/>
          <w:color w:val="auto"/>
        </w:rPr>
        <w:t>cash flows from operating activities were $1.11 billion, an increase of 22%, as compared to $913 million for the nine months ended September 30, 2019.</w:t>
      </w:r>
    </w:p>
    <w:p>
      <w:pPr>
        <w:spacing w:after="0" w:line="197"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Since certain of our games are hosted online or include significant online functionality that represents a separate performance obligation, we defer the transaction price allocable to the online functionality from the sale of these games and recognize the attributable revenues over the relevant estimated service periods, which are generally less than a year. Net revenues and operating income for the three months ended September 30, 2020, include a net effect of $187 million and $150 million, respectively, from the recognition of deferred net revenues and related cost of revenues. Net revenues and operating income for the nine months ended September 30, 2020, include a net effect of $306 million and $169 million, respectively, from the recognition of deferred net revenues and related cost of revenues.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80" w:firstLine="324"/>
        <w:spacing w:after="0" w:line="291" w:lineRule="auto"/>
        <w:rPr>
          <w:sz w:val="20"/>
          <w:szCs w:val="20"/>
          <w:color w:val="auto"/>
        </w:rPr>
      </w:pPr>
      <w:r>
        <w:rPr>
          <w:rFonts w:ascii="Arial" w:cs="Arial" w:eastAsia="Arial" w:hAnsi="Arial"/>
          <w:sz w:val="16"/>
          <w:szCs w:val="16"/>
          <w:color w:val="auto"/>
        </w:rPr>
        <w:t>Additionally, for the three months ended September 30, 2020 and 2019, 12% and 14%, respectively, of total net revenues recognized were from revenue sources that were recognized at a “point-in-time,” while “over-time and other” revenues were the remaining 88% and 86%, respectively, of total net revenues. For the nine months ended September 30, 2020 and 2019, 12% and 13%, respectively, of total net revenues recognized were from revenue sources that were recognized at a “point-in-time,” while “over-time and other” revenues were the remaining 88% and 87%, respectively, of total net revenues. Revenues recognized at a “point-in-time” are primarily comprised of the portion of revenue from software products that is recognized when the customer takes control of the product (i.e., upon delivery of the software product) and revenues from our Distribution business. “Over-time and other revenues” are primarily comprised of revenue associated with the online functionality of our games, in-game purchases, and subscriptions.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Content Release and Event Highlights</w:t>
      </w:r>
    </w:p>
    <w:p>
      <w:pPr>
        <w:spacing w:after="0" w:line="233" w:lineRule="exact"/>
        <w:rPr>
          <w:sz w:val="20"/>
          <w:szCs w:val="20"/>
          <w:color w:val="auto"/>
        </w:rPr>
      </w:pPr>
    </w:p>
    <w:p>
      <w:pPr>
        <w:ind w:right="20" w:firstLine="324"/>
        <w:spacing w:after="0" w:line="192" w:lineRule="auto"/>
        <w:rPr>
          <w:sz w:val="20"/>
          <w:szCs w:val="20"/>
          <w:color w:val="auto"/>
        </w:rPr>
      </w:pPr>
      <w:r>
        <w:rPr>
          <w:rFonts w:ascii="Arial" w:cs="Arial" w:eastAsia="Arial" w:hAnsi="Arial"/>
          <w:sz w:val="18"/>
          <w:szCs w:val="18"/>
          <w:color w:val="auto"/>
        </w:rPr>
        <w:t xml:space="preserve">Games and other major content releases during the three months ended September 30, 2020, include Activision’s </w:t>
      </w:r>
      <w:r>
        <w:rPr>
          <w:rFonts w:ascii="Arial" w:cs="Arial" w:eastAsia="Arial" w:hAnsi="Arial"/>
          <w:sz w:val="18"/>
          <w:szCs w:val="18"/>
          <w:i w:val="1"/>
          <w:iCs w:val="1"/>
          <w:color w:val="auto"/>
        </w:rPr>
        <w:t>Tony Hawk’s</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w:t>
      </w:r>
      <w:r>
        <w:rPr>
          <w:rFonts w:ascii="Arial" w:cs="Arial" w:eastAsia="Arial" w:hAnsi="Arial"/>
          <w:sz w:val="18"/>
          <w:szCs w:val="18"/>
          <w:i w:val="1"/>
          <w:iCs w:val="1"/>
          <w:color w:val="auto"/>
        </w:rPr>
        <w:t>Pro Skater</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w:t>
      </w:r>
      <w:r>
        <w:rPr>
          <w:rFonts w:ascii="Arial" w:cs="Arial" w:eastAsia="Arial" w:hAnsi="Arial"/>
          <w:sz w:val="18"/>
          <w:szCs w:val="18"/>
          <w:i w:val="1"/>
          <w:iCs w:val="1"/>
          <w:color w:val="auto"/>
        </w:rPr>
        <w:t>1 and 2</w:t>
      </w:r>
      <w:r>
        <w:rPr>
          <w:rFonts w:ascii="Arial" w:cs="Arial" w:eastAsia="Arial" w:hAnsi="Arial"/>
          <w:sz w:val="18"/>
          <w:szCs w:val="18"/>
          <w:color w:val="auto"/>
        </w:rPr>
        <w:t>, a remaster of the first two titles in the Tony Hawk video game franchise.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Metrics</w:t>
      </w:r>
    </w:p>
    <w:p>
      <w:pPr>
        <w:spacing w:after="0" w:line="252"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The following operating metrics are key performance indicators that we use to evaluate our business. The key drivers of changes in our operating metrics are presented in the order of significance.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bookings and In-game net bookings</w:t>
      </w:r>
    </w:p>
    <w:p>
      <w:pPr>
        <w:spacing w:after="0" w:line="252" w:lineRule="exact"/>
        <w:rPr>
          <w:sz w:val="20"/>
          <w:szCs w:val="20"/>
          <w:color w:val="auto"/>
        </w:rPr>
      </w:pPr>
    </w:p>
    <w:p>
      <w:pPr>
        <w:ind w:right="120" w:firstLine="324"/>
        <w:spacing w:after="0" w:line="296" w:lineRule="auto"/>
        <w:rPr>
          <w:sz w:val="20"/>
          <w:szCs w:val="20"/>
          <w:color w:val="auto"/>
        </w:rPr>
      </w:pPr>
      <w:r>
        <w:rPr>
          <w:rFonts w:ascii="Arial" w:cs="Arial" w:eastAsia="Arial" w:hAnsi="Arial"/>
          <w:sz w:val="16"/>
          <w:szCs w:val="16"/>
          <w:color w:val="auto"/>
        </w:rPr>
        <w:t>We monitor net bookings as a key operating metric in evaluating the performance of our business because it enables an analysis of performance based on the timing of actual transactions with our customers and provides more timely indications of trends in our operating results. Net bookings is the net amount of products and services sold digitally or sold-in physically in the period, and includes license fees, merchandise, and publisher incentives, among others. Net bookings is equal to net revenues excluding the impact from deferrals. In-game net bookings primarily includes the net amount of downloadable content and microtransactions sold during the period, and is equal to in-game net revenues excluding the impact from deferrals.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bookings and in-game net bookings were as follows (amounts in millions):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100" w:type="dxa"/>
            <w:vAlign w:val="bottom"/>
            <w:gridSpan w:val="8"/>
          </w:tcPr>
          <w:p>
            <w:pPr>
              <w:ind w:left="180"/>
              <w:spacing w:after="0"/>
              <w:rPr>
                <w:sz w:val="20"/>
                <w:szCs w:val="20"/>
                <w:color w:val="auto"/>
              </w:rPr>
            </w:pPr>
            <w:r>
              <w:rPr>
                <w:rFonts w:ascii="Arial" w:cs="Arial" w:eastAsia="Arial" w:hAnsi="Arial"/>
                <w:sz w:val="18"/>
                <w:szCs w:val="18"/>
                <w:b w:val="1"/>
                <w:bCs w:val="1"/>
                <w:color w:val="auto"/>
              </w:rPr>
              <w:t>For the Three Months Ended September 30,</w:t>
            </w:r>
          </w:p>
        </w:tc>
        <w:tc>
          <w:tcPr>
            <w:tcW w:w="320" w:type="dxa"/>
            <w:vAlign w:val="bottom"/>
          </w:tcPr>
          <w:p>
            <w:pPr>
              <w:spacing w:after="0"/>
              <w:rPr>
                <w:sz w:val="20"/>
                <w:szCs w:val="20"/>
                <w:color w:val="auto"/>
              </w:rPr>
            </w:pPr>
          </w:p>
        </w:tc>
        <w:tc>
          <w:tcPr>
            <w:tcW w:w="3980" w:type="dxa"/>
            <w:vAlign w:val="bottom"/>
            <w:gridSpan w:val="7"/>
          </w:tcPr>
          <w:p>
            <w:pPr>
              <w:ind w:left="180"/>
              <w:spacing w:after="0"/>
              <w:rPr>
                <w:sz w:val="20"/>
                <w:szCs w:val="20"/>
                <w:color w:val="auto"/>
              </w:rPr>
            </w:pPr>
            <w:r>
              <w:rPr>
                <w:rFonts w:ascii="Arial" w:cs="Arial" w:eastAsia="Arial" w:hAnsi="Arial"/>
                <w:sz w:val="18"/>
                <w:szCs w:val="18"/>
                <w:b w:val="1"/>
                <w:bCs w:val="1"/>
                <w:color w:val="auto"/>
              </w:rPr>
              <w:t>For the Nine Months Ended September 30,</w:t>
            </w:r>
          </w:p>
        </w:tc>
        <w:tc>
          <w:tcPr>
            <w:tcW w:w="0" w:type="dxa"/>
            <w:vAlign w:val="bottom"/>
          </w:tcPr>
          <w:p>
            <w:pPr>
              <w:spacing w:after="0"/>
              <w:rPr>
                <w:sz w:val="1"/>
                <w:szCs w:val="1"/>
                <w:color w:val="auto"/>
              </w:rPr>
            </w:pPr>
          </w:p>
        </w:tc>
      </w:tr>
      <w:tr>
        <w:trPr>
          <w:trHeight w:val="169"/>
        </w:trPr>
        <w:tc>
          <w:tcPr>
            <w:tcW w:w="256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vMerge w:val="restart"/>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vMerge w:val="restart"/>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center"/>
              <w:ind w:right="130"/>
              <w:spacing w:after="0" w:line="169" w:lineRule="exact"/>
              <w:rPr>
                <w:sz w:val="20"/>
                <w:szCs w:val="20"/>
                <w:color w:val="auto"/>
              </w:rPr>
            </w:pPr>
            <w:r>
              <w:rPr>
                <w:rFonts w:ascii="Arial" w:cs="Arial" w:eastAsia="Arial" w:hAnsi="Arial"/>
                <w:sz w:val="18"/>
                <w:szCs w:val="18"/>
                <w:b w:val="1"/>
                <w:bCs w:val="1"/>
                <w:color w:val="auto"/>
                <w:w w:val="87"/>
              </w:rPr>
              <w:t>Increase</w:t>
            </w:r>
          </w:p>
        </w:tc>
        <w:tc>
          <w:tcPr>
            <w:tcW w:w="8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vMerge w:val="restart"/>
          </w:tcPr>
          <w:p>
            <w:pPr>
              <w:ind w:left="18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vMerge w:val="restart"/>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ind w:right="270"/>
              <w:spacing w:after="0" w:line="169" w:lineRule="exact"/>
              <w:rPr>
                <w:sz w:val="20"/>
                <w:szCs w:val="20"/>
                <w:color w:val="auto"/>
              </w:rPr>
            </w:pPr>
            <w:r>
              <w:rPr>
                <w:rFonts w:ascii="Arial" w:cs="Arial" w:eastAsia="Arial" w:hAnsi="Arial"/>
                <w:sz w:val="18"/>
                <w:szCs w:val="18"/>
                <w:b w:val="1"/>
                <w:bCs w:val="1"/>
                <w:color w:val="auto"/>
              </w:rPr>
              <w:t>Increase</w:t>
            </w:r>
          </w:p>
        </w:tc>
        <w:tc>
          <w:tcPr>
            <w:tcW w:w="0" w:type="dxa"/>
            <w:vAlign w:val="bottom"/>
          </w:tcPr>
          <w:p>
            <w:pPr>
              <w:spacing w:after="0"/>
              <w:rPr>
                <w:sz w:val="1"/>
                <w:szCs w:val="1"/>
                <w:color w:val="auto"/>
              </w:rPr>
            </w:pPr>
          </w:p>
        </w:tc>
      </w:tr>
      <w:tr>
        <w:trPr>
          <w:trHeight w:val="230"/>
        </w:trPr>
        <w:tc>
          <w:tcPr>
            <w:tcW w:w="2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(Decrease)</w:t>
            </w:r>
          </w:p>
        </w:tc>
        <w:tc>
          <w:tcPr>
            <w:tcW w:w="32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ind w:right="190"/>
              <w:spacing w:after="0"/>
              <w:rPr>
                <w:sz w:val="20"/>
                <w:szCs w:val="20"/>
                <w:color w:val="auto"/>
              </w:rPr>
            </w:pPr>
            <w:r>
              <w:rPr>
                <w:rFonts w:ascii="Arial" w:cs="Arial" w:eastAsia="Arial" w:hAnsi="Arial"/>
                <w:sz w:val="18"/>
                <w:szCs w:val="18"/>
                <w:b w:val="1"/>
                <w:bCs w:val="1"/>
                <w:color w:val="auto"/>
                <w:w w:val="95"/>
              </w:rPr>
              <w:t>(Decrease)</w:t>
            </w:r>
          </w:p>
        </w:tc>
        <w:tc>
          <w:tcPr>
            <w:tcW w:w="0" w:type="dxa"/>
            <w:vAlign w:val="bottom"/>
          </w:tcPr>
          <w:p>
            <w:pPr>
              <w:spacing w:after="0"/>
              <w:rPr>
                <w:sz w:val="1"/>
                <w:szCs w:val="1"/>
                <w:color w:val="auto"/>
              </w:rPr>
            </w:pPr>
          </w:p>
        </w:tc>
      </w:tr>
      <w:tr>
        <w:trPr>
          <w:trHeight w:val="223"/>
        </w:trPr>
        <w:tc>
          <w:tcPr>
            <w:tcW w:w="2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bookings</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1,767</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5,368</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1,689</w:t>
            </w:r>
          </w:p>
        </w:tc>
        <w:tc>
          <w:tcPr>
            <w:tcW w:w="0" w:type="dxa"/>
            <w:vAlign w:val="bottom"/>
          </w:tcPr>
          <w:p>
            <w:pPr>
              <w:spacing w:after="0"/>
              <w:rPr>
                <w:sz w:val="1"/>
                <w:szCs w:val="1"/>
                <w:color w:val="auto"/>
              </w:rPr>
            </w:pPr>
          </w:p>
        </w:tc>
      </w:tr>
      <w:tr>
        <w:trPr>
          <w:trHeight w:val="234"/>
        </w:trPr>
        <w:tc>
          <w:tcPr>
            <w:tcW w:w="2560" w:type="dxa"/>
            <w:vAlign w:val="bottom"/>
          </w:tcPr>
          <w:p>
            <w:pPr>
              <w:ind w:left="20"/>
              <w:spacing w:after="0"/>
              <w:rPr>
                <w:sz w:val="20"/>
                <w:szCs w:val="20"/>
                <w:color w:val="auto"/>
              </w:rPr>
            </w:pPr>
            <w:r>
              <w:rPr>
                <w:rFonts w:ascii="Arial" w:cs="Arial" w:eastAsia="Arial" w:hAnsi="Arial"/>
                <w:sz w:val="18"/>
                <w:szCs w:val="18"/>
                <w:b w:val="1"/>
                <w:bCs w:val="1"/>
                <w:color w:val="auto"/>
              </w:rPr>
              <w:t>In-game net bookings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1,200</w:t>
            </w:r>
          </w:p>
        </w:tc>
        <w:tc>
          <w:tcPr>
            <w:tcW w:w="1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709</w:t>
            </w:r>
          </w:p>
        </w:tc>
        <w:tc>
          <w:tcPr>
            <w:tcW w:w="1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491</w:t>
            </w:r>
          </w:p>
        </w:tc>
        <w:tc>
          <w:tcPr>
            <w:tcW w:w="8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3,529</w:t>
            </w:r>
          </w:p>
        </w:tc>
        <w:tc>
          <w:tcPr>
            <w:tcW w:w="8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2,281</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1,248</w:t>
            </w:r>
          </w:p>
        </w:tc>
        <w:tc>
          <w:tcPr>
            <w:tcW w:w="0" w:type="dxa"/>
            <w:vAlign w:val="bottom"/>
          </w:tcPr>
          <w:p>
            <w:pPr>
              <w:spacing w:after="0"/>
              <w:rPr>
                <w:sz w:val="1"/>
                <w:szCs w:val="1"/>
                <w:color w:val="auto"/>
              </w:rPr>
            </w:pPr>
          </w:p>
        </w:tc>
      </w:tr>
    </w:tbl>
    <w:p>
      <w:pPr>
        <w:spacing w:after="0" w:line="30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Net bookings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Q3 2020 vs. Q3 2019</w:t>
      </w:r>
    </w:p>
    <w:p>
      <w:pPr>
        <w:spacing w:after="0" w:line="252"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color w:val="auto"/>
        </w:rPr>
        <w:t>The increase in net bookings for the three months ended September 30, 2020, as compared to the three months ended September 30, 2019, was primarily due to:</w:t>
      </w:r>
    </w:p>
    <w:p>
      <w:pPr>
        <w:spacing w:after="0" w:line="197"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 xml:space="preserve">a $564 million increase in Activision net bookings driven by higher net bookings from (1) </w:t>
      </w:r>
      <w:r>
        <w:rPr>
          <w:rFonts w:ascii="Arial" w:cs="Arial" w:eastAsia="Arial" w:hAnsi="Arial"/>
          <w:sz w:val="16"/>
          <w:szCs w:val="16"/>
          <w:i w:val="1"/>
          <w:iCs w:val="1"/>
          <w:color w:val="auto"/>
        </w:rPr>
        <w:t>Call of Duty: Modern Warfare</w:t>
      </w:r>
      <w:r>
        <w:rPr>
          <w:rFonts w:ascii="Arial" w:cs="Arial" w:eastAsia="Arial" w:hAnsi="Arial"/>
          <w:sz w:val="16"/>
          <w:szCs w:val="16"/>
          <w:color w:val="auto"/>
        </w:rPr>
        <w:t xml:space="preserve"> (which was released</w:t>
      </w:r>
    </w:p>
    <w:p>
      <w:pPr>
        <w:spacing w:after="0" w:line="46" w:lineRule="exact"/>
        <w:rPr>
          <w:rFonts w:ascii="Arial" w:cs="Arial" w:eastAsia="Arial" w:hAnsi="Arial"/>
          <w:sz w:val="16"/>
          <w:szCs w:val="16"/>
          <w:color w:val="auto"/>
        </w:rPr>
      </w:pPr>
    </w:p>
    <w:p>
      <w:pPr>
        <w:ind w:left="980"/>
        <w:spacing w:after="0"/>
        <w:rPr>
          <w:rFonts w:ascii="Arial" w:cs="Arial" w:eastAsia="Arial" w:hAnsi="Arial"/>
          <w:sz w:val="16"/>
          <w:szCs w:val="16"/>
          <w:color w:val="auto"/>
        </w:rPr>
      </w:pPr>
      <w:r>
        <w:rPr>
          <w:rFonts w:ascii="Arial" w:cs="Arial" w:eastAsia="Arial" w:hAnsi="Arial"/>
          <w:sz w:val="16"/>
          <w:szCs w:val="16"/>
          <w:color w:val="auto"/>
        </w:rPr>
        <w:t xml:space="preserve">in October 2019, and when referred to herein, is inclusive of </w:t>
      </w:r>
      <w:r>
        <w:rPr>
          <w:rFonts w:ascii="Arial" w:cs="Arial" w:eastAsia="Arial" w:hAnsi="Arial"/>
          <w:sz w:val="16"/>
          <w:szCs w:val="16"/>
          <w:i w:val="1"/>
          <w:iCs w:val="1"/>
          <w:color w:val="auto"/>
        </w:rPr>
        <w:t>Call of Duty: Warzone</w:t>
      </w:r>
      <w:r>
        <w:rPr>
          <w:rFonts w:ascii="Arial" w:cs="Arial" w:eastAsia="Arial" w:hAnsi="Arial"/>
          <w:sz w:val="16"/>
          <w:szCs w:val="16"/>
          <w:color w:val="auto"/>
        </w:rPr>
        <w:t xml:space="preserve">, which was released in March 2020), as compared to </w:t>
      </w:r>
      <w:r>
        <w:rPr>
          <w:rFonts w:ascii="Arial" w:cs="Arial" w:eastAsia="Arial" w:hAnsi="Arial"/>
          <w:sz w:val="16"/>
          <w:szCs w:val="16"/>
          <w:i w:val="1"/>
          <w:iCs w:val="1"/>
          <w:color w:val="auto"/>
        </w:rPr>
        <w:t>Call</w:t>
      </w:r>
    </w:p>
    <w:p>
      <w:pPr>
        <w:spacing w:after="0" w:line="32" w:lineRule="exact"/>
        <w:rPr>
          <w:rFonts w:ascii="Arial" w:cs="Arial" w:eastAsia="Arial" w:hAnsi="Arial"/>
          <w:sz w:val="16"/>
          <w:szCs w:val="16"/>
          <w:color w:val="auto"/>
        </w:rPr>
      </w:pPr>
    </w:p>
    <w:p>
      <w:pPr>
        <w:ind w:left="980" w:right="500"/>
        <w:spacing w:after="0" w:line="260" w:lineRule="auto"/>
        <w:rPr>
          <w:rFonts w:ascii="Arial" w:cs="Arial" w:eastAsia="Arial" w:hAnsi="Arial"/>
          <w:sz w:val="16"/>
          <w:szCs w:val="16"/>
          <w:color w:val="auto"/>
        </w:rPr>
      </w:pPr>
      <w:r>
        <w:rPr>
          <w:rFonts w:ascii="Arial" w:cs="Arial" w:eastAsia="Arial" w:hAnsi="Arial"/>
          <w:sz w:val="18"/>
          <w:szCs w:val="18"/>
          <w:i w:val="1"/>
          <w:iCs w:val="1"/>
          <w:color w:val="auto"/>
        </w:rPr>
        <w:t>of Duty: Black Ops 4</w:t>
      </w:r>
      <w:r>
        <w:rPr>
          <w:rFonts w:ascii="Arial" w:cs="Arial" w:eastAsia="Arial" w:hAnsi="Arial"/>
          <w:sz w:val="18"/>
          <w:szCs w:val="18"/>
          <w:color w:val="auto"/>
        </w:rPr>
        <w:t>, which was released in October 2018, (2)</w:t>
      </w:r>
      <w:r>
        <w:rPr>
          <w:rFonts w:ascii="Arial" w:cs="Arial" w:eastAsia="Arial" w:hAnsi="Arial"/>
          <w:sz w:val="18"/>
          <w:szCs w:val="18"/>
          <w:i w:val="1"/>
          <w:iCs w:val="1"/>
          <w:color w:val="auto"/>
        </w:rPr>
        <w:t xml:space="preserve"> Call of Duty: Mobile</w:t>
      </w:r>
      <w:r>
        <w:rPr>
          <w:rFonts w:ascii="Arial" w:cs="Arial" w:eastAsia="Arial" w:hAnsi="Arial"/>
          <w:sz w:val="18"/>
          <w:szCs w:val="18"/>
          <w:color w:val="auto"/>
        </w:rPr>
        <w:t>, which was released in October 2019, and (3)</w:t>
      </w:r>
      <w:r>
        <w:rPr>
          <w:rFonts w:ascii="Arial" w:cs="Arial" w:eastAsia="Arial" w:hAnsi="Arial"/>
          <w:sz w:val="18"/>
          <w:szCs w:val="18"/>
          <w:i w:val="1"/>
          <w:iCs w:val="1"/>
          <w:color w:val="auto"/>
        </w:rPr>
        <w:t xml:space="preserve"> Tony Hawk’s Pro Skater 1 and 2</w:t>
      </w:r>
      <w:r>
        <w:rPr>
          <w:rFonts w:ascii="Arial" w:cs="Arial" w:eastAsia="Arial" w:hAnsi="Arial"/>
          <w:sz w:val="18"/>
          <w:szCs w:val="18"/>
          <w:color w:val="auto"/>
        </w:rPr>
        <w:t>, which was released in September 2020; and</w:t>
      </w:r>
    </w:p>
    <w:p>
      <w:pPr>
        <w:spacing w:after="0" w:line="212" w:lineRule="exact"/>
        <w:rPr>
          <w:rFonts w:ascii="Arial" w:cs="Arial" w:eastAsia="Arial" w:hAnsi="Arial"/>
          <w:sz w:val="16"/>
          <w:szCs w:val="16"/>
          <w:color w:val="auto"/>
        </w:rPr>
      </w:pPr>
    </w:p>
    <w:p>
      <w:pPr>
        <w:ind w:left="980" w:right="340" w:hanging="324"/>
        <w:spacing w:after="0" w:line="277" w:lineRule="auto"/>
        <w:tabs>
          <w:tab w:leader="none" w:pos="975"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a $17 million increase in Blizzard net bookings driven by higher net bookings from </w:t>
      </w:r>
      <w:r>
        <w:rPr>
          <w:rFonts w:ascii="Arial" w:cs="Arial" w:eastAsia="Arial" w:hAnsi="Arial"/>
          <w:sz w:val="18"/>
          <w:szCs w:val="18"/>
          <w:i w:val="1"/>
          <w:iCs w:val="1"/>
          <w:color w:val="auto"/>
        </w:rPr>
        <w:t>World of Warcraft</w:t>
      </w:r>
      <w:r>
        <w:rPr>
          <w:rFonts w:ascii="Arial" w:cs="Arial" w:eastAsia="Arial" w:hAnsi="Arial"/>
          <w:sz w:val="18"/>
          <w:szCs w:val="18"/>
          <w:color w:val="auto"/>
        </w:rPr>
        <w:t>, primarily from higher in-game and subscription net bookings, partially offset by lower net bookings from the Overwatch League.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YTD Q3 2020 vs. YTD Q3 2019</w:t>
      </w:r>
    </w:p>
    <w:p>
      <w:pPr>
        <w:spacing w:after="0" w:line="25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increase in net bookings for the nine months ended September 30, 2020, as compared to the nine months ended September 30, 2019, was primarily due to:</w:t>
      </w:r>
    </w:p>
    <w:p>
      <w:pPr>
        <w:spacing w:after="0" w:line="197" w:lineRule="exact"/>
        <w:rPr>
          <w:sz w:val="20"/>
          <w:szCs w:val="20"/>
          <w:color w:val="auto"/>
        </w:rPr>
      </w:pPr>
    </w:p>
    <w:p>
      <w:pPr>
        <w:ind w:left="980" w:hanging="324"/>
        <w:spacing w:after="0"/>
        <w:tabs>
          <w:tab w:leader="none" w:pos="9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 xml:space="preserve">a $1.49 billion increase in Activision net bookings, driven by higher net bookings from (1) </w:t>
      </w:r>
      <w:r>
        <w:rPr>
          <w:rFonts w:ascii="Arial" w:cs="Arial" w:eastAsia="Arial" w:hAnsi="Arial"/>
          <w:sz w:val="17"/>
          <w:szCs w:val="17"/>
          <w:i w:val="1"/>
          <w:iCs w:val="1"/>
          <w:color w:val="auto"/>
        </w:rPr>
        <w:t>Call of Duty: Modern Warfare</w:t>
      </w:r>
      <w:r>
        <w:rPr>
          <w:rFonts w:ascii="Arial" w:cs="Arial" w:eastAsia="Arial" w:hAnsi="Arial"/>
          <w:sz w:val="17"/>
          <w:szCs w:val="17"/>
          <w:color w:val="auto"/>
        </w:rPr>
        <w:t>, as compared</w:t>
      </w:r>
    </w:p>
    <w:p>
      <w:pPr>
        <w:spacing w:after="0" w:line="34" w:lineRule="exact"/>
        <w:rPr>
          <w:rFonts w:ascii="Arial" w:cs="Arial" w:eastAsia="Arial" w:hAnsi="Arial"/>
          <w:sz w:val="17"/>
          <w:szCs w:val="17"/>
          <w:color w:val="auto"/>
        </w:rPr>
      </w:pPr>
    </w:p>
    <w:p>
      <w:pPr>
        <w:ind w:left="980"/>
        <w:spacing w:after="0"/>
        <w:rPr>
          <w:rFonts w:ascii="Arial" w:cs="Arial" w:eastAsia="Arial" w:hAnsi="Arial"/>
          <w:sz w:val="17"/>
          <w:szCs w:val="17"/>
          <w:color w:val="auto"/>
        </w:rPr>
      </w:pPr>
      <w:r>
        <w:rPr>
          <w:rFonts w:ascii="Arial" w:cs="Arial" w:eastAsia="Arial" w:hAnsi="Arial"/>
          <w:sz w:val="16"/>
          <w:szCs w:val="16"/>
          <w:color w:val="auto"/>
        </w:rPr>
        <w:t xml:space="preserve">to </w:t>
      </w:r>
      <w:r>
        <w:rPr>
          <w:rFonts w:ascii="Arial" w:cs="Arial" w:eastAsia="Arial" w:hAnsi="Arial"/>
          <w:sz w:val="16"/>
          <w:szCs w:val="16"/>
          <w:i w:val="1"/>
          <w:iCs w:val="1"/>
          <w:color w:val="auto"/>
        </w:rPr>
        <w:t>Call of Duty: Black Ops 4</w:t>
      </w:r>
      <w:r>
        <w:rPr>
          <w:rFonts w:ascii="Arial" w:cs="Arial" w:eastAsia="Arial" w:hAnsi="Arial"/>
          <w:sz w:val="16"/>
          <w:szCs w:val="16"/>
          <w:color w:val="auto"/>
        </w:rPr>
        <w:t xml:space="preserve">, (2) </w:t>
      </w:r>
      <w:r>
        <w:rPr>
          <w:rFonts w:ascii="Arial" w:cs="Arial" w:eastAsia="Arial" w:hAnsi="Arial"/>
          <w:sz w:val="16"/>
          <w:szCs w:val="16"/>
          <w:i w:val="1"/>
          <w:iCs w:val="1"/>
          <w:color w:val="auto"/>
        </w:rPr>
        <w:t>Call of Duty: Mobile</w:t>
      </w:r>
      <w:r>
        <w:rPr>
          <w:rFonts w:ascii="Arial" w:cs="Arial" w:eastAsia="Arial" w:hAnsi="Arial"/>
          <w:sz w:val="16"/>
          <w:szCs w:val="16"/>
          <w:color w:val="auto"/>
        </w:rPr>
        <w:t>, and (3) the Call of Duty franchise catalog titles, partially offset by lower net bookings</w:t>
      </w:r>
    </w:p>
    <w:p>
      <w:pPr>
        <w:spacing w:after="0" w:line="32" w:lineRule="exact"/>
        <w:rPr>
          <w:rFonts w:ascii="Arial" w:cs="Arial" w:eastAsia="Arial" w:hAnsi="Arial"/>
          <w:sz w:val="17"/>
          <w:szCs w:val="17"/>
          <w:color w:val="auto"/>
        </w:rPr>
      </w:pPr>
    </w:p>
    <w:p>
      <w:pPr>
        <w:ind w:left="980"/>
        <w:spacing w:after="0"/>
        <w:rPr>
          <w:rFonts w:ascii="Arial" w:cs="Arial" w:eastAsia="Arial" w:hAnsi="Arial"/>
          <w:sz w:val="17"/>
          <w:szCs w:val="17"/>
          <w:color w:val="auto"/>
        </w:rPr>
      </w:pPr>
      <w:r>
        <w:rPr>
          <w:rFonts w:ascii="Arial" w:cs="Arial" w:eastAsia="Arial" w:hAnsi="Arial"/>
          <w:sz w:val="18"/>
          <w:szCs w:val="18"/>
          <w:color w:val="auto"/>
        </w:rPr>
        <w:t xml:space="preserve">from </w:t>
      </w:r>
      <w:r>
        <w:rPr>
          <w:rFonts w:ascii="Arial" w:cs="Arial" w:eastAsia="Arial" w:hAnsi="Arial"/>
          <w:sz w:val="18"/>
          <w:szCs w:val="18"/>
          <w:i w:val="1"/>
          <w:iCs w:val="1"/>
          <w:color w:val="auto"/>
        </w:rPr>
        <w:t>Sekiro</w:t>
      </w:r>
      <w:r>
        <w:rPr>
          <w:rFonts w:ascii="Arial" w:cs="Arial" w:eastAsia="Arial" w:hAnsi="Arial"/>
          <w:sz w:val="23"/>
          <w:szCs w:val="23"/>
          <w:color w:val="auto"/>
          <w:vertAlign w:val="superscript"/>
        </w:rPr>
        <w:t>TM</w:t>
      </w:r>
      <w:r>
        <w:rPr>
          <w:rFonts w:ascii="Arial" w:cs="Arial" w:eastAsia="Arial" w:hAnsi="Arial"/>
          <w:sz w:val="18"/>
          <w:szCs w:val="18"/>
          <w:i w:val="1"/>
          <w:iCs w:val="1"/>
          <w:color w:val="auto"/>
        </w:rPr>
        <w:t>: Shadows Die Twice</w:t>
      </w:r>
      <w:r>
        <w:rPr>
          <w:rFonts w:ascii="Arial" w:cs="Arial" w:eastAsia="Arial" w:hAnsi="Arial"/>
          <w:sz w:val="18"/>
          <w:szCs w:val="18"/>
          <w:color w:val="auto"/>
        </w:rPr>
        <w:t>, which was released in March 2019; and</w:t>
      </w:r>
    </w:p>
    <w:p>
      <w:pPr>
        <w:spacing w:after="0" w:line="180" w:lineRule="exact"/>
        <w:rPr>
          <w:rFonts w:ascii="Arial" w:cs="Arial" w:eastAsia="Arial" w:hAnsi="Arial"/>
          <w:sz w:val="17"/>
          <w:szCs w:val="17"/>
          <w:color w:val="auto"/>
        </w:rPr>
      </w:pPr>
    </w:p>
    <w:p>
      <w:pPr>
        <w:ind w:left="980" w:right="220" w:hanging="324"/>
        <w:spacing w:after="0" w:line="277" w:lineRule="auto"/>
        <w:tabs>
          <w:tab w:leader="none" w:pos="975" w:val="left"/>
        </w:tabs>
        <w:numPr>
          <w:ilvl w:val="0"/>
          <w:numId w:val="19"/>
        </w:numPr>
        <w:rPr>
          <w:rFonts w:ascii="Arial" w:cs="Arial" w:eastAsia="Arial" w:hAnsi="Arial"/>
          <w:sz w:val="18"/>
          <w:szCs w:val="18"/>
          <w:i w:val="1"/>
          <w:iCs w:val="1"/>
          <w:color w:val="auto"/>
        </w:rPr>
      </w:pPr>
      <w:r>
        <w:rPr>
          <w:rFonts w:ascii="Arial" w:cs="Arial" w:eastAsia="Arial" w:hAnsi="Arial"/>
          <w:sz w:val="18"/>
          <w:szCs w:val="18"/>
          <w:color w:val="auto"/>
        </w:rPr>
        <w:t xml:space="preserve">a $204 million increase in Blizzard net bookings, driven by higher net bookings from </w:t>
      </w:r>
      <w:r>
        <w:rPr>
          <w:rFonts w:ascii="Arial" w:cs="Arial" w:eastAsia="Arial" w:hAnsi="Arial"/>
          <w:sz w:val="18"/>
          <w:szCs w:val="18"/>
          <w:i w:val="1"/>
          <w:iCs w:val="1"/>
          <w:color w:val="auto"/>
        </w:rPr>
        <w:t>World of Warcraft</w:t>
      </w:r>
      <w:r>
        <w:rPr>
          <w:rFonts w:ascii="Arial" w:cs="Arial" w:eastAsia="Arial" w:hAnsi="Arial"/>
          <w:sz w:val="18"/>
          <w:szCs w:val="18"/>
          <w:color w:val="auto"/>
        </w:rPr>
        <w:t>, primarily from higher subscription and in-game net bookings.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In-game net bookings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Q3 2020 vs. Q3 2019</w:t>
      </w:r>
    </w:p>
    <w:p>
      <w:pPr>
        <w:spacing w:after="0" w:line="252"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The increase in in-game net bookings for the three months ended September 30, 2020, as compared to the three months ended September 30, 2019, was primarily due to:</w:t>
      </w:r>
    </w:p>
    <w:p>
      <w:pPr>
        <w:spacing w:after="0" w:line="197"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 xml:space="preserve">a $432 million increase in Activision in-game net bookings, driven by higher in-game net bookings from (1) </w:t>
      </w:r>
      <w:r>
        <w:rPr>
          <w:rFonts w:ascii="Arial" w:cs="Arial" w:eastAsia="Arial" w:hAnsi="Arial"/>
          <w:sz w:val="16"/>
          <w:szCs w:val="16"/>
          <w:i w:val="1"/>
          <w:iCs w:val="1"/>
          <w:color w:val="auto"/>
        </w:rPr>
        <w:t>Call of Duty: Modern Warfare</w:t>
      </w:r>
      <w:r>
        <w:rPr>
          <w:rFonts w:ascii="Arial" w:cs="Arial" w:eastAsia="Arial" w:hAnsi="Arial"/>
          <w:sz w:val="16"/>
          <w:szCs w:val="16"/>
          <w:color w:val="auto"/>
        </w:rPr>
        <w:t>,</w:t>
      </w:r>
    </w:p>
    <w:p>
      <w:pPr>
        <w:spacing w:after="0" w:line="46" w:lineRule="exact"/>
        <w:rPr>
          <w:rFonts w:ascii="Arial" w:cs="Arial" w:eastAsia="Arial" w:hAnsi="Arial"/>
          <w:sz w:val="16"/>
          <w:szCs w:val="16"/>
          <w:color w:val="auto"/>
        </w:rPr>
      </w:pPr>
    </w:p>
    <w:p>
      <w:pPr>
        <w:ind w:left="980"/>
        <w:spacing w:after="0"/>
        <w:rPr>
          <w:rFonts w:ascii="Arial" w:cs="Arial" w:eastAsia="Arial" w:hAnsi="Arial"/>
          <w:sz w:val="16"/>
          <w:szCs w:val="16"/>
          <w:color w:val="auto"/>
        </w:rPr>
      </w:pPr>
      <w:r>
        <w:rPr>
          <w:rFonts w:ascii="Arial" w:cs="Arial" w:eastAsia="Arial" w:hAnsi="Arial"/>
          <w:sz w:val="18"/>
          <w:szCs w:val="18"/>
          <w:color w:val="auto"/>
        </w:rPr>
        <w:t xml:space="preserve">as compared to </w:t>
      </w:r>
      <w:r>
        <w:rPr>
          <w:rFonts w:ascii="Arial" w:cs="Arial" w:eastAsia="Arial" w:hAnsi="Arial"/>
          <w:sz w:val="18"/>
          <w:szCs w:val="18"/>
          <w:i w:val="1"/>
          <w:iCs w:val="1"/>
          <w:color w:val="auto"/>
        </w:rPr>
        <w:t>Call of Duty: Black Ops 4</w:t>
      </w:r>
      <w:r>
        <w:rPr>
          <w:rFonts w:ascii="Arial" w:cs="Arial" w:eastAsia="Arial" w:hAnsi="Arial"/>
          <w:sz w:val="18"/>
          <w:szCs w:val="18"/>
          <w:color w:val="auto"/>
        </w:rPr>
        <w:t xml:space="preserve"> and (2) </w:t>
      </w:r>
      <w:r>
        <w:rPr>
          <w:rFonts w:ascii="Arial" w:cs="Arial" w:eastAsia="Arial" w:hAnsi="Arial"/>
          <w:sz w:val="18"/>
          <w:szCs w:val="18"/>
          <w:i w:val="1"/>
          <w:iCs w:val="1"/>
          <w:color w:val="auto"/>
        </w:rPr>
        <w:t>Call of Duty: Mobile</w:t>
      </w:r>
      <w:r>
        <w:rPr>
          <w:rFonts w:ascii="Arial" w:cs="Arial" w:eastAsia="Arial" w:hAnsi="Arial"/>
          <w:sz w:val="18"/>
          <w:szCs w:val="18"/>
          <w:color w:val="auto"/>
        </w:rPr>
        <w:t>; and</w:t>
      </w:r>
    </w:p>
    <w:p>
      <w:pPr>
        <w:spacing w:after="0" w:line="237" w:lineRule="exact"/>
        <w:rPr>
          <w:rFonts w:ascii="Arial" w:cs="Arial" w:eastAsia="Arial" w:hAnsi="Arial"/>
          <w:sz w:val="16"/>
          <w:szCs w:val="16"/>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a $40 million increase in Blizzard in-game net bookings, driven by </w:t>
      </w:r>
      <w:r>
        <w:rPr>
          <w:rFonts w:ascii="Arial" w:cs="Arial" w:eastAsia="Arial" w:hAnsi="Arial"/>
          <w:sz w:val="18"/>
          <w:szCs w:val="18"/>
          <w:i w:val="1"/>
          <w:iCs w:val="1"/>
          <w:color w:val="auto"/>
        </w:rPr>
        <w:t>World of Warcraft</w:t>
      </w:r>
      <w:r>
        <w:rPr>
          <w:rFonts w:ascii="Arial" w:cs="Arial" w:eastAsia="Arial" w:hAnsi="Arial"/>
          <w:sz w:val="18"/>
          <w:szCs w:val="18"/>
          <w:color w:val="auto"/>
        </w:rPr>
        <w:t>.</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YTD Q3 2020 vs. YTD Q3 2019</w:t>
      </w:r>
    </w:p>
    <w:p>
      <w:pPr>
        <w:spacing w:after="0" w:line="252"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The increase in in-game net bookings for the nine months ended September 30, 2020, as compared to the nine months ended September 30, 2019, was primarily due to a $1.15 billion increase in Activision in-game net bookings and an $88 million increase in Blizzard in-game net bookings, driven by the same factors as noted for the three-month period above.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Monthly Active Users</w:t>
      </w:r>
    </w:p>
    <w:p>
      <w:pPr>
        <w:spacing w:after="0" w:line="252"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We monitor monthly active users (“MAUs”) as a key measure of the overall size of our user base. MAUs are the number of individuals who accessed a particular game in a given month. We calculate average MAUs in a period by adding the total number of MAUs in each of the months in a given period and dividing that total by the number of months in the period. An individual who accesses two of our games would be counted as two users. In addition, due to technical limitations, for Activision and King, an individual who accesses the same game on two platforms or devices in the relevant period would be counted as two users. For Blizzard, an individual who accesses the same game on two platforms or devices in the relevant period would generally be counted as a single user. In certain instances, we rely on third parties to publish our games. In these instances, MAU data is based on information provided to us by those third parties, or, if final data is not available, reasonable estimates of MAUs for these third-party published games.</w:t>
      </w:r>
    </w:p>
    <w:p>
      <w:pPr>
        <w:spacing w:after="0" w:line="193"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The number of MAUs for a given period can be significantly impacted by the timing of new content releases, since new releases may cause a temporary surge in MAUs. Accordingly, although we believe that overall trending in the number of MAUs can be a meaningful performance metric, period-to-period fluctuations may not be indicative of longer-term trends. The following table details our average MAUs on a sequential quarterly basis for each of our reportable segments (amounts in millions):</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40" w:type="dxa"/>
            <w:vAlign w:val="bottom"/>
          </w:tcPr>
          <w:p>
            <w:pPr>
              <w:spacing w:after="0"/>
              <w:rPr>
                <w:sz w:val="20"/>
                <w:szCs w:val="20"/>
                <w:color w:val="auto"/>
              </w:rPr>
            </w:pPr>
          </w:p>
        </w:tc>
        <w:tc>
          <w:tcPr>
            <w:tcW w:w="1740" w:type="dxa"/>
            <w:vAlign w:val="bottom"/>
            <w:gridSpan w:val="2"/>
          </w:tcPr>
          <w:p>
            <w:pPr>
              <w:ind w:left="60"/>
              <w:spacing w:after="0"/>
              <w:rPr>
                <w:sz w:val="20"/>
                <w:szCs w:val="20"/>
                <w:color w:val="auto"/>
              </w:rPr>
            </w:pPr>
            <w:r>
              <w:rPr>
                <w:rFonts w:ascii="Arial" w:cs="Arial" w:eastAsia="Arial" w:hAnsi="Arial"/>
                <w:sz w:val="18"/>
                <w:szCs w:val="18"/>
                <w:b w:val="1"/>
                <w:bCs w:val="1"/>
                <w:color w:val="auto"/>
                <w:w w:val="98"/>
              </w:rPr>
              <w:t>September 30, 2020</w:t>
            </w:r>
          </w:p>
        </w:tc>
        <w:tc>
          <w:tcPr>
            <w:tcW w:w="1420" w:type="dxa"/>
            <w:vAlign w:val="bottom"/>
            <w:gridSpan w:val="2"/>
          </w:tcPr>
          <w:p>
            <w:pPr>
              <w:ind w:left="140"/>
              <w:spacing w:after="0"/>
              <w:rPr>
                <w:sz w:val="20"/>
                <w:szCs w:val="20"/>
                <w:color w:val="auto"/>
              </w:rPr>
            </w:pPr>
            <w:r>
              <w:rPr>
                <w:rFonts w:ascii="Arial" w:cs="Arial" w:eastAsia="Arial" w:hAnsi="Arial"/>
                <w:sz w:val="18"/>
                <w:szCs w:val="18"/>
                <w:b w:val="1"/>
                <w:bCs w:val="1"/>
                <w:color w:val="auto"/>
              </w:rPr>
              <w:t>June 30, 2020</w:t>
            </w:r>
          </w:p>
        </w:tc>
        <w:tc>
          <w:tcPr>
            <w:tcW w:w="1620" w:type="dxa"/>
            <w:vAlign w:val="bottom"/>
            <w:gridSpan w:val="2"/>
          </w:tcPr>
          <w:p>
            <w:pPr>
              <w:ind w:left="160"/>
              <w:spacing w:after="0"/>
              <w:rPr>
                <w:sz w:val="20"/>
                <w:szCs w:val="20"/>
                <w:color w:val="auto"/>
              </w:rPr>
            </w:pPr>
            <w:r>
              <w:rPr>
                <w:rFonts w:ascii="Arial" w:cs="Arial" w:eastAsia="Arial" w:hAnsi="Arial"/>
                <w:sz w:val="18"/>
                <w:szCs w:val="18"/>
                <w:b w:val="1"/>
                <w:bCs w:val="1"/>
                <w:color w:val="auto"/>
              </w:rPr>
              <w:t>March 31, 2020</w:t>
            </w:r>
          </w:p>
        </w:tc>
        <w:tc>
          <w:tcPr>
            <w:tcW w:w="176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 2019</w:t>
            </w:r>
          </w:p>
        </w:tc>
        <w:tc>
          <w:tcPr>
            <w:tcW w:w="1660" w:type="dxa"/>
            <w:vAlign w:val="bottom"/>
          </w:tcPr>
          <w:p>
            <w:pPr>
              <w:jc w:val="right"/>
              <w:spacing w:after="0"/>
              <w:rPr>
                <w:sz w:val="20"/>
                <w:szCs w:val="20"/>
                <w:color w:val="auto"/>
              </w:rPr>
            </w:pPr>
            <w:r>
              <w:rPr>
                <w:rFonts w:ascii="Arial" w:cs="Arial" w:eastAsia="Arial" w:hAnsi="Arial"/>
                <w:sz w:val="18"/>
                <w:szCs w:val="18"/>
                <w:b w:val="1"/>
                <w:bCs w:val="1"/>
                <w:color w:val="auto"/>
                <w:w w:val="92"/>
              </w:rPr>
              <w:t>September 30, 2019</w:t>
            </w:r>
          </w:p>
        </w:tc>
      </w:tr>
      <w:tr>
        <w:trPr>
          <w:trHeight w:val="223"/>
        </w:trPr>
        <w:tc>
          <w:tcPr>
            <w:tcW w:w="3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Activision</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3040" w:type="dxa"/>
            <w:vAlign w:val="bottom"/>
          </w:tcPr>
          <w:p>
            <w:pPr>
              <w:ind w:left="20"/>
              <w:spacing w:after="0"/>
              <w:rPr>
                <w:sz w:val="20"/>
                <w:szCs w:val="20"/>
                <w:color w:val="auto"/>
              </w:rPr>
            </w:pPr>
            <w:r>
              <w:rPr>
                <w:rFonts w:ascii="Arial" w:cs="Arial" w:eastAsia="Arial" w:hAnsi="Arial"/>
                <w:sz w:val="18"/>
                <w:szCs w:val="18"/>
                <w:color w:val="auto"/>
              </w:rPr>
              <w:t>Blizzard</w:t>
            </w:r>
          </w:p>
        </w:tc>
        <w:tc>
          <w:tcPr>
            <w:tcW w:w="164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29"/>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King</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00" w:type="dxa"/>
            <w:vAlign w:val="bottom"/>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00" w:type="dxa"/>
            <w:vAlign w:val="bottom"/>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r>
      <w:tr>
        <w:trPr>
          <w:trHeight w:val="223"/>
        </w:trPr>
        <w:tc>
          <w:tcPr>
            <w:tcW w:w="3040" w:type="dxa"/>
            <w:vAlign w:val="bottom"/>
          </w:tcPr>
          <w:p>
            <w:pPr>
              <w:ind w:left="20"/>
              <w:spacing w:after="0"/>
              <w:rPr>
                <w:sz w:val="20"/>
                <w:szCs w:val="20"/>
                <w:color w:val="auto"/>
              </w:rPr>
            </w:pPr>
            <w:r>
              <w:rPr>
                <w:rFonts w:ascii="Arial" w:cs="Arial" w:eastAsia="Arial" w:hAnsi="Arial"/>
                <w:sz w:val="18"/>
                <w:szCs w:val="18"/>
                <w:color w:val="auto"/>
              </w:rPr>
              <w:t>Total</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w:t>
            </w:r>
          </w:p>
        </w:tc>
        <w:tc>
          <w:tcPr>
            <w:tcW w:w="10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w:t>
            </w:r>
          </w:p>
        </w:tc>
        <w:tc>
          <w:tcPr>
            <w:tcW w:w="100" w:type="dxa"/>
            <w:vAlign w:val="bottom"/>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w:t>
            </w:r>
          </w:p>
        </w:tc>
      </w:tr>
      <w:tr>
        <w:trPr>
          <w:trHeight w:val="20"/>
        </w:trPr>
        <w:tc>
          <w:tcPr>
            <w:tcW w:w="304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Average MAUs decreased by 38 million, or 9%, for the three months ended September 30, 2020, as compared to the three months ended June 30, 2020, primarily due to:</w:t>
      </w:r>
    </w:p>
    <w:p>
      <w:pPr>
        <w:spacing w:after="0" w:line="197" w:lineRule="exact"/>
        <w:rPr>
          <w:sz w:val="20"/>
          <w:szCs w:val="20"/>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decrease in average MAUs for King, driven by a decrease in average MAUs for the Candy Crush franchise; and</w:t>
      </w:r>
    </w:p>
    <w:p>
      <w:pPr>
        <w:spacing w:after="0" w:line="252" w:lineRule="exact"/>
        <w:rPr>
          <w:rFonts w:ascii="Arial" w:cs="Arial" w:eastAsia="Arial" w:hAnsi="Arial"/>
          <w:sz w:val="18"/>
          <w:szCs w:val="18"/>
          <w:color w:val="auto"/>
        </w:rPr>
      </w:pPr>
    </w:p>
    <w:p>
      <w:pPr>
        <w:ind w:left="980" w:right="80" w:hanging="324"/>
        <w:spacing w:after="0" w:line="277" w:lineRule="auto"/>
        <w:tabs>
          <w:tab w:leader="none" w:pos="975"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a decrease in average MAUs for Activision, driven by a decrease in average MAUs for </w:t>
      </w:r>
      <w:r>
        <w:rPr>
          <w:rFonts w:ascii="Arial" w:cs="Arial" w:eastAsia="Arial" w:hAnsi="Arial"/>
          <w:sz w:val="18"/>
          <w:szCs w:val="18"/>
          <w:i w:val="1"/>
          <w:iCs w:val="1"/>
          <w:color w:val="auto"/>
        </w:rPr>
        <w:t>Call of Duty: Modern Warfare</w:t>
      </w:r>
      <w:r>
        <w:rPr>
          <w:rFonts w:ascii="Arial" w:cs="Arial" w:eastAsia="Arial" w:hAnsi="Arial"/>
          <w:sz w:val="18"/>
          <w:szCs w:val="18"/>
          <w:color w:val="auto"/>
        </w:rPr>
        <w:t>, which was released in October 2019.</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Average MAUs increased by 74 million, or 23%, for the three months ended September 30, 2020, as compared to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2019, primarily due to:</w:t>
      </w:r>
    </w:p>
    <w:p>
      <w:pPr>
        <w:spacing w:after="0" w:line="238" w:lineRule="exact"/>
        <w:rPr>
          <w:sz w:val="20"/>
          <w:szCs w:val="20"/>
          <w:color w:val="auto"/>
        </w:rPr>
      </w:pPr>
    </w:p>
    <w:p>
      <w:pPr>
        <w:ind w:left="980" w:hanging="324"/>
        <w:spacing w:after="0"/>
        <w:tabs>
          <w:tab w:leader="none" w:pos="9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 xml:space="preserve">an increase in Activision’s average MAUs, driven by an increase in average MAUs for </w:t>
      </w:r>
      <w:r>
        <w:rPr>
          <w:rFonts w:ascii="Arial" w:cs="Arial" w:eastAsia="Arial" w:hAnsi="Arial"/>
          <w:sz w:val="17"/>
          <w:szCs w:val="17"/>
          <w:i w:val="1"/>
          <w:iCs w:val="1"/>
          <w:color w:val="auto"/>
        </w:rPr>
        <w:t>Call of Duty: Mobile</w:t>
      </w:r>
      <w:r>
        <w:rPr>
          <w:rFonts w:ascii="Arial" w:cs="Arial" w:eastAsia="Arial" w:hAnsi="Arial"/>
          <w:sz w:val="17"/>
          <w:szCs w:val="17"/>
          <w:color w:val="auto"/>
        </w:rPr>
        <w:t>, which launched in October</w:t>
      </w:r>
    </w:p>
    <w:p>
      <w:pPr>
        <w:spacing w:after="0" w:line="34" w:lineRule="exact"/>
        <w:rPr>
          <w:rFonts w:ascii="Arial" w:cs="Arial" w:eastAsia="Arial" w:hAnsi="Arial"/>
          <w:sz w:val="17"/>
          <w:szCs w:val="17"/>
          <w:color w:val="auto"/>
        </w:rPr>
      </w:pPr>
    </w:p>
    <w:p>
      <w:pPr>
        <w:ind w:left="980"/>
        <w:spacing w:after="0"/>
        <w:rPr>
          <w:rFonts w:ascii="Arial" w:cs="Arial" w:eastAsia="Arial" w:hAnsi="Arial"/>
          <w:sz w:val="17"/>
          <w:szCs w:val="17"/>
          <w:color w:val="auto"/>
        </w:rPr>
      </w:pPr>
      <w:r>
        <w:rPr>
          <w:rFonts w:ascii="Arial" w:cs="Arial" w:eastAsia="Arial" w:hAnsi="Arial"/>
          <w:sz w:val="18"/>
          <w:szCs w:val="18"/>
          <w:color w:val="auto"/>
        </w:rPr>
        <w:t xml:space="preserve">2019, and </w:t>
      </w:r>
      <w:r>
        <w:rPr>
          <w:rFonts w:ascii="Arial" w:cs="Arial" w:eastAsia="Arial" w:hAnsi="Arial"/>
          <w:sz w:val="18"/>
          <w:szCs w:val="18"/>
          <w:i w:val="1"/>
          <w:iCs w:val="1"/>
          <w:color w:val="auto"/>
        </w:rPr>
        <w:t>Call of Duty: Modern Warfare</w:t>
      </w:r>
      <w:r>
        <w:rPr>
          <w:rFonts w:ascii="Arial" w:cs="Arial" w:eastAsia="Arial" w:hAnsi="Arial"/>
          <w:sz w:val="18"/>
          <w:szCs w:val="18"/>
          <w:color w:val="auto"/>
        </w:rPr>
        <w:t xml:space="preserve">, which benefited from the launch of </w:t>
      </w:r>
      <w:r>
        <w:rPr>
          <w:rFonts w:ascii="Arial" w:cs="Arial" w:eastAsia="Arial" w:hAnsi="Arial"/>
          <w:sz w:val="18"/>
          <w:szCs w:val="18"/>
          <w:i w:val="1"/>
          <w:iCs w:val="1"/>
          <w:color w:val="auto"/>
        </w:rPr>
        <w:t>Call of Duty: Warzone</w:t>
      </w:r>
      <w:r>
        <w:rPr>
          <w:rFonts w:ascii="Arial" w:cs="Arial" w:eastAsia="Arial" w:hAnsi="Arial"/>
          <w:sz w:val="18"/>
          <w:szCs w:val="18"/>
          <w:color w:val="auto"/>
        </w:rPr>
        <w:t xml:space="preserve"> in March 2020; and</w:t>
      </w:r>
    </w:p>
    <w:p>
      <w:pPr>
        <w:spacing w:after="0" w:line="237" w:lineRule="exact"/>
        <w:rPr>
          <w:rFonts w:ascii="Arial" w:cs="Arial" w:eastAsia="Arial" w:hAnsi="Arial"/>
          <w:sz w:val="17"/>
          <w:szCs w:val="17"/>
          <w:color w:val="auto"/>
        </w:rPr>
      </w:pPr>
    </w:p>
    <w:p>
      <w:pPr>
        <w:ind w:left="980" w:right="20" w:hanging="324"/>
        <w:spacing w:after="0" w:line="277" w:lineRule="auto"/>
        <w:tabs>
          <w:tab w:leader="none" w:pos="97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slight increase in King’s average MAUs driven by an increase in average MAUs for the Candy Crush franchise, partially offset by decreases in various other franchises.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Overview of Business Trends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Interactive Entertainment and Mobile Gaming Growth</w:t>
      </w:r>
    </w:p>
    <w:p>
      <w:pPr>
        <w:spacing w:after="0" w:line="225"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Our business participates in the global interactive entertainment industry. Games have become an increasingly popular form of entertainment, and we estimate the total industry grew, on average, 13% annually from 2016 to 2019. The industry continues to benefit from additional players entering the market as interactive entertainment becomes more commonplace across age groups and as more developing regions gain access to this form of entertainment.</w:t>
      </w:r>
    </w:p>
    <w:p>
      <w:pPr>
        <w:spacing w:after="0" w:line="187"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 xml:space="preserve">Further, wide adoption of smartphones globally and the free-to-play business model on those platforms has increased the total addressable audience for gaming significantly by introducing gaming to new age groups and new regions and allowing gaming to occur more widely outside the home. Mobile gaming is estimated to be larger than console and PC gaming, and continues to grow at a significant rate. King is a leading developer of mobile and free-to-play games, and our other business units have mobile efforts underway that present the opportunity for us to expand the reach of, and drive additional player investment in our franchises. The October 2019 launch of </w:t>
      </w:r>
      <w:r>
        <w:rPr>
          <w:rFonts w:ascii="Arial" w:cs="Arial" w:eastAsia="Arial" w:hAnsi="Arial"/>
          <w:sz w:val="17"/>
          <w:szCs w:val="17"/>
          <w:i w:val="1"/>
          <w:iCs w:val="1"/>
          <w:color w:val="auto"/>
        </w:rPr>
        <w:t>Call of Duty: Mobile</w:t>
      </w:r>
      <w:r>
        <w:rPr>
          <w:rFonts w:ascii="Arial" w:cs="Arial" w:eastAsia="Arial" w:hAnsi="Arial"/>
          <w:sz w:val="17"/>
          <w:szCs w:val="17"/>
          <w:color w:val="auto"/>
        </w:rPr>
        <w:t xml:space="preserve"> is an example of these efforts.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Sales Among the Most Popular Franchises</w:t>
      </w:r>
    </w:p>
    <w:p>
      <w:pPr>
        <w:spacing w:after="0" w:line="252"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color w:val="auto"/>
        </w:rPr>
        <w:t>The concentration of retail revenues among key titles has continued as a trend in the overall interactive entertainment industry. According to The NPD Group, the top 10 titles accounted for 33% of the retail sales in the U.S. interactive entertainment industry in 2019. Similarly, a significant portion of our revenues historically has been derived from video games based on a few popular franchises, and these video games have also been responsible for a disproportionately high percentage of our profits. For example, in 2019, the Call of Duty, Candy Crush, and World of Warcraft franchises, collectively, accounted for 67% of our consolidated net revenues—and a significantly higher percentage of our operating income.</w:t>
      </w:r>
    </w:p>
    <w:p>
      <w:pPr>
        <w:spacing w:after="0" w:line="203" w:lineRule="exact"/>
        <w:rPr>
          <w:sz w:val="20"/>
          <w:szCs w:val="20"/>
          <w:color w:val="auto"/>
        </w:rPr>
      </w:pPr>
    </w:p>
    <w:p>
      <w:pPr>
        <w:ind w:right="120" w:firstLine="324"/>
        <w:spacing w:after="0" w:line="275" w:lineRule="auto"/>
        <w:rPr>
          <w:sz w:val="20"/>
          <w:szCs w:val="20"/>
          <w:color w:val="auto"/>
        </w:rPr>
      </w:pPr>
      <w:r>
        <w:rPr>
          <w:rFonts w:ascii="Arial" w:cs="Arial" w:eastAsia="Arial" w:hAnsi="Arial"/>
          <w:sz w:val="17"/>
          <w:szCs w:val="17"/>
          <w:color w:val="auto"/>
        </w:rPr>
        <w:t xml:space="preserve">In addition to investing in, and developing sequels and content for, our top franchises, with the aim of releasing content more frequently, we are continually exploring additional ways to expand those franchises, such as our March 2020 release of Activision’s </w:t>
      </w:r>
      <w:r>
        <w:rPr>
          <w:rFonts w:ascii="Arial" w:cs="Arial" w:eastAsia="Arial" w:hAnsi="Arial"/>
          <w:sz w:val="17"/>
          <w:szCs w:val="17"/>
          <w:i w:val="1"/>
          <w:iCs w:val="1"/>
          <w:color w:val="auto"/>
        </w:rPr>
        <w:t>Call of Duty: Warzone</w:t>
      </w:r>
      <w:r>
        <w:rPr>
          <w:rFonts w:ascii="Arial" w:cs="Arial" w:eastAsia="Arial" w:hAnsi="Arial"/>
          <w:sz w:val="17"/>
          <w:szCs w:val="17"/>
          <w:color w:val="auto"/>
        </w:rPr>
        <w:t xml:space="preserve">, a free-to-play experience from the world of </w:t>
      </w:r>
      <w:r>
        <w:rPr>
          <w:rFonts w:ascii="Arial" w:cs="Arial" w:eastAsia="Arial" w:hAnsi="Arial"/>
          <w:sz w:val="17"/>
          <w:szCs w:val="17"/>
          <w:i w:val="1"/>
          <w:iCs w:val="1"/>
          <w:color w:val="auto"/>
        </w:rPr>
        <w:t>Call of Duty: Modern Warfare</w:t>
      </w:r>
      <w:r>
        <w:rPr>
          <w:rFonts w:ascii="Arial" w:cs="Arial" w:eastAsia="Arial" w:hAnsi="Arial"/>
          <w:sz w:val="17"/>
          <w:szCs w:val="17"/>
          <w:color w:val="auto"/>
        </w:rPr>
        <w:t xml:space="preserve"> for the console and PC platforms. We also have been focusing on expanding our franchises to the mobile platform, as demonstrated by the release of </w:t>
      </w:r>
      <w:r>
        <w:rPr>
          <w:rFonts w:ascii="Arial" w:cs="Arial" w:eastAsia="Arial" w:hAnsi="Arial"/>
          <w:sz w:val="17"/>
          <w:szCs w:val="17"/>
          <w:i w:val="1"/>
          <w:iCs w:val="1"/>
          <w:color w:val="auto"/>
        </w:rPr>
        <w:t>Call of Duty: Mobile</w:t>
      </w:r>
      <w:r>
        <w:rPr>
          <w:rFonts w:ascii="Arial" w:cs="Arial" w:eastAsia="Arial" w:hAnsi="Arial"/>
          <w:sz w:val="17"/>
          <w:szCs w:val="17"/>
          <w:color w:val="auto"/>
        </w:rPr>
        <w:t xml:space="preserve"> in the fourth quarter of 2019, as well as our plans for </w:t>
      </w:r>
      <w:r>
        <w:rPr>
          <w:rFonts w:ascii="Arial" w:cs="Arial" w:eastAsia="Arial" w:hAnsi="Arial"/>
          <w:sz w:val="17"/>
          <w:szCs w:val="17"/>
          <w:i w:val="1"/>
          <w:iCs w:val="1"/>
          <w:color w:val="auto"/>
        </w:rPr>
        <w:t>Diablo Immortal</w:t>
      </w:r>
      <w:r>
        <w:rPr>
          <w:rFonts w:ascii="Arial" w:cs="Arial" w:eastAsia="Arial" w:hAnsi="Arial"/>
          <w:sz w:val="8"/>
          <w:szCs w:val="8"/>
          <w:color w:val="auto"/>
        </w:rPr>
        <w:t>TM</w:t>
      </w:r>
      <w:r>
        <w:rPr>
          <w:rFonts w:ascii="Arial" w:cs="Arial" w:eastAsia="Arial" w:hAnsi="Arial"/>
          <w:sz w:val="17"/>
          <w:szCs w:val="17"/>
          <w:color w:val="auto"/>
        </w:rPr>
        <w:t xml:space="preserve"> and recently announced </w:t>
      </w:r>
      <w:r>
        <w:rPr>
          <w:rFonts w:ascii="Arial" w:cs="Arial" w:eastAsia="Arial" w:hAnsi="Arial"/>
          <w:sz w:val="17"/>
          <w:szCs w:val="17"/>
          <w:i w:val="1"/>
          <w:iCs w:val="1"/>
          <w:color w:val="auto"/>
        </w:rPr>
        <w:t>Crash Bandicoot: On the Run!™</w:t>
      </w:r>
      <w:r>
        <w:rPr>
          <w:rFonts w:ascii="Arial" w:cs="Arial" w:eastAsia="Arial" w:hAnsi="Arial"/>
          <w:sz w:val="17"/>
          <w:szCs w:val="17"/>
          <w:color w:val="auto"/>
        </w:rPr>
        <w:t>, which are both currently in development.</w:t>
      </w:r>
    </w:p>
    <w:p>
      <w:pPr>
        <w:spacing w:after="0" w:line="203" w:lineRule="exact"/>
        <w:rPr>
          <w:sz w:val="20"/>
          <w:szCs w:val="20"/>
          <w:color w:val="auto"/>
        </w:rPr>
      </w:pPr>
    </w:p>
    <w:p>
      <w:pPr>
        <w:ind w:right="260" w:firstLine="324"/>
        <w:spacing w:after="0" w:line="263" w:lineRule="auto"/>
        <w:rPr>
          <w:sz w:val="20"/>
          <w:szCs w:val="20"/>
          <w:color w:val="auto"/>
        </w:rPr>
      </w:pPr>
      <w:r>
        <w:rPr>
          <w:rFonts w:ascii="Arial" w:cs="Arial" w:eastAsia="Arial" w:hAnsi="Arial"/>
          <w:sz w:val="18"/>
          <w:szCs w:val="18"/>
          <w:color w:val="auto"/>
        </w:rPr>
        <w:t>Overall, we do expect that a limited number of popular franchises will continue to produce a disproportionately high percentage of our, and the industry’s, revenues and profits in the near future. Accordingly, our ability to maintain our top franchises and our ability to successfully compete against our competitors’ top franchises can significantly impact our performance.</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 Data</w:t>
      </w:r>
    </w:p>
    <w:p>
      <w:pPr>
        <w:spacing w:after="0" w:line="256"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following table sets forth condensed consolidated statements of operations data for the periods indicated (amounts in millions) and as a percentage of total net revenues, except for cost of revenues, which are presented as a percentage of associated revenues: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700" w:type="dxa"/>
            <w:vAlign w:val="bottom"/>
            <w:gridSpan w:val="7"/>
          </w:tcPr>
          <w:p>
            <w:pPr>
              <w:ind w:left="20"/>
              <w:spacing w:after="0"/>
              <w:rPr>
                <w:sz w:val="20"/>
                <w:szCs w:val="20"/>
                <w:color w:val="auto"/>
              </w:rPr>
            </w:pPr>
            <w:r>
              <w:rPr>
                <w:rFonts w:ascii="Arial" w:cs="Arial" w:eastAsia="Arial" w:hAnsi="Arial"/>
                <w:sz w:val="18"/>
                <w:szCs w:val="18"/>
                <w:b w:val="1"/>
                <w:bCs w:val="1"/>
                <w:color w:val="auto"/>
                <w:w w:val="98"/>
              </w:rPr>
              <w:t>For the Three Months Ended September 30,</w:t>
            </w:r>
          </w:p>
        </w:tc>
        <w:tc>
          <w:tcPr>
            <w:tcW w:w="160" w:type="dxa"/>
            <w:vAlign w:val="bottom"/>
          </w:tcPr>
          <w:p>
            <w:pPr>
              <w:spacing w:after="0"/>
              <w:rPr>
                <w:sz w:val="20"/>
                <w:szCs w:val="20"/>
                <w:color w:val="auto"/>
              </w:rPr>
            </w:pPr>
          </w:p>
        </w:tc>
        <w:tc>
          <w:tcPr>
            <w:tcW w:w="3600" w:type="dxa"/>
            <w:vAlign w:val="bottom"/>
            <w:gridSpan w:val="6"/>
          </w:tcPr>
          <w:p>
            <w:pPr>
              <w:jc w:val="right"/>
              <w:ind w:right="150"/>
              <w:spacing w:after="0"/>
              <w:rPr>
                <w:sz w:val="20"/>
                <w:szCs w:val="20"/>
                <w:color w:val="auto"/>
              </w:rPr>
            </w:pPr>
            <w:r>
              <w:rPr>
                <w:rFonts w:ascii="Arial" w:cs="Arial" w:eastAsia="Arial" w:hAnsi="Arial"/>
                <w:sz w:val="18"/>
                <w:szCs w:val="18"/>
                <w:b w:val="1"/>
                <w:bCs w:val="1"/>
                <w:color w:val="auto"/>
                <w:w w:val="92"/>
              </w:rPr>
              <w:t>For the Nine Months Ended September 30,</w:t>
            </w:r>
          </w:p>
        </w:tc>
        <w:tc>
          <w:tcPr>
            <w:tcW w:w="0" w:type="dxa"/>
            <w:vAlign w:val="bottom"/>
          </w:tcPr>
          <w:p>
            <w:pPr>
              <w:spacing w:after="0"/>
              <w:rPr>
                <w:sz w:val="1"/>
                <w:szCs w:val="1"/>
                <w:color w:val="auto"/>
              </w:rPr>
            </w:pPr>
          </w:p>
        </w:tc>
      </w:tr>
      <w:tr>
        <w:trPr>
          <w:trHeight w:val="223"/>
        </w:trPr>
        <w:tc>
          <w:tcPr>
            <w:tcW w:w="364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2020</w:t>
            </w:r>
          </w:p>
        </w:tc>
        <w:tc>
          <w:tcPr>
            <w:tcW w:w="6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2019</w:t>
            </w:r>
          </w:p>
        </w:tc>
        <w:tc>
          <w:tcPr>
            <w:tcW w:w="600" w:type="dxa"/>
            <w:vAlign w:val="bottom"/>
            <w:tcBorders>
              <w:top w:val="single" w:sz="8" w:color="auto"/>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2020</w:t>
            </w:r>
          </w:p>
        </w:tc>
        <w:tc>
          <w:tcPr>
            <w:tcW w:w="6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2019</w:t>
            </w:r>
          </w:p>
        </w:tc>
        <w:tc>
          <w:tcPr>
            <w:tcW w:w="6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revenues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40" w:type="dxa"/>
            <w:vAlign w:val="bottom"/>
          </w:tcPr>
          <w:p>
            <w:pPr>
              <w:ind w:left="120"/>
              <w:spacing w:after="0"/>
              <w:rPr>
                <w:sz w:val="20"/>
                <w:szCs w:val="20"/>
                <w:color w:val="auto"/>
              </w:rPr>
            </w:pPr>
            <w:r>
              <w:rPr>
                <w:rFonts w:ascii="Arial" w:cs="Arial" w:eastAsia="Arial" w:hAnsi="Arial"/>
                <w:sz w:val="18"/>
                <w:szCs w:val="18"/>
                <w:color w:val="auto"/>
              </w:rPr>
              <w:t>Product sales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50"/>
              <w:spacing w:after="0"/>
              <w:rPr>
                <w:sz w:val="20"/>
                <w:szCs w:val="20"/>
                <w:color w:val="auto"/>
              </w:rPr>
            </w:pPr>
            <w:r>
              <w:rPr>
                <w:rFonts w:ascii="Arial" w:cs="Arial" w:eastAsia="Arial" w:hAnsi="Arial"/>
                <w:sz w:val="18"/>
                <w:szCs w:val="18"/>
                <w:color w:val="auto"/>
              </w:rPr>
              <w:t>408</w:t>
            </w:r>
          </w:p>
        </w:tc>
        <w:tc>
          <w:tcPr>
            <w:tcW w:w="600" w:type="dxa"/>
            <w:vAlign w:val="bottom"/>
          </w:tcPr>
          <w:p>
            <w:pPr>
              <w:jc w:val="right"/>
              <w:spacing w:after="0"/>
              <w:rPr>
                <w:sz w:val="20"/>
                <w:szCs w:val="20"/>
                <w:color w:val="auto"/>
              </w:rPr>
            </w:pPr>
            <w:r>
              <w:rPr>
                <w:rFonts w:ascii="Arial" w:cs="Arial" w:eastAsia="Arial" w:hAnsi="Arial"/>
                <w:sz w:val="18"/>
                <w:szCs w:val="18"/>
                <w:color w:val="auto"/>
              </w:rPr>
              <w:t>21 %</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260</w:t>
            </w:r>
          </w:p>
        </w:tc>
        <w:tc>
          <w:tcPr>
            <w:tcW w:w="600" w:type="dxa"/>
            <w:vAlign w:val="bottom"/>
          </w:tcPr>
          <w:p>
            <w:pPr>
              <w:jc w:val="right"/>
              <w:spacing w:after="0"/>
              <w:rPr>
                <w:sz w:val="20"/>
                <w:szCs w:val="20"/>
                <w:color w:val="auto"/>
              </w:rPr>
            </w:pPr>
            <w:r>
              <w:rPr>
                <w:rFonts w:ascii="Arial" w:cs="Arial" w:eastAsia="Arial" w:hAnsi="Arial"/>
                <w:sz w:val="18"/>
                <w:szCs w:val="18"/>
                <w:color w:val="auto"/>
              </w:rPr>
              <w:t>20 %</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30"/>
              <w:spacing w:after="0"/>
              <w:rPr>
                <w:sz w:val="20"/>
                <w:szCs w:val="20"/>
                <w:color w:val="auto"/>
              </w:rPr>
            </w:pPr>
            <w:r>
              <w:rPr>
                <w:rFonts w:ascii="Arial" w:cs="Arial" w:eastAsia="Arial" w:hAnsi="Arial"/>
                <w:sz w:val="18"/>
                <w:szCs w:val="18"/>
                <w:color w:val="auto"/>
              </w:rPr>
              <w:t>1,484</w:t>
            </w:r>
          </w:p>
        </w:tc>
        <w:tc>
          <w:tcPr>
            <w:tcW w:w="620" w:type="dxa"/>
            <w:vAlign w:val="bottom"/>
          </w:tcPr>
          <w:p>
            <w:pPr>
              <w:jc w:val="right"/>
              <w:spacing w:after="0"/>
              <w:rPr>
                <w:sz w:val="20"/>
                <w:szCs w:val="20"/>
                <w:color w:val="auto"/>
              </w:rPr>
            </w:pPr>
            <w:r>
              <w:rPr>
                <w:rFonts w:ascii="Arial" w:cs="Arial" w:eastAsia="Arial" w:hAnsi="Arial"/>
                <w:sz w:val="18"/>
                <w:szCs w:val="18"/>
                <w:color w:val="auto"/>
              </w:rPr>
              <w:t>26 %</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1,276</w:t>
            </w:r>
          </w:p>
        </w:tc>
        <w:tc>
          <w:tcPr>
            <w:tcW w:w="620" w:type="dxa"/>
            <w:vAlign w:val="bottom"/>
          </w:tcPr>
          <w:p>
            <w:pPr>
              <w:jc w:val="right"/>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Subscription, licensing, and other revenues</w:t>
            </w: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1,546</w:t>
            </w:r>
          </w:p>
        </w:tc>
        <w:tc>
          <w:tcPr>
            <w:tcW w:w="6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1,022</w:t>
            </w:r>
          </w:p>
        </w:tc>
        <w:tc>
          <w:tcPr>
            <w:tcW w:w="6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4,190</w:t>
            </w:r>
          </w:p>
        </w:tc>
        <w:tc>
          <w:tcPr>
            <w:tcW w:w="6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3,227</w:t>
            </w:r>
          </w:p>
        </w:tc>
        <w:tc>
          <w:tcPr>
            <w:tcW w:w="6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3"/>
        </w:trPr>
        <w:tc>
          <w:tcPr>
            <w:tcW w:w="3640" w:type="dxa"/>
            <w:vAlign w:val="bottom"/>
          </w:tcPr>
          <w:p>
            <w:pPr>
              <w:ind w:left="20"/>
              <w:spacing w:after="0"/>
              <w:rPr>
                <w:sz w:val="20"/>
                <w:szCs w:val="20"/>
                <w:color w:val="auto"/>
              </w:rPr>
            </w:pPr>
            <w:r>
              <w:rPr>
                <w:rFonts w:ascii="Arial" w:cs="Arial" w:eastAsia="Arial" w:hAnsi="Arial"/>
                <w:sz w:val="18"/>
                <w:szCs w:val="18"/>
                <w:color w:val="auto"/>
              </w:rPr>
              <w:t>Total net revenues</w:t>
            </w:r>
          </w:p>
        </w:tc>
        <w:tc>
          <w:tcPr>
            <w:tcW w:w="140" w:type="dxa"/>
            <w:vAlign w:val="bottom"/>
          </w:tcPr>
          <w:p>
            <w:pPr>
              <w:spacing w:after="0"/>
              <w:rPr>
                <w:sz w:val="19"/>
                <w:szCs w:val="19"/>
                <w:color w:val="auto"/>
              </w:rPr>
            </w:pPr>
          </w:p>
        </w:tc>
        <w:tc>
          <w:tcPr>
            <w:tcW w:w="1060" w:type="dxa"/>
            <w:vAlign w:val="bottom"/>
          </w:tcPr>
          <w:p>
            <w:pPr>
              <w:jc w:val="right"/>
              <w:ind w:right="350"/>
              <w:spacing w:after="0"/>
              <w:rPr>
                <w:sz w:val="20"/>
                <w:szCs w:val="20"/>
                <w:color w:val="auto"/>
              </w:rPr>
            </w:pPr>
            <w:r>
              <w:rPr>
                <w:rFonts w:ascii="Arial" w:cs="Arial" w:eastAsia="Arial" w:hAnsi="Arial"/>
                <w:sz w:val="18"/>
                <w:szCs w:val="18"/>
                <w:color w:val="auto"/>
              </w:rPr>
              <w:t>1,954</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1,282</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ind w:right="330"/>
              <w:spacing w:after="0"/>
              <w:rPr>
                <w:sz w:val="20"/>
                <w:szCs w:val="20"/>
                <w:color w:val="auto"/>
              </w:rPr>
            </w:pPr>
            <w:r>
              <w:rPr>
                <w:rFonts w:ascii="Arial" w:cs="Arial" w:eastAsia="Arial" w:hAnsi="Arial"/>
                <w:sz w:val="18"/>
                <w:szCs w:val="18"/>
                <w:color w:val="auto"/>
              </w:rPr>
              <w:t>5,674</w:t>
            </w:r>
          </w:p>
        </w:tc>
        <w:tc>
          <w:tcPr>
            <w:tcW w:w="620" w:type="dxa"/>
            <w:vAlign w:val="bottom"/>
          </w:tcPr>
          <w:p>
            <w:pPr>
              <w:jc w:val="right"/>
              <w:ind w:right="13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4,503</w:t>
            </w:r>
          </w:p>
        </w:tc>
        <w:tc>
          <w:tcPr>
            <w:tcW w:w="620" w:type="dxa"/>
            <w:vAlign w:val="bottom"/>
          </w:tcPr>
          <w:p>
            <w:pPr>
              <w:jc w:val="right"/>
              <w:ind w:right="13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0"/>
        </w:trPr>
        <w:tc>
          <w:tcPr>
            <w:tcW w:w="36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640" w:type="dxa"/>
            <w:vAlign w:val="bottom"/>
          </w:tcPr>
          <w:p>
            <w:pPr>
              <w:ind w:left="20"/>
              <w:spacing w:after="0"/>
              <w:rPr>
                <w:sz w:val="20"/>
                <w:szCs w:val="20"/>
                <w:color w:val="auto"/>
              </w:rPr>
            </w:pPr>
            <w:r>
              <w:rPr>
                <w:rFonts w:ascii="Arial" w:cs="Arial" w:eastAsia="Arial" w:hAnsi="Arial"/>
                <w:sz w:val="18"/>
                <w:szCs w:val="18"/>
                <w:b w:val="1"/>
                <w:bCs w:val="1"/>
                <w:color w:val="auto"/>
              </w:rPr>
              <w:t>Costs and expenses</w:t>
            </w: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Cost of revenues—product sales: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40" w:type="dxa"/>
            <w:vAlign w:val="bottom"/>
          </w:tcPr>
          <w:p>
            <w:pPr>
              <w:ind w:left="220"/>
              <w:spacing w:after="0"/>
              <w:rPr>
                <w:sz w:val="20"/>
                <w:szCs w:val="20"/>
                <w:color w:val="auto"/>
              </w:rPr>
            </w:pPr>
            <w:r>
              <w:rPr>
                <w:rFonts w:ascii="Arial" w:cs="Arial" w:eastAsia="Arial" w:hAnsi="Arial"/>
                <w:sz w:val="18"/>
                <w:szCs w:val="18"/>
                <w:color w:val="auto"/>
              </w:rPr>
              <w:t>Product costs</w:t>
            </w:r>
          </w:p>
        </w:tc>
        <w:tc>
          <w:tcPr>
            <w:tcW w:w="140" w:type="dxa"/>
            <w:vAlign w:val="bottom"/>
          </w:tcPr>
          <w:p>
            <w:pPr>
              <w:spacing w:after="0"/>
              <w:rPr>
                <w:sz w:val="19"/>
                <w:szCs w:val="19"/>
                <w:color w:val="auto"/>
              </w:rPr>
            </w:pPr>
          </w:p>
        </w:tc>
        <w:tc>
          <w:tcPr>
            <w:tcW w:w="1060" w:type="dxa"/>
            <w:vAlign w:val="bottom"/>
          </w:tcPr>
          <w:p>
            <w:pPr>
              <w:jc w:val="right"/>
              <w:ind w:right="350"/>
              <w:spacing w:after="0"/>
              <w:rPr>
                <w:sz w:val="20"/>
                <w:szCs w:val="20"/>
                <w:color w:val="auto"/>
              </w:rPr>
            </w:pPr>
            <w:r>
              <w:rPr>
                <w:rFonts w:ascii="Arial" w:cs="Arial" w:eastAsia="Arial" w:hAnsi="Arial"/>
                <w:sz w:val="18"/>
                <w:szCs w:val="18"/>
                <w:color w:val="auto"/>
              </w:rPr>
              <w:t>101</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137</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ind w:right="330"/>
              <w:spacing w:after="0"/>
              <w:rPr>
                <w:sz w:val="20"/>
                <w:szCs w:val="20"/>
                <w:color w:val="auto"/>
              </w:rPr>
            </w:pPr>
            <w:r>
              <w:rPr>
                <w:rFonts w:ascii="Arial" w:cs="Arial" w:eastAsia="Arial" w:hAnsi="Arial"/>
                <w:sz w:val="18"/>
                <w:szCs w:val="18"/>
                <w:color w:val="auto"/>
              </w:rPr>
              <w:t>357</w:t>
            </w:r>
          </w:p>
        </w:tc>
        <w:tc>
          <w:tcPr>
            <w:tcW w:w="620" w:type="dxa"/>
            <w:vAlign w:val="bottom"/>
          </w:tcPr>
          <w:p>
            <w:pPr>
              <w:jc w:val="right"/>
              <w:ind w:right="13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388</w:t>
            </w:r>
          </w:p>
        </w:tc>
        <w:tc>
          <w:tcPr>
            <w:tcW w:w="620" w:type="dxa"/>
            <w:vAlign w:val="bottom"/>
          </w:tcPr>
          <w:p>
            <w:pPr>
              <w:jc w:val="right"/>
              <w:ind w:right="13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76"/>
        </w:trPr>
        <w:tc>
          <w:tcPr>
            <w:tcW w:w="36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Software royalties, amortization, and</w:t>
            </w:r>
          </w:p>
        </w:tc>
        <w:tc>
          <w:tcPr>
            <w:tcW w:w="14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ind w:right="350"/>
              <w:spacing w:after="0"/>
              <w:rPr>
                <w:sz w:val="20"/>
                <w:szCs w:val="20"/>
                <w:color w:val="auto"/>
              </w:rPr>
            </w:pPr>
            <w:r>
              <w:rPr>
                <w:rFonts w:ascii="Arial" w:cs="Arial" w:eastAsia="Arial" w:hAnsi="Arial"/>
                <w:sz w:val="18"/>
                <w:szCs w:val="18"/>
                <w:color w:val="auto"/>
              </w:rPr>
              <w:t>37</w:t>
            </w:r>
          </w:p>
        </w:tc>
        <w:tc>
          <w:tcPr>
            <w:tcW w:w="60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ind w:right="350"/>
              <w:spacing w:after="0"/>
              <w:rPr>
                <w:sz w:val="20"/>
                <w:szCs w:val="20"/>
                <w:color w:val="auto"/>
              </w:rPr>
            </w:pPr>
            <w:r>
              <w:rPr>
                <w:rFonts w:ascii="Arial" w:cs="Arial" w:eastAsia="Arial" w:hAnsi="Arial"/>
                <w:sz w:val="18"/>
                <w:szCs w:val="18"/>
                <w:color w:val="auto"/>
              </w:rPr>
              <w:t>9</w:t>
            </w:r>
          </w:p>
        </w:tc>
        <w:tc>
          <w:tcPr>
            <w:tcW w:w="60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ind w:right="330"/>
              <w:spacing w:after="0"/>
              <w:rPr>
                <w:sz w:val="20"/>
                <w:szCs w:val="20"/>
                <w:color w:val="auto"/>
              </w:rPr>
            </w:pPr>
            <w:r>
              <w:rPr>
                <w:rFonts w:ascii="Arial" w:cs="Arial" w:eastAsia="Arial" w:hAnsi="Arial"/>
                <w:sz w:val="18"/>
                <w:szCs w:val="18"/>
                <w:color w:val="auto"/>
              </w:rPr>
              <w:t>152</w:t>
            </w:r>
          </w:p>
        </w:tc>
        <w:tc>
          <w:tcPr>
            <w:tcW w:w="6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ind w:right="350"/>
              <w:spacing w:after="0"/>
              <w:rPr>
                <w:sz w:val="20"/>
                <w:szCs w:val="20"/>
                <w:color w:val="auto"/>
              </w:rPr>
            </w:pPr>
            <w:r>
              <w:rPr>
                <w:rFonts w:ascii="Arial" w:cs="Arial" w:eastAsia="Arial" w:hAnsi="Arial"/>
                <w:sz w:val="18"/>
                <w:szCs w:val="18"/>
                <w:color w:val="auto"/>
              </w:rPr>
              <w:t>171</w:t>
            </w:r>
          </w:p>
        </w:tc>
        <w:tc>
          <w:tcPr>
            <w:tcW w:w="6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intellectual property licenses</w:t>
            </w:r>
          </w:p>
        </w:tc>
        <w:tc>
          <w:tcPr>
            <w:tcW w:w="14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640" w:type="dxa"/>
            <w:vAlign w:val="bottom"/>
          </w:tcPr>
          <w:p>
            <w:pPr>
              <w:ind w:left="120"/>
              <w:spacing w:after="0" w:line="176" w:lineRule="exact"/>
              <w:rPr>
                <w:sz w:val="20"/>
                <w:szCs w:val="20"/>
                <w:color w:val="auto"/>
              </w:rPr>
            </w:pPr>
            <w:r>
              <w:rPr>
                <w:rFonts w:ascii="Arial" w:cs="Arial" w:eastAsia="Arial" w:hAnsi="Arial"/>
                <w:sz w:val="18"/>
                <w:szCs w:val="18"/>
                <w:color w:val="auto"/>
                <w:w w:val="94"/>
              </w:rPr>
              <w:t>Cost of revenues—subscription, licensing, and</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640" w:type="dxa"/>
            <w:vAlign w:val="bottom"/>
          </w:tcPr>
          <w:p>
            <w:pPr>
              <w:ind w:left="120"/>
              <w:spacing w:after="0"/>
              <w:rPr>
                <w:sz w:val="20"/>
                <w:szCs w:val="20"/>
                <w:color w:val="auto"/>
              </w:rPr>
            </w:pPr>
            <w:r>
              <w:rPr>
                <w:rFonts w:ascii="Arial" w:cs="Arial" w:eastAsia="Arial" w:hAnsi="Arial"/>
                <w:sz w:val="18"/>
                <w:szCs w:val="18"/>
                <w:color w:val="auto"/>
              </w:rPr>
              <w:t>other revenues:</w:t>
            </w: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Game operations and distribution costs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290</w:t>
            </w:r>
          </w:p>
        </w:tc>
        <w:tc>
          <w:tcPr>
            <w:tcW w:w="6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246</w:t>
            </w:r>
          </w:p>
        </w:tc>
        <w:tc>
          <w:tcPr>
            <w:tcW w:w="6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819</w:t>
            </w:r>
          </w:p>
        </w:tc>
        <w:tc>
          <w:tcPr>
            <w:tcW w:w="6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714</w:t>
            </w:r>
          </w:p>
        </w:tc>
        <w:tc>
          <w:tcPr>
            <w:tcW w:w="6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76"/>
        </w:trPr>
        <w:tc>
          <w:tcPr>
            <w:tcW w:w="3640" w:type="dxa"/>
            <w:vAlign w:val="bottom"/>
          </w:tcPr>
          <w:p>
            <w:pPr>
              <w:ind w:left="220"/>
              <w:spacing w:after="0" w:line="176" w:lineRule="exact"/>
              <w:rPr>
                <w:sz w:val="20"/>
                <w:szCs w:val="20"/>
                <w:color w:val="auto"/>
              </w:rPr>
            </w:pPr>
            <w:r>
              <w:rPr>
                <w:rFonts w:ascii="Arial" w:cs="Arial" w:eastAsia="Arial" w:hAnsi="Arial"/>
                <w:sz w:val="18"/>
                <w:szCs w:val="18"/>
                <w:color w:val="auto"/>
              </w:rPr>
              <w:t>Software royalties, amortization, and</w:t>
            </w:r>
          </w:p>
        </w:tc>
        <w:tc>
          <w:tcPr>
            <w:tcW w:w="140" w:type="dxa"/>
            <w:vAlign w:val="bottom"/>
          </w:tcPr>
          <w:p>
            <w:pPr>
              <w:spacing w:after="0"/>
              <w:rPr>
                <w:sz w:val="15"/>
                <w:szCs w:val="15"/>
                <w:color w:val="auto"/>
              </w:rPr>
            </w:pPr>
          </w:p>
        </w:tc>
        <w:tc>
          <w:tcPr>
            <w:tcW w:w="1060" w:type="dxa"/>
            <w:vAlign w:val="bottom"/>
            <w:vMerge w:val="restart"/>
          </w:tcPr>
          <w:p>
            <w:pPr>
              <w:jc w:val="right"/>
              <w:ind w:right="350"/>
              <w:spacing w:after="0"/>
              <w:rPr>
                <w:sz w:val="20"/>
                <w:szCs w:val="20"/>
                <w:color w:val="auto"/>
              </w:rPr>
            </w:pPr>
            <w:r>
              <w:rPr>
                <w:rFonts w:ascii="Arial" w:cs="Arial" w:eastAsia="Arial" w:hAnsi="Arial"/>
                <w:sz w:val="18"/>
                <w:szCs w:val="18"/>
                <w:color w:val="auto"/>
              </w:rPr>
              <w:t>41</w:t>
            </w:r>
          </w:p>
        </w:tc>
        <w:tc>
          <w:tcPr>
            <w:tcW w:w="600" w:type="dxa"/>
            <w:vAlign w:val="bottom"/>
            <w:vMerge w:val="restart"/>
          </w:tcPr>
          <w:p>
            <w:pPr>
              <w:jc w:val="right"/>
              <w:ind w:right="13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vMerge w:val="restart"/>
          </w:tcPr>
          <w:p>
            <w:pPr>
              <w:jc w:val="right"/>
              <w:ind w:right="350"/>
              <w:spacing w:after="0"/>
              <w:rPr>
                <w:sz w:val="20"/>
                <w:szCs w:val="20"/>
                <w:color w:val="auto"/>
              </w:rPr>
            </w:pPr>
            <w:r>
              <w:rPr>
                <w:rFonts w:ascii="Arial" w:cs="Arial" w:eastAsia="Arial" w:hAnsi="Arial"/>
                <w:sz w:val="18"/>
                <w:szCs w:val="18"/>
                <w:color w:val="auto"/>
              </w:rPr>
              <w:t>50</w:t>
            </w:r>
          </w:p>
        </w:tc>
        <w:tc>
          <w:tcPr>
            <w:tcW w:w="600" w:type="dxa"/>
            <w:vAlign w:val="bottom"/>
            <w:vMerge w:val="restart"/>
          </w:tcPr>
          <w:p>
            <w:pPr>
              <w:jc w:val="right"/>
              <w:ind w:right="13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vMerge w:val="restart"/>
          </w:tcPr>
          <w:p>
            <w:pPr>
              <w:jc w:val="right"/>
              <w:ind w:right="330"/>
              <w:spacing w:after="0"/>
              <w:rPr>
                <w:sz w:val="20"/>
                <w:szCs w:val="20"/>
                <w:color w:val="auto"/>
              </w:rPr>
            </w:pPr>
            <w:r>
              <w:rPr>
                <w:rFonts w:ascii="Arial" w:cs="Arial" w:eastAsia="Arial" w:hAnsi="Arial"/>
                <w:sz w:val="18"/>
                <w:szCs w:val="18"/>
                <w:color w:val="auto"/>
              </w:rPr>
              <w:t>115</w:t>
            </w:r>
          </w:p>
        </w:tc>
        <w:tc>
          <w:tcPr>
            <w:tcW w:w="620" w:type="dxa"/>
            <w:vAlign w:val="bottom"/>
            <w:vMerge w:val="restart"/>
          </w:tcPr>
          <w:p>
            <w:pPr>
              <w:jc w:val="right"/>
              <w:ind w:right="1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vMerge w:val="restart"/>
          </w:tcPr>
          <w:p>
            <w:pPr>
              <w:jc w:val="right"/>
              <w:ind w:right="350"/>
              <w:spacing w:after="0"/>
              <w:rPr>
                <w:sz w:val="20"/>
                <w:szCs w:val="20"/>
                <w:color w:val="auto"/>
              </w:rPr>
            </w:pPr>
            <w:r>
              <w:rPr>
                <w:rFonts w:ascii="Arial" w:cs="Arial" w:eastAsia="Arial" w:hAnsi="Arial"/>
                <w:sz w:val="18"/>
                <w:szCs w:val="18"/>
                <w:color w:val="auto"/>
              </w:rPr>
              <w:t>164</w:t>
            </w:r>
          </w:p>
        </w:tc>
        <w:tc>
          <w:tcPr>
            <w:tcW w:w="620" w:type="dxa"/>
            <w:vAlign w:val="bottom"/>
            <w:vMerge w:val="restart"/>
          </w:tcPr>
          <w:p>
            <w:pPr>
              <w:jc w:val="right"/>
              <w:ind w:right="13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3640" w:type="dxa"/>
            <w:vAlign w:val="bottom"/>
          </w:tcPr>
          <w:p>
            <w:pPr>
              <w:ind w:left="220"/>
              <w:spacing w:after="0"/>
              <w:rPr>
                <w:sz w:val="20"/>
                <w:szCs w:val="20"/>
                <w:color w:val="auto"/>
              </w:rPr>
            </w:pPr>
            <w:r>
              <w:rPr>
                <w:rFonts w:ascii="Arial" w:cs="Arial" w:eastAsia="Arial" w:hAnsi="Arial"/>
                <w:sz w:val="18"/>
                <w:szCs w:val="18"/>
                <w:color w:val="auto"/>
              </w:rPr>
              <w:t>intellectual property licenses</w:t>
            </w:r>
          </w:p>
        </w:tc>
        <w:tc>
          <w:tcPr>
            <w:tcW w:w="14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6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6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Product development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274</w:t>
            </w:r>
          </w:p>
        </w:tc>
        <w:tc>
          <w:tcPr>
            <w:tcW w:w="6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210</w:t>
            </w:r>
          </w:p>
        </w:tc>
        <w:tc>
          <w:tcPr>
            <w:tcW w:w="6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802</w:t>
            </w:r>
          </w:p>
        </w:tc>
        <w:tc>
          <w:tcPr>
            <w:tcW w:w="6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702</w:t>
            </w:r>
          </w:p>
        </w:tc>
        <w:tc>
          <w:tcPr>
            <w:tcW w:w="6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9"/>
        </w:trPr>
        <w:tc>
          <w:tcPr>
            <w:tcW w:w="3640" w:type="dxa"/>
            <w:vAlign w:val="bottom"/>
          </w:tcPr>
          <w:p>
            <w:pPr>
              <w:ind w:left="120"/>
              <w:spacing w:after="0"/>
              <w:rPr>
                <w:sz w:val="20"/>
                <w:szCs w:val="20"/>
                <w:color w:val="auto"/>
              </w:rPr>
            </w:pPr>
            <w:r>
              <w:rPr>
                <w:rFonts w:ascii="Arial" w:cs="Arial" w:eastAsia="Arial" w:hAnsi="Arial"/>
                <w:sz w:val="18"/>
                <w:szCs w:val="18"/>
                <w:color w:val="auto"/>
              </w:rPr>
              <w:t>Sales and marketing</w:t>
            </w:r>
          </w:p>
        </w:tc>
        <w:tc>
          <w:tcPr>
            <w:tcW w:w="140" w:type="dxa"/>
            <w:vAlign w:val="bottom"/>
          </w:tcPr>
          <w:p>
            <w:pPr>
              <w:spacing w:after="0"/>
              <w:rPr>
                <w:sz w:val="19"/>
                <w:szCs w:val="19"/>
                <w:color w:val="auto"/>
              </w:rPr>
            </w:pPr>
          </w:p>
        </w:tc>
        <w:tc>
          <w:tcPr>
            <w:tcW w:w="1060" w:type="dxa"/>
            <w:vAlign w:val="bottom"/>
          </w:tcPr>
          <w:p>
            <w:pPr>
              <w:jc w:val="right"/>
              <w:ind w:right="350"/>
              <w:spacing w:after="0"/>
              <w:rPr>
                <w:sz w:val="20"/>
                <w:szCs w:val="20"/>
                <w:color w:val="auto"/>
              </w:rPr>
            </w:pPr>
            <w:r>
              <w:rPr>
                <w:rFonts w:ascii="Arial" w:cs="Arial" w:eastAsia="Arial" w:hAnsi="Arial"/>
                <w:sz w:val="18"/>
                <w:szCs w:val="18"/>
                <w:color w:val="auto"/>
              </w:rPr>
              <w:t>238</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182</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ind w:right="330"/>
              <w:spacing w:after="0"/>
              <w:rPr>
                <w:sz w:val="20"/>
                <w:szCs w:val="20"/>
                <w:color w:val="auto"/>
              </w:rPr>
            </w:pPr>
            <w:r>
              <w:rPr>
                <w:rFonts w:ascii="Arial" w:cs="Arial" w:eastAsia="Arial" w:hAnsi="Arial"/>
                <w:sz w:val="18"/>
                <w:szCs w:val="18"/>
                <w:color w:val="auto"/>
              </w:rPr>
              <w:t>722</w:t>
            </w:r>
          </w:p>
        </w:tc>
        <w:tc>
          <w:tcPr>
            <w:tcW w:w="620" w:type="dxa"/>
            <w:vAlign w:val="bottom"/>
          </w:tcPr>
          <w:p>
            <w:pPr>
              <w:jc w:val="right"/>
              <w:ind w:right="13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580</w:t>
            </w:r>
          </w:p>
        </w:tc>
        <w:tc>
          <w:tcPr>
            <w:tcW w:w="620" w:type="dxa"/>
            <w:vAlign w:val="bottom"/>
          </w:tcPr>
          <w:p>
            <w:pPr>
              <w:jc w:val="right"/>
              <w:ind w:right="13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General and administrative</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186</w:t>
            </w:r>
          </w:p>
        </w:tc>
        <w:tc>
          <w:tcPr>
            <w:tcW w:w="6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177</w:t>
            </w:r>
          </w:p>
        </w:tc>
        <w:tc>
          <w:tcPr>
            <w:tcW w:w="6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529</w:t>
            </w:r>
          </w:p>
        </w:tc>
        <w:tc>
          <w:tcPr>
            <w:tcW w:w="6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527</w:t>
            </w:r>
          </w:p>
        </w:tc>
        <w:tc>
          <w:tcPr>
            <w:tcW w:w="6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3640" w:type="dxa"/>
            <w:vAlign w:val="bottom"/>
          </w:tcPr>
          <w:p>
            <w:pPr>
              <w:ind w:left="120"/>
              <w:spacing w:after="0"/>
              <w:rPr>
                <w:sz w:val="20"/>
                <w:szCs w:val="20"/>
                <w:color w:val="auto"/>
              </w:rPr>
            </w:pPr>
            <w:r>
              <w:rPr>
                <w:rFonts w:ascii="Arial" w:cs="Arial" w:eastAsia="Arial" w:hAnsi="Arial"/>
                <w:sz w:val="18"/>
                <w:szCs w:val="18"/>
                <w:color w:val="auto"/>
              </w:rPr>
              <w:t>Restructuring and related costs</w:t>
            </w:r>
          </w:p>
        </w:tc>
        <w:tc>
          <w:tcPr>
            <w:tcW w:w="140" w:type="dxa"/>
            <w:vAlign w:val="bottom"/>
          </w:tcPr>
          <w:p>
            <w:pPr>
              <w:spacing w:after="0"/>
              <w:rPr>
                <w:sz w:val="19"/>
                <w:szCs w:val="19"/>
                <w:color w:val="auto"/>
              </w:rPr>
            </w:pPr>
          </w:p>
        </w:tc>
        <w:tc>
          <w:tcPr>
            <w:tcW w:w="1060" w:type="dxa"/>
            <w:vAlign w:val="bottom"/>
          </w:tcPr>
          <w:p>
            <w:pPr>
              <w:jc w:val="right"/>
              <w:ind w:right="350"/>
              <w:spacing w:after="0"/>
              <w:rPr>
                <w:sz w:val="20"/>
                <w:szCs w:val="20"/>
                <w:color w:val="auto"/>
              </w:rPr>
            </w:pPr>
            <w:r>
              <w:rPr>
                <w:rFonts w:ascii="Arial" w:cs="Arial" w:eastAsia="Arial" w:hAnsi="Arial"/>
                <w:sz w:val="18"/>
                <w:szCs w:val="18"/>
                <w:color w:val="auto"/>
              </w:rPr>
              <w:t>9</w:t>
            </w: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24</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ind w:right="330"/>
              <w:spacing w:after="0"/>
              <w:rPr>
                <w:sz w:val="20"/>
                <w:szCs w:val="20"/>
                <w:color w:val="auto"/>
              </w:rPr>
            </w:pPr>
            <w:r>
              <w:rPr>
                <w:rFonts w:ascii="Arial" w:cs="Arial" w:eastAsia="Arial" w:hAnsi="Arial"/>
                <w:sz w:val="18"/>
                <w:szCs w:val="18"/>
                <w:color w:val="auto"/>
              </w:rPr>
              <w:t>39</w:t>
            </w:r>
          </w:p>
        </w:tc>
        <w:tc>
          <w:tcPr>
            <w:tcW w:w="620" w:type="dxa"/>
            <w:vAlign w:val="bottom"/>
          </w:tcPr>
          <w:p>
            <w:pPr>
              <w:jc w:val="right"/>
              <w:ind w:right="1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104</w:t>
            </w:r>
          </w:p>
        </w:tc>
        <w:tc>
          <w:tcPr>
            <w:tcW w:w="620" w:type="dxa"/>
            <w:vAlign w:val="bottom"/>
          </w:tcPr>
          <w:p>
            <w:pPr>
              <w:jc w:val="right"/>
              <w:ind w:right="13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3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costs and expenses</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1,176</w:t>
            </w:r>
          </w:p>
        </w:tc>
        <w:tc>
          <w:tcPr>
            <w:tcW w:w="60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60</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1,035</w:t>
            </w:r>
          </w:p>
        </w:tc>
        <w:tc>
          <w:tcPr>
            <w:tcW w:w="60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81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3,535</w:t>
            </w:r>
          </w:p>
        </w:tc>
        <w:tc>
          <w:tcPr>
            <w:tcW w:w="6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62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3,350</w:t>
            </w:r>
          </w:p>
        </w:tc>
        <w:tc>
          <w:tcPr>
            <w:tcW w:w="6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50"/>
        </w:trPr>
        <w:tc>
          <w:tcPr>
            <w:tcW w:w="3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778</w:t>
            </w:r>
          </w:p>
        </w:tc>
        <w:tc>
          <w:tcPr>
            <w:tcW w:w="6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247</w:t>
            </w:r>
          </w:p>
        </w:tc>
        <w:tc>
          <w:tcPr>
            <w:tcW w:w="6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2,139</w:t>
            </w:r>
          </w:p>
        </w:tc>
        <w:tc>
          <w:tcPr>
            <w:tcW w:w="6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1,153</w:t>
            </w:r>
          </w:p>
        </w:tc>
        <w:tc>
          <w:tcPr>
            <w:tcW w:w="6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Interest and other expense (income), net</w:t>
            </w:r>
          </w:p>
        </w:tc>
        <w:tc>
          <w:tcPr>
            <w:tcW w:w="140" w:type="dxa"/>
            <w:vAlign w:val="bottom"/>
          </w:tcPr>
          <w:p>
            <w:pPr>
              <w:spacing w:after="0"/>
              <w:rPr>
                <w:sz w:val="19"/>
                <w:szCs w:val="19"/>
                <w:color w:val="auto"/>
              </w:rPr>
            </w:pPr>
          </w:p>
        </w:tc>
        <w:tc>
          <w:tcPr>
            <w:tcW w:w="1060" w:type="dxa"/>
            <w:vAlign w:val="bottom"/>
          </w:tcPr>
          <w:p>
            <w:pPr>
              <w:jc w:val="right"/>
              <w:ind w:right="350"/>
              <w:spacing w:after="0"/>
              <w:rPr>
                <w:sz w:val="20"/>
                <w:szCs w:val="20"/>
                <w:color w:val="auto"/>
              </w:rPr>
            </w:pPr>
            <w:r>
              <w:rPr>
                <w:rFonts w:ascii="Arial" w:cs="Arial" w:eastAsia="Arial" w:hAnsi="Arial"/>
                <w:sz w:val="18"/>
                <w:szCs w:val="18"/>
                <w:color w:val="auto"/>
              </w:rPr>
              <w:t>25</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310"/>
              <w:spacing w:after="0"/>
              <w:rPr>
                <w:sz w:val="20"/>
                <w:szCs w:val="20"/>
                <w:color w:val="auto"/>
              </w:rPr>
            </w:pPr>
            <w:r>
              <w:rPr>
                <w:rFonts w:ascii="Arial" w:cs="Arial" w:eastAsia="Arial" w:hAnsi="Arial"/>
                <w:sz w:val="18"/>
                <w:szCs w:val="18"/>
                <w:color w:val="auto"/>
              </w:rPr>
              <w:t>(2)</w:t>
            </w: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ind w:right="330"/>
              <w:spacing w:after="0"/>
              <w:rPr>
                <w:sz w:val="20"/>
                <w:szCs w:val="20"/>
                <w:color w:val="auto"/>
              </w:rPr>
            </w:pPr>
            <w:r>
              <w:rPr>
                <w:rFonts w:ascii="Arial" w:cs="Arial" w:eastAsia="Arial" w:hAnsi="Arial"/>
                <w:sz w:val="18"/>
                <w:szCs w:val="18"/>
                <w:color w:val="auto"/>
              </w:rPr>
              <w:t>55</w:t>
            </w:r>
          </w:p>
        </w:tc>
        <w:tc>
          <w:tcPr>
            <w:tcW w:w="620" w:type="dxa"/>
            <w:vAlign w:val="bottom"/>
          </w:tcPr>
          <w:p>
            <w:pPr>
              <w:jc w:val="right"/>
              <w:ind w:right="1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(33)</w:t>
            </w:r>
          </w:p>
        </w:tc>
        <w:tc>
          <w:tcPr>
            <w:tcW w:w="620" w:type="dxa"/>
            <w:vAlign w:val="bottom"/>
          </w:tcPr>
          <w:p>
            <w:pPr>
              <w:jc w:val="right"/>
              <w:ind w:right="9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extinguishment of debt (1)</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31</w:t>
            </w:r>
          </w:p>
        </w:tc>
        <w:tc>
          <w:tcPr>
            <w:tcW w:w="6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31</w:t>
            </w:r>
          </w:p>
        </w:tc>
        <w:tc>
          <w:tcPr>
            <w:tcW w:w="6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640" w:type="dxa"/>
            <w:vAlign w:val="bottom"/>
          </w:tcPr>
          <w:p>
            <w:pPr>
              <w:ind w:left="20"/>
              <w:spacing w:after="0"/>
              <w:rPr>
                <w:sz w:val="20"/>
                <w:szCs w:val="20"/>
                <w:color w:val="auto"/>
              </w:rPr>
            </w:pPr>
            <w:r>
              <w:rPr>
                <w:rFonts w:ascii="Arial" w:cs="Arial" w:eastAsia="Arial" w:hAnsi="Arial"/>
                <w:sz w:val="18"/>
                <w:szCs w:val="18"/>
                <w:color w:val="auto"/>
              </w:rPr>
              <w:t>Income before income tax expense</w:t>
            </w:r>
          </w:p>
        </w:tc>
        <w:tc>
          <w:tcPr>
            <w:tcW w:w="1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722</w:t>
            </w:r>
          </w:p>
        </w:tc>
        <w:tc>
          <w:tcPr>
            <w:tcW w:w="6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249</w:t>
            </w:r>
          </w:p>
        </w:tc>
        <w:tc>
          <w:tcPr>
            <w:tcW w:w="6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2,053</w:t>
            </w:r>
          </w:p>
        </w:tc>
        <w:tc>
          <w:tcPr>
            <w:tcW w:w="6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1,186</w:t>
            </w:r>
          </w:p>
        </w:tc>
        <w:tc>
          <w:tcPr>
            <w:tcW w:w="6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118</w:t>
            </w:r>
          </w:p>
        </w:tc>
        <w:tc>
          <w:tcPr>
            <w:tcW w:w="6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45</w:t>
            </w:r>
          </w:p>
        </w:tc>
        <w:tc>
          <w:tcPr>
            <w:tcW w:w="6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365</w:t>
            </w:r>
          </w:p>
        </w:tc>
        <w:tc>
          <w:tcPr>
            <w:tcW w:w="6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208</w:t>
            </w:r>
          </w:p>
        </w:tc>
        <w:tc>
          <w:tcPr>
            <w:tcW w:w="6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36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604</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31 %</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204</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16 %</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1,688</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30 %</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978</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1"/>
        </w:trPr>
        <w:tc>
          <w:tcPr>
            <w:tcW w:w="3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340" w:right="340" w:hanging="332"/>
        <w:spacing w:after="0" w:line="263" w:lineRule="auto"/>
        <w:tabs>
          <w:tab w:leader="none" w:pos="406"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Represents the loss on extinguishment of debt we recognized in connection with our debt financing activities during the three months ended September 30, 2020. Refer to </w:t>
      </w:r>
      <w:hyperlink w:anchor="page16">
        <w:r>
          <w:rPr>
            <w:rFonts w:ascii="Arial" w:cs="Arial" w:eastAsia="Arial" w:hAnsi="Arial"/>
            <w:sz w:val="18"/>
            <w:szCs w:val="18"/>
            <w:u w:val="single" w:color="auto"/>
            <w:color w:val="0000FF"/>
          </w:rPr>
          <w:t>Note 8</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the notes to the condensed consolidated financial statements included in Item 1 of this Quarterly Report on Form 10-Q for further disclosures regarding our debt obligations.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Net Revenues</w:t>
      </w:r>
    </w:p>
    <w:p>
      <w:pPr>
        <w:spacing w:after="0" w:line="256"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 key drivers of changes in our consolidated net revenues, operating segment results, consolidated results, and sources of liquidity are presented in the order of significance.</w:t>
      </w:r>
    </w:p>
    <w:p>
      <w:pPr>
        <w:spacing w:after="0" w:line="197"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The following table summarizes our consolidated net revenues, in-game net revenues, and increase (decrease) in deferred net revenues recognized (amounts in millions):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180" w:type="dxa"/>
            <w:vAlign w:val="bottom"/>
            <w:tcBorders>
              <w:bottom w:val="single" w:sz="8" w:color="auto"/>
            </w:tcBorders>
            <w:gridSpan w:val="9"/>
          </w:tcPr>
          <w:p>
            <w:pPr>
              <w:jc w:val="right"/>
              <w:ind w:right="410"/>
              <w:spacing w:after="0"/>
              <w:rPr>
                <w:sz w:val="20"/>
                <w:szCs w:val="20"/>
                <w:color w:val="auto"/>
              </w:rPr>
            </w:pPr>
            <w:r>
              <w:rPr>
                <w:rFonts w:ascii="Arial" w:cs="Arial" w:eastAsia="Arial" w:hAnsi="Arial"/>
                <w:sz w:val="18"/>
                <w:szCs w:val="18"/>
                <w:b w:val="1"/>
                <w:bCs w:val="1"/>
                <w:color w:val="auto"/>
                <w:w w:val="98"/>
              </w:rPr>
              <w:t>For the Three Months Ended September 30,</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200" w:type="dxa"/>
            <w:vAlign w:val="bottom"/>
            <w:tcBorders>
              <w:bottom w:val="single" w:sz="8" w:color="auto"/>
            </w:tcBorders>
            <w:gridSpan w:val="9"/>
          </w:tcPr>
          <w:p>
            <w:pPr>
              <w:jc w:val="right"/>
              <w:ind w:right="450"/>
              <w:spacing w:after="0"/>
              <w:rPr>
                <w:sz w:val="20"/>
                <w:szCs w:val="20"/>
                <w:color w:val="auto"/>
              </w:rPr>
            </w:pPr>
            <w:r>
              <w:rPr>
                <w:rFonts w:ascii="Arial" w:cs="Arial" w:eastAsia="Arial" w:hAnsi="Arial"/>
                <w:sz w:val="18"/>
                <w:szCs w:val="18"/>
                <w:b w:val="1"/>
                <w:bCs w:val="1"/>
                <w:color w:val="auto"/>
              </w:rPr>
              <w:t>For the Nine Months Ended September 30,</w:t>
            </w:r>
          </w:p>
        </w:tc>
        <w:tc>
          <w:tcPr>
            <w:tcW w:w="0" w:type="dxa"/>
            <w:vAlign w:val="bottom"/>
          </w:tcPr>
          <w:p>
            <w:pPr>
              <w:spacing w:after="0"/>
              <w:rPr>
                <w:sz w:val="1"/>
                <w:szCs w:val="1"/>
                <w:color w:val="auto"/>
              </w:rPr>
            </w:pPr>
          </w:p>
        </w:tc>
      </w:tr>
      <w:tr>
        <w:trPr>
          <w:trHeight w:val="169"/>
        </w:trPr>
        <w:tc>
          <w:tcPr>
            <w:tcW w:w="2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restart"/>
          </w:tcPr>
          <w:p>
            <w:pPr>
              <w:jc w:val="right"/>
              <w:ind w:right="192"/>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240"/>
              <w:spacing w:after="0" w:line="169" w:lineRule="exact"/>
              <w:rPr>
                <w:sz w:val="20"/>
                <w:szCs w:val="20"/>
                <w:color w:val="auto"/>
              </w:rPr>
            </w:pPr>
            <w:r>
              <w:rPr>
                <w:rFonts w:ascii="Arial" w:cs="Arial" w:eastAsia="Arial" w:hAnsi="Arial"/>
                <w:sz w:val="18"/>
                <w:szCs w:val="18"/>
                <w:b w:val="1"/>
                <w:bCs w:val="1"/>
                <w:color w:val="auto"/>
                <w:w w:val="90"/>
              </w:rPr>
              <w:t>Increase</w:t>
            </w:r>
          </w:p>
        </w:tc>
        <w:tc>
          <w:tcPr>
            <w:tcW w:w="1380" w:type="dxa"/>
            <w:vAlign w:val="bottom"/>
            <w:gridSpan w:val="3"/>
            <w:vMerge w:val="restart"/>
          </w:tcPr>
          <w:p>
            <w:pPr>
              <w:jc w:val="right"/>
              <w:ind w:right="350"/>
              <w:spacing w:after="0"/>
              <w:rPr>
                <w:sz w:val="20"/>
                <w:szCs w:val="20"/>
                <w:color w:val="auto"/>
              </w:rPr>
            </w:pPr>
            <w:r>
              <w:rPr>
                <w:rFonts w:ascii="Arial" w:cs="Arial" w:eastAsia="Arial" w:hAnsi="Arial"/>
                <w:sz w:val="18"/>
                <w:szCs w:val="18"/>
                <w:b w:val="1"/>
                <w:bCs w:val="1"/>
                <w:color w:val="auto"/>
              </w:rPr>
              <w:t>% Change</w:t>
            </w:r>
          </w:p>
        </w:tc>
        <w:tc>
          <w:tcPr>
            <w:tcW w:w="74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vMerge w:val="restart"/>
          </w:tcPr>
          <w:p>
            <w:pPr>
              <w:jc w:val="right"/>
              <w:ind w:right="192"/>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240"/>
              <w:spacing w:after="0" w:line="169" w:lineRule="exact"/>
              <w:rPr>
                <w:sz w:val="20"/>
                <w:szCs w:val="20"/>
                <w:color w:val="auto"/>
              </w:rPr>
            </w:pPr>
            <w:r>
              <w:rPr>
                <w:rFonts w:ascii="Arial" w:cs="Arial" w:eastAsia="Arial" w:hAnsi="Arial"/>
                <w:sz w:val="18"/>
                <w:szCs w:val="18"/>
                <w:b w:val="1"/>
                <w:bCs w:val="1"/>
                <w:color w:val="auto"/>
                <w:w w:val="87"/>
              </w:rPr>
              <w:t>Increase</w:t>
            </w:r>
          </w:p>
        </w:tc>
        <w:tc>
          <w:tcPr>
            <w:tcW w:w="110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30"/>
        </w:trPr>
        <w:tc>
          <w:tcPr>
            <w:tcW w:w="2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(Decrease)</w:t>
            </w:r>
          </w:p>
        </w:tc>
        <w:tc>
          <w:tcPr>
            <w:tcW w:w="1380" w:type="dxa"/>
            <w:vAlign w:val="bottom"/>
            <w:gridSpan w:val="3"/>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(Decrease)</w:t>
            </w: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Consolidated net revenues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1,954</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1,282</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1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52 %</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5,674</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4,503</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1,171</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176"/>
        </w:trPr>
        <w:tc>
          <w:tcPr>
            <w:tcW w:w="2360" w:type="dxa"/>
            <w:vAlign w:val="bottom"/>
          </w:tcPr>
          <w:p>
            <w:pPr>
              <w:ind w:left="20"/>
              <w:spacing w:after="0" w:line="176" w:lineRule="exact"/>
              <w:rPr>
                <w:sz w:val="20"/>
                <w:szCs w:val="20"/>
                <w:color w:val="auto"/>
              </w:rPr>
            </w:pPr>
            <w:r>
              <w:rPr>
                <w:rFonts w:ascii="Arial" w:cs="Arial" w:eastAsia="Arial" w:hAnsi="Arial"/>
                <w:sz w:val="18"/>
                <w:szCs w:val="18"/>
                <w:color w:val="auto"/>
              </w:rPr>
              <w:t>Net effect from recognition</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360" w:type="dxa"/>
            <w:vAlign w:val="bottom"/>
          </w:tcPr>
          <w:p>
            <w:pPr>
              <w:ind w:left="20"/>
              <w:spacing w:after="0" w:line="176" w:lineRule="exact"/>
              <w:rPr>
                <w:sz w:val="20"/>
                <w:szCs w:val="20"/>
                <w:color w:val="auto"/>
              </w:rPr>
            </w:pPr>
            <w:r>
              <w:rPr>
                <w:rFonts w:ascii="Arial" w:cs="Arial" w:eastAsia="Arial" w:hAnsi="Arial"/>
                <w:sz w:val="18"/>
                <w:szCs w:val="18"/>
                <w:color w:val="auto"/>
              </w:rPr>
              <w:t>(deferral) of deferred net</w:t>
            </w:r>
          </w:p>
        </w:tc>
        <w:tc>
          <w:tcPr>
            <w:tcW w:w="20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306</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824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(518)</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360" w:type="dxa"/>
            <w:vAlign w:val="bottom"/>
          </w:tcPr>
          <w:p>
            <w:pPr>
              <w:ind w:left="20"/>
              <w:spacing w:after="0"/>
              <w:rPr>
                <w:sz w:val="20"/>
                <w:szCs w:val="20"/>
                <w:color w:val="auto"/>
              </w:rPr>
            </w:pPr>
            <w:r>
              <w:rPr>
                <w:rFonts w:ascii="Arial" w:cs="Arial" w:eastAsia="Arial" w:hAnsi="Arial"/>
                <w:sz w:val="18"/>
                <w:szCs w:val="18"/>
                <w:color w:val="auto"/>
              </w:rPr>
              <w:t>revenues</w:t>
            </w:r>
          </w:p>
        </w:tc>
        <w:tc>
          <w:tcPr>
            <w:tcW w:w="20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3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360" w:type="dxa"/>
            <w:vAlign w:val="bottom"/>
          </w:tcPr>
          <w:p>
            <w:pPr>
              <w:ind w:left="20"/>
              <w:spacing w:after="0"/>
              <w:rPr>
                <w:sz w:val="20"/>
                <w:szCs w:val="20"/>
                <w:color w:val="auto"/>
              </w:rPr>
            </w:pPr>
            <w:r>
              <w:rPr>
                <w:rFonts w:ascii="Arial" w:cs="Arial" w:eastAsia="Arial" w:hAnsi="Arial"/>
                <w:sz w:val="18"/>
                <w:szCs w:val="18"/>
                <w:color w:val="auto"/>
              </w:rPr>
              <w:t>In-game net revenues (1)</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1,283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734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549</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75 %</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3,331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2,479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852</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bl>
    <w:p>
      <w:pPr>
        <w:spacing w:after="0" w:line="309" w:lineRule="exact"/>
        <w:rPr>
          <w:sz w:val="20"/>
          <w:szCs w:val="20"/>
          <w:color w:val="auto"/>
        </w:rPr>
      </w:pPr>
    </w:p>
    <w:p>
      <w:pPr>
        <w:ind w:left="400" w:hanging="392"/>
        <w:spacing w:after="0"/>
        <w:tabs>
          <w:tab w:leader="none" w:pos="4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In-game net revenues primarily includes the net amount of revenue recognized for downloadable content and microtransactions during the period.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Net Revenues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Q3 2020 vs. Q3 2019</w:t>
      </w:r>
    </w:p>
    <w:p>
      <w:pPr>
        <w:spacing w:after="0" w:line="252"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increase in consolidated net revenues for the three months ended September 30, 2020, as compared to the three months ended September 30, 2019, was primarily driven by an increase in revenues of $752 million due to higher revenues from:</w:t>
      </w:r>
    </w:p>
    <w:p>
      <w:pPr>
        <w:spacing w:after="0" w:line="197" w:lineRule="exact"/>
        <w:rPr>
          <w:sz w:val="20"/>
          <w:szCs w:val="20"/>
          <w:color w:val="auto"/>
        </w:rPr>
      </w:pPr>
    </w:p>
    <w:p>
      <w:pPr>
        <w:ind w:left="980" w:right="600" w:hanging="324"/>
        <w:spacing w:after="0" w:line="277" w:lineRule="auto"/>
        <w:tabs>
          <w:tab w:leader="none" w:pos="975"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Call of Duty: Modern Warfare</w:t>
      </w:r>
      <w:r>
        <w:rPr>
          <w:rFonts w:ascii="Arial" w:cs="Arial" w:eastAsia="Arial" w:hAnsi="Arial"/>
          <w:sz w:val="18"/>
          <w:szCs w:val="18"/>
          <w:color w:val="auto"/>
        </w:rPr>
        <w:t>, which was released in October 2019, as compared to</w:t>
      </w:r>
      <w:r>
        <w:rPr>
          <w:rFonts w:ascii="Arial" w:cs="Arial" w:eastAsia="Arial" w:hAnsi="Arial"/>
          <w:sz w:val="18"/>
          <w:szCs w:val="18"/>
          <w:i w:val="1"/>
          <w:iCs w:val="1"/>
          <w:color w:val="auto"/>
        </w:rPr>
        <w:t xml:space="preserve"> Call of Duty: Black Ops 4</w:t>
      </w:r>
      <w:r>
        <w:rPr>
          <w:rFonts w:ascii="Arial" w:cs="Arial" w:eastAsia="Arial" w:hAnsi="Arial"/>
          <w:sz w:val="18"/>
          <w:szCs w:val="18"/>
          <w:color w:val="auto"/>
        </w:rPr>
        <w:t>, which was released in</w:t>
      </w:r>
      <w:r>
        <w:rPr>
          <w:rFonts w:ascii="Arial" w:cs="Arial" w:eastAsia="Arial" w:hAnsi="Arial"/>
          <w:sz w:val="18"/>
          <w:szCs w:val="18"/>
          <w:i w:val="1"/>
          <w:iCs w:val="1"/>
          <w:color w:val="auto"/>
        </w:rPr>
        <w:t xml:space="preserve"> </w:t>
      </w:r>
      <w:r>
        <w:rPr>
          <w:rFonts w:ascii="Arial" w:cs="Arial" w:eastAsia="Arial" w:hAnsi="Arial"/>
          <w:sz w:val="18"/>
          <w:szCs w:val="18"/>
          <w:color w:val="auto"/>
        </w:rPr>
        <w:t>October 2018;</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Call of Duty: Mobile</w:t>
      </w:r>
      <w:r>
        <w:rPr>
          <w:rFonts w:ascii="Arial" w:cs="Arial" w:eastAsia="Arial" w:hAnsi="Arial"/>
          <w:sz w:val="18"/>
          <w:szCs w:val="18"/>
          <w:color w:val="auto"/>
        </w:rPr>
        <w:t>, which was released in October 2019;</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Tony Hawk’s Pro Skater 1 and 2</w:t>
      </w:r>
      <w:r>
        <w:rPr>
          <w:rFonts w:ascii="Arial" w:cs="Arial" w:eastAsia="Arial" w:hAnsi="Arial"/>
          <w:sz w:val="18"/>
          <w:szCs w:val="18"/>
          <w:color w:val="auto"/>
        </w:rPr>
        <w:t>, which was released in September 2020;</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i w:val="1"/>
          <w:iCs w:val="1"/>
          <w:color w:val="auto"/>
        </w:rPr>
      </w:pPr>
      <w:r>
        <w:rPr>
          <w:rFonts w:ascii="Arial" w:cs="Arial" w:eastAsia="Arial" w:hAnsi="Arial"/>
          <w:sz w:val="18"/>
          <w:szCs w:val="18"/>
          <w:i w:val="1"/>
          <w:iCs w:val="1"/>
          <w:color w:val="auto"/>
        </w:rPr>
        <w:t>World of Warcraft</w:t>
      </w:r>
      <w:r>
        <w:rPr>
          <w:rFonts w:ascii="Arial" w:cs="Arial" w:eastAsia="Arial" w:hAnsi="Arial"/>
          <w:sz w:val="18"/>
          <w:szCs w:val="18"/>
          <w:color w:val="auto"/>
        </w:rPr>
        <w:t>, primarily from higher revenues associated with in-game content and subscriptions; and</w:t>
      </w:r>
    </w:p>
    <w:p>
      <w:pPr>
        <w:spacing w:after="0" w:line="252" w:lineRule="exact"/>
        <w:rPr>
          <w:rFonts w:ascii="Arial" w:cs="Arial" w:eastAsia="Arial" w:hAnsi="Arial"/>
          <w:sz w:val="18"/>
          <w:szCs w:val="18"/>
          <w:i w:val="1"/>
          <w:iCs w:val="1"/>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Call of Duty franchise catalog titles.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increase was partially offset by a net decrease of $80 million, driven by various other franchises and titles.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YTD Q3 2020 vs. YTD Q3 2019</w:t>
      </w:r>
    </w:p>
    <w:p>
      <w:pPr>
        <w:spacing w:after="0" w:line="252"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increase in consolidated net revenues for the nine months ended September 30, 2020, as compared to the nine months ended September 30, 2019, was primarily driven by an increase in revenues of $1.23 billion due to higher revenues from:</w:t>
      </w:r>
    </w:p>
    <w:p>
      <w:pPr>
        <w:spacing w:after="0" w:line="197" w:lineRule="exact"/>
        <w:rPr>
          <w:sz w:val="20"/>
          <w:szCs w:val="20"/>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Call of Duty: Modern Warfare, </w:t>
      </w:r>
      <w:r>
        <w:rPr>
          <w:rFonts w:ascii="Arial" w:cs="Arial" w:eastAsia="Arial" w:hAnsi="Arial"/>
          <w:sz w:val="18"/>
          <w:szCs w:val="18"/>
          <w:color w:val="auto"/>
        </w:rPr>
        <w:t>as compared to</w:t>
      </w:r>
      <w:r>
        <w:rPr>
          <w:rFonts w:ascii="Arial" w:cs="Arial" w:eastAsia="Arial" w:hAnsi="Arial"/>
          <w:sz w:val="18"/>
          <w:szCs w:val="18"/>
          <w:i w:val="1"/>
          <w:iCs w:val="1"/>
          <w:color w:val="auto"/>
        </w:rPr>
        <w:t xml:space="preserve"> Call of Duty: Black Ops 4</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Call of Duty: Mobile</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World of Warcraft</w:t>
      </w:r>
      <w:r>
        <w:rPr>
          <w:rFonts w:ascii="Arial" w:cs="Arial" w:eastAsia="Arial" w:hAnsi="Arial"/>
          <w:sz w:val="18"/>
          <w:szCs w:val="18"/>
          <w:color w:val="auto"/>
        </w:rPr>
        <w:t>, primarily from higher subscription revenues; and</w:t>
      </w:r>
    </w:p>
    <w:p>
      <w:pPr>
        <w:spacing w:after="0" w:line="252" w:lineRule="exact"/>
        <w:rPr>
          <w:rFonts w:ascii="Arial" w:cs="Arial" w:eastAsia="Arial" w:hAnsi="Arial"/>
          <w:sz w:val="18"/>
          <w:szCs w:val="18"/>
          <w:i w:val="1"/>
          <w:iCs w:val="1"/>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Tony Hawk’s Pro Skater 1 and 2</w:t>
      </w:r>
      <w:r>
        <w:rPr>
          <w:rFonts w:ascii="Arial" w:cs="Arial" w:eastAsia="Arial" w:hAnsi="Arial"/>
          <w:sz w:val="18"/>
          <w:szCs w:val="18"/>
          <w:color w:val="auto"/>
        </w:rPr>
        <w:t>.</w:t>
      </w:r>
    </w:p>
    <w:p>
      <w:pPr>
        <w:spacing w:after="0" w:line="252"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 xml:space="preserve">This increase was partially offset by a decrease in revenues of $102 million due to lower revenues from </w:t>
      </w:r>
      <w:r>
        <w:rPr>
          <w:rFonts w:ascii="Arial" w:cs="Arial" w:eastAsia="Arial" w:hAnsi="Arial"/>
          <w:sz w:val="18"/>
          <w:szCs w:val="18"/>
          <w:i w:val="1"/>
          <w:iCs w:val="1"/>
          <w:color w:val="auto"/>
        </w:rPr>
        <w:t>Sekiro: Shadows Die Twice</w:t>
      </w:r>
      <w:r>
        <w:rPr>
          <w:rFonts w:ascii="Arial" w:cs="Arial" w:eastAsia="Arial" w:hAnsi="Arial"/>
          <w:sz w:val="18"/>
          <w:szCs w:val="18"/>
          <w:color w:val="auto"/>
        </w:rPr>
        <w:t>, which was released in March 2019.</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remaining net increase of $44 million was driven by various other franchises and titles.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Deferred Revenues Recognized</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Q3 2020 vs. Q3 2019</w:t>
      </w:r>
    </w:p>
    <w:p>
      <w:pPr>
        <w:spacing w:after="0" w:line="252" w:lineRule="exact"/>
        <w:rPr>
          <w:sz w:val="20"/>
          <w:szCs w:val="20"/>
          <w:color w:val="auto"/>
        </w:rPr>
      </w:pPr>
    </w:p>
    <w:p>
      <w:pPr>
        <w:ind w:right="200" w:firstLine="324"/>
        <w:spacing w:after="0" w:line="243" w:lineRule="auto"/>
        <w:rPr>
          <w:sz w:val="20"/>
          <w:szCs w:val="20"/>
          <w:color w:val="auto"/>
        </w:rPr>
      </w:pPr>
      <w:r>
        <w:rPr>
          <w:rFonts w:ascii="Arial" w:cs="Arial" w:eastAsia="Arial" w:hAnsi="Arial"/>
          <w:sz w:val="18"/>
          <w:szCs w:val="18"/>
          <w:color w:val="auto"/>
        </w:rPr>
        <w:t xml:space="preserve">The increase in net deferred revenues recognized for the three months ended September 30, 2020, as compared to the three months ended September 30, 2019, was driven by an increase of $128 million in net deferred revenues recognized from Activision, primarily due to higher net deferred revenues recognized from </w:t>
      </w:r>
      <w:r>
        <w:rPr>
          <w:rFonts w:ascii="Arial" w:cs="Arial" w:eastAsia="Arial" w:hAnsi="Arial"/>
          <w:sz w:val="18"/>
          <w:szCs w:val="18"/>
          <w:i w:val="1"/>
          <w:iCs w:val="1"/>
          <w:color w:val="auto"/>
        </w:rPr>
        <w:t>Call of Duty: Modern Warfare</w:t>
      </w:r>
      <w:r>
        <w:rPr>
          <w:rFonts w:ascii="Arial" w:cs="Arial" w:eastAsia="Arial" w:hAnsi="Arial"/>
          <w:sz w:val="18"/>
          <w:szCs w:val="18"/>
          <w:color w:val="auto"/>
        </w:rPr>
        <w:t xml:space="preserve">, which was released in October 2019, as compared to </w:t>
      </w:r>
      <w:r>
        <w:rPr>
          <w:rFonts w:ascii="Arial" w:cs="Arial" w:eastAsia="Arial" w:hAnsi="Arial"/>
          <w:sz w:val="18"/>
          <w:szCs w:val="18"/>
          <w:i w:val="1"/>
          <w:iCs w:val="1"/>
          <w:color w:val="auto"/>
        </w:rPr>
        <w:t>Call of Duty: Black Ops 4</w:t>
      </w:r>
      <w:r>
        <w:rPr>
          <w:rFonts w:ascii="Arial" w:cs="Arial" w:eastAsia="Arial" w:hAnsi="Arial"/>
          <w:sz w:val="18"/>
          <w:szCs w:val="18"/>
          <w:color w:val="auto"/>
        </w:rPr>
        <w:t>, which was released in October 2018.</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YTD Q3 2020 vs. YTD Q3 2019</w:t>
      </w:r>
    </w:p>
    <w:p>
      <w:pPr>
        <w:spacing w:after="0" w:line="252" w:lineRule="exact"/>
        <w:rPr>
          <w:sz w:val="20"/>
          <w:szCs w:val="20"/>
          <w:color w:val="auto"/>
        </w:rPr>
      </w:pPr>
    </w:p>
    <w:p>
      <w:pPr>
        <w:ind w:firstLine="324"/>
        <w:spacing w:after="0" w:line="229" w:lineRule="auto"/>
        <w:rPr>
          <w:sz w:val="20"/>
          <w:szCs w:val="20"/>
          <w:color w:val="auto"/>
        </w:rPr>
      </w:pPr>
      <w:r>
        <w:rPr>
          <w:rFonts w:ascii="Arial" w:cs="Arial" w:eastAsia="Arial" w:hAnsi="Arial"/>
          <w:sz w:val="18"/>
          <w:szCs w:val="18"/>
          <w:color w:val="auto"/>
        </w:rPr>
        <w:t xml:space="preserve">The decrease in net deferred revenues recognized for the nine months ended September 30, 2020, as compared to the nine months ended September 30, 2019, was driven by (1) a decrease of $339 million in net deferred revenues recognized from Activision, primarily due to lower net deferred revenues recognized from </w:t>
      </w:r>
      <w:r>
        <w:rPr>
          <w:rFonts w:ascii="Arial" w:cs="Arial" w:eastAsia="Arial" w:hAnsi="Arial"/>
          <w:sz w:val="18"/>
          <w:szCs w:val="18"/>
          <w:i w:val="1"/>
          <w:iCs w:val="1"/>
          <w:color w:val="auto"/>
        </w:rPr>
        <w:t>Call of Duty: Modern Warfare</w:t>
      </w:r>
      <w:r>
        <w:rPr>
          <w:rFonts w:ascii="Arial" w:cs="Arial" w:eastAsia="Arial" w:hAnsi="Arial"/>
          <w:sz w:val="18"/>
          <w:szCs w:val="18"/>
          <w:color w:val="auto"/>
        </w:rPr>
        <w:t xml:space="preserve">, as compared to </w:t>
      </w:r>
      <w:r>
        <w:rPr>
          <w:rFonts w:ascii="Arial" w:cs="Arial" w:eastAsia="Arial" w:hAnsi="Arial"/>
          <w:sz w:val="18"/>
          <w:szCs w:val="18"/>
          <w:i w:val="1"/>
          <w:iCs w:val="1"/>
          <w:color w:val="auto"/>
        </w:rPr>
        <w:t>Call of Duty: Black Ops 4,</w:t>
      </w:r>
      <w:r>
        <w:rPr>
          <w:rFonts w:ascii="Arial" w:cs="Arial" w:eastAsia="Arial" w:hAnsi="Arial"/>
          <w:sz w:val="18"/>
          <w:szCs w:val="18"/>
          <w:color w:val="auto"/>
        </w:rPr>
        <w:t xml:space="preserve"> and (2) a decrease of $180 million in net deferred revenues recognized from Blizzard, primarily due to lower net deferred revenues recognized from </w:t>
      </w:r>
      <w:r>
        <w:rPr>
          <w:rFonts w:ascii="Arial" w:cs="Arial" w:eastAsia="Arial" w:hAnsi="Arial"/>
          <w:sz w:val="18"/>
          <w:szCs w:val="18"/>
          <w:i w:val="1"/>
          <w:iCs w:val="1"/>
          <w:color w:val="auto"/>
        </w:rPr>
        <w:t>World of Warcraft</w:t>
      </w:r>
      <w:r>
        <w:rPr>
          <w:rFonts w:ascii="Arial" w:cs="Arial" w:eastAsia="Arial" w:hAnsi="Arial"/>
          <w:sz w:val="18"/>
          <w:szCs w:val="18"/>
          <w:color w:val="auto"/>
        </w:rPr>
        <w:t xml:space="preserve">, as the prior year included the recognition of deferred revenues from the August 2018 release of </w:t>
      </w:r>
      <w:r>
        <w:rPr>
          <w:rFonts w:ascii="Arial" w:cs="Arial" w:eastAsia="Arial" w:hAnsi="Arial"/>
          <w:sz w:val="18"/>
          <w:szCs w:val="18"/>
          <w:i w:val="1"/>
          <w:iCs w:val="1"/>
          <w:color w:val="auto"/>
        </w:rPr>
        <w:t>World of Warcraft: Battle for Azeroth</w:t>
      </w:r>
      <w:r>
        <w:rPr>
          <w:rFonts w:ascii="Arial" w:cs="Arial" w:eastAsia="Arial" w:hAnsi="Arial"/>
          <w:sz w:val="23"/>
          <w:szCs w:val="23"/>
          <w:color w:val="auto"/>
          <w:vertAlign w:val="superscript"/>
        </w:rPr>
        <w:t>®</w:t>
      </w:r>
      <w:r>
        <w:rPr>
          <w:rFonts w:ascii="Arial" w:cs="Arial" w:eastAsia="Arial" w:hAnsi="Arial"/>
          <w:sz w:val="18"/>
          <w:szCs w:val="18"/>
          <w:color w:val="auto"/>
        </w:rPr>
        <w:t>, with no comparable recognition of deferred revenues in the current period given the lack of a comparable release in 2019.</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In-game Net Revenues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Q3 2020 vs. Q3 2019</w:t>
      </w:r>
    </w:p>
    <w:p>
      <w:pPr>
        <w:spacing w:after="0" w:line="25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increase in in-game net revenues for the three months ended September 30, 2020, as compared to the three months ended September 30, 2019, was primarily driven by an increase in in-game net revenues of $528 million due to higher in-game revenues from:</w:t>
      </w:r>
    </w:p>
    <w:p>
      <w:pPr>
        <w:spacing w:after="0" w:line="197" w:lineRule="exact"/>
        <w:rPr>
          <w:sz w:val="20"/>
          <w:szCs w:val="20"/>
          <w:color w:val="auto"/>
        </w:rPr>
      </w:pPr>
    </w:p>
    <w:p>
      <w:pPr>
        <w:ind w:left="980" w:right="600" w:hanging="324"/>
        <w:spacing w:after="0" w:line="277" w:lineRule="auto"/>
        <w:tabs>
          <w:tab w:leader="none" w:pos="975"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Call of Duty: Modern Warfare</w:t>
      </w:r>
      <w:r>
        <w:rPr>
          <w:rFonts w:ascii="Arial" w:cs="Arial" w:eastAsia="Arial" w:hAnsi="Arial"/>
          <w:sz w:val="18"/>
          <w:szCs w:val="18"/>
          <w:color w:val="auto"/>
        </w:rPr>
        <w:t>, which was released in October 2019, as compared to</w:t>
      </w:r>
      <w:r>
        <w:rPr>
          <w:rFonts w:ascii="Arial" w:cs="Arial" w:eastAsia="Arial" w:hAnsi="Arial"/>
          <w:sz w:val="18"/>
          <w:szCs w:val="18"/>
          <w:i w:val="1"/>
          <w:iCs w:val="1"/>
          <w:color w:val="auto"/>
        </w:rPr>
        <w:t xml:space="preserve"> Call of Duty: Black Ops 4</w:t>
      </w:r>
      <w:r>
        <w:rPr>
          <w:rFonts w:ascii="Arial" w:cs="Arial" w:eastAsia="Arial" w:hAnsi="Arial"/>
          <w:sz w:val="18"/>
          <w:szCs w:val="18"/>
          <w:color w:val="auto"/>
        </w:rPr>
        <w:t>, which was released in</w:t>
      </w:r>
      <w:r>
        <w:rPr>
          <w:rFonts w:ascii="Arial" w:cs="Arial" w:eastAsia="Arial" w:hAnsi="Arial"/>
          <w:sz w:val="18"/>
          <w:szCs w:val="18"/>
          <w:i w:val="1"/>
          <w:iCs w:val="1"/>
          <w:color w:val="auto"/>
        </w:rPr>
        <w:t xml:space="preserve"> </w:t>
      </w:r>
      <w:r>
        <w:rPr>
          <w:rFonts w:ascii="Arial" w:cs="Arial" w:eastAsia="Arial" w:hAnsi="Arial"/>
          <w:sz w:val="18"/>
          <w:szCs w:val="18"/>
          <w:color w:val="auto"/>
        </w:rPr>
        <w:t>October 2018;</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Call of Duty: Mobile</w:t>
      </w:r>
      <w:r>
        <w:rPr>
          <w:rFonts w:ascii="Arial" w:cs="Arial" w:eastAsia="Arial" w:hAnsi="Arial"/>
          <w:sz w:val="18"/>
          <w:szCs w:val="18"/>
          <w:color w:val="auto"/>
        </w:rPr>
        <w:t>, which was released in October 2019;</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World of Warcraft; </w:t>
      </w:r>
      <w:r>
        <w:rPr>
          <w:rFonts w:ascii="Arial" w:cs="Arial" w:eastAsia="Arial" w:hAnsi="Arial"/>
          <w:sz w:val="18"/>
          <w:szCs w:val="18"/>
          <w:color w:val="auto"/>
        </w:rPr>
        <w:t>and</w:t>
      </w:r>
    </w:p>
    <w:p>
      <w:pPr>
        <w:spacing w:after="0" w:line="252" w:lineRule="exact"/>
        <w:rPr>
          <w:rFonts w:ascii="Arial" w:cs="Arial" w:eastAsia="Arial" w:hAnsi="Arial"/>
          <w:sz w:val="18"/>
          <w:szCs w:val="18"/>
          <w:i w:val="1"/>
          <w:iCs w:val="1"/>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Call of Duty franchise catalog titles.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remaining net increase of $21 million was driven by various other franchises and titles.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YTD Q3 2020 vs. YTD Q3 2019</w:t>
      </w:r>
    </w:p>
    <w:p>
      <w:pPr>
        <w:spacing w:after="0" w:line="252"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increase in in-game net revenues for the nine months ended September 30, 2020, as compared to the nine months ended September 30, 2019, was primarily driven by an increase in in-game net revenues of $843 million due to higher in-game revenues from:</w:t>
      </w:r>
    </w:p>
    <w:p>
      <w:pPr>
        <w:spacing w:after="0" w:line="197" w:lineRule="exact"/>
        <w:rPr>
          <w:sz w:val="20"/>
          <w:szCs w:val="20"/>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Call of Duty: Modern Warfare</w:t>
      </w:r>
      <w:r>
        <w:rPr>
          <w:rFonts w:ascii="Arial" w:cs="Arial" w:eastAsia="Arial" w:hAnsi="Arial"/>
          <w:sz w:val="18"/>
          <w:szCs w:val="18"/>
          <w:color w:val="auto"/>
        </w:rPr>
        <w:t>, as compared to</w:t>
      </w:r>
      <w:r>
        <w:rPr>
          <w:rFonts w:ascii="Arial" w:cs="Arial" w:eastAsia="Arial" w:hAnsi="Arial"/>
          <w:sz w:val="18"/>
          <w:szCs w:val="18"/>
          <w:i w:val="1"/>
          <w:iCs w:val="1"/>
          <w:color w:val="auto"/>
        </w:rPr>
        <w:t xml:space="preserve"> Call of Duty: Black Ops 4</w:t>
      </w:r>
      <w:r>
        <w:rPr>
          <w:rFonts w:ascii="Arial" w:cs="Arial" w:eastAsia="Arial" w:hAnsi="Arial"/>
          <w:sz w:val="18"/>
          <w:szCs w:val="18"/>
          <w:color w:val="auto"/>
        </w:rPr>
        <w:t>;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Call of Duty: Mobile</w:t>
      </w:r>
      <w:r>
        <w:rPr>
          <w:rFonts w:ascii="Arial" w:cs="Arial" w:eastAsia="Arial" w:hAnsi="Arial"/>
          <w:sz w:val="18"/>
          <w:szCs w:val="18"/>
          <w:color w:val="auto"/>
        </w:rPr>
        <w:t>.</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remaining net increase of $9 million was driven by various other franchises and titles.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Impact</w:t>
      </w:r>
    </w:p>
    <w:p>
      <w:pPr>
        <w:spacing w:after="0" w:line="252" w:lineRule="exact"/>
        <w:rPr>
          <w:sz w:val="20"/>
          <w:szCs w:val="20"/>
          <w:color w:val="auto"/>
        </w:rPr>
      </w:pPr>
    </w:p>
    <w:p>
      <w:pPr>
        <w:jc w:val="both"/>
        <w:ind w:right="40" w:firstLine="324"/>
        <w:spacing w:after="0" w:line="263" w:lineRule="auto"/>
        <w:rPr>
          <w:sz w:val="20"/>
          <w:szCs w:val="20"/>
          <w:color w:val="auto"/>
        </w:rPr>
      </w:pPr>
      <w:r>
        <w:rPr>
          <w:rFonts w:ascii="Arial" w:cs="Arial" w:eastAsia="Arial" w:hAnsi="Arial"/>
          <w:sz w:val="18"/>
          <w:szCs w:val="18"/>
          <w:color w:val="auto"/>
        </w:rPr>
        <w:t>Changes in foreign exchange rates had a positive impact of $37 million and $9 million on our consolidated net revenues for the three and nine months ended September 30, 2020, respectively, as compared to the same periods in the previous year. The changes are primarily due to changes in the value of the U.S. dollar relative to the euro and the British pound.</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Segment Results</w:t>
      </w:r>
    </w:p>
    <w:p>
      <w:pPr>
        <w:spacing w:after="0" w:line="229"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We have three reportable segments—Activision, Blizzard, and King. Our operating segments are consistent with the manner in which our operations are reviewed and managed by our Chief Executive Officer, who is our chief operating decision maker (“CODM”). The CODM reviews segment performance exclusive of: the impact of the change in deferred revenues and related cost of revenues with respect to certain of our online-enabled games; share-based compensation expense; amortization of intangible assets as a result of purchase price accounting; fees and other expenses (including legal fees, expenses, and accruals) related to acquisitions, associated integration activities, and financings; certain restructuring and related costs; and certain other non-cash charges. The CODM does not review any information regarding total assets on an operating segment basis, and accordingly, no disclosure is made with respect thereto.</w:t>
      </w:r>
    </w:p>
    <w:p>
      <w:pPr>
        <w:spacing w:after="0" w:line="222"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Our operating segments are also consistent with our internal organizational structure, the way we assess operating performance and allocate resources, and the availability of separate financial information. We do not aggregate operating segments.</w:t>
      </w:r>
    </w:p>
    <w:p>
      <w:pPr>
        <w:spacing w:after="0" w:line="197" w:lineRule="exact"/>
        <w:rPr>
          <w:sz w:val="20"/>
          <w:szCs w:val="20"/>
          <w:color w:val="auto"/>
        </w:rPr>
      </w:pPr>
    </w:p>
    <w:p>
      <w:pPr>
        <w:ind w:right="720" w:firstLine="324"/>
        <w:spacing w:after="0" w:line="277" w:lineRule="auto"/>
        <w:rPr>
          <w:sz w:val="20"/>
          <w:szCs w:val="20"/>
          <w:color w:val="auto"/>
        </w:rPr>
      </w:pPr>
      <w:r>
        <w:rPr>
          <w:rFonts w:ascii="Arial" w:cs="Arial" w:eastAsia="Arial" w:hAnsi="Arial"/>
          <w:sz w:val="18"/>
          <w:szCs w:val="18"/>
          <w:color w:val="auto"/>
        </w:rPr>
        <w:t>Information on reportable segment net revenues and operating income for the three and nine months ended September 30, 2020 and 2019, are presented below (amounts in millions):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60" w:type="dxa"/>
            <w:vAlign w:val="bottom"/>
            <w:gridSpan w:val="11"/>
          </w:tcPr>
          <w:p>
            <w:pPr>
              <w:ind w:left="480"/>
              <w:spacing w:after="0"/>
              <w:rPr>
                <w:sz w:val="20"/>
                <w:szCs w:val="20"/>
                <w:color w:val="auto"/>
              </w:rPr>
            </w:pPr>
            <w:r>
              <w:rPr>
                <w:rFonts w:ascii="Arial" w:cs="Arial" w:eastAsia="Arial" w:hAnsi="Arial"/>
                <w:sz w:val="16"/>
                <w:szCs w:val="16"/>
                <w:b w:val="1"/>
                <w:bCs w:val="1"/>
                <w:color w:val="auto"/>
              </w:rPr>
              <w:t>Three Months Ended September 30, 2020</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3"/>
          </w:tcPr>
          <w:p>
            <w:pPr>
              <w:ind w:left="60"/>
              <w:spacing w:after="0"/>
              <w:rPr>
                <w:sz w:val="20"/>
                <w:szCs w:val="20"/>
                <w:color w:val="auto"/>
              </w:rPr>
            </w:pPr>
            <w:r>
              <w:rPr>
                <w:rFonts w:ascii="Arial" w:cs="Arial" w:eastAsia="Arial" w:hAnsi="Arial"/>
                <w:sz w:val="16"/>
                <w:szCs w:val="16"/>
                <w:b w:val="1"/>
                <w:bCs w:val="1"/>
                <w:color w:val="auto"/>
                <w:w w:val="87"/>
              </w:rPr>
              <w:t>$ Increase / (Decrease)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0"/>
        </w:trPr>
        <w:tc>
          <w:tcPr>
            <w:tcW w:w="29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Activision</w:t>
            </w: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Blizzard</w:t>
            </w: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King</w:t>
            </w: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Total</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Activision</w:t>
            </w: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Blizzard</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King</w:t>
            </w:r>
          </w:p>
        </w:tc>
        <w:tc>
          <w:tcPr>
            <w:tcW w:w="2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Total</w:t>
            </w:r>
          </w:p>
        </w:tc>
      </w:tr>
      <w:tr>
        <w:trPr>
          <w:trHeight w:val="199"/>
        </w:trPr>
        <w:tc>
          <w:tcPr>
            <w:tcW w:w="2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Segment Net Revenues</w:t>
            </w: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r>
      <w:tr>
        <w:trPr>
          <w:trHeight w:val="213"/>
        </w:trPr>
        <w:tc>
          <w:tcPr>
            <w:tcW w:w="2960" w:type="dxa"/>
            <w:vAlign w:val="bottom"/>
          </w:tcPr>
          <w:p>
            <w:pPr>
              <w:ind w:left="140"/>
              <w:spacing w:after="0"/>
              <w:rPr>
                <w:sz w:val="20"/>
                <w:szCs w:val="20"/>
                <w:color w:val="auto"/>
              </w:rPr>
            </w:pPr>
            <w:r>
              <w:rPr>
                <w:rFonts w:ascii="Arial" w:cs="Arial" w:eastAsia="Arial" w:hAnsi="Arial"/>
                <w:sz w:val="16"/>
                <w:szCs w:val="16"/>
                <w:color w:val="auto"/>
              </w:rPr>
              <w:t>Net revenues from external customers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773</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393</w:t>
            </w:r>
          </w:p>
        </w:tc>
        <w:tc>
          <w:tcPr>
            <w:tcW w:w="120" w:type="dxa"/>
            <w:vAlign w:val="bottom"/>
          </w:tcPr>
          <w:p>
            <w:pPr>
              <w:spacing w:after="0"/>
              <w:rPr>
                <w:sz w:val="18"/>
                <w:szCs w:val="18"/>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536</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1,702</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564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700" w:type="dxa"/>
            <w:vAlign w:val="bottom"/>
          </w:tcPr>
          <w:p>
            <w:pPr>
              <w:jc w:val="right"/>
              <w:ind w:right="519"/>
              <w:spacing w:after="0"/>
              <w:rPr>
                <w:sz w:val="20"/>
                <w:szCs w:val="20"/>
                <w:color w:val="auto"/>
              </w:rPr>
            </w:pPr>
            <w:r>
              <w:rPr>
                <w:rFonts w:ascii="Arial" w:cs="Arial" w:eastAsia="Arial" w:hAnsi="Arial"/>
                <w:sz w:val="16"/>
                <w:szCs w:val="16"/>
                <w:color w:val="auto"/>
                <w:w w:val="89"/>
              </w:rPr>
              <w:t>$</w:t>
            </w:r>
          </w:p>
        </w:tc>
        <w:tc>
          <w:tcPr>
            <w:tcW w:w="240" w:type="dxa"/>
            <w:vAlign w:val="bottom"/>
          </w:tcPr>
          <w:p>
            <w:pPr>
              <w:jc w:val="right"/>
              <w:spacing w:after="0"/>
              <w:rPr>
                <w:sz w:val="20"/>
                <w:szCs w:val="20"/>
                <w:color w:val="auto"/>
              </w:rPr>
            </w:pPr>
            <w:r>
              <w:rPr>
                <w:rFonts w:ascii="Arial" w:cs="Arial" w:eastAsia="Arial" w:hAnsi="Arial"/>
                <w:sz w:val="16"/>
                <w:szCs w:val="16"/>
                <w:color w:val="auto"/>
                <w:w w:val="89"/>
              </w:rPr>
              <w:t>36</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601</w:t>
            </w:r>
          </w:p>
        </w:tc>
      </w:tr>
      <w:tr>
        <w:trPr>
          <w:trHeight w:val="216"/>
        </w:trPr>
        <w:tc>
          <w:tcPr>
            <w:tcW w:w="29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Intersegment net revenues (1)</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99"/>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13"/>
        </w:trPr>
        <w:tc>
          <w:tcPr>
            <w:tcW w:w="2960" w:type="dxa"/>
            <w:vAlign w:val="bottom"/>
          </w:tcPr>
          <w:p>
            <w:pPr>
              <w:ind w:left="120"/>
              <w:spacing w:after="0"/>
              <w:rPr>
                <w:sz w:val="20"/>
                <w:szCs w:val="20"/>
                <w:color w:val="auto"/>
              </w:rPr>
            </w:pPr>
            <w:r>
              <w:rPr>
                <w:rFonts w:ascii="Arial" w:cs="Arial" w:eastAsia="Arial" w:hAnsi="Arial"/>
                <w:sz w:val="16"/>
                <w:szCs w:val="16"/>
                <w:color w:val="auto"/>
              </w:rPr>
              <w:t>Segment net revenues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773</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411</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536</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1,720</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564</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6"/>
                <w:szCs w:val="16"/>
                <w:color w:val="auto"/>
                <w:w w:val="89"/>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36</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617</w:t>
            </w:r>
          </w:p>
        </w:tc>
      </w:tr>
      <w:tr>
        <w:trPr>
          <w:trHeight w:val="20"/>
        </w:trPr>
        <w:tc>
          <w:tcPr>
            <w:tcW w:w="29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29"/>
        </w:trPr>
        <w:tc>
          <w:tcPr>
            <w:tcW w:w="2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r>
      <w:tr>
        <w:trPr>
          <w:trHeight w:val="213"/>
        </w:trPr>
        <w:tc>
          <w:tcPr>
            <w:tcW w:w="2960" w:type="dxa"/>
            <w:vAlign w:val="bottom"/>
          </w:tcPr>
          <w:p>
            <w:pPr>
              <w:ind w:left="20"/>
              <w:spacing w:after="0"/>
              <w:rPr>
                <w:sz w:val="20"/>
                <w:szCs w:val="20"/>
                <w:color w:val="auto"/>
              </w:rPr>
            </w:pPr>
            <w:r>
              <w:rPr>
                <w:rFonts w:ascii="Arial" w:cs="Arial" w:eastAsia="Arial" w:hAnsi="Arial"/>
                <w:sz w:val="16"/>
                <w:szCs w:val="16"/>
                <w:b w:val="1"/>
                <w:bCs w:val="1"/>
                <w:color w:val="auto"/>
              </w:rPr>
              <w:t>Segment operating income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345</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133</w:t>
            </w:r>
          </w:p>
        </w:tc>
        <w:tc>
          <w:tcPr>
            <w:tcW w:w="120" w:type="dxa"/>
            <w:vAlign w:val="bottom"/>
          </w:tcPr>
          <w:p>
            <w:pPr>
              <w:spacing w:after="0"/>
              <w:rPr>
                <w:sz w:val="18"/>
                <w:szCs w:val="18"/>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248</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726</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319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18"/>
                <w:szCs w:val="18"/>
                <w:color w:val="auto"/>
              </w:rPr>
            </w:pPr>
          </w:p>
        </w:tc>
        <w:tc>
          <w:tcPr>
            <w:tcW w:w="700" w:type="dxa"/>
            <w:vAlign w:val="bottom"/>
          </w:tcPr>
          <w:p>
            <w:pPr>
              <w:jc w:val="right"/>
              <w:ind w:right="519"/>
              <w:spacing w:after="0"/>
              <w:rPr>
                <w:sz w:val="20"/>
                <w:szCs w:val="20"/>
                <w:color w:val="auto"/>
              </w:rPr>
            </w:pPr>
            <w:r>
              <w:rPr>
                <w:rFonts w:ascii="Arial" w:cs="Arial" w:eastAsia="Arial" w:hAnsi="Arial"/>
                <w:sz w:val="16"/>
                <w:szCs w:val="16"/>
                <w:color w:val="auto"/>
                <w:w w:val="89"/>
              </w:rPr>
              <w:t>$</w:t>
            </w:r>
          </w:p>
        </w:tc>
        <w:tc>
          <w:tcPr>
            <w:tcW w:w="240" w:type="dxa"/>
            <w:vAlign w:val="bottom"/>
          </w:tcPr>
          <w:p>
            <w:pPr>
              <w:jc w:val="right"/>
              <w:spacing w:after="0"/>
              <w:rPr>
                <w:sz w:val="20"/>
                <w:szCs w:val="20"/>
                <w:color w:val="auto"/>
              </w:rPr>
            </w:pPr>
            <w:r>
              <w:rPr>
                <w:rFonts w:ascii="Arial" w:cs="Arial" w:eastAsia="Arial" w:hAnsi="Arial"/>
                <w:sz w:val="16"/>
                <w:szCs w:val="16"/>
                <w:color w:val="auto"/>
                <w:w w:val="89"/>
              </w:rPr>
              <w:t>54</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432</w:t>
            </w:r>
          </w:p>
        </w:tc>
      </w:tr>
      <w:tr>
        <w:trPr>
          <w:trHeight w:val="165"/>
        </w:trPr>
        <w:tc>
          <w:tcPr>
            <w:tcW w:w="2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160" w:type="dxa"/>
            <w:vAlign w:val="bottom"/>
            <w:gridSpan w:val="11"/>
          </w:tcPr>
          <w:p>
            <w:pPr>
              <w:ind w:left="480"/>
              <w:spacing w:after="0"/>
              <w:rPr>
                <w:sz w:val="20"/>
                <w:szCs w:val="20"/>
                <w:color w:val="auto"/>
              </w:rPr>
            </w:pPr>
            <w:r>
              <w:rPr>
                <w:rFonts w:ascii="Arial" w:cs="Arial" w:eastAsia="Arial" w:hAnsi="Arial"/>
                <w:sz w:val="16"/>
                <w:szCs w:val="16"/>
                <w:b w:val="1"/>
                <w:bCs w:val="1"/>
                <w:color w:val="auto"/>
              </w:rPr>
              <w:t>Three Months Ended September 30, 2019</w:t>
            </w:r>
          </w:p>
        </w:tc>
      </w:tr>
      <w:tr>
        <w:trPr>
          <w:trHeight w:val="210"/>
        </w:trPr>
        <w:tc>
          <w:tcPr>
            <w:tcW w:w="29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Activision</w:t>
            </w: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Blizzard</w:t>
            </w: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King</w:t>
            </w: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Total</w:t>
            </w:r>
          </w:p>
        </w:tc>
        <w:tc>
          <w:tcPr>
            <w:tcW w:w="4220" w:type="dxa"/>
            <w:vAlign w:val="bottom"/>
          </w:tcPr>
          <w:p>
            <w:pPr>
              <w:spacing w:after="0"/>
              <w:rPr>
                <w:sz w:val="18"/>
                <w:szCs w:val="18"/>
                <w:color w:val="auto"/>
              </w:rPr>
            </w:pPr>
          </w:p>
        </w:tc>
      </w:tr>
      <w:tr>
        <w:trPr>
          <w:trHeight w:val="199"/>
        </w:trPr>
        <w:tc>
          <w:tcPr>
            <w:tcW w:w="2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Segment Net Revenues</w:t>
            </w: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220" w:type="dxa"/>
            <w:vAlign w:val="bottom"/>
            <w:tcBorders>
              <w:top w:val="single" w:sz="8" w:color="CCEEFF"/>
            </w:tcBorders>
            <w:shd w:val="clear" w:color="auto" w:fill="CCEEFF"/>
          </w:tcPr>
          <w:p>
            <w:pPr>
              <w:spacing w:after="0"/>
              <w:rPr>
                <w:sz w:val="17"/>
                <w:szCs w:val="17"/>
                <w:color w:val="auto"/>
              </w:rPr>
            </w:pPr>
          </w:p>
        </w:tc>
      </w:tr>
      <w:tr>
        <w:trPr>
          <w:trHeight w:val="213"/>
        </w:trPr>
        <w:tc>
          <w:tcPr>
            <w:tcW w:w="2960" w:type="dxa"/>
            <w:vAlign w:val="bottom"/>
          </w:tcPr>
          <w:p>
            <w:pPr>
              <w:ind w:left="140"/>
              <w:spacing w:after="0"/>
              <w:rPr>
                <w:sz w:val="20"/>
                <w:szCs w:val="20"/>
                <w:color w:val="auto"/>
              </w:rPr>
            </w:pPr>
            <w:r>
              <w:rPr>
                <w:rFonts w:ascii="Arial" w:cs="Arial" w:eastAsia="Arial" w:hAnsi="Arial"/>
                <w:sz w:val="16"/>
                <w:szCs w:val="16"/>
                <w:color w:val="auto"/>
              </w:rPr>
              <w:t>Net revenues from external customers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209</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392</w:t>
            </w:r>
          </w:p>
        </w:tc>
        <w:tc>
          <w:tcPr>
            <w:tcW w:w="120" w:type="dxa"/>
            <w:vAlign w:val="bottom"/>
          </w:tcPr>
          <w:p>
            <w:pPr>
              <w:spacing w:after="0"/>
              <w:rPr>
                <w:sz w:val="18"/>
                <w:szCs w:val="18"/>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500</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1,101</w:t>
            </w:r>
          </w:p>
        </w:tc>
        <w:tc>
          <w:tcPr>
            <w:tcW w:w="4220" w:type="dxa"/>
            <w:vAlign w:val="bottom"/>
          </w:tcPr>
          <w:p>
            <w:pPr>
              <w:spacing w:after="0"/>
              <w:rPr>
                <w:sz w:val="18"/>
                <w:szCs w:val="18"/>
                <w:color w:val="auto"/>
              </w:rPr>
            </w:pPr>
          </w:p>
        </w:tc>
      </w:tr>
      <w:tr>
        <w:trPr>
          <w:trHeight w:val="216"/>
        </w:trPr>
        <w:tc>
          <w:tcPr>
            <w:tcW w:w="29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Intersegment net revenues (1)</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4220" w:type="dxa"/>
            <w:vAlign w:val="bottom"/>
            <w:shd w:val="clear" w:color="auto" w:fill="CCEEFF"/>
          </w:tcPr>
          <w:p>
            <w:pPr>
              <w:spacing w:after="0"/>
              <w:rPr>
                <w:sz w:val="18"/>
                <w:szCs w:val="18"/>
                <w:color w:val="auto"/>
              </w:rPr>
            </w:pPr>
          </w:p>
        </w:tc>
      </w:tr>
      <w:tr>
        <w:trPr>
          <w:trHeight w:val="213"/>
        </w:trPr>
        <w:tc>
          <w:tcPr>
            <w:tcW w:w="2960" w:type="dxa"/>
            <w:vAlign w:val="bottom"/>
          </w:tcPr>
          <w:p>
            <w:pPr>
              <w:ind w:left="120"/>
              <w:spacing w:after="0"/>
              <w:rPr>
                <w:sz w:val="20"/>
                <w:szCs w:val="20"/>
                <w:color w:val="auto"/>
              </w:rPr>
            </w:pPr>
            <w:r>
              <w:rPr>
                <w:rFonts w:ascii="Arial" w:cs="Arial" w:eastAsia="Arial" w:hAnsi="Arial"/>
                <w:sz w:val="16"/>
                <w:szCs w:val="16"/>
                <w:color w:val="auto"/>
              </w:rPr>
              <w:t>Segment net revenues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209</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394</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500</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1,103</w:t>
            </w:r>
          </w:p>
        </w:tc>
        <w:tc>
          <w:tcPr>
            <w:tcW w:w="4220" w:type="dxa"/>
            <w:vAlign w:val="bottom"/>
          </w:tcPr>
          <w:p>
            <w:pPr>
              <w:spacing w:after="0"/>
              <w:rPr>
                <w:sz w:val="18"/>
                <w:szCs w:val="18"/>
                <w:color w:val="auto"/>
              </w:rPr>
            </w:pPr>
          </w:p>
        </w:tc>
      </w:tr>
      <w:tr>
        <w:trPr>
          <w:trHeight w:val="20"/>
        </w:trPr>
        <w:tc>
          <w:tcPr>
            <w:tcW w:w="29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20" w:type="dxa"/>
            <w:vAlign w:val="bottom"/>
            <w:tcBorders>
              <w:bottom w:val="single" w:sz="8" w:color="CCEEFF"/>
            </w:tcBorders>
          </w:tcPr>
          <w:p>
            <w:pPr>
              <w:spacing w:after="0" w:line="20" w:lineRule="exact"/>
              <w:rPr>
                <w:sz w:val="1"/>
                <w:szCs w:val="1"/>
                <w:color w:val="auto"/>
              </w:rPr>
            </w:pPr>
          </w:p>
        </w:tc>
      </w:tr>
      <w:tr>
        <w:trPr>
          <w:trHeight w:val="129"/>
        </w:trPr>
        <w:tc>
          <w:tcPr>
            <w:tcW w:w="2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220" w:type="dxa"/>
            <w:vAlign w:val="bottom"/>
            <w:shd w:val="clear" w:color="auto" w:fill="CCEEFF"/>
          </w:tcPr>
          <w:p>
            <w:pPr>
              <w:spacing w:after="0"/>
              <w:rPr>
                <w:sz w:val="11"/>
                <w:szCs w:val="11"/>
                <w:color w:val="auto"/>
              </w:rPr>
            </w:pPr>
          </w:p>
        </w:tc>
      </w:tr>
      <w:tr>
        <w:trPr>
          <w:trHeight w:val="210"/>
        </w:trPr>
        <w:tc>
          <w:tcPr>
            <w:tcW w:w="2960" w:type="dxa"/>
            <w:vAlign w:val="bottom"/>
          </w:tcPr>
          <w:p>
            <w:pPr>
              <w:ind w:left="20"/>
              <w:spacing w:after="0"/>
              <w:rPr>
                <w:sz w:val="20"/>
                <w:szCs w:val="20"/>
                <w:color w:val="auto"/>
              </w:rPr>
            </w:pPr>
            <w:r>
              <w:rPr>
                <w:rFonts w:ascii="Arial" w:cs="Arial" w:eastAsia="Arial" w:hAnsi="Arial"/>
                <w:sz w:val="16"/>
                <w:szCs w:val="16"/>
                <w:b w:val="1"/>
                <w:bCs w:val="1"/>
                <w:color w:val="auto"/>
              </w:rPr>
              <w:t>Segment operating income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18"/>
                <w:szCs w:val="18"/>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194</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294</w:t>
            </w:r>
          </w:p>
        </w:tc>
        <w:tc>
          <w:tcPr>
            <w:tcW w:w="422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9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320" w:type="dxa"/>
            <w:vAlign w:val="bottom"/>
            <w:tcBorders>
              <w:bottom w:val="single" w:sz="8" w:color="auto"/>
            </w:tcBorders>
            <w:gridSpan w:val="9"/>
          </w:tcPr>
          <w:p>
            <w:pPr>
              <w:jc w:val="right"/>
              <w:spacing w:after="0"/>
              <w:rPr>
                <w:sz w:val="20"/>
                <w:szCs w:val="20"/>
                <w:color w:val="auto"/>
              </w:rPr>
            </w:pPr>
            <w:r>
              <w:rPr>
                <w:rFonts w:ascii="Arial" w:cs="Arial" w:eastAsia="Arial" w:hAnsi="Arial"/>
                <w:sz w:val="16"/>
                <w:szCs w:val="16"/>
                <w:b w:val="1"/>
                <w:bCs w:val="1"/>
                <w:color w:val="auto"/>
              </w:rPr>
              <w:t>Nine Months Ended September 30, 2020</w:t>
            </w:r>
          </w:p>
        </w:tc>
        <w:tc>
          <w:tcPr>
            <w:tcW w:w="6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94"/>
              </w:rPr>
              <w:t>Increase / (Decrease)</w:t>
            </w: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r>
      <w:tr>
        <w:trPr>
          <w:trHeight w:val="210"/>
        </w:trPr>
        <w:tc>
          <w:tcPr>
            <w:tcW w:w="2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ind w:left="20"/>
              <w:spacing w:after="0"/>
              <w:rPr>
                <w:sz w:val="20"/>
                <w:szCs w:val="20"/>
                <w:color w:val="auto"/>
              </w:rPr>
            </w:pPr>
            <w:r>
              <w:rPr>
                <w:rFonts w:ascii="Arial" w:cs="Arial" w:eastAsia="Arial" w:hAnsi="Arial"/>
                <w:sz w:val="16"/>
                <w:szCs w:val="16"/>
                <w:b w:val="1"/>
                <w:bCs w:val="1"/>
                <w:color w:val="auto"/>
              </w:rPr>
              <w:t>Activision</w:t>
            </w:r>
          </w:p>
        </w:tc>
        <w:tc>
          <w:tcPr>
            <w:tcW w:w="140" w:type="dxa"/>
            <w:vAlign w:val="bottom"/>
          </w:tcPr>
          <w:p>
            <w:pPr>
              <w:spacing w:after="0"/>
              <w:rPr>
                <w:sz w:val="18"/>
                <w:szCs w:val="18"/>
                <w:color w:val="auto"/>
              </w:rPr>
            </w:pPr>
          </w:p>
        </w:tc>
        <w:tc>
          <w:tcPr>
            <w:tcW w:w="900" w:type="dxa"/>
            <w:vAlign w:val="bottom"/>
            <w:gridSpan w:val="2"/>
          </w:tcPr>
          <w:p>
            <w:pPr>
              <w:ind w:left="40"/>
              <w:spacing w:after="0"/>
              <w:rPr>
                <w:sz w:val="20"/>
                <w:szCs w:val="20"/>
                <w:color w:val="auto"/>
              </w:rPr>
            </w:pPr>
            <w:r>
              <w:rPr>
                <w:rFonts w:ascii="Arial" w:cs="Arial" w:eastAsia="Arial" w:hAnsi="Arial"/>
                <w:sz w:val="16"/>
                <w:szCs w:val="16"/>
                <w:b w:val="1"/>
                <w:bCs w:val="1"/>
                <w:color w:val="auto"/>
              </w:rPr>
              <w:t>Blizzard</w:t>
            </w:r>
          </w:p>
        </w:tc>
        <w:tc>
          <w:tcPr>
            <w:tcW w:w="200" w:type="dxa"/>
            <w:vAlign w:val="bottom"/>
          </w:tcPr>
          <w:p>
            <w:pPr>
              <w:spacing w:after="0"/>
              <w:rPr>
                <w:sz w:val="18"/>
                <w:szCs w:val="18"/>
                <w:color w:val="auto"/>
              </w:rPr>
            </w:pPr>
          </w:p>
        </w:tc>
        <w:tc>
          <w:tcPr>
            <w:tcW w:w="840" w:type="dxa"/>
            <w:vAlign w:val="bottom"/>
            <w:gridSpan w:val="2"/>
          </w:tcPr>
          <w:p>
            <w:pPr>
              <w:ind w:left="100"/>
              <w:spacing w:after="0"/>
              <w:rPr>
                <w:sz w:val="20"/>
                <w:szCs w:val="20"/>
                <w:color w:val="auto"/>
              </w:rPr>
            </w:pPr>
            <w:r>
              <w:rPr>
                <w:rFonts w:ascii="Arial" w:cs="Arial" w:eastAsia="Arial" w:hAnsi="Arial"/>
                <w:sz w:val="16"/>
                <w:szCs w:val="16"/>
                <w:b w:val="1"/>
                <w:bCs w:val="1"/>
                <w:color w:val="auto"/>
              </w:rPr>
              <w:t>King</w:t>
            </w:r>
          </w:p>
        </w:tc>
        <w:tc>
          <w:tcPr>
            <w:tcW w:w="280" w:type="dxa"/>
            <w:vAlign w:val="bottom"/>
          </w:tcPr>
          <w:p>
            <w:pPr>
              <w:spacing w:after="0"/>
              <w:rPr>
                <w:sz w:val="18"/>
                <w:szCs w:val="18"/>
                <w:color w:val="auto"/>
              </w:rPr>
            </w:pPr>
          </w:p>
        </w:tc>
        <w:tc>
          <w:tcPr>
            <w:tcW w:w="640" w:type="dxa"/>
            <w:vAlign w:val="bottom"/>
          </w:tcPr>
          <w:p>
            <w:pPr>
              <w:jc w:val="right"/>
              <w:ind w:right="199"/>
              <w:spacing w:after="0"/>
              <w:rPr>
                <w:sz w:val="20"/>
                <w:szCs w:val="20"/>
                <w:color w:val="auto"/>
              </w:rPr>
            </w:pPr>
            <w:r>
              <w:rPr>
                <w:rFonts w:ascii="Arial" w:cs="Arial" w:eastAsia="Arial" w:hAnsi="Arial"/>
                <w:sz w:val="16"/>
                <w:szCs w:val="16"/>
                <w:b w:val="1"/>
                <w:bCs w:val="1"/>
                <w:color w:val="auto"/>
                <w:w w:val="88"/>
              </w:rPr>
              <w:t>Total</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ind w:left="20"/>
              <w:spacing w:after="0"/>
              <w:rPr>
                <w:sz w:val="20"/>
                <w:szCs w:val="20"/>
                <w:color w:val="auto"/>
              </w:rPr>
            </w:pPr>
            <w:r>
              <w:rPr>
                <w:rFonts w:ascii="Arial" w:cs="Arial" w:eastAsia="Arial" w:hAnsi="Arial"/>
                <w:sz w:val="16"/>
                <w:szCs w:val="16"/>
                <w:b w:val="1"/>
                <w:bCs w:val="1"/>
                <w:color w:val="auto"/>
              </w:rPr>
              <w:t>Activision</w:t>
            </w:r>
          </w:p>
        </w:tc>
        <w:tc>
          <w:tcPr>
            <w:tcW w:w="140" w:type="dxa"/>
            <w:vAlign w:val="bottom"/>
          </w:tcPr>
          <w:p>
            <w:pPr>
              <w:spacing w:after="0"/>
              <w:rPr>
                <w:sz w:val="18"/>
                <w:szCs w:val="18"/>
                <w:color w:val="auto"/>
              </w:rPr>
            </w:pPr>
          </w:p>
        </w:tc>
        <w:tc>
          <w:tcPr>
            <w:tcW w:w="900" w:type="dxa"/>
            <w:vAlign w:val="bottom"/>
            <w:gridSpan w:val="2"/>
          </w:tcPr>
          <w:p>
            <w:pPr>
              <w:ind w:left="40"/>
              <w:spacing w:after="0"/>
              <w:rPr>
                <w:sz w:val="20"/>
                <w:szCs w:val="20"/>
                <w:color w:val="auto"/>
              </w:rPr>
            </w:pPr>
            <w:r>
              <w:rPr>
                <w:rFonts w:ascii="Arial" w:cs="Arial" w:eastAsia="Arial" w:hAnsi="Arial"/>
                <w:sz w:val="16"/>
                <w:szCs w:val="16"/>
                <w:b w:val="1"/>
                <w:bCs w:val="1"/>
                <w:color w:val="auto"/>
              </w:rPr>
              <w:t>Blizzard</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King</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199"/>
              <w:spacing w:after="0"/>
              <w:rPr>
                <w:sz w:val="20"/>
                <w:szCs w:val="20"/>
                <w:color w:val="auto"/>
              </w:rPr>
            </w:pPr>
            <w:r>
              <w:rPr>
                <w:rFonts w:ascii="Arial" w:cs="Arial" w:eastAsia="Arial" w:hAnsi="Arial"/>
                <w:sz w:val="16"/>
                <w:szCs w:val="16"/>
                <w:b w:val="1"/>
                <w:bCs w:val="1"/>
                <w:color w:val="auto"/>
              </w:rPr>
              <w:t>Total</w:t>
            </w:r>
          </w:p>
        </w:tc>
      </w:tr>
      <w:tr>
        <w:trPr>
          <w:trHeight w:val="199"/>
        </w:trPr>
        <w:tc>
          <w:tcPr>
            <w:tcW w:w="2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Segment Net Revenues</w:t>
            </w: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r>
      <w:tr>
        <w:trPr>
          <w:trHeight w:val="213"/>
        </w:trPr>
        <w:tc>
          <w:tcPr>
            <w:tcW w:w="2940" w:type="dxa"/>
            <w:vAlign w:val="bottom"/>
          </w:tcPr>
          <w:p>
            <w:pPr>
              <w:ind w:left="140"/>
              <w:spacing w:after="0"/>
              <w:rPr>
                <w:sz w:val="20"/>
                <w:szCs w:val="20"/>
                <w:color w:val="auto"/>
              </w:rPr>
            </w:pPr>
            <w:r>
              <w:rPr>
                <w:rFonts w:ascii="Arial" w:cs="Arial" w:eastAsia="Arial" w:hAnsi="Arial"/>
                <w:sz w:val="16"/>
                <w:szCs w:val="16"/>
                <w:color w:val="auto"/>
              </w:rPr>
              <w:t>Net revenues from external customers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2,285</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1,264</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1,587</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5,136</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1,491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151</w:t>
            </w:r>
          </w:p>
        </w:tc>
        <w:tc>
          <w:tcPr>
            <w:tcW w:w="100" w:type="dxa"/>
            <w:vAlign w:val="bottom"/>
          </w:tcPr>
          <w:p>
            <w:pPr>
              <w:spacing w:after="0"/>
              <w:rPr>
                <w:sz w:val="18"/>
                <w:szCs w:val="18"/>
                <w:color w:val="auto"/>
              </w:rPr>
            </w:pPr>
          </w:p>
        </w:tc>
        <w:tc>
          <w:tcPr>
            <w:tcW w:w="680" w:type="dxa"/>
            <w:vAlign w:val="bottom"/>
          </w:tcPr>
          <w:p>
            <w:pPr>
              <w:jc w:val="right"/>
              <w:ind w:right="499"/>
              <w:spacing w:after="0"/>
              <w:rPr>
                <w:sz w:val="20"/>
                <w:szCs w:val="20"/>
                <w:color w:val="auto"/>
              </w:rPr>
            </w:pPr>
            <w:r>
              <w:rPr>
                <w:rFonts w:ascii="Arial" w:cs="Arial" w:eastAsia="Arial" w:hAnsi="Arial"/>
                <w:sz w:val="16"/>
                <w:szCs w:val="16"/>
                <w:color w:val="auto"/>
                <w:w w:val="89"/>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1,702</w:t>
            </w:r>
          </w:p>
        </w:tc>
      </w:tr>
      <w:tr>
        <w:trPr>
          <w:trHeight w:val="216"/>
        </w:trPr>
        <w:tc>
          <w:tcPr>
            <w:tcW w:w="29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Intersegment net revenues (1)</w:t>
            </w: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w:t>
            </w:r>
          </w:p>
        </w:tc>
      </w:tr>
      <w:tr>
        <w:trPr>
          <w:trHeight w:val="212"/>
        </w:trPr>
        <w:tc>
          <w:tcPr>
            <w:tcW w:w="2940" w:type="dxa"/>
            <w:vAlign w:val="bottom"/>
          </w:tcPr>
          <w:p>
            <w:pPr>
              <w:ind w:left="120"/>
              <w:spacing w:after="0"/>
              <w:rPr>
                <w:sz w:val="20"/>
                <w:szCs w:val="20"/>
                <w:color w:val="auto"/>
              </w:rPr>
            </w:pPr>
            <w:r>
              <w:rPr>
                <w:rFonts w:ascii="Arial" w:cs="Arial" w:eastAsia="Arial" w:hAnsi="Arial"/>
                <w:sz w:val="16"/>
                <w:szCs w:val="16"/>
                <w:color w:val="auto"/>
              </w:rPr>
              <w:t>Segment net revenues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2,285</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1,326</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1,587</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5,198</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1,491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204</w:t>
            </w:r>
          </w:p>
        </w:tc>
        <w:tc>
          <w:tcPr>
            <w:tcW w:w="100" w:type="dxa"/>
            <w:vAlign w:val="bottom"/>
          </w:tcPr>
          <w:p>
            <w:pPr>
              <w:spacing w:after="0"/>
              <w:rPr>
                <w:sz w:val="18"/>
                <w:szCs w:val="18"/>
                <w:color w:val="auto"/>
              </w:rPr>
            </w:pPr>
          </w:p>
        </w:tc>
        <w:tc>
          <w:tcPr>
            <w:tcW w:w="680" w:type="dxa"/>
            <w:vAlign w:val="bottom"/>
          </w:tcPr>
          <w:p>
            <w:pPr>
              <w:jc w:val="right"/>
              <w:ind w:right="499"/>
              <w:spacing w:after="0"/>
              <w:rPr>
                <w:sz w:val="20"/>
                <w:szCs w:val="20"/>
                <w:color w:val="auto"/>
              </w:rPr>
            </w:pPr>
            <w:r>
              <w:rPr>
                <w:rFonts w:ascii="Arial" w:cs="Arial" w:eastAsia="Arial" w:hAnsi="Arial"/>
                <w:sz w:val="16"/>
                <w:szCs w:val="16"/>
                <w:color w:val="auto"/>
                <w:w w:val="89"/>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1,755</w:t>
            </w:r>
          </w:p>
        </w:tc>
      </w:tr>
      <w:tr>
        <w:trPr>
          <w:trHeight w:val="20"/>
        </w:trPr>
        <w:tc>
          <w:tcPr>
            <w:tcW w:w="294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r>
        <w:trPr>
          <w:trHeight w:val="169"/>
        </w:trPr>
        <w:tc>
          <w:tcPr>
            <w:tcW w:w="2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r>
      <w:tr>
        <w:trPr>
          <w:trHeight w:val="213"/>
        </w:trPr>
        <w:tc>
          <w:tcPr>
            <w:tcW w:w="2940" w:type="dxa"/>
            <w:vAlign w:val="bottom"/>
          </w:tcPr>
          <w:p>
            <w:pPr>
              <w:ind w:left="20"/>
              <w:spacing w:after="0"/>
              <w:rPr>
                <w:sz w:val="20"/>
                <w:szCs w:val="20"/>
                <w:color w:val="auto"/>
              </w:rPr>
            </w:pPr>
            <w:r>
              <w:rPr>
                <w:rFonts w:ascii="Arial" w:cs="Arial" w:eastAsia="Arial" w:hAnsi="Arial"/>
                <w:sz w:val="16"/>
                <w:szCs w:val="16"/>
                <w:b w:val="1"/>
                <w:bCs w:val="1"/>
                <w:color w:val="auto"/>
              </w:rPr>
              <w:t>Segment operating income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1,088</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533</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615</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2,236</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935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329</w:t>
            </w:r>
          </w:p>
        </w:tc>
        <w:tc>
          <w:tcPr>
            <w:tcW w:w="100" w:type="dxa"/>
            <w:vAlign w:val="bottom"/>
          </w:tcPr>
          <w:p>
            <w:pPr>
              <w:spacing w:after="0"/>
              <w:rPr>
                <w:sz w:val="18"/>
                <w:szCs w:val="18"/>
                <w:color w:val="auto"/>
              </w:rPr>
            </w:pPr>
          </w:p>
        </w:tc>
        <w:tc>
          <w:tcPr>
            <w:tcW w:w="680" w:type="dxa"/>
            <w:vAlign w:val="bottom"/>
          </w:tcPr>
          <w:p>
            <w:pPr>
              <w:jc w:val="right"/>
              <w:ind w:right="499"/>
              <w:spacing w:after="0"/>
              <w:rPr>
                <w:sz w:val="20"/>
                <w:szCs w:val="20"/>
                <w:color w:val="auto"/>
              </w:rPr>
            </w:pPr>
            <w:r>
              <w:rPr>
                <w:rFonts w:ascii="Arial" w:cs="Arial" w:eastAsia="Arial" w:hAnsi="Arial"/>
                <w:sz w:val="16"/>
                <w:szCs w:val="16"/>
                <w:color w:val="auto"/>
                <w:w w:val="89"/>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1,336</w:t>
            </w:r>
          </w:p>
        </w:tc>
      </w:tr>
      <w:tr>
        <w:trPr>
          <w:trHeight w:val="165"/>
        </w:trPr>
        <w:tc>
          <w:tcPr>
            <w:tcW w:w="2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40" w:type="dxa"/>
            <w:vAlign w:val="bottom"/>
            <w:gridSpan w:val="3"/>
            <w:shd w:val="clear" w:color="auto" w:fill="CCEEFF"/>
          </w:tcPr>
          <w:p>
            <w:pPr>
              <w:spacing w:after="0"/>
              <w:rPr>
                <w:sz w:val="14"/>
                <w:szCs w:val="14"/>
                <w:color w:val="auto"/>
              </w:rPr>
            </w:pPr>
          </w:p>
        </w:tc>
        <w:tc>
          <w:tcPr>
            <w:tcW w:w="1040" w:type="dxa"/>
            <w:vAlign w:val="bottom"/>
            <w:gridSpan w:val="3"/>
            <w:shd w:val="clear" w:color="auto" w:fill="CCEEFF"/>
          </w:tcPr>
          <w:p>
            <w:pPr>
              <w:spacing w:after="0"/>
              <w:rPr>
                <w:sz w:val="14"/>
                <w:szCs w:val="14"/>
                <w:color w:val="auto"/>
              </w:rPr>
            </w:pPr>
          </w:p>
        </w:tc>
        <w:tc>
          <w:tcPr>
            <w:tcW w:w="400" w:type="dxa"/>
            <w:vAlign w:val="bottom"/>
            <w:gridSpan w:val="2"/>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r>
      <w:tr>
        <w:trPr>
          <w:trHeight w:val="213"/>
        </w:trPr>
        <w:tc>
          <w:tcPr>
            <w:tcW w:w="29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320" w:type="dxa"/>
            <w:vAlign w:val="bottom"/>
            <w:tcBorders>
              <w:bottom w:val="single" w:sz="8" w:color="auto"/>
            </w:tcBorders>
            <w:gridSpan w:val="9"/>
          </w:tcPr>
          <w:p>
            <w:pPr>
              <w:jc w:val="right"/>
              <w:spacing w:after="0"/>
              <w:rPr>
                <w:sz w:val="20"/>
                <w:szCs w:val="20"/>
                <w:color w:val="auto"/>
              </w:rPr>
            </w:pPr>
            <w:r>
              <w:rPr>
                <w:rFonts w:ascii="Arial" w:cs="Arial" w:eastAsia="Arial" w:hAnsi="Arial"/>
                <w:sz w:val="16"/>
                <w:szCs w:val="16"/>
                <w:b w:val="1"/>
                <w:bCs w:val="1"/>
                <w:color w:val="auto"/>
              </w:rPr>
              <w:t>Nine Months Ended September 30, 2019</w:t>
            </w:r>
          </w:p>
        </w:tc>
        <w:tc>
          <w:tcPr>
            <w:tcW w:w="6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0"/>
        </w:trPr>
        <w:tc>
          <w:tcPr>
            <w:tcW w:w="2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ind w:left="20"/>
              <w:spacing w:after="0"/>
              <w:rPr>
                <w:sz w:val="20"/>
                <w:szCs w:val="20"/>
                <w:color w:val="auto"/>
              </w:rPr>
            </w:pPr>
            <w:r>
              <w:rPr>
                <w:rFonts w:ascii="Arial" w:cs="Arial" w:eastAsia="Arial" w:hAnsi="Arial"/>
                <w:sz w:val="16"/>
                <w:szCs w:val="16"/>
                <w:b w:val="1"/>
                <w:bCs w:val="1"/>
                <w:color w:val="auto"/>
              </w:rPr>
              <w:t>Activision</w:t>
            </w:r>
          </w:p>
        </w:tc>
        <w:tc>
          <w:tcPr>
            <w:tcW w:w="140" w:type="dxa"/>
            <w:vAlign w:val="bottom"/>
          </w:tcPr>
          <w:p>
            <w:pPr>
              <w:spacing w:after="0"/>
              <w:rPr>
                <w:sz w:val="18"/>
                <w:szCs w:val="18"/>
                <w:color w:val="auto"/>
              </w:rPr>
            </w:pPr>
          </w:p>
        </w:tc>
        <w:tc>
          <w:tcPr>
            <w:tcW w:w="900" w:type="dxa"/>
            <w:vAlign w:val="bottom"/>
            <w:gridSpan w:val="2"/>
          </w:tcPr>
          <w:p>
            <w:pPr>
              <w:ind w:left="40"/>
              <w:spacing w:after="0"/>
              <w:rPr>
                <w:sz w:val="20"/>
                <w:szCs w:val="20"/>
                <w:color w:val="auto"/>
              </w:rPr>
            </w:pPr>
            <w:r>
              <w:rPr>
                <w:rFonts w:ascii="Arial" w:cs="Arial" w:eastAsia="Arial" w:hAnsi="Arial"/>
                <w:sz w:val="16"/>
                <w:szCs w:val="16"/>
                <w:b w:val="1"/>
                <w:bCs w:val="1"/>
                <w:color w:val="auto"/>
              </w:rPr>
              <w:t>Blizzard</w:t>
            </w:r>
          </w:p>
        </w:tc>
        <w:tc>
          <w:tcPr>
            <w:tcW w:w="200" w:type="dxa"/>
            <w:vAlign w:val="bottom"/>
          </w:tcPr>
          <w:p>
            <w:pPr>
              <w:spacing w:after="0"/>
              <w:rPr>
                <w:sz w:val="18"/>
                <w:szCs w:val="18"/>
                <w:color w:val="auto"/>
              </w:rPr>
            </w:pPr>
          </w:p>
        </w:tc>
        <w:tc>
          <w:tcPr>
            <w:tcW w:w="840" w:type="dxa"/>
            <w:vAlign w:val="bottom"/>
            <w:gridSpan w:val="2"/>
          </w:tcPr>
          <w:p>
            <w:pPr>
              <w:ind w:left="100"/>
              <w:spacing w:after="0"/>
              <w:rPr>
                <w:sz w:val="20"/>
                <w:szCs w:val="20"/>
                <w:color w:val="auto"/>
              </w:rPr>
            </w:pPr>
            <w:r>
              <w:rPr>
                <w:rFonts w:ascii="Arial" w:cs="Arial" w:eastAsia="Arial" w:hAnsi="Arial"/>
                <w:sz w:val="16"/>
                <w:szCs w:val="16"/>
                <w:b w:val="1"/>
                <w:bCs w:val="1"/>
                <w:color w:val="auto"/>
              </w:rPr>
              <w:t>King</w:t>
            </w:r>
          </w:p>
        </w:tc>
        <w:tc>
          <w:tcPr>
            <w:tcW w:w="280" w:type="dxa"/>
            <w:vAlign w:val="bottom"/>
          </w:tcPr>
          <w:p>
            <w:pPr>
              <w:spacing w:after="0"/>
              <w:rPr>
                <w:sz w:val="18"/>
                <w:szCs w:val="18"/>
                <w:color w:val="auto"/>
              </w:rPr>
            </w:pPr>
          </w:p>
        </w:tc>
        <w:tc>
          <w:tcPr>
            <w:tcW w:w="640" w:type="dxa"/>
            <w:vAlign w:val="bottom"/>
          </w:tcPr>
          <w:p>
            <w:pPr>
              <w:jc w:val="right"/>
              <w:ind w:right="199"/>
              <w:spacing w:after="0"/>
              <w:rPr>
                <w:sz w:val="20"/>
                <w:szCs w:val="20"/>
                <w:color w:val="auto"/>
              </w:rPr>
            </w:pPr>
            <w:r>
              <w:rPr>
                <w:rFonts w:ascii="Arial" w:cs="Arial" w:eastAsia="Arial" w:hAnsi="Arial"/>
                <w:sz w:val="16"/>
                <w:szCs w:val="16"/>
                <w:b w:val="1"/>
                <w:bCs w:val="1"/>
                <w:color w:val="auto"/>
                <w:w w:val="88"/>
              </w:rPr>
              <w:t>Total</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199"/>
        </w:trPr>
        <w:tc>
          <w:tcPr>
            <w:tcW w:w="2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Segment Net Revenues</w:t>
            </w: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r>
      <w:tr>
        <w:trPr>
          <w:trHeight w:val="213"/>
        </w:trPr>
        <w:tc>
          <w:tcPr>
            <w:tcW w:w="2940" w:type="dxa"/>
            <w:vAlign w:val="bottom"/>
          </w:tcPr>
          <w:p>
            <w:pPr>
              <w:ind w:left="140"/>
              <w:spacing w:after="0"/>
              <w:rPr>
                <w:sz w:val="20"/>
                <w:szCs w:val="20"/>
                <w:color w:val="auto"/>
              </w:rPr>
            </w:pPr>
            <w:r>
              <w:rPr>
                <w:rFonts w:ascii="Arial" w:cs="Arial" w:eastAsia="Arial" w:hAnsi="Arial"/>
                <w:sz w:val="16"/>
                <w:szCs w:val="16"/>
                <w:color w:val="auto"/>
              </w:rPr>
              <w:t>Net revenues from external customers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794</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1,113</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1,527</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3,434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29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Intersegment net revenues (1)</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3"/>
        </w:trPr>
        <w:tc>
          <w:tcPr>
            <w:tcW w:w="2940" w:type="dxa"/>
            <w:vAlign w:val="bottom"/>
          </w:tcPr>
          <w:p>
            <w:pPr>
              <w:ind w:left="120"/>
              <w:spacing w:after="0"/>
              <w:rPr>
                <w:sz w:val="20"/>
                <w:szCs w:val="20"/>
                <w:color w:val="auto"/>
              </w:rPr>
            </w:pPr>
            <w:r>
              <w:rPr>
                <w:rFonts w:ascii="Arial" w:cs="Arial" w:eastAsia="Arial" w:hAnsi="Arial"/>
                <w:sz w:val="16"/>
                <w:szCs w:val="16"/>
                <w:color w:val="auto"/>
              </w:rPr>
              <w:t>Segment net revenues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794</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1,122</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1,527</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3,443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0"/>
        </w:trPr>
        <w:tc>
          <w:tcPr>
            <w:tcW w:w="29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r>
      <w:tr>
        <w:trPr>
          <w:trHeight w:val="129"/>
        </w:trPr>
        <w:tc>
          <w:tcPr>
            <w:tcW w:w="2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r>
      <w:tr>
        <w:trPr>
          <w:trHeight w:val="210"/>
        </w:trPr>
        <w:tc>
          <w:tcPr>
            <w:tcW w:w="2940" w:type="dxa"/>
            <w:vAlign w:val="bottom"/>
          </w:tcPr>
          <w:p>
            <w:pPr>
              <w:ind w:left="20"/>
              <w:spacing w:after="0"/>
              <w:rPr>
                <w:sz w:val="20"/>
                <w:szCs w:val="20"/>
                <w:color w:val="auto"/>
              </w:rPr>
            </w:pPr>
            <w:r>
              <w:rPr>
                <w:rFonts w:ascii="Arial" w:cs="Arial" w:eastAsia="Arial" w:hAnsi="Arial"/>
                <w:sz w:val="16"/>
                <w:szCs w:val="16"/>
                <w:b w:val="1"/>
                <w:bCs w:val="1"/>
                <w:color w:val="auto"/>
              </w:rPr>
              <w:t>Segment operating income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153</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204</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543</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900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r>
    </w:tbl>
    <w:p>
      <w:pPr>
        <w:spacing w:after="0" w:line="315" w:lineRule="exact"/>
        <w:rPr>
          <w:sz w:val="20"/>
          <w:szCs w:val="20"/>
          <w:color w:val="auto"/>
        </w:rPr>
      </w:pPr>
    </w:p>
    <w:p>
      <w:pPr>
        <w:ind w:left="400" w:hanging="392"/>
        <w:spacing w:after="0"/>
        <w:tabs>
          <w:tab w:leader="none" w:pos="4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Intersegment revenues reflect licensing and service fees charged between segments.</w:t>
      </w:r>
    </w:p>
    <w:p>
      <w:pPr>
        <w:spacing w:after="0" w:line="252"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Reconciliations of total segment net revenues and total segment operating income to consolidated net revenues and consolidated income before income tax expense are presented in the table below (amounts in millions):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380" w:type="dxa"/>
            <w:vAlign w:val="bottom"/>
          </w:tcPr>
          <w:p>
            <w:pPr>
              <w:spacing w:after="0"/>
              <w:rPr>
                <w:sz w:val="18"/>
                <w:szCs w:val="18"/>
                <w:color w:val="auto"/>
              </w:rPr>
            </w:pPr>
          </w:p>
        </w:tc>
        <w:tc>
          <w:tcPr>
            <w:tcW w:w="3480" w:type="dxa"/>
            <w:vAlign w:val="bottom"/>
            <w:gridSpan w:val="6"/>
          </w:tcPr>
          <w:p>
            <w:pPr>
              <w:ind w:left="160"/>
              <w:spacing w:after="0"/>
              <w:rPr>
                <w:sz w:val="20"/>
                <w:szCs w:val="20"/>
                <w:color w:val="auto"/>
              </w:rPr>
            </w:pPr>
            <w:r>
              <w:rPr>
                <w:rFonts w:ascii="Arial" w:cs="Arial" w:eastAsia="Arial" w:hAnsi="Arial"/>
                <w:sz w:val="16"/>
                <w:szCs w:val="16"/>
                <w:b w:val="1"/>
                <w:bCs w:val="1"/>
                <w:color w:val="auto"/>
                <w:w w:val="99"/>
              </w:rPr>
              <w:t>For the Three Months Ended September 30,</w:t>
            </w:r>
          </w:p>
        </w:tc>
        <w:tc>
          <w:tcPr>
            <w:tcW w:w="160" w:type="dxa"/>
            <w:vAlign w:val="bottom"/>
          </w:tcPr>
          <w:p>
            <w:pPr>
              <w:spacing w:after="0"/>
              <w:rPr>
                <w:sz w:val="18"/>
                <w:szCs w:val="18"/>
                <w:color w:val="auto"/>
              </w:rPr>
            </w:pPr>
          </w:p>
        </w:tc>
        <w:tc>
          <w:tcPr>
            <w:tcW w:w="3220" w:type="dxa"/>
            <w:vAlign w:val="bottom"/>
            <w:gridSpan w:val="4"/>
          </w:tcPr>
          <w:p>
            <w:pPr>
              <w:jc w:val="right"/>
              <w:ind w:right="119"/>
              <w:spacing w:after="0"/>
              <w:rPr>
                <w:sz w:val="20"/>
                <w:szCs w:val="20"/>
                <w:color w:val="auto"/>
              </w:rPr>
            </w:pPr>
            <w:r>
              <w:rPr>
                <w:rFonts w:ascii="Arial" w:cs="Arial" w:eastAsia="Arial" w:hAnsi="Arial"/>
                <w:sz w:val="16"/>
                <w:szCs w:val="16"/>
                <w:b w:val="1"/>
                <w:bCs w:val="1"/>
                <w:color w:val="auto"/>
                <w:w w:val="93"/>
              </w:rPr>
              <w:t>For the Nine Months Ended September 30,</w:t>
            </w:r>
          </w:p>
        </w:tc>
        <w:tc>
          <w:tcPr>
            <w:tcW w:w="0" w:type="dxa"/>
            <w:vAlign w:val="bottom"/>
          </w:tcPr>
          <w:p>
            <w:pPr>
              <w:spacing w:after="0"/>
              <w:rPr>
                <w:sz w:val="1"/>
                <w:szCs w:val="1"/>
                <w:color w:val="auto"/>
              </w:rPr>
            </w:pPr>
          </w:p>
        </w:tc>
      </w:tr>
      <w:tr>
        <w:trPr>
          <w:trHeight w:val="210"/>
        </w:trPr>
        <w:tc>
          <w:tcPr>
            <w:tcW w:w="4380" w:type="dxa"/>
            <w:vAlign w:val="bottom"/>
            <w:tcBorders>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2020</w:t>
            </w:r>
          </w:p>
        </w:tc>
        <w:tc>
          <w:tcPr>
            <w:tcW w:w="5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199"/>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Reconciliation to consolidated net revenues:</w:t>
            </w:r>
          </w:p>
        </w:tc>
        <w:tc>
          <w:tcPr>
            <w:tcW w:w="1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380" w:type="dxa"/>
            <w:vAlign w:val="bottom"/>
          </w:tcPr>
          <w:p>
            <w:pPr>
              <w:ind w:left="20"/>
              <w:spacing w:after="0"/>
              <w:rPr>
                <w:sz w:val="20"/>
                <w:szCs w:val="20"/>
                <w:color w:val="auto"/>
              </w:rPr>
            </w:pPr>
            <w:r>
              <w:rPr>
                <w:rFonts w:ascii="Arial" w:cs="Arial" w:eastAsia="Arial" w:hAnsi="Arial"/>
                <w:sz w:val="16"/>
                <w:szCs w:val="16"/>
                <w:color w:val="auto"/>
              </w:rPr>
              <w:t>Segment net revenues</w:t>
            </w:r>
          </w:p>
        </w:tc>
        <w:tc>
          <w:tcPr>
            <w:tcW w:w="1100" w:type="dxa"/>
            <w:vAlign w:val="bottom"/>
          </w:tcPr>
          <w:p>
            <w:pPr>
              <w:jc w:val="right"/>
              <w:ind w:right="919"/>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1,720</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1,103</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5,198</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3,443</w:t>
            </w: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 from non-reportable segments (1)</w:t>
            </w:r>
          </w:p>
        </w:tc>
        <w:tc>
          <w:tcPr>
            <w:tcW w:w="1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w:t>
            </w:r>
          </w:p>
        </w:tc>
        <w:tc>
          <w:tcPr>
            <w:tcW w:w="0" w:type="dxa"/>
            <w:vAlign w:val="bottom"/>
          </w:tcPr>
          <w:p>
            <w:pPr>
              <w:spacing w:after="0"/>
              <w:rPr>
                <w:sz w:val="1"/>
                <w:szCs w:val="1"/>
                <w:color w:val="auto"/>
              </w:rPr>
            </w:pPr>
          </w:p>
        </w:tc>
      </w:tr>
      <w:tr>
        <w:trPr>
          <w:trHeight w:val="213"/>
        </w:trPr>
        <w:tc>
          <w:tcPr>
            <w:tcW w:w="4380" w:type="dxa"/>
            <w:vAlign w:val="bottom"/>
          </w:tcPr>
          <w:p>
            <w:pPr>
              <w:ind w:left="20"/>
              <w:spacing w:after="0"/>
              <w:rPr>
                <w:sz w:val="20"/>
                <w:szCs w:val="20"/>
                <w:color w:val="auto"/>
              </w:rPr>
            </w:pPr>
            <w:r>
              <w:rPr>
                <w:rFonts w:ascii="Arial" w:cs="Arial" w:eastAsia="Arial" w:hAnsi="Arial"/>
                <w:sz w:val="16"/>
                <w:szCs w:val="16"/>
                <w:color w:val="auto"/>
                <w:w w:val="94"/>
              </w:rPr>
              <w:t>Net effect from recognition (deferral) of deferred net revenues (2)</w:t>
            </w:r>
          </w:p>
        </w:tc>
        <w:tc>
          <w:tcPr>
            <w:tcW w:w="1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187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306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824</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Elimination of intersegment revenues (3)</w:t>
            </w:r>
          </w:p>
        </w:tc>
        <w:tc>
          <w:tcPr>
            <w:tcW w:w="1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3"/>
        </w:trPr>
        <w:tc>
          <w:tcPr>
            <w:tcW w:w="4380" w:type="dxa"/>
            <w:vAlign w:val="bottom"/>
          </w:tcPr>
          <w:p>
            <w:pPr>
              <w:ind w:left="20"/>
              <w:spacing w:after="0"/>
              <w:rPr>
                <w:sz w:val="20"/>
                <w:szCs w:val="20"/>
                <w:color w:val="auto"/>
              </w:rPr>
            </w:pPr>
            <w:r>
              <w:rPr>
                <w:rFonts w:ascii="Arial" w:cs="Arial" w:eastAsia="Arial" w:hAnsi="Arial"/>
                <w:sz w:val="16"/>
                <w:szCs w:val="16"/>
                <w:color w:val="auto"/>
              </w:rPr>
              <w:t>Consolidated net revenues</w:t>
            </w:r>
          </w:p>
        </w:tc>
        <w:tc>
          <w:tcPr>
            <w:tcW w:w="1100" w:type="dxa"/>
            <w:vAlign w:val="bottom"/>
            <w:tcBorders>
              <w:bottom w:val="single" w:sz="8" w:color="auto"/>
            </w:tcBorders>
          </w:tcPr>
          <w:p>
            <w:pPr>
              <w:jc w:val="right"/>
              <w:ind w:right="91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1,954</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1,282</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5,674</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4,503</w:t>
            </w:r>
          </w:p>
        </w:tc>
        <w:tc>
          <w:tcPr>
            <w:tcW w:w="0" w:type="dxa"/>
            <w:vAlign w:val="bottom"/>
          </w:tcPr>
          <w:p>
            <w:pPr>
              <w:spacing w:after="0"/>
              <w:rPr>
                <w:sz w:val="1"/>
                <w:szCs w:val="1"/>
                <w:color w:val="auto"/>
              </w:rPr>
            </w:pPr>
          </w:p>
        </w:tc>
      </w:tr>
      <w:tr>
        <w:trPr>
          <w:trHeight w:val="20"/>
        </w:trPr>
        <w:tc>
          <w:tcPr>
            <w:tcW w:w="43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3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380" w:type="dxa"/>
            <w:vAlign w:val="bottom"/>
          </w:tcPr>
          <w:p>
            <w:pPr>
              <w:ind w:left="20"/>
              <w:spacing w:after="0" w:line="162" w:lineRule="exact"/>
              <w:rPr>
                <w:sz w:val="20"/>
                <w:szCs w:val="20"/>
                <w:color w:val="auto"/>
              </w:rPr>
            </w:pPr>
            <w:r>
              <w:rPr>
                <w:rFonts w:ascii="Arial" w:cs="Arial" w:eastAsia="Arial" w:hAnsi="Arial"/>
                <w:sz w:val="16"/>
                <w:szCs w:val="16"/>
                <w:b w:val="1"/>
                <w:bCs w:val="1"/>
                <w:color w:val="auto"/>
              </w:rPr>
              <w:t>Reconciliation to consolidated income before income tax</w:t>
            </w:r>
          </w:p>
        </w:tc>
        <w:tc>
          <w:tcPr>
            <w:tcW w:w="1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380" w:type="dxa"/>
            <w:vAlign w:val="bottom"/>
          </w:tcPr>
          <w:p>
            <w:pPr>
              <w:ind w:left="100"/>
              <w:spacing w:after="0"/>
              <w:rPr>
                <w:sz w:val="20"/>
                <w:szCs w:val="20"/>
                <w:color w:val="auto"/>
              </w:rPr>
            </w:pPr>
            <w:r>
              <w:rPr>
                <w:rFonts w:ascii="Arial" w:cs="Arial" w:eastAsia="Arial" w:hAnsi="Arial"/>
                <w:sz w:val="16"/>
                <w:szCs w:val="16"/>
                <w:b w:val="1"/>
                <w:bCs w:val="1"/>
                <w:color w:val="auto"/>
              </w:rPr>
              <w:t>expense:</w:t>
            </w:r>
          </w:p>
        </w:tc>
        <w:tc>
          <w:tcPr>
            <w:tcW w:w="1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operating income</w:t>
            </w:r>
          </w:p>
        </w:tc>
        <w:tc>
          <w:tcPr>
            <w:tcW w:w="110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w:t>
            </w:r>
          </w:p>
        </w:tc>
        <w:tc>
          <w:tcPr>
            <w:tcW w:w="0" w:type="dxa"/>
            <w:vAlign w:val="bottom"/>
          </w:tcPr>
          <w:p>
            <w:pPr>
              <w:spacing w:after="0"/>
              <w:rPr>
                <w:sz w:val="1"/>
                <w:szCs w:val="1"/>
                <w:color w:val="auto"/>
              </w:rPr>
            </w:pPr>
          </w:p>
        </w:tc>
      </w:tr>
      <w:tr>
        <w:trPr>
          <w:trHeight w:val="213"/>
        </w:trPr>
        <w:tc>
          <w:tcPr>
            <w:tcW w:w="4380" w:type="dxa"/>
            <w:vAlign w:val="bottom"/>
          </w:tcPr>
          <w:p>
            <w:pPr>
              <w:ind w:left="20"/>
              <w:spacing w:after="0"/>
              <w:rPr>
                <w:sz w:val="20"/>
                <w:szCs w:val="20"/>
                <w:color w:val="auto"/>
              </w:rPr>
            </w:pPr>
            <w:r>
              <w:rPr>
                <w:rFonts w:ascii="Arial" w:cs="Arial" w:eastAsia="Arial" w:hAnsi="Arial"/>
                <w:sz w:val="16"/>
                <w:szCs w:val="16"/>
                <w:color w:val="auto"/>
              </w:rPr>
              <w:t>Operating income (loss) from non-reportable segments (1)</w:t>
            </w:r>
          </w:p>
        </w:tc>
        <w:tc>
          <w:tcPr>
            <w:tcW w:w="1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69"/>
        </w:trPr>
        <w:tc>
          <w:tcPr>
            <w:tcW w:w="438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2"/>
              </w:rPr>
              <w:t>Net effect from recognition (deferral) of deferred net revenues and</w:t>
            </w:r>
          </w:p>
        </w:tc>
        <w:tc>
          <w:tcPr>
            <w:tcW w:w="1100" w:type="dxa"/>
            <w:vAlign w:val="bottom"/>
            <w:shd w:val="clear" w:color="auto" w:fill="CCEEFF"/>
          </w:tcPr>
          <w:p>
            <w:pPr>
              <w:spacing w:after="0"/>
              <w:rPr>
                <w:sz w:val="14"/>
                <w:szCs w:val="14"/>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629</w:t>
            </w:r>
          </w:p>
        </w:tc>
        <w:tc>
          <w:tcPr>
            <w:tcW w:w="0" w:type="dxa"/>
            <w:vAlign w:val="bottom"/>
          </w:tcPr>
          <w:p>
            <w:pPr>
              <w:spacing w:after="0"/>
              <w:rPr>
                <w:sz w:val="1"/>
                <w:szCs w:val="1"/>
                <w:color w:val="auto"/>
              </w:rPr>
            </w:pPr>
          </w:p>
        </w:tc>
      </w:tr>
      <w:tr>
        <w:trPr>
          <w:trHeight w:val="212"/>
        </w:trPr>
        <w:tc>
          <w:tcPr>
            <w:tcW w:w="43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related cost of revenues</w:t>
            </w:r>
          </w:p>
        </w:tc>
        <w:tc>
          <w:tcPr>
            <w:tcW w:w="1100" w:type="dxa"/>
            <w:vAlign w:val="bottom"/>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80" w:type="dxa"/>
            <w:vAlign w:val="bottom"/>
          </w:tcPr>
          <w:p>
            <w:pPr>
              <w:ind w:left="20"/>
              <w:spacing w:after="0"/>
              <w:rPr>
                <w:sz w:val="20"/>
                <w:szCs w:val="20"/>
                <w:color w:val="auto"/>
              </w:rPr>
            </w:pPr>
            <w:r>
              <w:rPr>
                <w:rFonts w:ascii="Arial" w:cs="Arial" w:eastAsia="Arial" w:hAnsi="Arial"/>
                <w:sz w:val="16"/>
                <w:szCs w:val="16"/>
                <w:color w:val="auto"/>
              </w:rPr>
              <w:t>Share-based compensation expense</w:t>
            </w:r>
          </w:p>
        </w:tc>
        <w:tc>
          <w:tcPr>
            <w:tcW w:w="1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(138)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intangible assets</w:t>
            </w:r>
          </w:p>
        </w:tc>
        <w:tc>
          <w:tcPr>
            <w:tcW w:w="1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0" w:type="dxa"/>
            <w:vAlign w:val="bottom"/>
          </w:tcPr>
          <w:p>
            <w:pPr>
              <w:spacing w:after="0"/>
              <w:rPr>
                <w:sz w:val="1"/>
                <w:szCs w:val="1"/>
                <w:color w:val="auto"/>
              </w:rPr>
            </w:pPr>
          </w:p>
        </w:tc>
      </w:tr>
      <w:tr>
        <w:trPr>
          <w:trHeight w:val="213"/>
        </w:trPr>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Restructuring and related costs (4)</w:t>
            </w:r>
          </w:p>
        </w:tc>
        <w:tc>
          <w:tcPr>
            <w:tcW w:w="1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13"/>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Consolidated operating income</w:t>
            </w:r>
          </w:p>
        </w:tc>
        <w:tc>
          <w:tcPr>
            <w:tcW w:w="1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1,153</w:t>
            </w:r>
          </w:p>
        </w:tc>
        <w:tc>
          <w:tcPr>
            <w:tcW w:w="0" w:type="dxa"/>
            <w:vAlign w:val="bottom"/>
          </w:tcPr>
          <w:p>
            <w:pPr>
              <w:spacing w:after="0"/>
              <w:rPr>
                <w:sz w:val="1"/>
                <w:szCs w:val="1"/>
                <w:color w:val="auto"/>
              </w:rPr>
            </w:pPr>
          </w:p>
        </w:tc>
      </w:tr>
      <w:tr>
        <w:trPr>
          <w:trHeight w:val="213"/>
        </w:trPr>
        <w:tc>
          <w:tcPr>
            <w:tcW w:w="4380" w:type="dxa"/>
            <w:vAlign w:val="bottom"/>
          </w:tcPr>
          <w:p>
            <w:pPr>
              <w:ind w:left="20"/>
              <w:spacing w:after="0"/>
              <w:rPr>
                <w:sz w:val="20"/>
                <w:szCs w:val="20"/>
                <w:color w:val="auto"/>
              </w:rPr>
            </w:pPr>
            <w:r>
              <w:rPr>
                <w:rFonts w:ascii="Arial" w:cs="Arial" w:eastAsia="Arial" w:hAnsi="Arial"/>
                <w:sz w:val="16"/>
                <w:szCs w:val="16"/>
                <w:color w:val="auto"/>
              </w:rPr>
              <w:t>Interest and other expense (income), net</w:t>
            </w:r>
          </w:p>
        </w:tc>
        <w:tc>
          <w:tcPr>
            <w:tcW w:w="1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on extinguishment of debt</w:t>
            </w:r>
          </w:p>
        </w:tc>
        <w:tc>
          <w:tcPr>
            <w:tcW w:w="1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380" w:type="dxa"/>
            <w:vAlign w:val="bottom"/>
          </w:tcPr>
          <w:p>
            <w:pPr>
              <w:ind w:left="20"/>
              <w:spacing w:after="0"/>
              <w:rPr>
                <w:sz w:val="20"/>
                <w:szCs w:val="20"/>
                <w:color w:val="auto"/>
              </w:rPr>
            </w:pPr>
            <w:r>
              <w:rPr>
                <w:rFonts w:ascii="Arial" w:cs="Arial" w:eastAsia="Arial" w:hAnsi="Arial"/>
                <w:sz w:val="16"/>
                <w:szCs w:val="16"/>
                <w:color w:val="auto"/>
              </w:rPr>
              <w:t>Consolidated income before income tax expense</w:t>
            </w:r>
          </w:p>
        </w:tc>
        <w:tc>
          <w:tcPr>
            <w:tcW w:w="1100" w:type="dxa"/>
            <w:vAlign w:val="bottom"/>
            <w:tcBorders>
              <w:top w:val="single" w:sz="8" w:color="auto"/>
              <w:bottom w:val="single" w:sz="8" w:color="auto"/>
            </w:tcBorders>
          </w:tcPr>
          <w:p>
            <w:pPr>
              <w:jc w:val="right"/>
              <w:ind w:right="919"/>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722</w:t>
            </w: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249</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2,053</w:t>
            </w: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1,186</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left="340" w:right="420" w:hanging="332"/>
        <w:spacing w:after="0" w:line="277" w:lineRule="auto"/>
        <w:tabs>
          <w:tab w:leader="none" w:pos="334"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other income and expenses from operating segments managed outside the reportable segments, including our Distribution business. Also includes unallocated corporate income and expenses.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40" w:hanging="332"/>
        <w:spacing w:after="0" w:line="277" w:lineRule="auto"/>
        <w:tabs>
          <w:tab w:leader="none" w:pos="334"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Reflects the net effect from recognition (deferral) of deferred net revenues, along with related cost of revenues, on certain of our online-enabled products.</w:t>
      </w:r>
    </w:p>
    <w:p>
      <w:pPr>
        <w:spacing w:after="0" w:line="89" w:lineRule="exact"/>
        <w:rPr>
          <w:rFonts w:ascii="Arial" w:cs="Arial" w:eastAsia="Arial" w:hAnsi="Arial"/>
          <w:sz w:val="18"/>
          <w:szCs w:val="18"/>
          <w:color w:val="auto"/>
        </w:rPr>
      </w:pPr>
    </w:p>
    <w:p>
      <w:pPr>
        <w:ind w:left="320" w:hanging="312"/>
        <w:spacing w:after="0"/>
        <w:tabs>
          <w:tab w:leader="none" w:pos="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Intersegment revenues reflect licensing and service fees charged between segments.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Reflects restructuring initiatives, which include severance and other restructuring-related costs.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Net Revenues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Activision</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Q3 2020 vs. Q3 2019</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increase in Activision’s segment net revenues for the three months ended September 30, 2020, as compared to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2019, was primarily due to higher revenues from:</w:t>
      </w:r>
    </w:p>
    <w:p>
      <w:pPr>
        <w:spacing w:after="0" w:line="238" w:lineRule="exact"/>
        <w:rPr>
          <w:sz w:val="20"/>
          <w:szCs w:val="20"/>
          <w:color w:val="auto"/>
        </w:rPr>
      </w:pPr>
    </w:p>
    <w:p>
      <w:pPr>
        <w:ind w:left="980" w:right="20" w:hanging="324"/>
        <w:spacing w:after="0" w:line="277" w:lineRule="auto"/>
        <w:tabs>
          <w:tab w:leader="none" w:pos="975"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Call of Duty: Modern Warfare</w:t>
      </w:r>
      <w:r>
        <w:rPr>
          <w:rFonts w:ascii="Arial" w:cs="Arial" w:eastAsia="Arial" w:hAnsi="Arial"/>
          <w:sz w:val="18"/>
          <w:szCs w:val="18"/>
          <w:color w:val="auto"/>
        </w:rPr>
        <w:t>, which was released in October 2019, as compared to</w:t>
      </w:r>
      <w:r>
        <w:rPr>
          <w:rFonts w:ascii="Arial" w:cs="Arial" w:eastAsia="Arial" w:hAnsi="Arial"/>
          <w:sz w:val="18"/>
          <w:szCs w:val="18"/>
          <w:i w:val="1"/>
          <w:iCs w:val="1"/>
          <w:color w:val="auto"/>
        </w:rPr>
        <w:t xml:space="preserve"> Call of Duty: Black Ops 4</w:t>
      </w:r>
      <w:r>
        <w:rPr>
          <w:rFonts w:ascii="Arial" w:cs="Arial" w:eastAsia="Arial" w:hAnsi="Arial"/>
          <w:sz w:val="18"/>
          <w:szCs w:val="18"/>
          <w:color w:val="auto"/>
        </w:rPr>
        <w:t>, which was released in</w:t>
      </w:r>
      <w:r>
        <w:rPr>
          <w:rFonts w:ascii="Arial" w:cs="Arial" w:eastAsia="Arial" w:hAnsi="Arial"/>
          <w:sz w:val="18"/>
          <w:szCs w:val="18"/>
          <w:i w:val="1"/>
          <w:iCs w:val="1"/>
          <w:color w:val="auto"/>
        </w:rPr>
        <w:t xml:space="preserve"> </w:t>
      </w:r>
      <w:r>
        <w:rPr>
          <w:rFonts w:ascii="Arial" w:cs="Arial" w:eastAsia="Arial" w:hAnsi="Arial"/>
          <w:sz w:val="18"/>
          <w:szCs w:val="18"/>
          <w:color w:val="auto"/>
        </w:rPr>
        <w:t>October 2018;</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Call of Duty: Mobile</w:t>
      </w:r>
      <w:r>
        <w:rPr>
          <w:rFonts w:ascii="Arial" w:cs="Arial" w:eastAsia="Arial" w:hAnsi="Arial"/>
          <w:sz w:val="18"/>
          <w:szCs w:val="18"/>
          <w:color w:val="auto"/>
        </w:rPr>
        <w:t>, which was released in October 2019;</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Tony Hawk’s Pro Skater 1 and 2</w:t>
      </w:r>
      <w:r>
        <w:rPr>
          <w:rFonts w:ascii="Arial" w:cs="Arial" w:eastAsia="Arial" w:hAnsi="Arial"/>
          <w:sz w:val="18"/>
          <w:szCs w:val="18"/>
          <w:color w:val="auto"/>
        </w:rPr>
        <w:t>, which was released in September 2020;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Call of Duty franchise catalog titles.</w:t>
      </w:r>
    </w:p>
    <w:p>
      <w:pPr>
        <w:spacing w:after="0" w:line="247" w:lineRule="exact"/>
        <w:rPr>
          <w:sz w:val="20"/>
          <w:szCs w:val="20"/>
          <w:color w:val="auto"/>
        </w:rPr>
      </w:pPr>
    </w:p>
    <w:p>
      <w:pPr>
        <w:ind w:left="340" w:right="1120"/>
        <w:spacing w:after="0" w:line="470" w:lineRule="auto"/>
        <w:rPr>
          <w:sz w:val="20"/>
          <w:szCs w:val="20"/>
          <w:color w:val="auto"/>
        </w:rPr>
      </w:pPr>
      <w:r>
        <w:rPr>
          <w:rFonts w:ascii="Arial" w:cs="Arial" w:eastAsia="Arial" w:hAnsi="Arial"/>
          <w:sz w:val="18"/>
          <w:szCs w:val="18"/>
          <w:color w:val="auto"/>
        </w:rPr>
        <w:t xml:space="preserve">The increase was partially offset by lower revenues from </w:t>
      </w:r>
      <w:r>
        <w:rPr>
          <w:rFonts w:ascii="Arial" w:cs="Arial" w:eastAsia="Arial" w:hAnsi="Arial"/>
          <w:sz w:val="18"/>
          <w:szCs w:val="18"/>
          <w:i w:val="1"/>
          <w:iCs w:val="1"/>
          <w:color w:val="auto"/>
        </w:rPr>
        <w:t>Crash</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w:t>
      </w:r>
      <w:r>
        <w:rPr>
          <w:rFonts w:ascii="Arial" w:cs="Arial" w:eastAsia="Arial" w:hAnsi="Arial"/>
          <w:sz w:val="18"/>
          <w:szCs w:val="18"/>
          <w:i w:val="1"/>
          <w:iCs w:val="1"/>
          <w:color w:val="auto"/>
        </w:rPr>
        <w:t>Team Racing Nitro-Fueled,</w:t>
      </w:r>
      <w:r>
        <w:rPr>
          <w:rFonts w:ascii="Arial" w:cs="Arial" w:eastAsia="Arial" w:hAnsi="Arial"/>
          <w:sz w:val="18"/>
          <w:szCs w:val="18"/>
          <w:color w:val="auto"/>
        </w:rPr>
        <w:t xml:space="preserve"> which was released in June 2019. </w:t>
      </w:r>
      <w:r>
        <w:rPr>
          <w:rFonts w:ascii="Arial" w:cs="Arial" w:eastAsia="Arial" w:hAnsi="Arial"/>
          <w:sz w:val="18"/>
          <w:szCs w:val="18"/>
          <w:u w:val="single" w:color="auto"/>
          <w:color w:val="auto"/>
        </w:rPr>
        <w:t>YTD Q3 2020 vs. YTD Q3 2019</w:t>
      </w:r>
    </w:p>
    <w:p>
      <w:pPr>
        <w:ind w:left="660"/>
        <w:spacing w:after="0"/>
        <w:rPr>
          <w:sz w:val="20"/>
          <w:szCs w:val="20"/>
          <w:color w:val="auto"/>
        </w:rPr>
      </w:pPr>
      <w:r>
        <w:rPr>
          <w:rFonts w:ascii="Arial" w:cs="Arial" w:eastAsia="Arial" w:hAnsi="Arial"/>
          <w:sz w:val="16"/>
          <w:szCs w:val="16"/>
          <w:color w:val="auto"/>
        </w:rPr>
        <w:t>The increase in Activision’s segment net revenues for the nine months ended September 30, 2020, as compared to the nine months ended</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September 30, 2019, was primarily due to higher revenues from:</w:t>
      </w:r>
    </w:p>
    <w:p>
      <w:pPr>
        <w:spacing w:after="0" w:line="238" w:lineRule="exact"/>
        <w:rPr>
          <w:sz w:val="20"/>
          <w:szCs w:val="20"/>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 xml:space="preserve">Call of Duty: Modern Warfare, </w:t>
      </w:r>
      <w:r>
        <w:rPr>
          <w:rFonts w:ascii="Arial" w:cs="Arial" w:eastAsia="Arial" w:hAnsi="Arial"/>
          <w:sz w:val="18"/>
          <w:szCs w:val="18"/>
          <w:color w:val="auto"/>
        </w:rPr>
        <w:t>as compared to</w:t>
      </w:r>
      <w:r>
        <w:rPr>
          <w:rFonts w:ascii="Arial" w:cs="Arial" w:eastAsia="Arial" w:hAnsi="Arial"/>
          <w:sz w:val="18"/>
          <w:szCs w:val="18"/>
          <w:i w:val="1"/>
          <w:iCs w:val="1"/>
          <w:color w:val="auto"/>
        </w:rPr>
        <w:t xml:space="preserve"> Call of Duty: Black Ops 4</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Call of Duty: Mobile</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Call of Duty franchise catalog titles;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Tony Hawk’s Pro Skater 1 and 2;</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Call of Duty League, which began its first season in January 2020; and</w:t>
      </w:r>
    </w:p>
    <w:p>
      <w:pPr>
        <w:spacing w:after="0" w:line="252" w:lineRule="exact"/>
        <w:rPr>
          <w:rFonts w:ascii="Arial" w:cs="Arial" w:eastAsia="Arial" w:hAnsi="Arial"/>
          <w:sz w:val="18"/>
          <w:szCs w:val="18"/>
          <w:color w:val="auto"/>
        </w:rPr>
      </w:pPr>
    </w:p>
    <w:p>
      <w:pPr>
        <w:ind w:left="340" w:right="2400" w:firstLine="316"/>
        <w:spacing w:after="0" w:line="532" w:lineRule="auto"/>
        <w:tabs>
          <w:tab w:leader="none" w:pos="983"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Call of Duty: Modern Warfare 2 Campaign Remastered</w:t>
      </w:r>
      <w:r>
        <w:rPr>
          <w:rFonts w:ascii="Arial" w:cs="Arial" w:eastAsia="Arial" w:hAnsi="Arial"/>
          <w:sz w:val="18"/>
          <w:szCs w:val="18"/>
          <w:color w:val="auto"/>
        </w:rPr>
        <w:t>, which was first released on March 31, 2020.</w:t>
      </w:r>
      <w:r>
        <w:rPr>
          <w:rFonts w:ascii="Arial" w:cs="Arial" w:eastAsia="Arial" w:hAnsi="Arial"/>
          <w:sz w:val="18"/>
          <w:szCs w:val="18"/>
          <w:i w:val="1"/>
          <w:iCs w:val="1"/>
          <w:color w:val="auto"/>
        </w:rPr>
        <w:t xml:space="preserve"> </w:t>
      </w:r>
      <w:r>
        <w:rPr>
          <w:rFonts w:ascii="Arial" w:cs="Arial" w:eastAsia="Arial" w:hAnsi="Arial"/>
          <w:sz w:val="18"/>
          <w:szCs w:val="18"/>
          <w:color w:val="auto"/>
        </w:rPr>
        <w:t>The increase was partially offset by lower revenues from:</w:t>
      </w: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Sekiro: Shadows Die Twice</w:t>
      </w:r>
      <w:r>
        <w:rPr>
          <w:rFonts w:ascii="Arial" w:cs="Arial" w:eastAsia="Arial" w:hAnsi="Arial"/>
          <w:sz w:val="18"/>
          <w:szCs w:val="18"/>
          <w:color w:val="auto"/>
        </w:rPr>
        <w:t>, which was released in March 2019;</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Crash Team Racing Nitro-Fueled</w:t>
      </w:r>
      <w:r>
        <w:rPr>
          <w:rFonts w:ascii="Arial" w:cs="Arial" w:eastAsia="Arial" w:hAnsi="Arial"/>
          <w:sz w:val="18"/>
          <w:szCs w:val="18"/>
          <w:color w:val="auto"/>
        </w:rPr>
        <w:t>;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Destiny franchise (reflecting our sale of the publishing rights for Destiny to Bungie in December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60"/>
          </w:cols>
          <w:pgMar w:left="320" w:top="125" w:right="91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Blizzard</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Q3 2020 vs. Q3 2019</w:t>
      </w:r>
    </w:p>
    <w:p>
      <w:pPr>
        <w:spacing w:after="0" w:line="252"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 xml:space="preserve">The increase in Blizzard’s segment net revenues for the three months ended September 30, 2020, as compared to the three months ended September 30, 2019, was primarily due to higher revenues from </w:t>
      </w:r>
      <w:r>
        <w:rPr>
          <w:rFonts w:ascii="Arial" w:cs="Arial" w:eastAsia="Arial" w:hAnsi="Arial"/>
          <w:sz w:val="18"/>
          <w:szCs w:val="18"/>
          <w:i w:val="1"/>
          <w:iCs w:val="1"/>
          <w:color w:val="auto"/>
        </w:rPr>
        <w:t>World of Warcraft</w:t>
      </w:r>
      <w:r>
        <w:rPr>
          <w:rFonts w:ascii="Arial" w:cs="Arial" w:eastAsia="Arial" w:hAnsi="Arial"/>
          <w:sz w:val="18"/>
          <w:szCs w:val="18"/>
          <w:color w:val="auto"/>
        </w:rPr>
        <w:t>, primarily from higher revenues associated with in-game content and subscriptions, partially offset by lower revenues from the Overwatch League.</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YTD Q3 2020 vs. YTD Q3 2019</w:t>
      </w:r>
    </w:p>
    <w:p>
      <w:pPr>
        <w:spacing w:after="0" w:line="25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increase in Blizzard’s segment net revenues for the nine months ended September 30, 2020, as compared to the nine months ended September 30, 2019, was primarily due to the same factors as noted for the three-month period above.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King</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Q3 2020 vs. Q3 2019</w:t>
      </w:r>
    </w:p>
    <w:p>
      <w:pPr>
        <w:spacing w:after="0" w:line="252"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increase in King’s segment net revenues for the three months ended September 30, 2020, as compared to the three months ended September 30, 2019, was primarily due to higher revenues from player purchases and advertising in the Candy Crush franchise.</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YTD Q3 2020 vs. YTD Q3 2019</w:t>
      </w:r>
    </w:p>
    <w:p>
      <w:pPr>
        <w:spacing w:after="0" w:line="252"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The increase in King’s segment net revenues for the nine months ended September 30, 2020, as compared to the nine months ended September 30, 2019, was primarily due to higher advertising revenues in the Candy Crush franchise.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Income from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Activision</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Q3 2020 vs. Q3 2019</w:t>
      </w:r>
    </w:p>
    <w:p>
      <w:pPr>
        <w:spacing w:after="0" w:line="252"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The increase in Activision’s segment operating income for the three months ended September 30, 2020, as compared to the three months ended September 30, 2019, was primarily due to higher segment net revenues.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increase was partially offset by:</w:t>
      </w:r>
    </w:p>
    <w:p>
      <w:pPr>
        <w:spacing w:after="0" w:line="252" w:lineRule="exact"/>
        <w:rPr>
          <w:sz w:val="20"/>
          <w:szCs w:val="20"/>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higher cost of revenues and marketing costs for </w:t>
      </w:r>
      <w:r>
        <w:rPr>
          <w:rFonts w:ascii="Arial" w:cs="Arial" w:eastAsia="Arial" w:hAnsi="Arial"/>
          <w:sz w:val="18"/>
          <w:szCs w:val="18"/>
          <w:i w:val="1"/>
          <w:iCs w:val="1"/>
          <w:color w:val="auto"/>
        </w:rPr>
        <w:t>Call of Duty: Mobile</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higher product development costs driven by higher personnel bonuses as a result of strong business performance;</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higher cost of revenues and marketing costs for </w:t>
      </w:r>
      <w:r>
        <w:rPr>
          <w:rFonts w:ascii="Arial" w:cs="Arial" w:eastAsia="Arial" w:hAnsi="Arial"/>
          <w:sz w:val="18"/>
          <w:szCs w:val="18"/>
          <w:i w:val="1"/>
          <w:iCs w:val="1"/>
          <w:color w:val="auto"/>
        </w:rPr>
        <w:t>Call of Duty: Modern Warfare,</w:t>
      </w:r>
      <w:r>
        <w:rPr>
          <w:rFonts w:ascii="Arial" w:cs="Arial" w:eastAsia="Arial" w:hAnsi="Arial"/>
          <w:sz w:val="18"/>
          <w:szCs w:val="18"/>
          <w:color w:val="auto"/>
        </w:rPr>
        <w:t xml:space="preserve"> as compared to </w:t>
      </w:r>
      <w:r>
        <w:rPr>
          <w:rFonts w:ascii="Arial" w:cs="Arial" w:eastAsia="Arial" w:hAnsi="Arial"/>
          <w:sz w:val="18"/>
          <w:szCs w:val="18"/>
          <w:i w:val="1"/>
          <w:iCs w:val="1"/>
          <w:color w:val="auto"/>
        </w:rPr>
        <w:t>Call of Duty: Black Ops 4</w:t>
      </w:r>
      <w:r>
        <w:rPr>
          <w:rFonts w:ascii="Arial" w:cs="Arial" w:eastAsia="Arial" w:hAnsi="Arial"/>
          <w:sz w:val="18"/>
          <w:szCs w:val="18"/>
          <w:color w:val="auto"/>
        </w:rPr>
        <w:t>;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cost of revenues and marketing costs associated with the release of </w:t>
      </w:r>
      <w:r>
        <w:rPr>
          <w:rFonts w:ascii="Arial" w:cs="Arial" w:eastAsia="Arial" w:hAnsi="Arial"/>
          <w:sz w:val="18"/>
          <w:szCs w:val="18"/>
          <w:i w:val="1"/>
          <w:iCs w:val="1"/>
          <w:color w:val="auto"/>
        </w:rPr>
        <w:t>Tony Hawk’s Pro Skater 1 and 2</w:t>
      </w:r>
      <w:r>
        <w:rPr>
          <w:rFonts w:ascii="Arial" w:cs="Arial" w:eastAsia="Arial" w:hAnsi="Arial"/>
          <w:sz w:val="18"/>
          <w:szCs w:val="18"/>
          <w:color w:val="auto"/>
        </w:rPr>
        <w:t xml:space="preserve"> in the current quarter.</w:t>
      </w:r>
    </w:p>
    <w:p>
      <w:pPr>
        <w:spacing w:after="0" w:line="200" w:lineRule="exact"/>
        <w:rPr>
          <w:sz w:val="20"/>
          <w:szCs w:val="20"/>
          <w:color w:val="auto"/>
        </w:rPr>
      </w:pPr>
    </w:p>
    <w:p>
      <w:pPr>
        <w:spacing w:after="0" w:line="295"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YTD Q3 2020 vs. YTD Q3 2019</w:t>
      </w:r>
    </w:p>
    <w:p>
      <w:pPr>
        <w:spacing w:after="0" w:line="252"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The increase in Activision’s segment operating income for the nine months ended September 30, 2020, as compared to the nine months ended September 30, 2019, was primarily due to higher segment net revenues.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increase was partially offset by:</w:t>
      </w:r>
    </w:p>
    <w:p>
      <w:pPr>
        <w:spacing w:after="0" w:line="252" w:lineRule="exact"/>
        <w:rPr>
          <w:sz w:val="20"/>
          <w:szCs w:val="20"/>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higher cost of revenues and marketing costs for </w:t>
      </w:r>
      <w:r>
        <w:rPr>
          <w:rFonts w:ascii="Arial" w:cs="Arial" w:eastAsia="Arial" w:hAnsi="Arial"/>
          <w:sz w:val="18"/>
          <w:szCs w:val="18"/>
          <w:i w:val="1"/>
          <w:iCs w:val="1"/>
          <w:color w:val="auto"/>
        </w:rPr>
        <w:t>Call of Duty: Mobile</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higher product development costs driven by higher personnel bonuses as a result of strong business performance; and</w:t>
      </w:r>
    </w:p>
    <w:p>
      <w:pPr>
        <w:sectPr>
          <w:pgSz w:w="11900" w:h="16838" w:orient="portrait"/>
          <w:cols w:equalWidth="0" w:num="1">
            <w:col w:w="11140"/>
          </w:cols>
          <w:pgMar w:left="320" w:top="125" w:right="4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type w:val="continuous"/>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higher cost of revenues and marketing costs for </w:t>
      </w:r>
      <w:r>
        <w:rPr>
          <w:rFonts w:ascii="Arial" w:cs="Arial" w:eastAsia="Arial" w:hAnsi="Arial"/>
          <w:sz w:val="18"/>
          <w:szCs w:val="18"/>
          <w:i w:val="1"/>
          <w:iCs w:val="1"/>
          <w:color w:val="auto"/>
        </w:rPr>
        <w:t>Call of Duty: Modern Warfare,</w:t>
      </w:r>
      <w:r>
        <w:rPr>
          <w:rFonts w:ascii="Arial" w:cs="Arial" w:eastAsia="Arial" w:hAnsi="Arial"/>
          <w:sz w:val="18"/>
          <w:szCs w:val="18"/>
          <w:color w:val="auto"/>
        </w:rPr>
        <w:t xml:space="preserve"> as compared to </w:t>
      </w:r>
      <w:r>
        <w:rPr>
          <w:rFonts w:ascii="Arial" w:cs="Arial" w:eastAsia="Arial" w:hAnsi="Arial"/>
          <w:sz w:val="18"/>
          <w:szCs w:val="18"/>
          <w:i w:val="1"/>
          <w:iCs w:val="1"/>
          <w:color w:val="auto"/>
        </w:rPr>
        <w:t>Call of Duty: Black Ops 4.</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Blizzard</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Q3 2020 vs. Q3 2019</w:t>
      </w:r>
    </w:p>
    <w:p>
      <w:pPr>
        <w:spacing w:after="0" w:line="252"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The increase in Blizzard’s segment operating income for the three months ended September 30, 2020, as compared to the three months ended September 30, 2019, was primarily due to higher segment net revenues and lower esport production and marketing costs, partially offset by costs associated with the Overwatch League to support team owners during the COVID-19 pandemic.</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YTD Q3 2020 vs. YTD Q3 2019</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increase in Blizzard’s segment operating income for the nine months ended September 30, 2020, as compared to the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2019, was primarily due to:</w:t>
      </w:r>
    </w:p>
    <w:p>
      <w:pPr>
        <w:spacing w:after="0" w:line="238" w:lineRule="exact"/>
        <w:rPr>
          <w:sz w:val="20"/>
          <w:szCs w:val="20"/>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higher segment net revenues;</w:t>
      </w:r>
    </w:p>
    <w:p>
      <w:pPr>
        <w:spacing w:after="0" w:line="252" w:lineRule="exact"/>
        <w:rPr>
          <w:rFonts w:ascii="Arial" w:cs="Arial" w:eastAsia="Arial" w:hAnsi="Arial"/>
          <w:sz w:val="18"/>
          <w:szCs w:val="18"/>
          <w:color w:val="auto"/>
        </w:rPr>
      </w:pPr>
    </w:p>
    <w:p>
      <w:pPr>
        <w:ind w:left="980" w:right="180" w:hanging="324"/>
        <w:spacing w:after="0" w:line="277" w:lineRule="auto"/>
        <w:tabs>
          <w:tab w:leader="none" w:pos="975" w:val="left"/>
        </w:tabs>
        <w:numPr>
          <w:ilvl w:val="0"/>
          <w:numId w:val="37"/>
        </w:numPr>
        <w:rPr>
          <w:rFonts w:ascii="Arial" w:cs="Arial" w:eastAsia="Arial" w:hAnsi="Arial"/>
          <w:sz w:val="18"/>
          <w:szCs w:val="18"/>
          <w:color w:val="auto"/>
        </w:rPr>
      </w:pPr>
      <w:r>
        <w:rPr>
          <w:rFonts w:ascii="Arial" w:cs="Arial" w:eastAsia="Arial" w:hAnsi="Arial"/>
          <w:sz w:val="18"/>
          <w:szCs w:val="18"/>
          <w:color w:val="auto"/>
        </w:rPr>
        <w:t>lower product development costs, despite an increase in personnel costs, driven by higher capitalization of software development costs from the timing of game development cycles; and</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lower general and administrative costs.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King</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Q3 2020 vs. Q3 2019</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increase in King’s segment operating income for the three months ended September 30, 2020, as compared to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2019, was primarily due to:</w:t>
      </w:r>
    </w:p>
    <w:p>
      <w:pPr>
        <w:spacing w:after="0" w:line="238" w:lineRule="exact"/>
        <w:rPr>
          <w:sz w:val="20"/>
          <w:szCs w:val="20"/>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higher segment net revenues; and</w:t>
      </w:r>
    </w:p>
    <w:p>
      <w:pPr>
        <w:spacing w:after="0" w:line="252" w:lineRule="exact"/>
        <w:rPr>
          <w:rFonts w:ascii="Arial" w:cs="Arial" w:eastAsia="Arial" w:hAnsi="Arial"/>
          <w:sz w:val="18"/>
          <w:szCs w:val="18"/>
          <w:color w:val="auto"/>
        </w:rPr>
      </w:pPr>
    </w:p>
    <w:p>
      <w:pPr>
        <w:ind w:left="340" w:right="7460" w:firstLine="316"/>
        <w:spacing w:after="0" w:line="532" w:lineRule="auto"/>
        <w:tabs>
          <w:tab w:leader="none" w:pos="983"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lower general and administrative costs. </w:t>
      </w:r>
      <w:r>
        <w:rPr>
          <w:rFonts w:ascii="Arial" w:cs="Arial" w:eastAsia="Arial" w:hAnsi="Arial"/>
          <w:sz w:val="18"/>
          <w:szCs w:val="18"/>
          <w:u w:val="single" w:color="auto"/>
          <w:color w:val="auto"/>
        </w:rPr>
        <w:t>YTD Q3 2020 vs. YTD Q3 2019</w:t>
      </w:r>
    </w:p>
    <w:p>
      <w:pPr>
        <w:ind w:left="340"/>
        <w:spacing w:after="0"/>
        <w:rPr>
          <w:sz w:val="20"/>
          <w:szCs w:val="20"/>
          <w:color w:val="auto"/>
        </w:rPr>
      </w:pPr>
      <w:r>
        <w:rPr>
          <w:rFonts w:ascii="Arial" w:cs="Arial" w:eastAsia="Arial" w:hAnsi="Arial"/>
          <w:sz w:val="17"/>
          <w:szCs w:val="17"/>
          <w:color w:val="auto"/>
        </w:rPr>
        <w:t>The increase in King’s segment operating income for the nine months ended September 30, 2020, as compared to the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2019, was primarily due to:</w:t>
      </w:r>
    </w:p>
    <w:p>
      <w:pPr>
        <w:spacing w:after="0" w:line="238" w:lineRule="exact"/>
        <w:rPr>
          <w:sz w:val="20"/>
          <w:szCs w:val="20"/>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higher segment net revenues;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lower general and administrative costs.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increase was partially offset by higher sales and marketing costs for the Candy Crush franchise.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Impact</w:t>
      </w:r>
    </w:p>
    <w:p>
      <w:pPr>
        <w:spacing w:after="0" w:line="225" w:lineRule="exact"/>
        <w:rPr>
          <w:sz w:val="20"/>
          <w:szCs w:val="20"/>
          <w:color w:val="auto"/>
        </w:rPr>
      </w:pPr>
    </w:p>
    <w:p>
      <w:pPr>
        <w:jc w:val="both"/>
        <w:ind w:right="180" w:firstLine="324"/>
        <w:spacing w:after="0" w:line="263" w:lineRule="auto"/>
        <w:rPr>
          <w:sz w:val="20"/>
          <w:szCs w:val="20"/>
          <w:color w:val="auto"/>
        </w:rPr>
      </w:pPr>
      <w:r>
        <w:rPr>
          <w:rFonts w:ascii="Arial" w:cs="Arial" w:eastAsia="Arial" w:hAnsi="Arial"/>
          <w:sz w:val="18"/>
          <w:szCs w:val="18"/>
          <w:color w:val="auto"/>
        </w:rPr>
        <w:t>Changes in foreign exchange rates had a positive impact of $28 million and a negative impact of $13 million on reportable segment net revenues for the three and nine months ended September 30, 2020, respectively, as compared to the same period in the previous year. The changes are primarily due to changes in the value of the U.S. dollar relative to the euro and the British pound.</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Revenues by Distribution Channel</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details our consolidated net revenues by distribution channel (amounts in millions):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740" w:type="dxa"/>
            <w:vAlign w:val="bottom"/>
            <w:gridSpan w:val="8"/>
          </w:tcPr>
          <w:p>
            <w:pPr>
              <w:ind w:left="160"/>
              <w:spacing w:after="0"/>
              <w:rPr>
                <w:sz w:val="20"/>
                <w:szCs w:val="20"/>
                <w:color w:val="auto"/>
              </w:rPr>
            </w:pPr>
            <w:r>
              <w:rPr>
                <w:rFonts w:ascii="Arial" w:cs="Arial" w:eastAsia="Arial" w:hAnsi="Arial"/>
                <w:sz w:val="16"/>
                <w:szCs w:val="16"/>
                <w:b w:val="1"/>
                <w:bCs w:val="1"/>
                <w:color w:val="auto"/>
              </w:rPr>
              <w:t>For the Three Months Ended September 30,</w:t>
            </w:r>
          </w:p>
        </w:tc>
        <w:tc>
          <w:tcPr>
            <w:tcW w:w="280" w:type="dxa"/>
            <w:vAlign w:val="bottom"/>
          </w:tcPr>
          <w:p>
            <w:pPr>
              <w:spacing w:after="0"/>
              <w:rPr>
                <w:sz w:val="18"/>
                <w:szCs w:val="18"/>
                <w:color w:val="auto"/>
              </w:rPr>
            </w:pPr>
          </w:p>
        </w:tc>
        <w:tc>
          <w:tcPr>
            <w:tcW w:w="3620" w:type="dxa"/>
            <w:vAlign w:val="bottom"/>
            <w:gridSpan w:val="7"/>
          </w:tcPr>
          <w:p>
            <w:pPr>
              <w:jc w:val="right"/>
              <w:ind w:right="373"/>
              <w:spacing w:after="0"/>
              <w:rPr>
                <w:sz w:val="20"/>
                <w:szCs w:val="20"/>
                <w:color w:val="auto"/>
              </w:rPr>
            </w:pPr>
            <w:r>
              <w:rPr>
                <w:rFonts w:ascii="Arial" w:cs="Arial" w:eastAsia="Arial" w:hAnsi="Arial"/>
                <w:sz w:val="16"/>
                <w:szCs w:val="16"/>
                <w:b w:val="1"/>
                <w:bCs w:val="1"/>
                <w:color w:val="auto"/>
                <w:w w:val="97"/>
              </w:rPr>
              <w:t>For the Nine Months Ended September 30,</w:t>
            </w:r>
          </w:p>
        </w:tc>
        <w:tc>
          <w:tcPr>
            <w:tcW w:w="0" w:type="dxa"/>
            <w:vAlign w:val="bottom"/>
          </w:tcPr>
          <w:p>
            <w:pPr>
              <w:spacing w:after="0"/>
              <w:rPr>
                <w:sz w:val="1"/>
                <w:szCs w:val="1"/>
                <w:color w:val="auto"/>
              </w:rPr>
            </w:pPr>
          </w:p>
        </w:tc>
      </w:tr>
      <w:tr>
        <w:trPr>
          <w:trHeight w:val="158"/>
        </w:trPr>
        <w:tc>
          <w:tcPr>
            <w:tcW w:w="334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vMerge w:val="restart"/>
          </w:tcPr>
          <w:p>
            <w:pPr>
              <w:jc w:val="right"/>
              <w:ind w:right="35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vMerge w:val="restart"/>
          </w:tcPr>
          <w:p>
            <w:pPr>
              <w:jc w:val="right"/>
              <w:ind w:right="372"/>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center"/>
              <w:ind w:right="113"/>
              <w:spacing w:after="0" w:line="158" w:lineRule="exact"/>
              <w:rPr>
                <w:sz w:val="20"/>
                <w:szCs w:val="20"/>
                <w:color w:val="auto"/>
              </w:rPr>
            </w:pPr>
            <w:r>
              <w:rPr>
                <w:rFonts w:ascii="Arial" w:cs="Arial" w:eastAsia="Arial" w:hAnsi="Arial"/>
                <w:sz w:val="16"/>
                <w:szCs w:val="16"/>
                <w:b w:val="1"/>
                <w:bCs w:val="1"/>
                <w:color w:val="auto"/>
                <w:w w:val="89"/>
              </w:rPr>
              <w:t>Increase</w:t>
            </w: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vMerge w:val="restart"/>
          </w:tcPr>
          <w:p>
            <w:pPr>
              <w:jc w:val="right"/>
              <w:ind w:right="353"/>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vMerge w:val="restart"/>
          </w:tcPr>
          <w:p>
            <w:pPr>
              <w:jc w:val="right"/>
              <w:ind w:right="352"/>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233"/>
              <w:spacing w:after="0" w:line="158" w:lineRule="exact"/>
              <w:rPr>
                <w:sz w:val="20"/>
                <w:szCs w:val="20"/>
                <w:color w:val="auto"/>
              </w:rPr>
            </w:pPr>
            <w:r>
              <w:rPr>
                <w:rFonts w:ascii="Arial" w:cs="Arial" w:eastAsia="Arial" w:hAnsi="Arial"/>
                <w:sz w:val="16"/>
                <w:szCs w:val="16"/>
                <w:b w:val="1"/>
                <w:bCs w:val="1"/>
                <w:color w:val="auto"/>
              </w:rPr>
              <w:t>Increase</w:t>
            </w:r>
          </w:p>
        </w:tc>
        <w:tc>
          <w:tcPr>
            <w:tcW w:w="0" w:type="dxa"/>
            <w:vAlign w:val="bottom"/>
          </w:tcPr>
          <w:p>
            <w:pPr>
              <w:spacing w:after="0"/>
              <w:rPr>
                <w:sz w:val="1"/>
                <w:szCs w:val="1"/>
                <w:color w:val="auto"/>
              </w:rPr>
            </w:pPr>
          </w:p>
        </w:tc>
      </w:tr>
      <w:tr>
        <w:trPr>
          <w:trHeight w:val="213"/>
        </w:trPr>
        <w:tc>
          <w:tcPr>
            <w:tcW w:w="3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7"/>
              </w:rPr>
              <w:t>(Decrease)</w:t>
            </w:r>
          </w:p>
        </w:tc>
        <w:tc>
          <w:tcPr>
            <w:tcW w:w="2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73"/>
              <w:spacing w:after="0"/>
              <w:rPr>
                <w:sz w:val="20"/>
                <w:szCs w:val="20"/>
                <w:color w:val="auto"/>
              </w:rPr>
            </w:pPr>
            <w:r>
              <w:rPr>
                <w:rFonts w:ascii="Arial" w:cs="Arial" w:eastAsia="Arial" w:hAnsi="Arial"/>
                <w:sz w:val="16"/>
                <w:szCs w:val="16"/>
                <w:b w:val="1"/>
                <w:bCs w:val="1"/>
                <w:color w:val="auto"/>
                <w:w w:val="92"/>
              </w:rPr>
              <w:t>(Decrease)</w:t>
            </w:r>
          </w:p>
        </w:tc>
        <w:tc>
          <w:tcPr>
            <w:tcW w:w="0" w:type="dxa"/>
            <w:vAlign w:val="bottom"/>
          </w:tcPr>
          <w:p>
            <w:pPr>
              <w:spacing w:after="0"/>
              <w:rPr>
                <w:sz w:val="1"/>
                <w:szCs w:val="1"/>
                <w:color w:val="auto"/>
              </w:rPr>
            </w:pPr>
          </w:p>
        </w:tc>
      </w:tr>
      <w:tr>
        <w:trPr>
          <w:trHeight w:val="226"/>
        </w:trPr>
        <w:tc>
          <w:tcPr>
            <w:tcW w:w="3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 by distribution channel:</w:t>
            </w:r>
          </w:p>
        </w:tc>
        <w:tc>
          <w:tcPr>
            <w:tcW w:w="2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120"/>
              <w:spacing w:after="0"/>
              <w:rPr>
                <w:sz w:val="20"/>
                <w:szCs w:val="20"/>
                <w:color w:val="auto"/>
              </w:rPr>
            </w:pPr>
            <w:r>
              <w:rPr>
                <w:rFonts w:ascii="Arial" w:cs="Arial" w:eastAsia="Arial" w:hAnsi="Arial"/>
                <w:sz w:val="18"/>
                <w:szCs w:val="18"/>
                <w:color w:val="auto"/>
              </w:rPr>
              <w:t>Digital online channels (1)</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1,753</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1,014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739</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4,782</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3,493</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1,289</w:t>
            </w: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Retail channels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29"/>
        </w:trPr>
        <w:tc>
          <w:tcPr>
            <w:tcW w:w="33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(2)</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3"/>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consolidated net revenues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1,171</w:t>
            </w:r>
          </w:p>
        </w:tc>
        <w:tc>
          <w:tcPr>
            <w:tcW w:w="0" w:type="dxa"/>
            <w:vAlign w:val="bottom"/>
          </w:tcPr>
          <w:p>
            <w:pPr>
              <w:spacing w:after="0"/>
              <w:rPr>
                <w:sz w:val="1"/>
                <w:szCs w:val="1"/>
                <w:color w:val="auto"/>
              </w:rPr>
            </w:pPr>
          </w:p>
        </w:tc>
      </w:tr>
    </w:tbl>
    <w:p>
      <w:pPr>
        <w:spacing w:after="0" w:line="296" w:lineRule="exact"/>
        <w:rPr>
          <w:sz w:val="20"/>
          <w:szCs w:val="20"/>
          <w:color w:val="auto"/>
        </w:rPr>
      </w:pPr>
    </w:p>
    <w:p>
      <w:pPr>
        <w:ind w:left="340" w:right="60" w:hanging="332"/>
        <w:spacing w:after="0" w:line="277" w:lineRule="auto"/>
        <w:tabs>
          <w:tab w:leader="none" w:pos="451" w:val="left"/>
        </w:tabs>
        <w:numPr>
          <w:ilvl w:val="0"/>
          <w:numId w:val="40"/>
        </w:numPr>
        <w:rPr>
          <w:rFonts w:ascii="Arial" w:cs="Arial" w:eastAsia="Arial" w:hAnsi="Arial"/>
          <w:sz w:val="18"/>
          <w:szCs w:val="18"/>
          <w:color w:val="auto"/>
        </w:rPr>
      </w:pPr>
      <w:r>
        <w:rPr>
          <w:rFonts w:ascii="Arial" w:cs="Arial" w:eastAsia="Arial" w:hAnsi="Arial"/>
          <w:sz w:val="18"/>
          <w:szCs w:val="18"/>
          <w:color w:val="auto"/>
        </w:rPr>
        <w:t>Net revenues from “Digital online channels” include revenues from digitally-distributed subscriptions, downloadable content, microtransactions, and products, as well as licensing royalties.</w:t>
      </w:r>
    </w:p>
    <w:p>
      <w:pPr>
        <w:spacing w:after="0" w:line="197" w:lineRule="exact"/>
        <w:rPr>
          <w:rFonts w:ascii="Arial" w:cs="Arial" w:eastAsia="Arial" w:hAnsi="Arial"/>
          <w:sz w:val="18"/>
          <w:szCs w:val="18"/>
          <w:color w:val="auto"/>
        </w:rPr>
      </w:pPr>
    </w:p>
    <w:p>
      <w:pPr>
        <w:ind w:left="440" w:hanging="432"/>
        <w:spacing w:after="0"/>
        <w:tabs>
          <w:tab w:leader="none" w:pos="4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Net revenues from “Other” include revenues from our Distribution business, the Overwatch League, and the Call of Duty League.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Digital Online Channel Net Revenues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Q3 2020 vs. Q3 2019</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increase in net revenues from digital online channels for the three months ended September 30, 2020, as compared to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2019, was primarily due to higher revenues from:</w:t>
      </w:r>
    </w:p>
    <w:p>
      <w:pPr>
        <w:spacing w:after="0" w:line="238" w:lineRule="exact"/>
        <w:rPr>
          <w:sz w:val="20"/>
          <w:szCs w:val="20"/>
          <w:color w:val="auto"/>
        </w:rPr>
      </w:pPr>
    </w:p>
    <w:p>
      <w:pPr>
        <w:ind w:left="980" w:right="600" w:hanging="324"/>
        <w:spacing w:after="0" w:line="277" w:lineRule="auto"/>
        <w:tabs>
          <w:tab w:leader="none" w:pos="975"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Call of Duty: Modern Warfare</w:t>
      </w:r>
      <w:r>
        <w:rPr>
          <w:rFonts w:ascii="Arial" w:cs="Arial" w:eastAsia="Arial" w:hAnsi="Arial"/>
          <w:sz w:val="18"/>
          <w:szCs w:val="18"/>
          <w:color w:val="auto"/>
        </w:rPr>
        <w:t>, which was released in October 2019, as compared to</w:t>
      </w:r>
      <w:r>
        <w:rPr>
          <w:rFonts w:ascii="Arial" w:cs="Arial" w:eastAsia="Arial" w:hAnsi="Arial"/>
          <w:sz w:val="18"/>
          <w:szCs w:val="18"/>
          <w:i w:val="1"/>
          <w:iCs w:val="1"/>
          <w:color w:val="auto"/>
        </w:rPr>
        <w:t xml:space="preserve"> Call of Duty: Black Ops 4</w:t>
      </w:r>
      <w:r>
        <w:rPr>
          <w:rFonts w:ascii="Arial" w:cs="Arial" w:eastAsia="Arial" w:hAnsi="Arial"/>
          <w:sz w:val="18"/>
          <w:szCs w:val="18"/>
          <w:color w:val="auto"/>
        </w:rPr>
        <w:t>, which was released in</w:t>
      </w:r>
      <w:r>
        <w:rPr>
          <w:rFonts w:ascii="Arial" w:cs="Arial" w:eastAsia="Arial" w:hAnsi="Arial"/>
          <w:sz w:val="18"/>
          <w:szCs w:val="18"/>
          <w:i w:val="1"/>
          <w:iCs w:val="1"/>
          <w:color w:val="auto"/>
        </w:rPr>
        <w:t xml:space="preserve"> </w:t>
      </w:r>
      <w:r>
        <w:rPr>
          <w:rFonts w:ascii="Arial" w:cs="Arial" w:eastAsia="Arial" w:hAnsi="Arial"/>
          <w:sz w:val="18"/>
          <w:szCs w:val="18"/>
          <w:color w:val="auto"/>
        </w:rPr>
        <w:t>October 2018;</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Call of Duty: Mobile</w:t>
      </w:r>
      <w:r>
        <w:rPr>
          <w:rFonts w:ascii="Arial" w:cs="Arial" w:eastAsia="Arial" w:hAnsi="Arial"/>
          <w:sz w:val="18"/>
          <w:szCs w:val="18"/>
          <w:color w:val="auto"/>
        </w:rPr>
        <w:t>, which was released in October 2019;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i w:val="1"/>
          <w:iCs w:val="1"/>
          <w:color w:val="auto"/>
        </w:rPr>
      </w:pPr>
      <w:r>
        <w:rPr>
          <w:rFonts w:ascii="Arial" w:cs="Arial" w:eastAsia="Arial" w:hAnsi="Arial"/>
          <w:sz w:val="18"/>
          <w:szCs w:val="18"/>
          <w:i w:val="1"/>
          <w:iCs w:val="1"/>
          <w:color w:val="auto"/>
        </w:rPr>
        <w:t>World of Warcraft</w:t>
      </w:r>
      <w:r>
        <w:rPr>
          <w:rFonts w:ascii="Arial" w:cs="Arial" w:eastAsia="Arial" w:hAnsi="Arial"/>
          <w:sz w:val="18"/>
          <w:szCs w:val="18"/>
          <w:color w:val="auto"/>
        </w:rPr>
        <w:t>, primarily from higher revenues associated with in-game content and subscriptions</w:t>
      </w:r>
      <w:r>
        <w:rPr>
          <w:rFonts w:ascii="Arial" w:cs="Arial" w:eastAsia="Arial" w:hAnsi="Arial"/>
          <w:sz w:val="18"/>
          <w:szCs w:val="18"/>
          <w:i w:val="1"/>
          <w:iCs w:val="1"/>
          <w:color w:val="auto"/>
        </w:rPr>
        <w:t>.</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YTD Q3 2020 vs. YTD Q3 2019</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increase in net revenues from digital online channels for the nine months ended September 30, 2020, as compared to the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2019, was primarily due to higher revenues from:</w:t>
      </w:r>
    </w:p>
    <w:p>
      <w:pPr>
        <w:spacing w:after="0" w:line="238" w:lineRule="exact"/>
        <w:rPr>
          <w:sz w:val="20"/>
          <w:szCs w:val="20"/>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Call of Duty: Modern Warfare</w:t>
      </w:r>
      <w:r>
        <w:rPr>
          <w:rFonts w:ascii="Arial" w:cs="Arial" w:eastAsia="Arial" w:hAnsi="Arial"/>
          <w:sz w:val="18"/>
          <w:szCs w:val="18"/>
          <w:color w:val="auto"/>
        </w:rPr>
        <w:t>, as compared to</w:t>
      </w:r>
      <w:r>
        <w:rPr>
          <w:rFonts w:ascii="Arial" w:cs="Arial" w:eastAsia="Arial" w:hAnsi="Arial"/>
          <w:sz w:val="18"/>
          <w:szCs w:val="18"/>
          <w:i w:val="1"/>
          <w:iCs w:val="1"/>
          <w:color w:val="auto"/>
        </w:rPr>
        <w:t xml:space="preserve"> Call of Duty: Black Ops 4</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Call of Duty: Mobile</w:t>
      </w:r>
      <w:r>
        <w:rPr>
          <w:rFonts w:ascii="Arial" w:cs="Arial" w:eastAsia="Arial" w:hAnsi="Arial"/>
          <w:sz w:val="18"/>
          <w:szCs w:val="18"/>
          <w:color w:val="auto"/>
        </w:rPr>
        <w:t>;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World of Warcraft</w:t>
      </w:r>
      <w:r>
        <w:rPr>
          <w:rFonts w:ascii="Arial" w:cs="Arial" w:eastAsia="Arial" w:hAnsi="Arial"/>
          <w:sz w:val="18"/>
          <w:szCs w:val="18"/>
          <w:color w:val="auto"/>
        </w:rPr>
        <w:t>, primarily from higher subscription revenues</w:t>
      </w:r>
      <w:r>
        <w:rPr>
          <w:rFonts w:ascii="Arial" w:cs="Arial" w:eastAsia="Arial" w:hAnsi="Arial"/>
          <w:sz w:val="18"/>
          <w:szCs w:val="18"/>
          <w:i w:val="1"/>
          <w:iCs w:val="1"/>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Retail Channel Net Revenues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Q3 2020 vs. Q3 2019</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increase in net revenues from retail channels for the three months ended September 30, 2020, as compared to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2019, was primarily due to higher revenues from:</w:t>
      </w:r>
    </w:p>
    <w:p>
      <w:pPr>
        <w:spacing w:after="0" w:line="238" w:lineRule="exact"/>
        <w:rPr>
          <w:sz w:val="20"/>
          <w:szCs w:val="20"/>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Tony Hawk’s Pro Skater 1 and 2</w:t>
      </w:r>
      <w:r>
        <w:rPr>
          <w:rFonts w:ascii="Arial" w:cs="Arial" w:eastAsia="Arial" w:hAnsi="Arial"/>
          <w:sz w:val="18"/>
          <w:szCs w:val="18"/>
          <w:color w:val="auto"/>
        </w:rPr>
        <w:t>, which was released in September 2020;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8"/>
          <w:szCs w:val="18"/>
          <w:i w:val="1"/>
          <w:iCs w:val="1"/>
          <w:color w:val="auto"/>
        </w:rPr>
      </w:pPr>
      <w:r>
        <w:rPr>
          <w:rFonts w:ascii="Arial" w:cs="Arial" w:eastAsia="Arial" w:hAnsi="Arial"/>
          <w:sz w:val="18"/>
          <w:szCs w:val="18"/>
          <w:i w:val="1"/>
          <w:iCs w:val="1"/>
          <w:color w:val="auto"/>
        </w:rPr>
        <w:t>Call of Duty: Modern Warfare</w:t>
      </w:r>
      <w:r>
        <w:rPr>
          <w:rFonts w:ascii="Arial" w:cs="Arial" w:eastAsia="Arial" w:hAnsi="Arial"/>
          <w:sz w:val="18"/>
          <w:szCs w:val="18"/>
          <w:color w:val="auto"/>
        </w:rPr>
        <w:t>, as compared to</w:t>
      </w:r>
      <w:r>
        <w:rPr>
          <w:rFonts w:ascii="Arial" w:cs="Arial" w:eastAsia="Arial" w:hAnsi="Arial"/>
          <w:sz w:val="18"/>
          <w:szCs w:val="18"/>
          <w:i w:val="1"/>
          <w:iCs w:val="1"/>
          <w:color w:val="auto"/>
        </w:rPr>
        <w:t xml:space="preserve"> Call of Duty: Black Ops 4.</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YTD Q3 2020 vs. YTD Q3 2019</w:t>
      </w:r>
    </w:p>
    <w:p>
      <w:pPr>
        <w:spacing w:after="0" w:line="252"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 xml:space="preserve">The decrease in net revenues from retail channels for the nine months ended September 30, 2020, as compared to the nine months ended September 30, 2019, was primarily due to lower revenues from </w:t>
      </w:r>
      <w:r>
        <w:rPr>
          <w:rFonts w:ascii="Arial" w:cs="Arial" w:eastAsia="Arial" w:hAnsi="Arial"/>
          <w:sz w:val="18"/>
          <w:szCs w:val="18"/>
          <w:i w:val="1"/>
          <w:iCs w:val="1"/>
          <w:color w:val="auto"/>
        </w:rPr>
        <w:t>Sekiro: Shadows Die Twice,</w:t>
      </w:r>
      <w:r>
        <w:rPr>
          <w:rFonts w:ascii="Arial" w:cs="Arial" w:eastAsia="Arial" w:hAnsi="Arial"/>
          <w:sz w:val="18"/>
          <w:szCs w:val="18"/>
          <w:color w:val="auto"/>
        </w:rPr>
        <w:t xml:space="preserve"> which was released in March 2019, partially offset by higher revenues from </w:t>
      </w:r>
      <w:r>
        <w:rPr>
          <w:rFonts w:ascii="Arial" w:cs="Arial" w:eastAsia="Arial" w:hAnsi="Arial"/>
          <w:sz w:val="18"/>
          <w:szCs w:val="18"/>
          <w:i w:val="1"/>
          <w:iCs w:val="1"/>
          <w:color w:val="auto"/>
        </w:rPr>
        <w:t>Tony Hawk’s Pro Skater 1 and 2</w:t>
      </w: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Revenues by Geographic Region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details our consolidated net revenues by geographic region (amounts in millions):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740" w:type="dxa"/>
            <w:vAlign w:val="bottom"/>
            <w:gridSpan w:val="8"/>
          </w:tcPr>
          <w:p>
            <w:pPr>
              <w:ind w:left="160"/>
              <w:spacing w:after="0"/>
              <w:rPr>
                <w:sz w:val="20"/>
                <w:szCs w:val="20"/>
                <w:color w:val="auto"/>
              </w:rPr>
            </w:pPr>
            <w:r>
              <w:rPr>
                <w:rFonts w:ascii="Arial" w:cs="Arial" w:eastAsia="Arial" w:hAnsi="Arial"/>
                <w:sz w:val="16"/>
                <w:szCs w:val="16"/>
                <w:b w:val="1"/>
                <w:bCs w:val="1"/>
                <w:color w:val="auto"/>
              </w:rPr>
              <w:t>For the Three Months Ended September 30,</w:t>
            </w:r>
          </w:p>
        </w:tc>
        <w:tc>
          <w:tcPr>
            <w:tcW w:w="280" w:type="dxa"/>
            <w:vAlign w:val="bottom"/>
          </w:tcPr>
          <w:p>
            <w:pPr>
              <w:spacing w:after="0"/>
              <w:rPr>
                <w:sz w:val="18"/>
                <w:szCs w:val="18"/>
                <w:color w:val="auto"/>
              </w:rPr>
            </w:pPr>
          </w:p>
        </w:tc>
        <w:tc>
          <w:tcPr>
            <w:tcW w:w="3620" w:type="dxa"/>
            <w:vAlign w:val="bottom"/>
            <w:gridSpan w:val="7"/>
          </w:tcPr>
          <w:p>
            <w:pPr>
              <w:jc w:val="right"/>
              <w:ind w:right="373"/>
              <w:spacing w:after="0"/>
              <w:rPr>
                <w:sz w:val="20"/>
                <w:szCs w:val="20"/>
                <w:color w:val="auto"/>
              </w:rPr>
            </w:pPr>
            <w:r>
              <w:rPr>
                <w:rFonts w:ascii="Arial" w:cs="Arial" w:eastAsia="Arial" w:hAnsi="Arial"/>
                <w:sz w:val="16"/>
                <w:szCs w:val="16"/>
                <w:b w:val="1"/>
                <w:bCs w:val="1"/>
                <w:color w:val="auto"/>
                <w:w w:val="97"/>
              </w:rPr>
              <w:t>For the Nine Months Ended September 30,</w:t>
            </w:r>
          </w:p>
        </w:tc>
        <w:tc>
          <w:tcPr>
            <w:tcW w:w="0" w:type="dxa"/>
            <w:vAlign w:val="bottom"/>
          </w:tcPr>
          <w:p>
            <w:pPr>
              <w:spacing w:after="0"/>
              <w:rPr>
                <w:sz w:val="1"/>
                <w:szCs w:val="1"/>
                <w:color w:val="auto"/>
              </w:rPr>
            </w:pPr>
          </w:p>
        </w:tc>
      </w:tr>
      <w:tr>
        <w:trPr>
          <w:trHeight w:val="158"/>
        </w:trPr>
        <w:tc>
          <w:tcPr>
            <w:tcW w:w="334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vMerge w:val="restart"/>
          </w:tcPr>
          <w:p>
            <w:pPr>
              <w:jc w:val="right"/>
              <w:ind w:right="35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vMerge w:val="restart"/>
          </w:tcPr>
          <w:p>
            <w:pPr>
              <w:jc w:val="right"/>
              <w:ind w:right="372"/>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center"/>
              <w:ind w:right="113"/>
              <w:spacing w:after="0" w:line="158" w:lineRule="exact"/>
              <w:rPr>
                <w:sz w:val="20"/>
                <w:szCs w:val="20"/>
                <w:color w:val="auto"/>
              </w:rPr>
            </w:pPr>
            <w:r>
              <w:rPr>
                <w:rFonts w:ascii="Arial" w:cs="Arial" w:eastAsia="Arial" w:hAnsi="Arial"/>
                <w:sz w:val="16"/>
                <w:szCs w:val="16"/>
                <w:b w:val="1"/>
                <w:bCs w:val="1"/>
                <w:color w:val="auto"/>
                <w:w w:val="89"/>
              </w:rPr>
              <w:t>Increase</w:t>
            </w: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vMerge w:val="restart"/>
          </w:tcPr>
          <w:p>
            <w:pPr>
              <w:jc w:val="right"/>
              <w:ind w:right="353"/>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vMerge w:val="restart"/>
          </w:tcPr>
          <w:p>
            <w:pPr>
              <w:jc w:val="right"/>
              <w:ind w:right="352"/>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233"/>
              <w:spacing w:after="0" w:line="158" w:lineRule="exact"/>
              <w:rPr>
                <w:sz w:val="20"/>
                <w:szCs w:val="20"/>
                <w:color w:val="auto"/>
              </w:rPr>
            </w:pPr>
            <w:r>
              <w:rPr>
                <w:rFonts w:ascii="Arial" w:cs="Arial" w:eastAsia="Arial" w:hAnsi="Arial"/>
                <w:sz w:val="16"/>
                <w:szCs w:val="16"/>
                <w:b w:val="1"/>
                <w:bCs w:val="1"/>
                <w:color w:val="auto"/>
              </w:rPr>
              <w:t>Increase</w:t>
            </w:r>
          </w:p>
        </w:tc>
        <w:tc>
          <w:tcPr>
            <w:tcW w:w="0" w:type="dxa"/>
            <w:vAlign w:val="bottom"/>
          </w:tcPr>
          <w:p>
            <w:pPr>
              <w:spacing w:after="0"/>
              <w:rPr>
                <w:sz w:val="1"/>
                <w:szCs w:val="1"/>
                <w:color w:val="auto"/>
              </w:rPr>
            </w:pPr>
          </w:p>
        </w:tc>
      </w:tr>
      <w:tr>
        <w:trPr>
          <w:trHeight w:val="213"/>
        </w:trPr>
        <w:tc>
          <w:tcPr>
            <w:tcW w:w="3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7"/>
              </w:rPr>
              <w:t>(Decrease)</w:t>
            </w:r>
          </w:p>
        </w:tc>
        <w:tc>
          <w:tcPr>
            <w:tcW w:w="2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73"/>
              <w:spacing w:after="0"/>
              <w:rPr>
                <w:sz w:val="20"/>
                <w:szCs w:val="20"/>
                <w:color w:val="auto"/>
              </w:rPr>
            </w:pPr>
            <w:r>
              <w:rPr>
                <w:rFonts w:ascii="Arial" w:cs="Arial" w:eastAsia="Arial" w:hAnsi="Arial"/>
                <w:sz w:val="16"/>
                <w:szCs w:val="16"/>
                <w:b w:val="1"/>
                <w:bCs w:val="1"/>
                <w:color w:val="auto"/>
                <w:w w:val="92"/>
              </w:rPr>
              <w:t>(Decrease)</w:t>
            </w:r>
          </w:p>
        </w:tc>
        <w:tc>
          <w:tcPr>
            <w:tcW w:w="0" w:type="dxa"/>
            <w:vAlign w:val="bottom"/>
          </w:tcPr>
          <w:p>
            <w:pPr>
              <w:spacing w:after="0"/>
              <w:rPr>
                <w:sz w:val="1"/>
                <w:szCs w:val="1"/>
                <w:color w:val="auto"/>
              </w:rPr>
            </w:pPr>
          </w:p>
        </w:tc>
      </w:tr>
      <w:tr>
        <w:trPr>
          <w:trHeight w:val="212"/>
        </w:trPr>
        <w:tc>
          <w:tcPr>
            <w:tcW w:w="3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 by geographic region:</w:t>
            </w: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120"/>
              <w:spacing w:after="0"/>
              <w:rPr>
                <w:sz w:val="20"/>
                <w:szCs w:val="20"/>
                <w:color w:val="auto"/>
              </w:rPr>
            </w:pPr>
            <w:r>
              <w:rPr>
                <w:rFonts w:ascii="Arial" w:cs="Arial" w:eastAsia="Arial" w:hAnsi="Arial"/>
                <w:sz w:val="18"/>
                <w:szCs w:val="18"/>
                <w:color w:val="auto"/>
              </w:rPr>
              <w:t>Americas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1,127</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655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472</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3,188</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2,406</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782</w:t>
            </w: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EMEA (1)</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30"/>
        </w:trPr>
        <w:tc>
          <w:tcPr>
            <w:tcW w:w="33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Asia Pacific</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48"/>
        </w:trPr>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Consolidated net revenues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1,171</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440" w:hanging="432"/>
        <w:spacing w:after="0"/>
        <w:tabs>
          <w:tab w:leader="none" w:pos="4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“EMEA” consists of the Europe, Middle East, and Africa geographic regions.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Americas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Q3 2020 vs. Q3 2019</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increase in net revenues in the Americas region for the three months ended September 30, 2020, as compared to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2019, was primarily due to higher revenues from:</w:t>
      </w:r>
    </w:p>
    <w:p>
      <w:pPr>
        <w:spacing w:after="0" w:line="238" w:lineRule="exact"/>
        <w:rPr>
          <w:sz w:val="20"/>
          <w:szCs w:val="20"/>
          <w:color w:val="auto"/>
        </w:rPr>
      </w:pPr>
    </w:p>
    <w:p>
      <w:pPr>
        <w:ind w:left="980" w:right="600" w:hanging="324"/>
        <w:spacing w:after="0" w:line="277" w:lineRule="auto"/>
        <w:tabs>
          <w:tab w:leader="none" w:pos="975"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Call of Duty: Modern Warfare</w:t>
      </w:r>
      <w:r>
        <w:rPr>
          <w:rFonts w:ascii="Arial" w:cs="Arial" w:eastAsia="Arial" w:hAnsi="Arial"/>
          <w:sz w:val="18"/>
          <w:szCs w:val="18"/>
          <w:color w:val="auto"/>
        </w:rPr>
        <w:t>, which was released in October 2019, as compared to</w:t>
      </w:r>
      <w:r>
        <w:rPr>
          <w:rFonts w:ascii="Arial" w:cs="Arial" w:eastAsia="Arial" w:hAnsi="Arial"/>
          <w:sz w:val="18"/>
          <w:szCs w:val="18"/>
          <w:i w:val="1"/>
          <w:iCs w:val="1"/>
          <w:color w:val="auto"/>
        </w:rPr>
        <w:t xml:space="preserve"> Call of Duty: Black Ops 4</w:t>
      </w:r>
      <w:r>
        <w:rPr>
          <w:rFonts w:ascii="Arial" w:cs="Arial" w:eastAsia="Arial" w:hAnsi="Arial"/>
          <w:sz w:val="18"/>
          <w:szCs w:val="18"/>
          <w:color w:val="auto"/>
        </w:rPr>
        <w:t>, which was released in</w:t>
      </w:r>
      <w:r>
        <w:rPr>
          <w:rFonts w:ascii="Arial" w:cs="Arial" w:eastAsia="Arial" w:hAnsi="Arial"/>
          <w:sz w:val="18"/>
          <w:szCs w:val="18"/>
          <w:i w:val="1"/>
          <w:iCs w:val="1"/>
          <w:color w:val="auto"/>
        </w:rPr>
        <w:t xml:space="preserve"> </w:t>
      </w:r>
      <w:r>
        <w:rPr>
          <w:rFonts w:ascii="Arial" w:cs="Arial" w:eastAsia="Arial" w:hAnsi="Arial"/>
          <w:sz w:val="18"/>
          <w:szCs w:val="18"/>
          <w:color w:val="auto"/>
        </w:rPr>
        <w:t>October 2018;</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Call of Duty: Mobile</w:t>
      </w:r>
      <w:r>
        <w:rPr>
          <w:rFonts w:ascii="Arial" w:cs="Arial" w:eastAsia="Arial" w:hAnsi="Arial"/>
          <w:sz w:val="18"/>
          <w:szCs w:val="18"/>
          <w:color w:val="auto"/>
        </w:rPr>
        <w:t>, which was released in October 2019;</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Tony Hawk’s Pro Skater 1 and 2</w:t>
      </w:r>
      <w:r>
        <w:rPr>
          <w:rFonts w:ascii="Arial" w:cs="Arial" w:eastAsia="Arial" w:hAnsi="Arial"/>
          <w:sz w:val="18"/>
          <w:szCs w:val="18"/>
          <w:color w:val="auto"/>
        </w:rPr>
        <w:t>, which was released in September 2020;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Call of Duty franchise catalog titles.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was partially offset by lower revenues from our professional esport leagues.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YTD Q3 2020 vs. YTD Q3 2019</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increase in net revenues in the Americas region for the nine months ended September 30, 2020, as compared to the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2019, was primarily due to higher revenues from:</w:t>
      </w:r>
    </w:p>
    <w:p>
      <w:pPr>
        <w:spacing w:after="0" w:line="238" w:lineRule="exact"/>
        <w:rPr>
          <w:sz w:val="20"/>
          <w:szCs w:val="20"/>
          <w:color w:val="auto"/>
        </w:rPr>
      </w:pPr>
    </w:p>
    <w:p>
      <w:pPr>
        <w:ind w:left="980" w:hanging="324"/>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 xml:space="preserve">Call of Duty: Modern Warfare, </w:t>
      </w:r>
      <w:r>
        <w:rPr>
          <w:rFonts w:ascii="Arial" w:cs="Arial" w:eastAsia="Arial" w:hAnsi="Arial"/>
          <w:sz w:val="18"/>
          <w:szCs w:val="18"/>
          <w:color w:val="auto"/>
        </w:rPr>
        <w:t>as compared to</w:t>
      </w:r>
      <w:r>
        <w:rPr>
          <w:rFonts w:ascii="Arial" w:cs="Arial" w:eastAsia="Arial" w:hAnsi="Arial"/>
          <w:sz w:val="18"/>
          <w:szCs w:val="18"/>
          <w:i w:val="1"/>
          <w:iCs w:val="1"/>
          <w:color w:val="auto"/>
        </w:rPr>
        <w:t xml:space="preserve"> Call of Duty: Black Ops 4</w:t>
      </w:r>
      <w:r>
        <w:rPr>
          <w:rFonts w:ascii="Arial" w:cs="Arial" w:eastAsia="Arial" w:hAnsi="Arial"/>
          <w:sz w:val="18"/>
          <w:szCs w:val="18"/>
          <w:color w:val="auto"/>
        </w:rPr>
        <w:t>;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Call of Duty: Mobile</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EMEA</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Q3 2020 vs. Q3 2019</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increase in net revenues in the EMEA region for the three months ended September 30, 2020, as compared to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2019, was primarily due to higher revenues from:</w:t>
      </w:r>
    </w:p>
    <w:p>
      <w:pPr>
        <w:spacing w:after="0" w:line="238" w:lineRule="exact"/>
        <w:rPr>
          <w:sz w:val="20"/>
          <w:szCs w:val="20"/>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Call of Duty: Modern Warfare, </w:t>
      </w:r>
      <w:r>
        <w:rPr>
          <w:rFonts w:ascii="Arial" w:cs="Arial" w:eastAsia="Arial" w:hAnsi="Arial"/>
          <w:sz w:val="18"/>
          <w:szCs w:val="18"/>
          <w:color w:val="auto"/>
        </w:rPr>
        <w:t>as compared to</w:t>
      </w:r>
      <w:r>
        <w:rPr>
          <w:rFonts w:ascii="Arial" w:cs="Arial" w:eastAsia="Arial" w:hAnsi="Arial"/>
          <w:sz w:val="18"/>
          <w:szCs w:val="18"/>
          <w:i w:val="1"/>
          <w:iCs w:val="1"/>
          <w:color w:val="auto"/>
        </w:rPr>
        <w:t xml:space="preserve"> Call of Duty: Black Ops 4</w:t>
      </w:r>
      <w:r>
        <w:rPr>
          <w:rFonts w:ascii="Arial" w:cs="Arial" w:eastAsia="Arial" w:hAnsi="Arial"/>
          <w:sz w:val="18"/>
          <w:szCs w:val="18"/>
          <w:color w:val="auto"/>
        </w:rPr>
        <w:t>;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Call of Duty: Mobile</w:t>
      </w:r>
      <w:r>
        <w:rPr>
          <w:rFonts w:ascii="Arial" w:cs="Arial" w:eastAsia="Arial" w:hAnsi="Arial"/>
          <w:sz w:val="18"/>
          <w:szCs w:val="18"/>
          <w:color w:val="auto"/>
        </w:rPr>
        <w:t>.</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was partially offset by lower revenues from our Distribution business.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YTD Q3 2020 vs. YTD Q3 2019</w:t>
      </w:r>
    </w:p>
    <w:p>
      <w:pPr>
        <w:spacing w:after="0" w:line="252"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 xml:space="preserve">The increase in net revenues in the EMEA region for the nine months ended September 30, 2020, as compared to the nine months ended September 30, 2019, was primarily due to higher revenues from </w:t>
      </w:r>
      <w:r>
        <w:rPr>
          <w:rFonts w:ascii="Arial" w:cs="Arial" w:eastAsia="Arial" w:hAnsi="Arial"/>
          <w:sz w:val="17"/>
          <w:szCs w:val="17"/>
          <w:i w:val="1"/>
          <w:iCs w:val="1"/>
          <w:color w:val="auto"/>
        </w:rPr>
        <w:t>Call of Duty: Modern Warfare,</w:t>
      </w:r>
      <w:r>
        <w:rPr>
          <w:rFonts w:ascii="Arial" w:cs="Arial" w:eastAsia="Arial" w:hAnsi="Arial"/>
          <w:sz w:val="17"/>
          <w:szCs w:val="17"/>
          <w:color w:val="auto"/>
        </w:rPr>
        <w:t xml:space="preserve"> as compared to </w:t>
      </w:r>
      <w:r>
        <w:rPr>
          <w:rFonts w:ascii="Arial" w:cs="Arial" w:eastAsia="Arial" w:hAnsi="Arial"/>
          <w:sz w:val="17"/>
          <w:szCs w:val="17"/>
          <w:i w:val="1"/>
          <w:iCs w:val="1"/>
          <w:color w:val="auto"/>
        </w:rPr>
        <w:t>Call of Duty: Black Ops 4</w:t>
      </w:r>
      <w:r>
        <w:rPr>
          <w:rFonts w:ascii="Arial" w:cs="Arial" w:eastAsia="Arial" w:hAnsi="Arial"/>
          <w:sz w:val="17"/>
          <w:szCs w:val="17"/>
          <w:color w:val="auto"/>
        </w:rPr>
        <w: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Asia Pacific</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Q3 2020 vs. Q3 2019</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increase in net revenues in the Asia Pacific region for the three months ended September 30, 2020, as compared to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2019, was primarily due to higher revenues from:</w:t>
      </w:r>
    </w:p>
    <w:p>
      <w:pPr>
        <w:spacing w:after="0" w:line="238" w:lineRule="exact"/>
        <w:rPr>
          <w:sz w:val="20"/>
          <w:szCs w:val="20"/>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Call of Duty: Modern Warfare, </w:t>
      </w:r>
      <w:r>
        <w:rPr>
          <w:rFonts w:ascii="Arial" w:cs="Arial" w:eastAsia="Arial" w:hAnsi="Arial"/>
          <w:sz w:val="18"/>
          <w:szCs w:val="18"/>
          <w:color w:val="auto"/>
        </w:rPr>
        <w:t>as compared to</w:t>
      </w:r>
      <w:r>
        <w:rPr>
          <w:rFonts w:ascii="Arial" w:cs="Arial" w:eastAsia="Arial" w:hAnsi="Arial"/>
          <w:sz w:val="18"/>
          <w:szCs w:val="18"/>
          <w:i w:val="1"/>
          <w:iCs w:val="1"/>
          <w:color w:val="auto"/>
        </w:rPr>
        <w:t xml:space="preserve"> Call of Duty: Black Ops 4</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World of Warcraft</w:t>
      </w:r>
      <w:r>
        <w:rPr>
          <w:rFonts w:ascii="Arial" w:cs="Arial" w:eastAsia="Arial" w:hAnsi="Arial"/>
          <w:sz w:val="18"/>
          <w:szCs w:val="18"/>
          <w:color w:val="auto"/>
        </w:rPr>
        <w:t>, primarily from higher revenues associated with subscriptions and in-game content;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8"/>
          <w:szCs w:val="18"/>
          <w:i w:val="1"/>
          <w:iCs w:val="1"/>
          <w:color w:val="auto"/>
        </w:rPr>
      </w:pPr>
      <w:r>
        <w:rPr>
          <w:rFonts w:ascii="Arial" w:cs="Arial" w:eastAsia="Arial" w:hAnsi="Arial"/>
          <w:sz w:val="18"/>
          <w:szCs w:val="18"/>
          <w:i w:val="1"/>
          <w:iCs w:val="1"/>
          <w:color w:val="auto"/>
        </w:rPr>
        <w:t>Call of Duty: Mobile.</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YTD Q3 2020 vs. YTD Q3 2019</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increase in net revenues in the Asia Pacific region for the nine months ended September 30, 2020, as compared to the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2019, was primarily due to higher revenues from:</w:t>
      </w:r>
    </w:p>
    <w:p>
      <w:pPr>
        <w:spacing w:after="0" w:line="238" w:lineRule="exact"/>
        <w:rPr>
          <w:sz w:val="20"/>
          <w:szCs w:val="20"/>
          <w:color w:val="auto"/>
        </w:rPr>
      </w:pPr>
    </w:p>
    <w:p>
      <w:pPr>
        <w:ind w:left="980" w:hanging="324"/>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World of Warcraft</w:t>
      </w:r>
      <w:r>
        <w:rPr>
          <w:rFonts w:ascii="Arial" w:cs="Arial" w:eastAsia="Arial" w:hAnsi="Arial"/>
          <w:sz w:val="18"/>
          <w:szCs w:val="18"/>
          <w:color w:val="auto"/>
        </w:rPr>
        <w:t>, primarily from higher subscription revenues;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Call of Duty: Modern Warfare, </w:t>
      </w:r>
      <w:r>
        <w:rPr>
          <w:rFonts w:ascii="Arial" w:cs="Arial" w:eastAsia="Arial" w:hAnsi="Arial"/>
          <w:sz w:val="18"/>
          <w:szCs w:val="18"/>
          <w:color w:val="auto"/>
        </w:rPr>
        <w:t>as compared to</w:t>
      </w:r>
      <w:r>
        <w:rPr>
          <w:rFonts w:ascii="Arial" w:cs="Arial" w:eastAsia="Arial" w:hAnsi="Arial"/>
          <w:sz w:val="18"/>
          <w:szCs w:val="18"/>
          <w:i w:val="1"/>
          <w:iCs w:val="1"/>
          <w:color w:val="auto"/>
        </w:rPr>
        <w:t xml:space="preserve"> Call of Duty: Black Ops 4</w:t>
      </w:r>
      <w:r>
        <w:rPr>
          <w:rFonts w:ascii="Arial" w:cs="Arial" w:eastAsia="Arial" w:hAnsi="Arial"/>
          <w:sz w:val="18"/>
          <w:szCs w:val="18"/>
          <w:color w:val="auto"/>
        </w:rPr>
        <w:t>;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Call of Duty: Mobile</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Revenues by Platform</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details our consolidated net revenues by platform (amounts in millions):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740" w:type="dxa"/>
            <w:vAlign w:val="bottom"/>
            <w:gridSpan w:val="8"/>
          </w:tcPr>
          <w:p>
            <w:pPr>
              <w:ind w:left="160"/>
              <w:spacing w:after="0"/>
              <w:rPr>
                <w:sz w:val="20"/>
                <w:szCs w:val="20"/>
                <w:color w:val="auto"/>
              </w:rPr>
            </w:pPr>
            <w:r>
              <w:rPr>
                <w:rFonts w:ascii="Arial" w:cs="Arial" w:eastAsia="Arial" w:hAnsi="Arial"/>
                <w:sz w:val="16"/>
                <w:szCs w:val="16"/>
                <w:b w:val="1"/>
                <w:bCs w:val="1"/>
                <w:color w:val="auto"/>
              </w:rPr>
              <w:t>For the Three Months Ended September 30,</w:t>
            </w:r>
          </w:p>
        </w:tc>
        <w:tc>
          <w:tcPr>
            <w:tcW w:w="280" w:type="dxa"/>
            <w:vAlign w:val="bottom"/>
          </w:tcPr>
          <w:p>
            <w:pPr>
              <w:spacing w:after="0"/>
              <w:rPr>
                <w:sz w:val="18"/>
                <w:szCs w:val="18"/>
                <w:color w:val="auto"/>
              </w:rPr>
            </w:pPr>
          </w:p>
        </w:tc>
        <w:tc>
          <w:tcPr>
            <w:tcW w:w="3620" w:type="dxa"/>
            <w:vAlign w:val="bottom"/>
            <w:gridSpan w:val="7"/>
          </w:tcPr>
          <w:p>
            <w:pPr>
              <w:jc w:val="right"/>
              <w:ind w:right="373"/>
              <w:spacing w:after="0"/>
              <w:rPr>
                <w:sz w:val="20"/>
                <w:szCs w:val="20"/>
                <w:color w:val="auto"/>
              </w:rPr>
            </w:pPr>
            <w:r>
              <w:rPr>
                <w:rFonts w:ascii="Arial" w:cs="Arial" w:eastAsia="Arial" w:hAnsi="Arial"/>
                <w:sz w:val="16"/>
                <w:szCs w:val="16"/>
                <w:b w:val="1"/>
                <w:bCs w:val="1"/>
                <w:color w:val="auto"/>
                <w:w w:val="97"/>
              </w:rPr>
              <w:t>For the Nine Months Ended September 30,</w:t>
            </w:r>
          </w:p>
        </w:tc>
        <w:tc>
          <w:tcPr>
            <w:tcW w:w="0" w:type="dxa"/>
            <w:vAlign w:val="bottom"/>
          </w:tcPr>
          <w:p>
            <w:pPr>
              <w:spacing w:after="0"/>
              <w:rPr>
                <w:sz w:val="1"/>
                <w:szCs w:val="1"/>
                <w:color w:val="auto"/>
              </w:rPr>
            </w:pPr>
          </w:p>
        </w:tc>
      </w:tr>
      <w:tr>
        <w:trPr>
          <w:trHeight w:val="158"/>
        </w:trPr>
        <w:tc>
          <w:tcPr>
            <w:tcW w:w="334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vMerge w:val="restart"/>
          </w:tcPr>
          <w:p>
            <w:pPr>
              <w:jc w:val="right"/>
              <w:ind w:right="35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vMerge w:val="restart"/>
          </w:tcPr>
          <w:p>
            <w:pPr>
              <w:jc w:val="right"/>
              <w:ind w:right="372"/>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ind w:left="140"/>
              <w:spacing w:after="0" w:line="158" w:lineRule="exact"/>
              <w:rPr>
                <w:sz w:val="20"/>
                <w:szCs w:val="20"/>
                <w:color w:val="auto"/>
              </w:rPr>
            </w:pPr>
            <w:r>
              <w:rPr>
                <w:rFonts w:ascii="Arial" w:cs="Arial" w:eastAsia="Arial" w:hAnsi="Arial"/>
                <w:sz w:val="16"/>
                <w:szCs w:val="16"/>
                <w:b w:val="1"/>
                <w:bCs w:val="1"/>
                <w:color w:val="auto"/>
              </w:rPr>
              <w:t>Increase</w:t>
            </w: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vMerge w:val="restart"/>
          </w:tcPr>
          <w:p>
            <w:pPr>
              <w:jc w:val="right"/>
              <w:ind w:right="353"/>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vMerge w:val="restart"/>
          </w:tcPr>
          <w:p>
            <w:pPr>
              <w:jc w:val="right"/>
              <w:ind w:right="352"/>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233"/>
              <w:spacing w:after="0" w:line="158" w:lineRule="exact"/>
              <w:rPr>
                <w:sz w:val="20"/>
                <w:szCs w:val="20"/>
                <w:color w:val="auto"/>
              </w:rPr>
            </w:pPr>
            <w:r>
              <w:rPr>
                <w:rFonts w:ascii="Arial" w:cs="Arial" w:eastAsia="Arial" w:hAnsi="Arial"/>
                <w:sz w:val="16"/>
                <w:szCs w:val="16"/>
                <w:b w:val="1"/>
                <w:bCs w:val="1"/>
                <w:color w:val="auto"/>
              </w:rPr>
              <w:t>Increase</w:t>
            </w:r>
          </w:p>
        </w:tc>
        <w:tc>
          <w:tcPr>
            <w:tcW w:w="0" w:type="dxa"/>
            <w:vAlign w:val="bottom"/>
          </w:tcPr>
          <w:p>
            <w:pPr>
              <w:spacing w:after="0"/>
              <w:rPr>
                <w:sz w:val="1"/>
                <w:szCs w:val="1"/>
                <w:color w:val="auto"/>
              </w:rPr>
            </w:pPr>
          </w:p>
        </w:tc>
      </w:tr>
      <w:tr>
        <w:trPr>
          <w:trHeight w:val="213"/>
        </w:trPr>
        <w:tc>
          <w:tcPr>
            <w:tcW w:w="3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ind w:left="80"/>
              <w:spacing w:after="0"/>
              <w:rPr>
                <w:sz w:val="20"/>
                <w:szCs w:val="20"/>
                <w:color w:val="auto"/>
              </w:rPr>
            </w:pPr>
            <w:r>
              <w:rPr>
                <w:rFonts w:ascii="Arial" w:cs="Arial" w:eastAsia="Arial" w:hAnsi="Arial"/>
                <w:sz w:val="16"/>
                <w:szCs w:val="16"/>
                <w:b w:val="1"/>
                <w:bCs w:val="1"/>
                <w:color w:val="auto"/>
              </w:rPr>
              <w:t>(Decrease)</w:t>
            </w:r>
          </w:p>
        </w:tc>
        <w:tc>
          <w:tcPr>
            <w:tcW w:w="2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73"/>
              <w:spacing w:after="0"/>
              <w:rPr>
                <w:sz w:val="20"/>
                <w:szCs w:val="20"/>
                <w:color w:val="auto"/>
              </w:rPr>
            </w:pPr>
            <w:r>
              <w:rPr>
                <w:rFonts w:ascii="Arial" w:cs="Arial" w:eastAsia="Arial" w:hAnsi="Arial"/>
                <w:sz w:val="16"/>
                <w:szCs w:val="16"/>
                <w:b w:val="1"/>
                <w:bCs w:val="1"/>
                <w:color w:val="auto"/>
                <w:w w:val="92"/>
              </w:rPr>
              <w:t>(Decrease)</w:t>
            </w:r>
          </w:p>
        </w:tc>
        <w:tc>
          <w:tcPr>
            <w:tcW w:w="0" w:type="dxa"/>
            <w:vAlign w:val="bottom"/>
          </w:tcPr>
          <w:p>
            <w:pPr>
              <w:spacing w:after="0"/>
              <w:rPr>
                <w:sz w:val="1"/>
                <w:szCs w:val="1"/>
                <w:color w:val="auto"/>
              </w:rPr>
            </w:pPr>
          </w:p>
        </w:tc>
      </w:tr>
      <w:tr>
        <w:trPr>
          <w:trHeight w:val="212"/>
        </w:trPr>
        <w:tc>
          <w:tcPr>
            <w:tcW w:w="3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 by platform:</w:t>
            </w: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340" w:type="dxa"/>
            <w:vAlign w:val="bottom"/>
          </w:tcPr>
          <w:p>
            <w:pPr>
              <w:ind w:left="120"/>
              <w:spacing w:after="0"/>
              <w:rPr>
                <w:sz w:val="20"/>
                <w:szCs w:val="20"/>
                <w:color w:val="auto"/>
              </w:rPr>
            </w:pPr>
            <w:r>
              <w:rPr>
                <w:rFonts w:ascii="Arial" w:cs="Arial" w:eastAsia="Arial" w:hAnsi="Arial"/>
                <w:sz w:val="18"/>
                <w:szCs w:val="18"/>
                <w:color w:val="auto"/>
              </w:rPr>
              <w:t>Console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695</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ind w:left="700"/>
              <w:spacing w:after="0"/>
              <w:rPr>
                <w:sz w:val="20"/>
                <w:szCs w:val="20"/>
                <w:color w:val="auto"/>
              </w:rPr>
            </w:pPr>
            <w:r>
              <w:rPr>
                <w:rFonts w:ascii="Arial" w:cs="Arial" w:eastAsia="Arial" w:hAnsi="Arial"/>
                <w:sz w:val="18"/>
                <w:szCs w:val="18"/>
                <w:color w:val="auto"/>
              </w:rPr>
              <w:t>454</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1,944</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1,324</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PC</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30"/>
        </w:trPr>
        <w:tc>
          <w:tcPr>
            <w:tcW w:w="3340" w:type="dxa"/>
            <w:vAlign w:val="bottom"/>
          </w:tcPr>
          <w:p>
            <w:pPr>
              <w:ind w:left="120"/>
              <w:spacing w:after="0"/>
              <w:rPr>
                <w:sz w:val="20"/>
                <w:szCs w:val="20"/>
                <w:color w:val="auto"/>
              </w:rPr>
            </w:pPr>
            <w:r>
              <w:rPr>
                <w:rFonts w:ascii="Arial" w:cs="Arial" w:eastAsia="Arial" w:hAnsi="Arial"/>
                <w:sz w:val="18"/>
                <w:szCs w:val="18"/>
                <w:color w:val="auto"/>
              </w:rPr>
              <w:t>Mobile and ancillary (1)</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ind w:left="700"/>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1,853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1,572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(2)</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w w:val="99"/>
              </w:rPr>
              <w:t>(91)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3"/>
        </w:trPr>
        <w:tc>
          <w:tcPr>
            <w:tcW w:w="3340" w:type="dxa"/>
            <w:vAlign w:val="bottom"/>
          </w:tcPr>
          <w:p>
            <w:pPr>
              <w:ind w:left="20"/>
              <w:spacing w:after="0"/>
              <w:rPr>
                <w:sz w:val="20"/>
                <w:szCs w:val="20"/>
                <w:color w:val="auto"/>
              </w:rPr>
            </w:pPr>
            <w:r>
              <w:rPr>
                <w:rFonts w:ascii="Arial" w:cs="Arial" w:eastAsia="Arial" w:hAnsi="Arial"/>
                <w:sz w:val="18"/>
                <w:szCs w:val="18"/>
                <w:color w:val="auto"/>
              </w:rPr>
              <w:t>Total consolidated net revenues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672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5,674</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4,503</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1,171</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340" w:right="340" w:hanging="332"/>
        <w:spacing w:after="0" w:line="277" w:lineRule="auto"/>
        <w:tabs>
          <w:tab w:leader="none" w:pos="406" w:val="left"/>
        </w:tabs>
        <w:numPr>
          <w:ilvl w:val="0"/>
          <w:numId w:val="50"/>
        </w:numPr>
        <w:rPr>
          <w:rFonts w:ascii="Arial" w:cs="Arial" w:eastAsia="Arial" w:hAnsi="Arial"/>
          <w:sz w:val="18"/>
          <w:szCs w:val="18"/>
          <w:color w:val="auto"/>
        </w:rPr>
      </w:pPr>
      <w:r>
        <w:rPr>
          <w:rFonts w:ascii="Arial" w:cs="Arial" w:eastAsia="Arial" w:hAnsi="Arial"/>
          <w:sz w:val="18"/>
          <w:szCs w:val="18"/>
          <w:color w:val="auto"/>
        </w:rPr>
        <w:t>Net revenues from “Mobile and ancillary” include revenues from mobile devices, as well as non-platform-specific game-related revenues, such as standalone sales of physical merchandise and accessories.</w:t>
      </w:r>
    </w:p>
    <w:p>
      <w:pPr>
        <w:spacing w:after="0" w:line="197" w:lineRule="exact"/>
        <w:rPr>
          <w:rFonts w:ascii="Arial" w:cs="Arial" w:eastAsia="Arial" w:hAnsi="Arial"/>
          <w:sz w:val="18"/>
          <w:szCs w:val="18"/>
          <w:color w:val="auto"/>
        </w:rPr>
      </w:pPr>
    </w:p>
    <w:p>
      <w:pPr>
        <w:ind w:left="400" w:hanging="392"/>
        <w:spacing w:after="0"/>
        <w:tabs>
          <w:tab w:leader="none" w:pos="4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Net revenues from “Other” include revenues from our Distribution business, the Overwatch League, and the Call of Duty League.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Console</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Q3 2020 vs. Q3 2019</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increase in net revenues from the console platform for the three months ended September 30, 2020, as compared to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2019, was primarily due to higher revenues from:</w:t>
      </w:r>
    </w:p>
    <w:p>
      <w:pPr>
        <w:spacing w:after="0" w:line="238" w:lineRule="exact"/>
        <w:rPr>
          <w:sz w:val="20"/>
          <w:szCs w:val="20"/>
          <w:color w:val="auto"/>
        </w:rPr>
      </w:pPr>
    </w:p>
    <w:p>
      <w:pPr>
        <w:ind w:left="980" w:right="600" w:hanging="324"/>
        <w:spacing w:after="0" w:line="277" w:lineRule="auto"/>
        <w:tabs>
          <w:tab w:leader="none" w:pos="975"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Call of Duty: Modern Warfare</w:t>
      </w:r>
      <w:r>
        <w:rPr>
          <w:rFonts w:ascii="Arial" w:cs="Arial" w:eastAsia="Arial" w:hAnsi="Arial"/>
          <w:sz w:val="18"/>
          <w:szCs w:val="18"/>
          <w:color w:val="auto"/>
        </w:rPr>
        <w:t>, which was released in October 2019, as compared to</w:t>
      </w:r>
      <w:r>
        <w:rPr>
          <w:rFonts w:ascii="Arial" w:cs="Arial" w:eastAsia="Arial" w:hAnsi="Arial"/>
          <w:sz w:val="18"/>
          <w:szCs w:val="18"/>
          <w:i w:val="1"/>
          <w:iCs w:val="1"/>
          <w:color w:val="auto"/>
        </w:rPr>
        <w:t xml:space="preserve"> Call of Duty: Black Ops 4</w:t>
      </w:r>
      <w:r>
        <w:rPr>
          <w:rFonts w:ascii="Arial" w:cs="Arial" w:eastAsia="Arial" w:hAnsi="Arial"/>
          <w:sz w:val="18"/>
          <w:szCs w:val="18"/>
          <w:color w:val="auto"/>
        </w:rPr>
        <w:t>, which was released in</w:t>
      </w:r>
      <w:r>
        <w:rPr>
          <w:rFonts w:ascii="Arial" w:cs="Arial" w:eastAsia="Arial" w:hAnsi="Arial"/>
          <w:sz w:val="18"/>
          <w:szCs w:val="18"/>
          <w:i w:val="1"/>
          <w:iCs w:val="1"/>
          <w:color w:val="auto"/>
        </w:rPr>
        <w:t xml:space="preserve"> </w:t>
      </w:r>
      <w:r>
        <w:rPr>
          <w:rFonts w:ascii="Arial" w:cs="Arial" w:eastAsia="Arial" w:hAnsi="Arial"/>
          <w:sz w:val="18"/>
          <w:szCs w:val="18"/>
          <w:color w:val="auto"/>
        </w:rPr>
        <w:t>October 2018;</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Tony Hawk’s Pro Skater 1 and 2</w:t>
      </w:r>
      <w:r>
        <w:rPr>
          <w:rFonts w:ascii="Arial" w:cs="Arial" w:eastAsia="Arial" w:hAnsi="Arial"/>
          <w:sz w:val="18"/>
          <w:szCs w:val="18"/>
          <w:color w:val="auto"/>
        </w:rPr>
        <w:t>, which was released in September 2020;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Call of Duty franchise catalog titles.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YTD Q3 2020 vs. YTD Q3 2019</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increase in net revenues from the console platform for the nine months ended September 30, 2020, as compared to the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2019, was primarily due to higher revenues from:</w:t>
      </w:r>
    </w:p>
    <w:p>
      <w:pPr>
        <w:spacing w:after="0" w:line="238" w:lineRule="exact"/>
        <w:rPr>
          <w:sz w:val="20"/>
          <w:szCs w:val="20"/>
          <w:color w:val="auto"/>
        </w:rPr>
      </w:pPr>
    </w:p>
    <w:p>
      <w:pPr>
        <w:ind w:left="980" w:hanging="324"/>
        <w:spacing w:after="0"/>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 xml:space="preserve">Call of Duty: Modern Warfare, </w:t>
      </w:r>
      <w:r>
        <w:rPr>
          <w:rFonts w:ascii="Arial" w:cs="Arial" w:eastAsia="Arial" w:hAnsi="Arial"/>
          <w:sz w:val="18"/>
          <w:szCs w:val="18"/>
          <w:color w:val="auto"/>
        </w:rPr>
        <w:t>as compared to</w:t>
      </w:r>
      <w:r>
        <w:rPr>
          <w:rFonts w:ascii="Arial" w:cs="Arial" w:eastAsia="Arial" w:hAnsi="Arial"/>
          <w:sz w:val="18"/>
          <w:szCs w:val="18"/>
          <w:i w:val="1"/>
          <w:iCs w:val="1"/>
          <w:color w:val="auto"/>
        </w:rPr>
        <w:t xml:space="preserve"> Call of Duty: Black Ops 4;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52"/>
        </w:numPr>
        <w:rPr>
          <w:rFonts w:ascii="Arial" w:cs="Arial" w:eastAsia="Arial" w:hAnsi="Arial"/>
          <w:sz w:val="18"/>
          <w:szCs w:val="18"/>
          <w:i w:val="1"/>
          <w:iCs w:val="1"/>
          <w:color w:val="auto"/>
        </w:rPr>
      </w:pPr>
      <w:r>
        <w:rPr>
          <w:rFonts w:ascii="Arial" w:cs="Arial" w:eastAsia="Arial" w:hAnsi="Arial"/>
          <w:sz w:val="18"/>
          <w:szCs w:val="18"/>
          <w:i w:val="1"/>
          <w:iCs w:val="1"/>
          <w:color w:val="auto"/>
        </w:rPr>
        <w:t>Tony Hawk’s Pro Skater 1 and 2.</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 increase was partially offset by lower revenues from </w:t>
      </w:r>
      <w:r>
        <w:rPr>
          <w:rFonts w:ascii="Arial" w:cs="Arial" w:eastAsia="Arial" w:hAnsi="Arial"/>
          <w:sz w:val="18"/>
          <w:szCs w:val="18"/>
          <w:i w:val="1"/>
          <w:iCs w:val="1"/>
          <w:color w:val="auto"/>
        </w:rPr>
        <w:t>Sekiro: Shadows Die Twice</w:t>
      </w:r>
      <w:r>
        <w:rPr>
          <w:rFonts w:ascii="Arial" w:cs="Arial" w:eastAsia="Arial" w:hAnsi="Arial"/>
          <w:sz w:val="18"/>
          <w:szCs w:val="18"/>
          <w:color w:val="auto"/>
        </w:rPr>
        <w:t>, which was released in March 2019.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PC</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Q3 2020 vs. Q3 2019</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increase in net revenues from the PC platform for the three months ended September 30, 2020, as compared to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2019, was primarily due to higher revenues from:</w:t>
      </w:r>
    </w:p>
    <w:p>
      <w:pPr>
        <w:spacing w:after="0" w:line="238" w:lineRule="exact"/>
        <w:rPr>
          <w:sz w:val="20"/>
          <w:szCs w:val="20"/>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 xml:space="preserve">Call of Duty: Modern Warfare, </w:t>
      </w:r>
      <w:r>
        <w:rPr>
          <w:rFonts w:ascii="Arial" w:cs="Arial" w:eastAsia="Arial" w:hAnsi="Arial"/>
          <w:sz w:val="18"/>
          <w:szCs w:val="18"/>
          <w:color w:val="auto"/>
        </w:rPr>
        <w:t>as compared to</w:t>
      </w:r>
      <w:r>
        <w:rPr>
          <w:rFonts w:ascii="Arial" w:cs="Arial" w:eastAsia="Arial" w:hAnsi="Arial"/>
          <w:sz w:val="18"/>
          <w:szCs w:val="18"/>
          <w:i w:val="1"/>
          <w:iCs w:val="1"/>
          <w:color w:val="auto"/>
        </w:rPr>
        <w:t xml:space="preserve"> Call of Duty: Black Ops 4</w:t>
      </w:r>
      <w:r>
        <w:rPr>
          <w:rFonts w:ascii="Arial" w:cs="Arial" w:eastAsia="Arial" w:hAnsi="Arial"/>
          <w:sz w:val="18"/>
          <w:szCs w:val="18"/>
          <w:color w:val="auto"/>
        </w:rPr>
        <w:t>;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53"/>
        </w:numPr>
        <w:rPr>
          <w:rFonts w:ascii="Arial" w:cs="Arial" w:eastAsia="Arial" w:hAnsi="Arial"/>
          <w:sz w:val="18"/>
          <w:szCs w:val="18"/>
          <w:i w:val="1"/>
          <w:iCs w:val="1"/>
          <w:color w:val="auto"/>
        </w:rPr>
      </w:pPr>
      <w:r>
        <w:rPr>
          <w:rFonts w:ascii="Arial" w:cs="Arial" w:eastAsia="Arial" w:hAnsi="Arial"/>
          <w:sz w:val="18"/>
          <w:szCs w:val="18"/>
          <w:i w:val="1"/>
          <w:iCs w:val="1"/>
          <w:color w:val="auto"/>
        </w:rPr>
        <w:t>World of Warcraft</w:t>
      </w:r>
      <w:r>
        <w:rPr>
          <w:rFonts w:ascii="Arial" w:cs="Arial" w:eastAsia="Arial" w:hAnsi="Arial"/>
          <w:sz w:val="18"/>
          <w:szCs w:val="18"/>
          <w:color w:val="auto"/>
        </w:rPr>
        <w:t>, primarily from higher revenues associated with in-game content and subscriptions.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YTD Q3 2020 vs. YTD Q3 2019</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increase in net revenues from the PC platform for the nine months ended September 30, 2020, as compared to the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2019, was primarily due to higher revenues from:</w:t>
      </w:r>
    </w:p>
    <w:p>
      <w:pPr>
        <w:spacing w:after="0" w:line="238" w:lineRule="exact"/>
        <w:rPr>
          <w:sz w:val="20"/>
          <w:szCs w:val="20"/>
          <w:color w:val="auto"/>
        </w:rPr>
      </w:pPr>
    </w:p>
    <w:p>
      <w:pPr>
        <w:ind w:left="980" w:hanging="324"/>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 xml:space="preserve">Call of Duty: Modern Warfare, </w:t>
      </w:r>
      <w:r>
        <w:rPr>
          <w:rFonts w:ascii="Arial" w:cs="Arial" w:eastAsia="Arial" w:hAnsi="Arial"/>
          <w:sz w:val="18"/>
          <w:szCs w:val="18"/>
          <w:color w:val="auto"/>
        </w:rPr>
        <w:t>as compared to</w:t>
      </w:r>
      <w:r>
        <w:rPr>
          <w:rFonts w:ascii="Arial" w:cs="Arial" w:eastAsia="Arial" w:hAnsi="Arial"/>
          <w:sz w:val="18"/>
          <w:szCs w:val="18"/>
          <w:i w:val="1"/>
          <w:iCs w:val="1"/>
          <w:color w:val="auto"/>
        </w:rPr>
        <w:t xml:space="preserve"> Call of Duty: Black Ops 4</w:t>
      </w:r>
      <w:r>
        <w:rPr>
          <w:rFonts w:ascii="Arial" w:cs="Arial" w:eastAsia="Arial" w:hAnsi="Arial"/>
          <w:sz w:val="18"/>
          <w:szCs w:val="18"/>
          <w:color w:val="auto"/>
        </w:rPr>
        <w:t>;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World of Warcraft</w:t>
      </w:r>
      <w:r>
        <w:rPr>
          <w:rFonts w:ascii="Arial" w:cs="Arial" w:eastAsia="Arial" w:hAnsi="Arial"/>
          <w:sz w:val="18"/>
          <w:szCs w:val="18"/>
          <w:color w:val="auto"/>
        </w:rPr>
        <w:t>, primarily from higher subscription revenues.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Mobile and Ancillary</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Q3 2020 vs. Q3 2019</w:t>
      </w:r>
    </w:p>
    <w:p>
      <w:pPr>
        <w:spacing w:after="0" w:line="25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increase in net revenues from mobile and ancillary for the three months ended September 30, 2020, as compared to net revenues for the three months ended September 30, 2019, was primarily due to higher revenues from:</w:t>
      </w:r>
    </w:p>
    <w:p>
      <w:pPr>
        <w:spacing w:after="0" w:line="197" w:lineRule="exact"/>
        <w:rPr>
          <w:sz w:val="20"/>
          <w:szCs w:val="20"/>
          <w:color w:val="auto"/>
        </w:rPr>
      </w:pPr>
    </w:p>
    <w:p>
      <w:pPr>
        <w:ind w:left="980" w:hanging="324"/>
        <w:spacing w:after="0"/>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Call of Duty: Mobile</w:t>
      </w:r>
      <w:r>
        <w:rPr>
          <w:rFonts w:ascii="Arial" w:cs="Arial" w:eastAsia="Arial" w:hAnsi="Arial"/>
          <w:sz w:val="18"/>
          <w:szCs w:val="18"/>
          <w:color w:val="auto"/>
        </w:rPr>
        <w:t>; and</w:t>
      </w:r>
    </w:p>
    <w:p>
      <w:pPr>
        <w:spacing w:after="0" w:line="252" w:lineRule="exact"/>
        <w:rPr>
          <w:rFonts w:ascii="Arial" w:cs="Arial" w:eastAsia="Arial" w:hAnsi="Arial"/>
          <w:sz w:val="18"/>
          <w:szCs w:val="18"/>
          <w:color w:val="auto"/>
        </w:rPr>
      </w:pPr>
    </w:p>
    <w:p>
      <w:pPr>
        <w:ind w:left="340" w:right="3120" w:firstLine="316"/>
        <w:spacing w:after="0" w:line="532" w:lineRule="auto"/>
        <w:tabs>
          <w:tab w:leader="none" w:pos="983"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the Candy Crush franchise, driven by higher revenues from player purchases and advertising. </w:t>
      </w:r>
      <w:r>
        <w:rPr>
          <w:rFonts w:ascii="Arial" w:cs="Arial" w:eastAsia="Arial" w:hAnsi="Arial"/>
          <w:sz w:val="18"/>
          <w:szCs w:val="18"/>
          <w:u w:val="single" w:color="auto"/>
          <w:color w:val="auto"/>
        </w:rPr>
        <w:t>YTD Q3 2020 vs. YTD Q3 2019</w:t>
      </w:r>
    </w:p>
    <w:p>
      <w:pPr>
        <w:ind w:right="100" w:firstLine="324"/>
        <w:spacing w:after="0" w:line="277" w:lineRule="auto"/>
        <w:rPr>
          <w:sz w:val="20"/>
          <w:szCs w:val="20"/>
          <w:color w:val="auto"/>
        </w:rPr>
      </w:pPr>
      <w:r>
        <w:rPr>
          <w:rFonts w:ascii="Arial" w:cs="Arial" w:eastAsia="Arial" w:hAnsi="Arial"/>
          <w:sz w:val="18"/>
          <w:szCs w:val="18"/>
          <w:color w:val="auto"/>
        </w:rPr>
        <w:t xml:space="preserve">The increase in net revenues from mobile and ancillary for the nine months ended September 30, 2020, as compared to net revenues for the nine months ended September 30, 2019, was primarily due to higher revenues from </w:t>
      </w:r>
      <w:r>
        <w:rPr>
          <w:rFonts w:ascii="Arial" w:cs="Arial" w:eastAsia="Arial" w:hAnsi="Arial"/>
          <w:sz w:val="18"/>
          <w:szCs w:val="18"/>
          <w:i w:val="1"/>
          <w:iCs w:val="1"/>
          <w:color w:val="auto"/>
        </w:rPr>
        <w:t>Call of Duty: Mobile</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20"/>
          </w:cols>
          <w:pgMar w:left="320" w:top="125" w:right="75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and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details the components of cost of revenues in dollars (amounts in millions) and as a percentage of associated net revenues:</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80" w:type="dxa"/>
            <w:vAlign w:val="bottom"/>
          </w:tcPr>
          <w:p>
            <w:pPr>
              <w:spacing w:after="0"/>
              <w:rPr>
                <w:sz w:val="16"/>
                <w:szCs w:val="16"/>
                <w:color w:val="auto"/>
              </w:rPr>
            </w:pPr>
          </w:p>
        </w:tc>
        <w:tc>
          <w:tcPr>
            <w:tcW w:w="15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Three Months Ended</w:t>
            </w:r>
          </w:p>
        </w:tc>
        <w:tc>
          <w:tcPr>
            <w:tcW w:w="120" w:type="dxa"/>
            <w:vAlign w:val="bottom"/>
          </w:tcPr>
          <w:p>
            <w:pPr>
              <w:spacing w:after="0"/>
              <w:rPr>
                <w:sz w:val="16"/>
                <w:szCs w:val="16"/>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 of associated</w:t>
            </w:r>
          </w:p>
        </w:tc>
        <w:tc>
          <w:tcPr>
            <w:tcW w:w="16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Three Months Ended</w:t>
            </w:r>
          </w:p>
        </w:tc>
        <w:tc>
          <w:tcPr>
            <w:tcW w:w="100" w:type="dxa"/>
            <w:vAlign w:val="bottom"/>
          </w:tcPr>
          <w:p>
            <w:pPr>
              <w:spacing w:after="0"/>
              <w:rPr>
                <w:sz w:val="16"/>
                <w:szCs w:val="16"/>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 of associated</w:t>
            </w:r>
          </w:p>
        </w:tc>
        <w:tc>
          <w:tcPr>
            <w:tcW w:w="180" w:type="dxa"/>
            <w:vAlign w:val="bottom"/>
          </w:tcPr>
          <w:p>
            <w:pPr>
              <w:spacing w:after="0"/>
              <w:rPr>
                <w:sz w:val="16"/>
                <w:szCs w:val="16"/>
                <w:color w:val="auto"/>
              </w:rPr>
            </w:pPr>
          </w:p>
        </w:tc>
        <w:tc>
          <w:tcPr>
            <w:tcW w:w="1000" w:type="dxa"/>
            <w:vAlign w:val="bottom"/>
          </w:tcPr>
          <w:p>
            <w:pPr>
              <w:jc w:val="center"/>
              <w:ind w:right="93"/>
              <w:spacing w:after="0"/>
              <w:rPr>
                <w:sz w:val="20"/>
                <w:szCs w:val="20"/>
                <w:color w:val="auto"/>
              </w:rPr>
            </w:pPr>
            <w:r>
              <w:rPr>
                <w:rFonts w:ascii="Arial" w:cs="Arial" w:eastAsia="Arial" w:hAnsi="Arial"/>
                <w:sz w:val="16"/>
                <w:szCs w:val="16"/>
                <w:b w:val="1"/>
                <w:bCs w:val="1"/>
                <w:color w:val="auto"/>
                <w:w w:val="89"/>
              </w:rPr>
              <w:t>Increase</w:t>
            </w:r>
          </w:p>
        </w:tc>
        <w:tc>
          <w:tcPr>
            <w:tcW w:w="0" w:type="dxa"/>
            <w:vAlign w:val="bottom"/>
          </w:tcPr>
          <w:p>
            <w:pPr>
              <w:spacing w:after="0"/>
              <w:rPr>
                <w:sz w:val="1"/>
                <w:szCs w:val="1"/>
                <w:color w:val="auto"/>
              </w:rPr>
            </w:pPr>
          </w:p>
        </w:tc>
      </w:tr>
      <w:tr>
        <w:trPr>
          <w:trHeight w:val="213"/>
        </w:trPr>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center"/>
              <w:ind w:right="12"/>
              <w:spacing w:after="0"/>
              <w:rPr>
                <w:sz w:val="20"/>
                <w:szCs w:val="20"/>
                <w:color w:val="auto"/>
              </w:rPr>
            </w:pPr>
            <w:r>
              <w:rPr>
                <w:rFonts w:ascii="Arial" w:cs="Arial" w:eastAsia="Arial" w:hAnsi="Arial"/>
                <w:sz w:val="16"/>
                <w:szCs w:val="16"/>
                <w:b w:val="1"/>
                <w:bCs w:val="1"/>
                <w:color w:val="auto"/>
                <w:w w:val="90"/>
              </w:rPr>
              <w:t>September 30, 2020</w:t>
            </w:r>
          </w:p>
        </w:tc>
        <w:tc>
          <w:tcPr>
            <w:tcW w:w="120" w:type="dxa"/>
            <w:vAlign w:val="bottom"/>
          </w:tcPr>
          <w:p>
            <w:pPr>
              <w:spacing w:after="0"/>
              <w:rPr>
                <w:sz w:val="18"/>
                <w:szCs w:val="18"/>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7"/>
              </w:rPr>
              <w:t>net revenues</w:t>
            </w:r>
          </w:p>
        </w:tc>
        <w:tc>
          <w:tcPr>
            <w:tcW w:w="120" w:type="dxa"/>
            <w:vAlign w:val="bottom"/>
          </w:tcPr>
          <w:p>
            <w:pPr>
              <w:spacing w:after="0"/>
              <w:rPr>
                <w:sz w:val="18"/>
                <w:szCs w:val="18"/>
                <w:color w:val="auto"/>
              </w:rPr>
            </w:pPr>
          </w:p>
        </w:tc>
        <w:tc>
          <w:tcPr>
            <w:tcW w:w="1480" w:type="dxa"/>
            <w:vAlign w:val="bottom"/>
          </w:tcPr>
          <w:p>
            <w:pPr>
              <w:jc w:val="center"/>
              <w:ind w:right="32"/>
              <w:spacing w:after="0"/>
              <w:rPr>
                <w:sz w:val="20"/>
                <w:szCs w:val="20"/>
                <w:color w:val="auto"/>
              </w:rPr>
            </w:pPr>
            <w:r>
              <w:rPr>
                <w:rFonts w:ascii="Arial" w:cs="Arial" w:eastAsia="Arial" w:hAnsi="Arial"/>
                <w:sz w:val="16"/>
                <w:szCs w:val="16"/>
                <w:b w:val="1"/>
                <w:bCs w:val="1"/>
                <w:color w:val="auto"/>
                <w:w w:val="90"/>
              </w:rPr>
              <w:t>September 30, 2019</w:t>
            </w:r>
          </w:p>
        </w:tc>
        <w:tc>
          <w:tcPr>
            <w:tcW w:w="100" w:type="dxa"/>
            <w:vAlign w:val="bottom"/>
          </w:tcPr>
          <w:p>
            <w:pPr>
              <w:spacing w:after="0"/>
              <w:rPr>
                <w:sz w:val="18"/>
                <w:szCs w:val="18"/>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7"/>
              </w:rPr>
              <w:t>net revenues</w:t>
            </w:r>
          </w:p>
        </w:tc>
        <w:tc>
          <w:tcPr>
            <w:tcW w:w="180" w:type="dxa"/>
            <w:vAlign w:val="bottom"/>
          </w:tcPr>
          <w:p>
            <w:pPr>
              <w:spacing w:after="0"/>
              <w:rPr>
                <w:sz w:val="18"/>
                <w:szCs w:val="18"/>
                <w:color w:val="auto"/>
              </w:rPr>
            </w:pPr>
          </w:p>
        </w:tc>
        <w:tc>
          <w:tcPr>
            <w:tcW w:w="1000" w:type="dxa"/>
            <w:vAlign w:val="bottom"/>
          </w:tcPr>
          <w:p>
            <w:pPr>
              <w:jc w:val="center"/>
              <w:ind w:right="73"/>
              <w:spacing w:after="0"/>
              <w:rPr>
                <w:sz w:val="20"/>
                <w:szCs w:val="20"/>
                <w:color w:val="auto"/>
              </w:rPr>
            </w:pPr>
            <w:r>
              <w:rPr>
                <w:rFonts w:ascii="Arial" w:cs="Arial" w:eastAsia="Arial" w:hAnsi="Arial"/>
                <w:sz w:val="16"/>
                <w:szCs w:val="16"/>
                <w:b w:val="1"/>
                <w:bCs w:val="1"/>
                <w:color w:val="auto"/>
                <w:w w:val="87"/>
              </w:rPr>
              <w:t>(Decrease)</w:t>
            </w:r>
          </w:p>
        </w:tc>
        <w:tc>
          <w:tcPr>
            <w:tcW w:w="0" w:type="dxa"/>
            <w:vAlign w:val="bottom"/>
          </w:tcPr>
          <w:p>
            <w:pPr>
              <w:spacing w:after="0"/>
              <w:rPr>
                <w:sz w:val="1"/>
                <w:szCs w:val="1"/>
                <w:color w:val="auto"/>
              </w:rPr>
            </w:pPr>
          </w:p>
        </w:tc>
      </w:tr>
      <w:tr>
        <w:trPr>
          <w:trHeight w:val="212"/>
        </w:trPr>
        <w:tc>
          <w:tcPr>
            <w:tcW w:w="3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revenues—product sales:</w:t>
            </w:r>
          </w:p>
        </w:tc>
        <w:tc>
          <w:tcPr>
            <w:tcW w:w="12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220"/>
              <w:spacing w:after="0"/>
              <w:rPr>
                <w:sz w:val="20"/>
                <w:szCs w:val="20"/>
                <w:color w:val="auto"/>
              </w:rPr>
            </w:pPr>
            <w:r>
              <w:rPr>
                <w:rFonts w:ascii="Arial" w:cs="Arial" w:eastAsia="Arial" w:hAnsi="Arial"/>
                <w:sz w:val="18"/>
                <w:szCs w:val="18"/>
                <w:color w:val="auto"/>
              </w:rPr>
              <w:t>Product costs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101</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25 %</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137</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53 %</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75"/>
        </w:trPr>
        <w:tc>
          <w:tcPr>
            <w:tcW w:w="378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2"/>
              </w:rPr>
              <w:t>Software royalties, amortization, and intellectual</w:t>
            </w:r>
          </w:p>
        </w:tc>
        <w:tc>
          <w:tcPr>
            <w:tcW w:w="120" w:type="dxa"/>
            <w:vAlign w:val="bottom"/>
            <w:shd w:val="clear" w:color="auto" w:fill="CCEEFF"/>
          </w:tcPr>
          <w:p>
            <w:pPr>
              <w:spacing w:after="0"/>
              <w:rPr>
                <w:sz w:val="15"/>
                <w:szCs w:val="15"/>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460" w:type="dxa"/>
            <w:vAlign w:val="bottom"/>
            <w:gridSpan w:val="2"/>
            <w:vMerge w:val="restart"/>
            <w:shd w:val="clear" w:color="auto" w:fill="CCEEFF"/>
          </w:tcPr>
          <w:p>
            <w:pPr>
              <w:jc w:val="right"/>
              <w:ind w:right="139"/>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440" w:type="dxa"/>
            <w:vAlign w:val="bottom"/>
            <w:gridSpan w:val="2"/>
            <w:vMerge w:val="restart"/>
            <w:shd w:val="clear" w:color="auto" w:fill="CCEEFF"/>
          </w:tcPr>
          <w:p>
            <w:pPr>
              <w:jc w:val="right"/>
              <w:ind w:right="139"/>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property licenses</w:t>
            </w:r>
          </w:p>
        </w:tc>
        <w:tc>
          <w:tcPr>
            <w:tcW w:w="120" w:type="dxa"/>
            <w:vAlign w:val="bottom"/>
            <w:shd w:val="clear" w:color="auto" w:fill="CCEEFF"/>
          </w:tcPr>
          <w:p>
            <w:pPr>
              <w:spacing w:after="0"/>
              <w:rPr>
                <w:sz w:val="19"/>
                <w:szCs w:val="19"/>
                <w:color w:val="auto"/>
              </w:rPr>
            </w:pPr>
          </w:p>
        </w:tc>
        <w:tc>
          <w:tcPr>
            <w:tcW w:w="1460" w:type="dxa"/>
            <w:vAlign w:val="bottom"/>
            <w:vMerge w:val="continue"/>
            <w:shd w:val="clear" w:color="auto" w:fill="CCEEFF"/>
          </w:tcPr>
          <w:p>
            <w:pPr>
              <w:spacing w:after="0"/>
              <w:rPr>
                <w:sz w:val="19"/>
                <w:szCs w:val="19"/>
                <w:color w:val="auto"/>
              </w:rPr>
            </w:pPr>
          </w:p>
        </w:tc>
        <w:tc>
          <w:tcPr>
            <w:tcW w:w="146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vMerge w:val="continue"/>
            <w:shd w:val="clear" w:color="auto" w:fill="CCEEFF"/>
          </w:tcPr>
          <w:p>
            <w:pPr>
              <w:spacing w:after="0"/>
              <w:rPr>
                <w:sz w:val="19"/>
                <w:szCs w:val="19"/>
                <w:color w:val="auto"/>
              </w:rPr>
            </w:pPr>
          </w:p>
        </w:tc>
        <w:tc>
          <w:tcPr>
            <w:tcW w:w="144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780" w:type="dxa"/>
            <w:vAlign w:val="bottom"/>
          </w:tcPr>
          <w:p>
            <w:pPr>
              <w:ind w:left="20"/>
              <w:spacing w:after="0" w:line="176" w:lineRule="exact"/>
              <w:rPr>
                <w:sz w:val="20"/>
                <w:szCs w:val="20"/>
                <w:color w:val="auto"/>
              </w:rPr>
            </w:pPr>
            <w:r>
              <w:rPr>
                <w:rFonts w:ascii="Arial" w:cs="Arial" w:eastAsia="Arial" w:hAnsi="Arial"/>
                <w:sz w:val="18"/>
                <w:szCs w:val="18"/>
                <w:color w:val="auto"/>
              </w:rPr>
              <w:t>Cost of revenues—subscription, licensing, and</w:t>
            </w: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color w:val="auto"/>
              </w:rPr>
              <w:t>other revenues:</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Game operations and distribution costs</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460" w:type="dxa"/>
            <w:vAlign w:val="bottom"/>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440" w:type="dxa"/>
            <w:vAlign w:val="bottom"/>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75"/>
        </w:trPr>
        <w:tc>
          <w:tcPr>
            <w:tcW w:w="3780" w:type="dxa"/>
            <w:vAlign w:val="bottom"/>
          </w:tcPr>
          <w:p>
            <w:pPr>
              <w:ind w:left="220"/>
              <w:spacing w:after="0" w:line="176" w:lineRule="exact"/>
              <w:rPr>
                <w:sz w:val="20"/>
                <w:szCs w:val="20"/>
                <w:color w:val="auto"/>
              </w:rPr>
            </w:pPr>
            <w:r>
              <w:rPr>
                <w:rFonts w:ascii="Arial" w:cs="Arial" w:eastAsia="Arial" w:hAnsi="Arial"/>
                <w:sz w:val="18"/>
                <w:szCs w:val="18"/>
                <w:color w:val="auto"/>
                <w:w w:val="92"/>
              </w:rPr>
              <w:t>Software royalties, amortization, and intellectual</w:t>
            </w:r>
          </w:p>
        </w:tc>
        <w:tc>
          <w:tcPr>
            <w:tcW w:w="120" w:type="dxa"/>
            <w:vAlign w:val="bottom"/>
          </w:tcPr>
          <w:p>
            <w:pPr>
              <w:spacing w:after="0"/>
              <w:rPr>
                <w:sz w:val="15"/>
                <w:szCs w:val="15"/>
                <w:color w:val="auto"/>
              </w:rPr>
            </w:pP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41</w:t>
            </w:r>
          </w:p>
        </w:tc>
        <w:tc>
          <w:tcPr>
            <w:tcW w:w="1460" w:type="dxa"/>
            <w:vAlign w:val="bottom"/>
            <w:gridSpan w:val="2"/>
            <w:vMerge w:val="restart"/>
          </w:tcPr>
          <w:p>
            <w:pPr>
              <w:jc w:val="right"/>
              <w:ind w:right="139"/>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50</w:t>
            </w:r>
          </w:p>
        </w:tc>
        <w:tc>
          <w:tcPr>
            <w:tcW w:w="1440" w:type="dxa"/>
            <w:vAlign w:val="bottom"/>
            <w:gridSpan w:val="2"/>
            <w:vMerge w:val="restart"/>
          </w:tcPr>
          <w:p>
            <w:pPr>
              <w:jc w:val="right"/>
              <w:ind w:right="139"/>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37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property licenses</w:t>
            </w: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vMerge w:val="continue"/>
          </w:tcPr>
          <w:p>
            <w:pPr>
              <w:spacing w:after="0"/>
              <w:rPr>
                <w:sz w:val="19"/>
                <w:szCs w:val="19"/>
                <w:color w:val="auto"/>
              </w:rPr>
            </w:pPr>
          </w:p>
        </w:tc>
        <w:tc>
          <w:tcPr>
            <w:tcW w:w="1460" w:type="dxa"/>
            <w:vAlign w:val="bottom"/>
            <w:tcBorders>
              <w:bottom w:val="single" w:sz="8" w:color="CCEEFF"/>
            </w:tcBorders>
            <w:gridSpan w:val="2"/>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vMerge w:val="continue"/>
          </w:tcPr>
          <w:p>
            <w:pPr>
              <w:spacing w:after="0"/>
              <w:rPr>
                <w:sz w:val="19"/>
                <w:szCs w:val="19"/>
                <w:color w:val="auto"/>
              </w:rPr>
            </w:pPr>
          </w:p>
        </w:tc>
        <w:tc>
          <w:tcPr>
            <w:tcW w:w="1440" w:type="dxa"/>
            <w:vAlign w:val="bottom"/>
            <w:tcBorders>
              <w:bottom w:val="single" w:sz="8" w:color="CCEEFF"/>
            </w:tcBorders>
            <w:gridSpan w:val="2"/>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cost of revenues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34 %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gridSpan w:val="2"/>
          </w:tcPr>
          <w:p>
            <w:pPr>
              <w:spacing w:after="0" w:line="20" w:lineRule="exact"/>
              <w:rPr>
                <w:sz w:val="1"/>
                <w:szCs w:val="1"/>
                <w:color w:val="auto"/>
              </w:rPr>
            </w:pPr>
          </w:p>
        </w:tc>
        <w:tc>
          <w:tcPr>
            <w:tcW w:w="16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6"/>
        </w:trPr>
        <w:tc>
          <w:tcPr>
            <w:tcW w:w="3780" w:type="dxa"/>
            <w:vAlign w:val="bottom"/>
          </w:tcPr>
          <w:p>
            <w:pPr>
              <w:spacing w:after="0"/>
              <w:rPr>
                <w:sz w:val="24"/>
                <w:szCs w:val="24"/>
                <w:color w:val="auto"/>
              </w:rPr>
            </w:pPr>
          </w:p>
        </w:tc>
        <w:tc>
          <w:tcPr>
            <w:tcW w:w="15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Nine Months Ended</w:t>
            </w:r>
          </w:p>
        </w:tc>
        <w:tc>
          <w:tcPr>
            <w:tcW w:w="120" w:type="dxa"/>
            <w:vAlign w:val="bottom"/>
          </w:tcPr>
          <w:p>
            <w:pPr>
              <w:spacing w:after="0"/>
              <w:rPr>
                <w:sz w:val="24"/>
                <w:szCs w:val="24"/>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 of associated</w:t>
            </w:r>
          </w:p>
        </w:tc>
        <w:tc>
          <w:tcPr>
            <w:tcW w:w="16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Nine Months Ended</w:t>
            </w:r>
          </w:p>
        </w:tc>
        <w:tc>
          <w:tcPr>
            <w:tcW w:w="100" w:type="dxa"/>
            <w:vAlign w:val="bottom"/>
          </w:tcPr>
          <w:p>
            <w:pPr>
              <w:spacing w:after="0"/>
              <w:rPr>
                <w:sz w:val="24"/>
                <w:szCs w:val="24"/>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 of associated</w:t>
            </w:r>
          </w:p>
        </w:tc>
        <w:tc>
          <w:tcPr>
            <w:tcW w:w="180" w:type="dxa"/>
            <w:vAlign w:val="bottom"/>
          </w:tcPr>
          <w:p>
            <w:pPr>
              <w:spacing w:after="0"/>
              <w:rPr>
                <w:sz w:val="24"/>
                <w:szCs w:val="24"/>
                <w:color w:val="auto"/>
              </w:rPr>
            </w:pPr>
          </w:p>
        </w:tc>
        <w:tc>
          <w:tcPr>
            <w:tcW w:w="1000" w:type="dxa"/>
            <w:vAlign w:val="bottom"/>
          </w:tcPr>
          <w:p>
            <w:pPr>
              <w:jc w:val="center"/>
              <w:ind w:right="93"/>
              <w:spacing w:after="0"/>
              <w:rPr>
                <w:sz w:val="20"/>
                <w:szCs w:val="20"/>
                <w:color w:val="auto"/>
              </w:rPr>
            </w:pPr>
            <w:r>
              <w:rPr>
                <w:rFonts w:ascii="Arial" w:cs="Arial" w:eastAsia="Arial" w:hAnsi="Arial"/>
                <w:sz w:val="16"/>
                <w:szCs w:val="16"/>
                <w:b w:val="1"/>
                <w:bCs w:val="1"/>
                <w:color w:val="auto"/>
                <w:w w:val="89"/>
              </w:rPr>
              <w:t>Increase</w:t>
            </w:r>
          </w:p>
        </w:tc>
        <w:tc>
          <w:tcPr>
            <w:tcW w:w="0" w:type="dxa"/>
            <w:vAlign w:val="bottom"/>
          </w:tcPr>
          <w:p>
            <w:pPr>
              <w:spacing w:after="0"/>
              <w:rPr>
                <w:sz w:val="1"/>
                <w:szCs w:val="1"/>
                <w:color w:val="auto"/>
              </w:rPr>
            </w:pPr>
          </w:p>
        </w:tc>
      </w:tr>
      <w:tr>
        <w:trPr>
          <w:trHeight w:val="213"/>
        </w:trPr>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center"/>
              <w:ind w:right="12"/>
              <w:spacing w:after="0"/>
              <w:rPr>
                <w:sz w:val="20"/>
                <w:szCs w:val="20"/>
                <w:color w:val="auto"/>
              </w:rPr>
            </w:pPr>
            <w:r>
              <w:rPr>
                <w:rFonts w:ascii="Arial" w:cs="Arial" w:eastAsia="Arial" w:hAnsi="Arial"/>
                <w:sz w:val="16"/>
                <w:szCs w:val="16"/>
                <w:b w:val="1"/>
                <w:bCs w:val="1"/>
                <w:color w:val="auto"/>
                <w:w w:val="90"/>
              </w:rPr>
              <w:t>September 30, 2020</w:t>
            </w:r>
          </w:p>
        </w:tc>
        <w:tc>
          <w:tcPr>
            <w:tcW w:w="120" w:type="dxa"/>
            <w:vAlign w:val="bottom"/>
          </w:tcPr>
          <w:p>
            <w:pPr>
              <w:spacing w:after="0"/>
              <w:rPr>
                <w:sz w:val="18"/>
                <w:szCs w:val="18"/>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7"/>
              </w:rPr>
              <w:t>net revenues</w:t>
            </w:r>
          </w:p>
        </w:tc>
        <w:tc>
          <w:tcPr>
            <w:tcW w:w="120" w:type="dxa"/>
            <w:vAlign w:val="bottom"/>
          </w:tcPr>
          <w:p>
            <w:pPr>
              <w:spacing w:after="0"/>
              <w:rPr>
                <w:sz w:val="18"/>
                <w:szCs w:val="18"/>
                <w:color w:val="auto"/>
              </w:rPr>
            </w:pPr>
          </w:p>
        </w:tc>
        <w:tc>
          <w:tcPr>
            <w:tcW w:w="1480" w:type="dxa"/>
            <w:vAlign w:val="bottom"/>
          </w:tcPr>
          <w:p>
            <w:pPr>
              <w:jc w:val="center"/>
              <w:ind w:right="32"/>
              <w:spacing w:after="0"/>
              <w:rPr>
                <w:sz w:val="20"/>
                <w:szCs w:val="20"/>
                <w:color w:val="auto"/>
              </w:rPr>
            </w:pPr>
            <w:r>
              <w:rPr>
                <w:rFonts w:ascii="Arial" w:cs="Arial" w:eastAsia="Arial" w:hAnsi="Arial"/>
                <w:sz w:val="16"/>
                <w:szCs w:val="16"/>
                <w:b w:val="1"/>
                <w:bCs w:val="1"/>
                <w:color w:val="auto"/>
                <w:w w:val="90"/>
              </w:rPr>
              <w:t>September 30, 2019</w:t>
            </w:r>
          </w:p>
        </w:tc>
        <w:tc>
          <w:tcPr>
            <w:tcW w:w="100" w:type="dxa"/>
            <w:vAlign w:val="bottom"/>
          </w:tcPr>
          <w:p>
            <w:pPr>
              <w:spacing w:after="0"/>
              <w:rPr>
                <w:sz w:val="18"/>
                <w:szCs w:val="18"/>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7"/>
              </w:rPr>
              <w:t>net revenues</w:t>
            </w:r>
          </w:p>
        </w:tc>
        <w:tc>
          <w:tcPr>
            <w:tcW w:w="180" w:type="dxa"/>
            <w:vAlign w:val="bottom"/>
          </w:tcPr>
          <w:p>
            <w:pPr>
              <w:spacing w:after="0"/>
              <w:rPr>
                <w:sz w:val="18"/>
                <w:szCs w:val="18"/>
                <w:color w:val="auto"/>
              </w:rPr>
            </w:pPr>
          </w:p>
        </w:tc>
        <w:tc>
          <w:tcPr>
            <w:tcW w:w="1000" w:type="dxa"/>
            <w:vAlign w:val="bottom"/>
          </w:tcPr>
          <w:p>
            <w:pPr>
              <w:jc w:val="center"/>
              <w:ind w:right="73"/>
              <w:spacing w:after="0"/>
              <w:rPr>
                <w:sz w:val="20"/>
                <w:szCs w:val="20"/>
                <w:color w:val="auto"/>
              </w:rPr>
            </w:pPr>
            <w:r>
              <w:rPr>
                <w:rFonts w:ascii="Arial" w:cs="Arial" w:eastAsia="Arial" w:hAnsi="Arial"/>
                <w:sz w:val="16"/>
                <w:szCs w:val="16"/>
                <w:b w:val="1"/>
                <w:bCs w:val="1"/>
                <w:color w:val="auto"/>
                <w:w w:val="87"/>
              </w:rPr>
              <w:t>(Decrease)</w:t>
            </w:r>
          </w:p>
        </w:tc>
        <w:tc>
          <w:tcPr>
            <w:tcW w:w="0" w:type="dxa"/>
            <w:vAlign w:val="bottom"/>
          </w:tcPr>
          <w:p>
            <w:pPr>
              <w:spacing w:after="0"/>
              <w:rPr>
                <w:sz w:val="1"/>
                <w:szCs w:val="1"/>
                <w:color w:val="auto"/>
              </w:rPr>
            </w:pPr>
          </w:p>
        </w:tc>
      </w:tr>
      <w:tr>
        <w:trPr>
          <w:trHeight w:val="212"/>
        </w:trPr>
        <w:tc>
          <w:tcPr>
            <w:tcW w:w="3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revenues—product sales:</w:t>
            </w:r>
          </w:p>
        </w:tc>
        <w:tc>
          <w:tcPr>
            <w:tcW w:w="12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260"/>
              <w:spacing w:after="0"/>
              <w:rPr>
                <w:sz w:val="20"/>
                <w:szCs w:val="20"/>
                <w:color w:val="auto"/>
              </w:rPr>
            </w:pPr>
            <w:r>
              <w:rPr>
                <w:rFonts w:ascii="Arial" w:cs="Arial" w:eastAsia="Arial" w:hAnsi="Arial"/>
                <w:sz w:val="18"/>
                <w:szCs w:val="18"/>
                <w:color w:val="auto"/>
              </w:rPr>
              <w:t>Product costs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357</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24 %</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388</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30 %</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75"/>
        </w:trPr>
        <w:tc>
          <w:tcPr>
            <w:tcW w:w="378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2"/>
              </w:rPr>
              <w:t>Software royalties, amortization, and intellectual</w:t>
            </w:r>
          </w:p>
        </w:tc>
        <w:tc>
          <w:tcPr>
            <w:tcW w:w="120" w:type="dxa"/>
            <w:vAlign w:val="bottom"/>
            <w:shd w:val="clear" w:color="auto" w:fill="CCEEFF"/>
          </w:tcPr>
          <w:p>
            <w:pPr>
              <w:spacing w:after="0"/>
              <w:rPr>
                <w:sz w:val="15"/>
                <w:szCs w:val="15"/>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460" w:type="dxa"/>
            <w:vAlign w:val="bottom"/>
            <w:gridSpan w:val="2"/>
            <w:vMerge w:val="restart"/>
            <w:shd w:val="clear" w:color="auto" w:fill="CCEEFF"/>
          </w:tcPr>
          <w:p>
            <w:pPr>
              <w:jc w:val="right"/>
              <w:ind w:right="139"/>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440" w:type="dxa"/>
            <w:vAlign w:val="bottom"/>
            <w:gridSpan w:val="2"/>
            <w:vMerge w:val="restart"/>
            <w:shd w:val="clear" w:color="auto" w:fill="CCEEFF"/>
          </w:tcPr>
          <w:p>
            <w:pPr>
              <w:jc w:val="right"/>
              <w:ind w:right="139"/>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property licenses</w:t>
            </w:r>
          </w:p>
        </w:tc>
        <w:tc>
          <w:tcPr>
            <w:tcW w:w="120" w:type="dxa"/>
            <w:vAlign w:val="bottom"/>
            <w:shd w:val="clear" w:color="auto" w:fill="CCEEFF"/>
          </w:tcPr>
          <w:p>
            <w:pPr>
              <w:spacing w:after="0"/>
              <w:rPr>
                <w:sz w:val="19"/>
                <w:szCs w:val="19"/>
                <w:color w:val="auto"/>
              </w:rPr>
            </w:pPr>
          </w:p>
        </w:tc>
        <w:tc>
          <w:tcPr>
            <w:tcW w:w="1460" w:type="dxa"/>
            <w:vAlign w:val="bottom"/>
            <w:vMerge w:val="continue"/>
            <w:shd w:val="clear" w:color="auto" w:fill="CCEEFF"/>
          </w:tcPr>
          <w:p>
            <w:pPr>
              <w:spacing w:after="0"/>
              <w:rPr>
                <w:sz w:val="19"/>
                <w:szCs w:val="19"/>
                <w:color w:val="auto"/>
              </w:rPr>
            </w:pPr>
          </w:p>
        </w:tc>
        <w:tc>
          <w:tcPr>
            <w:tcW w:w="146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vMerge w:val="continue"/>
            <w:shd w:val="clear" w:color="auto" w:fill="CCEEFF"/>
          </w:tcPr>
          <w:p>
            <w:pPr>
              <w:spacing w:after="0"/>
              <w:rPr>
                <w:sz w:val="19"/>
                <w:szCs w:val="19"/>
                <w:color w:val="auto"/>
              </w:rPr>
            </w:pPr>
          </w:p>
        </w:tc>
        <w:tc>
          <w:tcPr>
            <w:tcW w:w="144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780" w:type="dxa"/>
            <w:vAlign w:val="bottom"/>
          </w:tcPr>
          <w:p>
            <w:pPr>
              <w:ind w:left="20"/>
              <w:spacing w:after="0" w:line="176" w:lineRule="exact"/>
              <w:rPr>
                <w:sz w:val="20"/>
                <w:szCs w:val="20"/>
                <w:color w:val="auto"/>
              </w:rPr>
            </w:pPr>
            <w:r>
              <w:rPr>
                <w:rFonts w:ascii="Arial" w:cs="Arial" w:eastAsia="Arial" w:hAnsi="Arial"/>
                <w:sz w:val="18"/>
                <w:szCs w:val="18"/>
                <w:color w:val="auto"/>
              </w:rPr>
              <w:t>Cost of revenues—subscription, licensing, and</w:t>
            </w: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other revenues:</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Game operations and distribution costs</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1460" w:type="dxa"/>
            <w:vAlign w:val="bottom"/>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1440" w:type="dxa"/>
            <w:vAlign w:val="bottom"/>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176"/>
        </w:trPr>
        <w:tc>
          <w:tcPr>
            <w:tcW w:w="3780" w:type="dxa"/>
            <w:vAlign w:val="bottom"/>
          </w:tcPr>
          <w:p>
            <w:pPr>
              <w:ind w:left="220"/>
              <w:spacing w:after="0" w:line="176" w:lineRule="exact"/>
              <w:rPr>
                <w:sz w:val="20"/>
                <w:szCs w:val="20"/>
                <w:color w:val="auto"/>
              </w:rPr>
            </w:pPr>
            <w:r>
              <w:rPr>
                <w:rFonts w:ascii="Arial" w:cs="Arial" w:eastAsia="Arial" w:hAnsi="Arial"/>
                <w:sz w:val="18"/>
                <w:szCs w:val="18"/>
                <w:color w:val="auto"/>
                <w:w w:val="92"/>
              </w:rPr>
              <w:t>Software royalties, amortization, and intellectual</w:t>
            </w:r>
          </w:p>
        </w:tc>
        <w:tc>
          <w:tcPr>
            <w:tcW w:w="120" w:type="dxa"/>
            <w:vAlign w:val="bottom"/>
          </w:tcPr>
          <w:p>
            <w:pPr>
              <w:spacing w:after="0"/>
              <w:rPr>
                <w:sz w:val="15"/>
                <w:szCs w:val="15"/>
                <w:color w:val="auto"/>
              </w:rPr>
            </w:pP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115</w:t>
            </w:r>
          </w:p>
        </w:tc>
        <w:tc>
          <w:tcPr>
            <w:tcW w:w="1460" w:type="dxa"/>
            <w:vAlign w:val="bottom"/>
            <w:gridSpan w:val="2"/>
            <w:vMerge w:val="restart"/>
          </w:tcPr>
          <w:p>
            <w:pPr>
              <w:jc w:val="right"/>
              <w:ind w:right="139"/>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164</w:t>
            </w:r>
          </w:p>
        </w:tc>
        <w:tc>
          <w:tcPr>
            <w:tcW w:w="1440" w:type="dxa"/>
            <w:vAlign w:val="bottom"/>
            <w:gridSpan w:val="2"/>
            <w:vMerge w:val="restart"/>
          </w:tcPr>
          <w:p>
            <w:pPr>
              <w:jc w:val="right"/>
              <w:ind w:right="139"/>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9"/>
        </w:trPr>
        <w:tc>
          <w:tcPr>
            <w:tcW w:w="37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property licenses</w:t>
            </w: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vMerge w:val="continue"/>
          </w:tcPr>
          <w:p>
            <w:pPr>
              <w:spacing w:after="0"/>
              <w:rPr>
                <w:sz w:val="19"/>
                <w:szCs w:val="19"/>
                <w:color w:val="auto"/>
              </w:rPr>
            </w:pPr>
          </w:p>
        </w:tc>
        <w:tc>
          <w:tcPr>
            <w:tcW w:w="1460" w:type="dxa"/>
            <w:vAlign w:val="bottom"/>
            <w:tcBorders>
              <w:bottom w:val="single" w:sz="8" w:color="CCEEFF"/>
            </w:tcBorders>
            <w:gridSpan w:val="2"/>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vMerge w:val="continue"/>
          </w:tcPr>
          <w:p>
            <w:pPr>
              <w:spacing w:after="0"/>
              <w:rPr>
                <w:sz w:val="19"/>
                <w:szCs w:val="19"/>
                <w:color w:val="auto"/>
              </w:rPr>
            </w:pPr>
          </w:p>
        </w:tc>
        <w:tc>
          <w:tcPr>
            <w:tcW w:w="1440" w:type="dxa"/>
            <w:vAlign w:val="bottom"/>
            <w:tcBorders>
              <w:bottom w:val="single" w:sz="8" w:color="CCEEFF"/>
            </w:tcBorders>
            <w:gridSpan w:val="2"/>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cost of revenues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1,443</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1,437</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Revenues—Product Sales: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Q3 2020 vs. Q3 2019</w:t>
      </w:r>
    </w:p>
    <w:p>
      <w:pPr>
        <w:spacing w:after="0" w:line="252" w:lineRule="exact"/>
        <w:rPr>
          <w:sz w:val="20"/>
          <w:szCs w:val="20"/>
          <w:color w:val="auto"/>
        </w:rPr>
      </w:pPr>
    </w:p>
    <w:p>
      <w:pPr>
        <w:ind w:right="560" w:firstLine="324"/>
        <w:spacing w:after="0" w:line="308" w:lineRule="auto"/>
        <w:rPr>
          <w:sz w:val="20"/>
          <w:szCs w:val="20"/>
          <w:color w:val="auto"/>
        </w:rPr>
      </w:pPr>
      <w:r>
        <w:rPr>
          <w:rFonts w:ascii="Arial" w:cs="Arial" w:eastAsia="Arial" w:hAnsi="Arial"/>
          <w:sz w:val="17"/>
          <w:szCs w:val="17"/>
          <w:color w:val="auto"/>
        </w:rPr>
        <w:t>The decrease in product costs for the three months ended September 30, 2020, as compared to the three months ended September 30, 2019, was primarily due to a $34 million decrease in product costs for our Distribution business as a result of lower revenues.</w:t>
      </w:r>
    </w:p>
    <w:p>
      <w:pPr>
        <w:spacing w:after="0" w:line="173" w:lineRule="exact"/>
        <w:rPr>
          <w:sz w:val="20"/>
          <w:szCs w:val="20"/>
          <w:color w:val="auto"/>
        </w:rPr>
      </w:pPr>
    </w:p>
    <w:p>
      <w:pPr>
        <w:ind w:right="100" w:firstLine="324"/>
        <w:spacing w:after="0" w:line="311" w:lineRule="auto"/>
        <w:rPr>
          <w:sz w:val="20"/>
          <w:szCs w:val="20"/>
          <w:color w:val="auto"/>
        </w:rPr>
      </w:pPr>
      <w:r>
        <w:rPr>
          <w:rFonts w:ascii="Arial" w:cs="Arial" w:eastAsia="Arial" w:hAnsi="Arial"/>
          <w:sz w:val="16"/>
          <w:szCs w:val="16"/>
          <w:color w:val="auto"/>
        </w:rPr>
        <w:t xml:space="preserve">The increase in software royalties, amortization, and intellectual property licenses related to product sales for the three months ended September 30, 2020, as compared to the three months ended September 30, 2019, was primarily due to a $25 million increase in software amortization and royalties from Activision, driven by amortization and royalties from </w:t>
      </w:r>
      <w:r>
        <w:rPr>
          <w:rFonts w:ascii="Arial" w:cs="Arial" w:eastAsia="Arial" w:hAnsi="Arial"/>
          <w:sz w:val="16"/>
          <w:szCs w:val="16"/>
          <w:i w:val="1"/>
          <w:iCs w:val="1"/>
          <w:color w:val="auto"/>
        </w:rPr>
        <w:t>Tony Hawk’s Pro Skater 1 and 2</w:t>
      </w:r>
      <w:r>
        <w:rPr>
          <w:rFonts w:ascii="Arial" w:cs="Arial" w:eastAsia="Arial" w:hAnsi="Arial"/>
          <w:sz w:val="16"/>
          <w:szCs w:val="16"/>
          <w:color w:val="auto"/>
        </w:rPr>
        <w:t>, which was released in September 2020.</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YTD Q3 2020 vs. YTD Q3 2019</w:t>
      </w:r>
    </w:p>
    <w:p>
      <w:pPr>
        <w:spacing w:after="0" w:line="252" w:lineRule="exact"/>
        <w:rPr>
          <w:sz w:val="20"/>
          <w:szCs w:val="20"/>
          <w:color w:val="auto"/>
        </w:rPr>
      </w:pPr>
    </w:p>
    <w:p>
      <w:pPr>
        <w:ind w:right="640" w:firstLine="324"/>
        <w:spacing w:after="0" w:line="308" w:lineRule="auto"/>
        <w:rPr>
          <w:sz w:val="20"/>
          <w:szCs w:val="20"/>
          <w:color w:val="auto"/>
        </w:rPr>
      </w:pPr>
      <w:r>
        <w:rPr>
          <w:rFonts w:ascii="Arial" w:cs="Arial" w:eastAsia="Arial" w:hAnsi="Arial"/>
          <w:sz w:val="17"/>
          <w:szCs w:val="17"/>
          <w:color w:val="auto"/>
        </w:rPr>
        <w:t xml:space="preserve">The decrease in product costs for the nine months ended September 30, 2020, as compared to the nine months ended September 30, 2019, was primarily due to a $19 million decrease in product costs from </w:t>
      </w:r>
      <w:r>
        <w:rPr>
          <w:rFonts w:ascii="Arial" w:cs="Arial" w:eastAsia="Arial" w:hAnsi="Arial"/>
          <w:sz w:val="17"/>
          <w:szCs w:val="17"/>
          <w:i w:val="1"/>
          <w:iCs w:val="1"/>
          <w:color w:val="auto"/>
        </w:rPr>
        <w:t>Sekiro: Shadows Die Twice</w:t>
      </w:r>
      <w:r>
        <w:rPr>
          <w:rFonts w:ascii="Arial" w:cs="Arial" w:eastAsia="Arial" w:hAnsi="Arial"/>
          <w:sz w:val="17"/>
          <w:szCs w:val="17"/>
          <w:color w:val="auto"/>
        </w:rPr>
        <w:t>, which was released in March 2019.</w:t>
      </w:r>
    </w:p>
    <w:p>
      <w:pPr>
        <w:spacing w:after="0" w:line="173"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The decrease in software royalties, amortization, and intellectual property licenses related to product sales for the nine months ended September 30, 2020, as compared to the nine months ended September 30, 2019, was primarily due to:</w:t>
      </w:r>
    </w:p>
    <w:p>
      <w:pPr>
        <w:spacing w:after="0" w:line="197" w:lineRule="exact"/>
        <w:rPr>
          <w:sz w:val="20"/>
          <w:szCs w:val="20"/>
          <w:color w:val="auto"/>
        </w:rPr>
      </w:pPr>
    </w:p>
    <w:p>
      <w:pPr>
        <w:ind w:left="980" w:right="100" w:hanging="324"/>
        <w:spacing w:after="0" w:line="263" w:lineRule="auto"/>
        <w:tabs>
          <w:tab w:leader="none" w:pos="975"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a $12 million decrease in software amortization and royalties from Blizzard, driven by lower software amortization and royalties from </w:t>
      </w:r>
      <w:r>
        <w:rPr>
          <w:rFonts w:ascii="Arial" w:cs="Arial" w:eastAsia="Arial" w:hAnsi="Arial"/>
          <w:sz w:val="18"/>
          <w:szCs w:val="18"/>
          <w:i w:val="1"/>
          <w:iCs w:val="1"/>
          <w:color w:val="auto"/>
        </w:rPr>
        <w:t>World</w:t>
      </w:r>
      <w:r>
        <w:rPr>
          <w:rFonts w:ascii="Arial" w:cs="Arial" w:eastAsia="Arial" w:hAnsi="Arial"/>
          <w:sz w:val="18"/>
          <w:szCs w:val="18"/>
          <w:color w:val="auto"/>
        </w:rPr>
        <w:t xml:space="preserve"> </w:t>
      </w:r>
      <w:r>
        <w:rPr>
          <w:rFonts w:ascii="Arial" w:cs="Arial" w:eastAsia="Arial" w:hAnsi="Arial"/>
          <w:sz w:val="18"/>
          <w:szCs w:val="18"/>
          <w:i w:val="1"/>
          <w:iCs w:val="1"/>
          <w:color w:val="auto"/>
        </w:rPr>
        <w:t>of Warcraft</w:t>
      </w:r>
      <w:r>
        <w:rPr>
          <w:rFonts w:ascii="Arial" w:cs="Arial" w:eastAsia="Arial" w:hAnsi="Arial"/>
          <w:sz w:val="18"/>
          <w:szCs w:val="18"/>
          <w:color w:val="auto"/>
        </w:rPr>
        <w:t>, as the prior year included software amortization expense from the August 2018 release of</w:t>
      </w:r>
      <w:r>
        <w:rPr>
          <w:rFonts w:ascii="Arial" w:cs="Arial" w:eastAsia="Arial" w:hAnsi="Arial"/>
          <w:sz w:val="18"/>
          <w:szCs w:val="18"/>
          <w:i w:val="1"/>
          <w:iCs w:val="1"/>
          <w:color w:val="auto"/>
        </w:rPr>
        <w:t xml:space="preserve"> World of Warcraft: Battle for Azeroth </w:t>
      </w:r>
      <w:r>
        <w:rPr>
          <w:rFonts w:ascii="Arial" w:cs="Arial" w:eastAsia="Arial" w:hAnsi="Arial"/>
          <w:sz w:val="18"/>
          <w:szCs w:val="18"/>
          <w:color w:val="auto"/>
        </w:rPr>
        <w:t>with no comparable amortization in the current year; and</w:t>
      </w:r>
    </w:p>
    <w:p>
      <w:pPr>
        <w:spacing w:after="0" w:line="210" w:lineRule="exact"/>
        <w:rPr>
          <w:rFonts w:ascii="Arial" w:cs="Arial" w:eastAsia="Arial" w:hAnsi="Arial"/>
          <w:sz w:val="18"/>
          <w:szCs w:val="18"/>
          <w:color w:val="auto"/>
        </w:rPr>
      </w:pPr>
    </w:p>
    <w:p>
      <w:pPr>
        <w:ind w:left="980" w:right="100" w:hanging="324"/>
        <w:spacing w:after="0" w:line="279" w:lineRule="auto"/>
        <w:tabs>
          <w:tab w:leader="none" w:pos="975" w:val="left"/>
        </w:tabs>
        <w:numPr>
          <w:ilvl w:val="0"/>
          <w:numId w:val="56"/>
        </w:numPr>
        <w:rPr>
          <w:rFonts w:ascii="Arial" w:cs="Arial" w:eastAsia="Arial" w:hAnsi="Arial"/>
          <w:sz w:val="17"/>
          <w:szCs w:val="17"/>
          <w:color w:val="auto"/>
        </w:rPr>
      </w:pPr>
      <w:r>
        <w:rPr>
          <w:rFonts w:ascii="Arial" w:cs="Arial" w:eastAsia="Arial" w:hAnsi="Arial"/>
          <w:sz w:val="17"/>
          <w:szCs w:val="17"/>
          <w:color w:val="auto"/>
        </w:rPr>
        <w:t xml:space="preserve">a $6 million decrease in software amortization and royalties from Activision, driven by lower software amortization and royalties from (1) </w:t>
      </w:r>
      <w:r>
        <w:rPr>
          <w:rFonts w:ascii="Arial" w:cs="Arial" w:eastAsia="Arial" w:hAnsi="Arial"/>
          <w:sz w:val="17"/>
          <w:szCs w:val="17"/>
          <w:i w:val="1"/>
          <w:iCs w:val="1"/>
          <w:color w:val="auto"/>
        </w:rPr>
        <w:t xml:space="preserve">Sekiro: Shadows Die Twice </w:t>
      </w:r>
      <w:r>
        <w:rPr>
          <w:rFonts w:ascii="Arial" w:cs="Arial" w:eastAsia="Arial" w:hAnsi="Arial"/>
          <w:sz w:val="17"/>
          <w:szCs w:val="17"/>
          <w:color w:val="auto"/>
        </w:rPr>
        <w:t>and (2)</w:t>
      </w:r>
      <w:r>
        <w:rPr>
          <w:rFonts w:ascii="Arial" w:cs="Arial" w:eastAsia="Arial" w:hAnsi="Arial"/>
          <w:sz w:val="17"/>
          <w:szCs w:val="17"/>
          <w:i w:val="1"/>
          <w:iCs w:val="1"/>
          <w:color w:val="auto"/>
        </w:rPr>
        <w:t xml:space="preserve"> Call of Duty: Modern Warfare</w:t>
      </w:r>
      <w:r>
        <w:rPr>
          <w:rFonts w:ascii="Arial" w:cs="Arial" w:eastAsia="Arial" w:hAnsi="Arial"/>
          <w:sz w:val="17"/>
          <w:szCs w:val="17"/>
          <w:color w:val="auto"/>
        </w:rPr>
        <w:t>, which was released in October 2019, as compared to</w:t>
      </w:r>
      <w:r>
        <w:rPr>
          <w:rFonts w:ascii="Arial" w:cs="Arial" w:eastAsia="Arial" w:hAnsi="Arial"/>
          <w:sz w:val="17"/>
          <w:szCs w:val="17"/>
          <w:i w:val="1"/>
          <w:iCs w:val="1"/>
          <w:color w:val="auto"/>
        </w:rPr>
        <w:t xml:space="preserve"> Call of Duty: Black Ops 4</w:t>
      </w:r>
      <w:r>
        <w:rPr>
          <w:rFonts w:ascii="Arial" w:cs="Arial" w:eastAsia="Arial" w:hAnsi="Arial"/>
          <w:sz w:val="17"/>
          <w:szCs w:val="17"/>
          <w:color w:val="auto"/>
        </w:rPr>
        <w:t>, which was released in October 2018, partially offset by software amortization and royalties from (1)</w:t>
      </w:r>
      <w:r>
        <w:rPr>
          <w:rFonts w:ascii="Arial" w:cs="Arial" w:eastAsia="Arial" w:hAnsi="Arial"/>
          <w:sz w:val="17"/>
          <w:szCs w:val="17"/>
          <w:i w:val="1"/>
          <w:iCs w:val="1"/>
          <w:color w:val="auto"/>
        </w:rPr>
        <w:t xml:space="preserve"> Tony Hawk’s Pro Skater 1 and 2</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and (2) </w:t>
      </w:r>
      <w:r>
        <w:rPr>
          <w:rFonts w:ascii="Arial" w:cs="Arial" w:eastAsia="Arial" w:hAnsi="Arial"/>
          <w:sz w:val="17"/>
          <w:szCs w:val="17"/>
          <w:i w:val="1"/>
          <w:iCs w:val="1"/>
          <w:color w:val="auto"/>
        </w:rPr>
        <w:t>Call of Duty: Modern Warfare 2 Campaign Remastered</w:t>
      </w:r>
      <w:r>
        <w:rPr>
          <w:rFonts w:ascii="Arial" w:cs="Arial" w:eastAsia="Arial" w:hAnsi="Arial"/>
          <w:sz w:val="17"/>
          <w:szCs w:val="17"/>
          <w:color w:val="auto"/>
        </w:rPr>
        <w:t>, which was first released on March 31, 2020.</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Revenues—Subscription, Licensing, and Other Revenues</w:t>
      </w:r>
      <w:r>
        <w:rPr>
          <w:rFonts w:ascii="Arial" w:cs="Arial" w:eastAsia="Arial" w:hAnsi="Arial"/>
          <w:sz w:val="18"/>
          <w:szCs w:val="18"/>
          <w:color w:val="auto"/>
        </w:rPr>
        <w:t>:</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Q3 2020 vs. Q3 2019</w:t>
      </w:r>
    </w:p>
    <w:p>
      <w:pPr>
        <w:spacing w:after="0" w:line="252"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increase in game operations and distribution costs for the three months ended September 30, 2020, as compared to the three months ended September 30, 2019, was primarily due to (1) an increase of $43 million in service provider fees, such as digital storefront fees (e.g., fees retained by Apple and Google for our sales on their platforms), payment processor fees, and server bandwidth fees, as a result of higher revenues, and (2) an increase of $14 million associated with our professional esports leagues.</w:t>
      </w:r>
    </w:p>
    <w:p>
      <w:pPr>
        <w:spacing w:after="0" w:line="214"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 xml:space="preserve">The decrease in software royalties, amortization, and intellectual property licenses related to subscription, licensing, and other revenues for the three months ended September 30, 2020, as compared to the three months ended September 30, 2019, was primarily due to a decrease of $36 million in amortization of internally-developed franchise and developed software intangible assets acquired as part of our acquisition of King. The decrease was partially offset by an increase in software amortization and royalties from Activision of $24 million, driven by </w:t>
      </w:r>
      <w:r>
        <w:rPr>
          <w:rFonts w:ascii="Arial" w:cs="Arial" w:eastAsia="Arial" w:hAnsi="Arial"/>
          <w:sz w:val="18"/>
          <w:szCs w:val="18"/>
          <w:i w:val="1"/>
          <w:iCs w:val="1"/>
          <w:color w:val="auto"/>
        </w:rPr>
        <w:t>Call of Duty: Mobile</w:t>
      </w:r>
      <w:r>
        <w:rPr>
          <w:rFonts w:ascii="Arial" w:cs="Arial" w:eastAsia="Arial" w:hAnsi="Arial"/>
          <w:sz w:val="18"/>
          <w:szCs w:val="18"/>
          <w:color w:val="auto"/>
        </w:rPr>
        <w:t>, which was released in October 2019.</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YTD Q3 2020 vs. YTD Q3 2019</w:t>
      </w:r>
    </w:p>
    <w:p>
      <w:pPr>
        <w:spacing w:after="0" w:line="252"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The increase in game operations and distribution costs for the nine months ended September 30, 2020, as compared to the nine months ended September 30, 2019, was primarily due to a $93 million increase in service provider fees, such as digital storefront fees, payment processor fees, and server bandwidth fees, as a result of higher revenues.</w:t>
      </w:r>
    </w:p>
    <w:p>
      <w:pPr>
        <w:spacing w:after="0" w:line="211" w:lineRule="exact"/>
        <w:rPr>
          <w:sz w:val="20"/>
          <w:szCs w:val="20"/>
          <w:color w:val="auto"/>
        </w:rPr>
      </w:pPr>
    </w:p>
    <w:p>
      <w:pPr>
        <w:ind w:right="260" w:firstLine="324"/>
        <w:spacing w:after="0" w:line="301" w:lineRule="auto"/>
        <w:rPr>
          <w:sz w:val="20"/>
          <w:szCs w:val="20"/>
          <w:color w:val="auto"/>
        </w:rPr>
      </w:pPr>
      <w:r>
        <w:rPr>
          <w:rFonts w:ascii="Arial" w:cs="Arial" w:eastAsia="Arial" w:hAnsi="Arial"/>
          <w:sz w:val="16"/>
          <w:szCs w:val="16"/>
          <w:color w:val="auto"/>
        </w:rPr>
        <w:t xml:space="preserve">The decrease in software royalties, amortization, and intellectual property licenses related to subscription, licensing, and other revenues for the nine months ended September 30, 2020, as compared to the nine months ended September 30, 2019, was primarily due to a decrease of $92 million in amortization of internally-developed franchise and developed software intangible assets acquired as part of our acquisition of King. The decrease was partially offset by an increase in software amortization and royalties from Activision of $39 million, driven by </w:t>
      </w:r>
      <w:r>
        <w:rPr>
          <w:rFonts w:ascii="Arial" w:cs="Arial" w:eastAsia="Arial" w:hAnsi="Arial"/>
          <w:sz w:val="16"/>
          <w:szCs w:val="16"/>
          <w:i w:val="1"/>
          <w:iCs w:val="1"/>
          <w:color w:val="auto"/>
        </w:rPr>
        <w:t>Call of Duty: Mobile</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Development (amounts in millions)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50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w w:val="97"/>
              </w:rPr>
              <w:t>September 30, 2020</w:t>
            </w:r>
          </w:p>
        </w:tc>
        <w:tc>
          <w:tcPr>
            <w:tcW w:w="16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 of consolidated</w:t>
            </w:r>
          </w:p>
        </w:tc>
        <w:tc>
          <w:tcPr>
            <w:tcW w:w="150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w w:val="97"/>
              </w:rPr>
              <w:t>September 30, 2019</w:t>
            </w:r>
          </w:p>
        </w:tc>
        <w:tc>
          <w:tcPr>
            <w:tcW w:w="16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 of consolidated</w:t>
            </w:r>
          </w:p>
        </w:tc>
        <w:tc>
          <w:tcPr>
            <w:tcW w:w="160" w:type="dxa"/>
            <w:vAlign w:val="bottom"/>
          </w:tcPr>
          <w:p>
            <w:pPr>
              <w:spacing w:after="0"/>
              <w:rPr>
                <w:sz w:val="16"/>
                <w:szCs w:val="16"/>
                <w:color w:val="auto"/>
              </w:rPr>
            </w:pPr>
          </w:p>
        </w:tc>
        <w:tc>
          <w:tcPr>
            <w:tcW w:w="1020" w:type="dxa"/>
            <w:vAlign w:val="bottom"/>
          </w:tcPr>
          <w:p>
            <w:pPr>
              <w:jc w:val="right"/>
              <w:ind w:right="215"/>
              <w:spacing w:after="0"/>
              <w:rPr>
                <w:sz w:val="20"/>
                <w:szCs w:val="20"/>
                <w:color w:val="auto"/>
              </w:rPr>
            </w:pPr>
            <w:r>
              <w:rPr>
                <w:rFonts w:ascii="Arial" w:cs="Arial" w:eastAsia="Arial" w:hAnsi="Arial"/>
                <w:sz w:val="16"/>
                <w:szCs w:val="16"/>
                <w:b w:val="1"/>
                <w:bCs w:val="1"/>
                <w:color w:val="auto"/>
              </w:rPr>
              <w:t>Increase</w:t>
            </w:r>
          </w:p>
        </w:tc>
        <w:tc>
          <w:tcPr>
            <w:tcW w:w="0" w:type="dxa"/>
            <w:vAlign w:val="bottom"/>
          </w:tcPr>
          <w:p>
            <w:pPr>
              <w:spacing w:after="0"/>
              <w:rPr>
                <w:sz w:val="1"/>
                <w:szCs w:val="1"/>
                <w:color w:val="auto"/>
              </w:rPr>
            </w:pPr>
          </w:p>
        </w:tc>
      </w:tr>
      <w:tr>
        <w:trPr>
          <w:trHeight w:val="213"/>
        </w:trPr>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500" w:type="dxa"/>
            <w:vAlign w:val="bottom"/>
            <w:gridSpan w:val="3"/>
            <w:vMerge w:val="continue"/>
          </w:tcPr>
          <w:p>
            <w:pPr>
              <w:spacing w:after="0"/>
              <w:rPr>
                <w:sz w:val="18"/>
                <w:szCs w:val="18"/>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7"/>
              </w:rPr>
              <w:t>net revenues</w:t>
            </w:r>
          </w:p>
        </w:tc>
        <w:tc>
          <w:tcPr>
            <w:tcW w:w="1500" w:type="dxa"/>
            <w:vAlign w:val="bottom"/>
            <w:gridSpan w:val="3"/>
            <w:vMerge w:val="continue"/>
          </w:tcPr>
          <w:p>
            <w:pPr>
              <w:spacing w:after="0"/>
              <w:rPr>
                <w:sz w:val="18"/>
                <w:szCs w:val="18"/>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7"/>
              </w:rPr>
              <w:t>net revenues</w:t>
            </w:r>
          </w:p>
        </w:tc>
        <w:tc>
          <w:tcPr>
            <w:tcW w:w="160" w:type="dxa"/>
            <w:vAlign w:val="bottom"/>
          </w:tcPr>
          <w:p>
            <w:pPr>
              <w:spacing w:after="0"/>
              <w:rPr>
                <w:sz w:val="18"/>
                <w:szCs w:val="18"/>
                <w:color w:val="auto"/>
              </w:rPr>
            </w:pPr>
          </w:p>
        </w:tc>
        <w:tc>
          <w:tcPr>
            <w:tcW w:w="1020" w:type="dxa"/>
            <w:vAlign w:val="bottom"/>
          </w:tcPr>
          <w:p>
            <w:pPr>
              <w:jc w:val="right"/>
              <w:ind w:right="155"/>
              <w:spacing w:after="0"/>
              <w:rPr>
                <w:sz w:val="20"/>
                <w:szCs w:val="20"/>
                <w:color w:val="auto"/>
              </w:rPr>
            </w:pPr>
            <w:r>
              <w:rPr>
                <w:rFonts w:ascii="Arial" w:cs="Arial" w:eastAsia="Arial" w:hAnsi="Arial"/>
                <w:sz w:val="16"/>
                <w:szCs w:val="16"/>
                <w:b w:val="1"/>
                <w:bCs w:val="1"/>
                <w:color w:val="auto"/>
                <w:w w:val="92"/>
              </w:rPr>
              <w:t>(Decrease)</w:t>
            </w:r>
          </w:p>
        </w:tc>
        <w:tc>
          <w:tcPr>
            <w:tcW w:w="0" w:type="dxa"/>
            <w:vAlign w:val="bottom"/>
          </w:tcPr>
          <w:p>
            <w:pPr>
              <w:spacing w:after="0"/>
              <w:rPr>
                <w:sz w:val="1"/>
                <w:szCs w:val="1"/>
                <w:color w:val="auto"/>
              </w:rPr>
            </w:pPr>
          </w:p>
        </w:tc>
      </w:tr>
      <w:tr>
        <w:trPr>
          <w:trHeight w:val="226"/>
        </w:trPr>
        <w:tc>
          <w:tcPr>
            <w:tcW w:w="3740" w:type="dxa"/>
            <w:vAlign w:val="bottom"/>
            <w:tcBorders>
              <w:top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Three Months Ended</w:t>
            </w:r>
          </w:p>
        </w:tc>
        <w:tc>
          <w:tcPr>
            <w:tcW w:w="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2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12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2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30"/>
        </w:trPr>
        <w:tc>
          <w:tcPr>
            <w:tcW w:w="1500" w:type="dxa"/>
            <w:vAlign w:val="bottom"/>
            <w:gridSpan w:val="2"/>
          </w:tcPr>
          <w:p>
            <w:pPr>
              <w:jc w:val="right"/>
              <w:spacing w:after="0"/>
              <w:rPr>
                <w:sz w:val="20"/>
                <w:szCs w:val="20"/>
                <w:color w:val="auto"/>
              </w:rPr>
            </w:pPr>
            <w:r>
              <w:rPr>
                <w:rFonts w:ascii="Arial" w:cs="Arial" w:eastAsia="Arial" w:hAnsi="Arial"/>
                <w:sz w:val="18"/>
                <w:szCs w:val="18"/>
                <w:color w:val="auto"/>
                <w:w w:val="92"/>
              </w:rPr>
              <w:t>Nine Months Ended</w:t>
            </w:r>
          </w:p>
        </w:tc>
        <w:tc>
          <w:tcPr>
            <w:tcW w:w="3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580" w:type="dxa"/>
            <w:vAlign w:val="bottom"/>
          </w:tcPr>
          <w:p>
            <w:pPr>
              <w:ind w:lef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802</w:t>
            </w:r>
          </w:p>
        </w:tc>
        <w:tc>
          <w:tcPr>
            <w:tcW w:w="1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14 %</w:t>
            </w:r>
          </w:p>
        </w:tc>
        <w:tc>
          <w:tcPr>
            <w:tcW w:w="120" w:type="dxa"/>
            <w:vAlign w:val="bottom"/>
          </w:tcPr>
          <w:p>
            <w:pPr>
              <w:spacing w:after="0"/>
              <w:rPr>
                <w:sz w:val="20"/>
                <w:szCs w:val="20"/>
                <w:color w:val="auto"/>
              </w:rPr>
            </w:pPr>
          </w:p>
        </w:tc>
        <w:tc>
          <w:tcPr>
            <w:tcW w:w="580" w:type="dxa"/>
            <w:vAlign w:val="bottom"/>
          </w:tcPr>
          <w:p>
            <w:pPr>
              <w:ind w:lef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702</w:t>
            </w:r>
          </w:p>
        </w:tc>
        <w:tc>
          <w:tcPr>
            <w:tcW w:w="1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16 %</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499"/>
        </w:trPr>
        <w:tc>
          <w:tcPr>
            <w:tcW w:w="340" w:type="dxa"/>
            <w:vAlign w:val="bottom"/>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Q3 2020 vs. Q3</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2019</w:t>
            </w:r>
          </w:p>
        </w:tc>
        <w:tc>
          <w:tcPr>
            <w:tcW w:w="1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120" w:firstLine="324"/>
        <w:spacing w:after="0" w:line="311" w:lineRule="auto"/>
        <w:rPr>
          <w:sz w:val="20"/>
          <w:szCs w:val="20"/>
          <w:color w:val="auto"/>
        </w:rPr>
      </w:pPr>
      <w:r>
        <w:rPr>
          <w:rFonts w:ascii="Arial" w:cs="Arial" w:eastAsia="Arial" w:hAnsi="Arial"/>
          <w:sz w:val="16"/>
          <w:szCs w:val="16"/>
          <w:color w:val="auto"/>
        </w:rPr>
        <w:t>The increase in product development costs for the three months ended September 30, 2020, as compared to the three months ended September 30, 2019, was primarily due to higher development costs of $92 million, driven by higher personnel bonuses as a result of strong business performance. The increase was partially offset by a $29 million increase in capitalization of development costs, driven by the timing of Blizzard’s game development cycles.</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YTD Q3 2020 vs. YTD Q3 2019</w:t>
      </w:r>
    </w:p>
    <w:p>
      <w:pPr>
        <w:spacing w:after="0" w:line="252" w:lineRule="exact"/>
        <w:rPr>
          <w:sz w:val="20"/>
          <w:szCs w:val="20"/>
          <w:color w:val="auto"/>
        </w:rPr>
      </w:pPr>
    </w:p>
    <w:p>
      <w:pPr>
        <w:ind w:right="20" w:firstLine="324"/>
        <w:spacing w:after="0" w:line="311" w:lineRule="auto"/>
        <w:rPr>
          <w:sz w:val="20"/>
          <w:szCs w:val="20"/>
          <w:color w:val="auto"/>
        </w:rPr>
      </w:pPr>
      <w:r>
        <w:rPr>
          <w:rFonts w:ascii="Arial" w:cs="Arial" w:eastAsia="Arial" w:hAnsi="Arial"/>
          <w:sz w:val="16"/>
          <w:szCs w:val="16"/>
          <w:color w:val="auto"/>
        </w:rPr>
        <w:t>The increase in product development costs for the nine months ended September 30, 2020, as compared to the nine months ended September 30, 2019, was primarily due to higher development costs of $219 million, driven by higher personnel bonuses as a result of strong business performance. The increase was partially offset by a $120 million increase in capitalization of development costs, driven by the timing of Blizzard’s game development cycles.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 (amounts in millions)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40" w:type="dxa"/>
            <w:vAlign w:val="bottom"/>
          </w:tcPr>
          <w:p>
            <w:pPr>
              <w:spacing w:after="0"/>
              <w:rPr>
                <w:sz w:val="16"/>
                <w:szCs w:val="16"/>
                <w:color w:val="auto"/>
              </w:rPr>
            </w:pPr>
          </w:p>
        </w:tc>
        <w:tc>
          <w:tcPr>
            <w:tcW w:w="150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w w:val="97"/>
              </w:rPr>
              <w:t>September 30, 2020</w:t>
            </w:r>
          </w:p>
        </w:tc>
        <w:tc>
          <w:tcPr>
            <w:tcW w:w="16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 of consolidated</w:t>
            </w:r>
          </w:p>
        </w:tc>
        <w:tc>
          <w:tcPr>
            <w:tcW w:w="150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w w:val="97"/>
              </w:rPr>
              <w:t>September 30, 2019</w:t>
            </w:r>
          </w:p>
        </w:tc>
        <w:tc>
          <w:tcPr>
            <w:tcW w:w="16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 of consolidated</w:t>
            </w:r>
          </w:p>
        </w:tc>
        <w:tc>
          <w:tcPr>
            <w:tcW w:w="160" w:type="dxa"/>
            <w:vAlign w:val="bottom"/>
          </w:tcPr>
          <w:p>
            <w:pPr>
              <w:spacing w:after="0"/>
              <w:rPr>
                <w:sz w:val="16"/>
                <w:szCs w:val="16"/>
                <w:color w:val="auto"/>
              </w:rPr>
            </w:pPr>
          </w:p>
        </w:tc>
        <w:tc>
          <w:tcPr>
            <w:tcW w:w="1020" w:type="dxa"/>
            <w:vAlign w:val="bottom"/>
          </w:tcPr>
          <w:p>
            <w:pPr>
              <w:jc w:val="right"/>
              <w:ind w:right="215"/>
              <w:spacing w:after="0"/>
              <w:rPr>
                <w:sz w:val="20"/>
                <w:szCs w:val="20"/>
                <w:color w:val="auto"/>
              </w:rPr>
            </w:pPr>
            <w:r>
              <w:rPr>
                <w:rFonts w:ascii="Arial" w:cs="Arial" w:eastAsia="Arial" w:hAnsi="Arial"/>
                <w:sz w:val="16"/>
                <w:szCs w:val="16"/>
                <w:b w:val="1"/>
                <w:bCs w:val="1"/>
                <w:color w:val="auto"/>
              </w:rPr>
              <w:t>Increase</w:t>
            </w:r>
          </w:p>
        </w:tc>
        <w:tc>
          <w:tcPr>
            <w:tcW w:w="0" w:type="dxa"/>
            <w:vAlign w:val="bottom"/>
          </w:tcPr>
          <w:p>
            <w:pPr>
              <w:spacing w:after="0"/>
              <w:rPr>
                <w:sz w:val="1"/>
                <w:szCs w:val="1"/>
                <w:color w:val="auto"/>
              </w:rPr>
            </w:pPr>
          </w:p>
        </w:tc>
      </w:tr>
      <w:tr>
        <w:trPr>
          <w:trHeight w:val="213"/>
        </w:trPr>
        <w:tc>
          <w:tcPr>
            <w:tcW w:w="3740" w:type="dxa"/>
            <w:vAlign w:val="bottom"/>
          </w:tcPr>
          <w:p>
            <w:pPr>
              <w:spacing w:after="0"/>
              <w:rPr>
                <w:sz w:val="18"/>
                <w:szCs w:val="18"/>
                <w:color w:val="auto"/>
              </w:rPr>
            </w:pPr>
          </w:p>
        </w:tc>
        <w:tc>
          <w:tcPr>
            <w:tcW w:w="1500" w:type="dxa"/>
            <w:vAlign w:val="bottom"/>
            <w:gridSpan w:val="3"/>
            <w:vMerge w:val="continue"/>
          </w:tcPr>
          <w:p>
            <w:pPr>
              <w:spacing w:after="0"/>
              <w:rPr>
                <w:sz w:val="18"/>
                <w:szCs w:val="18"/>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7"/>
              </w:rPr>
              <w:t>net revenues</w:t>
            </w:r>
          </w:p>
        </w:tc>
        <w:tc>
          <w:tcPr>
            <w:tcW w:w="1500" w:type="dxa"/>
            <w:vAlign w:val="bottom"/>
            <w:gridSpan w:val="3"/>
            <w:vMerge w:val="continue"/>
          </w:tcPr>
          <w:p>
            <w:pPr>
              <w:spacing w:after="0"/>
              <w:rPr>
                <w:sz w:val="18"/>
                <w:szCs w:val="18"/>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7"/>
              </w:rPr>
              <w:t>net revenues</w:t>
            </w:r>
          </w:p>
        </w:tc>
        <w:tc>
          <w:tcPr>
            <w:tcW w:w="160" w:type="dxa"/>
            <w:vAlign w:val="bottom"/>
          </w:tcPr>
          <w:p>
            <w:pPr>
              <w:spacing w:after="0"/>
              <w:rPr>
                <w:sz w:val="18"/>
                <w:szCs w:val="18"/>
                <w:color w:val="auto"/>
              </w:rPr>
            </w:pPr>
          </w:p>
        </w:tc>
        <w:tc>
          <w:tcPr>
            <w:tcW w:w="1020" w:type="dxa"/>
            <w:vAlign w:val="bottom"/>
          </w:tcPr>
          <w:p>
            <w:pPr>
              <w:jc w:val="right"/>
              <w:ind w:right="155"/>
              <w:spacing w:after="0"/>
              <w:rPr>
                <w:sz w:val="20"/>
                <w:szCs w:val="20"/>
                <w:color w:val="auto"/>
              </w:rPr>
            </w:pPr>
            <w:r>
              <w:rPr>
                <w:rFonts w:ascii="Arial" w:cs="Arial" w:eastAsia="Arial" w:hAnsi="Arial"/>
                <w:sz w:val="16"/>
                <w:szCs w:val="16"/>
                <w:b w:val="1"/>
                <w:bCs w:val="1"/>
                <w:color w:val="auto"/>
                <w:w w:val="92"/>
              </w:rPr>
              <w:t>(Decrease)</w:t>
            </w:r>
          </w:p>
        </w:tc>
        <w:tc>
          <w:tcPr>
            <w:tcW w:w="0" w:type="dxa"/>
            <w:vAlign w:val="bottom"/>
          </w:tcPr>
          <w:p>
            <w:pPr>
              <w:spacing w:after="0"/>
              <w:rPr>
                <w:sz w:val="1"/>
                <w:szCs w:val="1"/>
                <w:color w:val="auto"/>
              </w:rPr>
            </w:pPr>
          </w:p>
        </w:tc>
      </w:tr>
      <w:tr>
        <w:trPr>
          <w:trHeight w:val="226"/>
        </w:trPr>
        <w:tc>
          <w:tcPr>
            <w:tcW w:w="3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Three Months Ended</w:t>
            </w:r>
          </w:p>
        </w:tc>
        <w:tc>
          <w:tcPr>
            <w:tcW w:w="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2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2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0"/>
        </w:trPr>
        <w:tc>
          <w:tcPr>
            <w:tcW w:w="3740" w:type="dxa"/>
            <w:vAlign w:val="bottom"/>
          </w:tcPr>
          <w:p>
            <w:pPr>
              <w:ind w:left="20"/>
              <w:spacing w:after="0"/>
              <w:rPr>
                <w:sz w:val="20"/>
                <w:szCs w:val="20"/>
                <w:color w:val="auto"/>
              </w:rPr>
            </w:pPr>
            <w:r>
              <w:rPr>
                <w:rFonts w:ascii="Arial" w:cs="Arial" w:eastAsia="Arial" w:hAnsi="Arial"/>
                <w:sz w:val="18"/>
                <w:szCs w:val="18"/>
                <w:color w:val="auto"/>
              </w:rPr>
              <w:t>Nine Months Ended</w:t>
            </w:r>
          </w:p>
        </w:tc>
        <w:tc>
          <w:tcPr>
            <w:tcW w:w="580" w:type="dxa"/>
            <w:vAlign w:val="bottom"/>
          </w:tcPr>
          <w:p>
            <w:pPr>
              <w:ind w:lef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722</w:t>
            </w:r>
          </w:p>
        </w:tc>
        <w:tc>
          <w:tcPr>
            <w:tcW w:w="1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13 %</w:t>
            </w:r>
          </w:p>
        </w:tc>
        <w:tc>
          <w:tcPr>
            <w:tcW w:w="120" w:type="dxa"/>
            <w:vAlign w:val="bottom"/>
          </w:tcPr>
          <w:p>
            <w:pPr>
              <w:spacing w:after="0"/>
              <w:rPr>
                <w:sz w:val="20"/>
                <w:szCs w:val="20"/>
                <w:color w:val="auto"/>
              </w:rPr>
            </w:pPr>
          </w:p>
        </w:tc>
        <w:tc>
          <w:tcPr>
            <w:tcW w:w="580" w:type="dxa"/>
            <w:vAlign w:val="bottom"/>
          </w:tcPr>
          <w:p>
            <w:pPr>
              <w:ind w:lef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580</w:t>
            </w:r>
          </w:p>
        </w:tc>
        <w:tc>
          <w:tcPr>
            <w:tcW w:w="1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13 %</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bl>
    <w:p>
      <w:pPr>
        <w:spacing w:after="0" w:line="322"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Q3 2020 vs. Q3 2019</w:t>
      </w:r>
    </w:p>
    <w:p>
      <w:pPr>
        <w:spacing w:after="0" w:line="252"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 increase in sales and marketing expenses for the three months ended September 30, 2020, as compared to the three months ended September 30, 2019, was primarily due to an increase of $49 million in marketing spending, driven by the Call of Duty franchise.</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YTD Q3 2020 vs. YTD Q3 2019</w:t>
      </w:r>
    </w:p>
    <w:p>
      <w:pPr>
        <w:spacing w:after="0" w:line="252" w:lineRule="exact"/>
        <w:rPr>
          <w:sz w:val="20"/>
          <w:szCs w:val="20"/>
          <w:color w:val="auto"/>
        </w:rPr>
      </w:pPr>
    </w:p>
    <w:p>
      <w:pPr>
        <w:ind w:right="300" w:firstLine="324"/>
        <w:spacing w:after="0" w:line="342" w:lineRule="auto"/>
        <w:rPr>
          <w:sz w:val="20"/>
          <w:szCs w:val="20"/>
          <w:color w:val="auto"/>
        </w:rPr>
      </w:pPr>
      <w:r>
        <w:rPr>
          <w:rFonts w:ascii="Arial" w:cs="Arial" w:eastAsia="Arial" w:hAnsi="Arial"/>
          <w:sz w:val="16"/>
          <w:szCs w:val="16"/>
          <w:color w:val="auto"/>
        </w:rPr>
        <w:t>The increase in sales and marketing expenses for the nine months ended September 30, 2020, as compared to the nine months ended September 30, 2019, was primarily due to an increase of $145 million in marketing spending, driven by the Call of Duty franchise and the Candy Crush franchise.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(amounts in millions)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40" w:type="dxa"/>
            <w:vAlign w:val="bottom"/>
          </w:tcPr>
          <w:p>
            <w:pPr>
              <w:spacing w:after="0"/>
              <w:rPr>
                <w:sz w:val="16"/>
                <w:szCs w:val="16"/>
                <w:color w:val="auto"/>
              </w:rPr>
            </w:pPr>
          </w:p>
        </w:tc>
        <w:tc>
          <w:tcPr>
            <w:tcW w:w="150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w w:val="97"/>
              </w:rPr>
              <w:t>September 30, 2020</w:t>
            </w:r>
          </w:p>
        </w:tc>
        <w:tc>
          <w:tcPr>
            <w:tcW w:w="16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 of consolidated</w:t>
            </w:r>
          </w:p>
        </w:tc>
        <w:tc>
          <w:tcPr>
            <w:tcW w:w="150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w w:val="97"/>
              </w:rPr>
              <w:t>September 30, 2019</w:t>
            </w:r>
          </w:p>
        </w:tc>
        <w:tc>
          <w:tcPr>
            <w:tcW w:w="16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 of consolidated</w:t>
            </w:r>
          </w:p>
        </w:tc>
        <w:tc>
          <w:tcPr>
            <w:tcW w:w="160" w:type="dxa"/>
            <w:vAlign w:val="bottom"/>
          </w:tcPr>
          <w:p>
            <w:pPr>
              <w:spacing w:after="0"/>
              <w:rPr>
                <w:sz w:val="16"/>
                <w:szCs w:val="16"/>
                <w:color w:val="auto"/>
              </w:rPr>
            </w:pPr>
          </w:p>
        </w:tc>
        <w:tc>
          <w:tcPr>
            <w:tcW w:w="1020" w:type="dxa"/>
            <w:vAlign w:val="bottom"/>
          </w:tcPr>
          <w:p>
            <w:pPr>
              <w:jc w:val="right"/>
              <w:ind w:right="215"/>
              <w:spacing w:after="0"/>
              <w:rPr>
                <w:sz w:val="20"/>
                <w:szCs w:val="20"/>
                <w:color w:val="auto"/>
              </w:rPr>
            </w:pPr>
            <w:r>
              <w:rPr>
                <w:rFonts w:ascii="Arial" w:cs="Arial" w:eastAsia="Arial" w:hAnsi="Arial"/>
                <w:sz w:val="16"/>
                <w:szCs w:val="16"/>
                <w:b w:val="1"/>
                <w:bCs w:val="1"/>
                <w:color w:val="auto"/>
              </w:rPr>
              <w:t>Increase</w:t>
            </w:r>
          </w:p>
        </w:tc>
        <w:tc>
          <w:tcPr>
            <w:tcW w:w="0" w:type="dxa"/>
            <w:vAlign w:val="bottom"/>
          </w:tcPr>
          <w:p>
            <w:pPr>
              <w:spacing w:after="0"/>
              <w:rPr>
                <w:sz w:val="1"/>
                <w:szCs w:val="1"/>
                <w:color w:val="auto"/>
              </w:rPr>
            </w:pPr>
          </w:p>
        </w:tc>
      </w:tr>
      <w:tr>
        <w:trPr>
          <w:trHeight w:val="213"/>
        </w:trPr>
        <w:tc>
          <w:tcPr>
            <w:tcW w:w="3740" w:type="dxa"/>
            <w:vAlign w:val="bottom"/>
          </w:tcPr>
          <w:p>
            <w:pPr>
              <w:spacing w:after="0"/>
              <w:rPr>
                <w:sz w:val="18"/>
                <w:szCs w:val="18"/>
                <w:color w:val="auto"/>
              </w:rPr>
            </w:pPr>
          </w:p>
        </w:tc>
        <w:tc>
          <w:tcPr>
            <w:tcW w:w="1500" w:type="dxa"/>
            <w:vAlign w:val="bottom"/>
            <w:gridSpan w:val="3"/>
            <w:vMerge w:val="continue"/>
          </w:tcPr>
          <w:p>
            <w:pPr>
              <w:spacing w:after="0"/>
              <w:rPr>
                <w:sz w:val="18"/>
                <w:szCs w:val="18"/>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7"/>
              </w:rPr>
              <w:t>net revenues</w:t>
            </w:r>
          </w:p>
        </w:tc>
        <w:tc>
          <w:tcPr>
            <w:tcW w:w="1500" w:type="dxa"/>
            <w:vAlign w:val="bottom"/>
            <w:gridSpan w:val="3"/>
            <w:vMerge w:val="continue"/>
          </w:tcPr>
          <w:p>
            <w:pPr>
              <w:spacing w:after="0"/>
              <w:rPr>
                <w:sz w:val="18"/>
                <w:szCs w:val="18"/>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7"/>
              </w:rPr>
              <w:t>net revenues</w:t>
            </w:r>
          </w:p>
        </w:tc>
        <w:tc>
          <w:tcPr>
            <w:tcW w:w="160" w:type="dxa"/>
            <w:vAlign w:val="bottom"/>
          </w:tcPr>
          <w:p>
            <w:pPr>
              <w:spacing w:after="0"/>
              <w:rPr>
                <w:sz w:val="18"/>
                <w:szCs w:val="18"/>
                <w:color w:val="auto"/>
              </w:rPr>
            </w:pPr>
          </w:p>
        </w:tc>
        <w:tc>
          <w:tcPr>
            <w:tcW w:w="1020" w:type="dxa"/>
            <w:vAlign w:val="bottom"/>
          </w:tcPr>
          <w:p>
            <w:pPr>
              <w:jc w:val="right"/>
              <w:ind w:right="155"/>
              <w:spacing w:after="0"/>
              <w:rPr>
                <w:sz w:val="20"/>
                <w:szCs w:val="20"/>
                <w:color w:val="auto"/>
              </w:rPr>
            </w:pPr>
            <w:r>
              <w:rPr>
                <w:rFonts w:ascii="Arial" w:cs="Arial" w:eastAsia="Arial" w:hAnsi="Arial"/>
                <w:sz w:val="16"/>
                <w:szCs w:val="16"/>
                <w:b w:val="1"/>
                <w:bCs w:val="1"/>
                <w:color w:val="auto"/>
                <w:w w:val="92"/>
              </w:rPr>
              <w:t>(Decrease)</w:t>
            </w:r>
          </w:p>
        </w:tc>
        <w:tc>
          <w:tcPr>
            <w:tcW w:w="0" w:type="dxa"/>
            <w:vAlign w:val="bottom"/>
          </w:tcPr>
          <w:p>
            <w:pPr>
              <w:spacing w:after="0"/>
              <w:rPr>
                <w:sz w:val="1"/>
                <w:szCs w:val="1"/>
                <w:color w:val="auto"/>
              </w:rPr>
            </w:pPr>
          </w:p>
        </w:tc>
      </w:tr>
      <w:tr>
        <w:trPr>
          <w:trHeight w:val="226"/>
        </w:trPr>
        <w:tc>
          <w:tcPr>
            <w:tcW w:w="3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Three Months Ended</w:t>
            </w:r>
          </w:p>
        </w:tc>
        <w:tc>
          <w:tcPr>
            <w:tcW w:w="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2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3740" w:type="dxa"/>
            <w:vAlign w:val="bottom"/>
          </w:tcPr>
          <w:p>
            <w:pPr>
              <w:ind w:left="20"/>
              <w:spacing w:after="0"/>
              <w:rPr>
                <w:sz w:val="20"/>
                <w:szCs w:val="20"/>
                <w:color w:val="auto"/>
              </w:rPr>
            </w:pPr>
            <w:r>
              <w:rPr>
                <w:rFonts w:ascii="Arial" w:cs="Arial" w:eastAsia="Arial" w:hAnsi="Arial"/>
                <w:sz w:val="18"/>
                <w:szCs w:val="18"/>
                <w:color w:val="auto"/>
              </w:rPr>
              <w:t>Nine Months Ended</w:t>
            </w:r>
          </w:p>
        </w:tc>
        <w:tc>
          <w:tcPr>
            <w:tcW w:w="580" w:type="dxa"/>
            <w:vAlign w:val="bottom"/>
          </w:tcPr>
          <w:p>
            <w:pPr>
              <w:ind w:lef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529</w:t>
            </w:r>
          </w:p>
        </w:tc>
        <w:tc>
          <w:tcPr>
            <w:tcW w:w="1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9 %</w:t>
            </w:r>
          </w:p>
        </w:tc>
        <w:tc>
          <w:tcPr>
            <w:tcW w:w="120" w:type="dxa"/>
            <w:vAlign w:val="bottom"/>
          </w:tcPr>
          <w:p>
            <w:pPr>
              <w:spacing w:after="0"/>
              <w:rPr>
                <w:sz w:val="20"/>
                <w:szCs w:val="20"/>
                <w:color w:val="auto"/>
              </w:rPr>
            </w:pPr>
          </w:p>
        </w:tc>
        <w:tc>
          <w:tcPr>
            <w:tcW w:w="580" w:type="dxa"/>
            <w:vAlign w:val="bottom"/>
          </w:tcPr>
          <w:p>
            <w:pPr>
              <w:ind w:lef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527</w:t>
            </w:r>
          </w:p>
        </w:tc>
        <w:tc>
          <w:tcPr>
            <w:tcW w:w="1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12 %</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bl>
    <w:p>
      <w:pPr>
        <w:spacing w:after="0" w:line="322"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Q3 2020 vs. Q3 2019</w:t>
      </w:r>
    </w:p>
    <w:p>
      <w:pPr>
        <w:spacing w:after="0" w:line="252" w:lineRule="exact"/>
        <w:rPr>
          <w:sz w:val="20"/>
          <w:szCs w:val="20"/>
          <w:color w:val="auto"/>
        </w:rPr>
      </w:pPr>
    </w:p>
    <w:p>
      <w:pPr>
        <w:ind w:right="800" w:firstLine="324"/>
        <w:spacing w:after="0" w:line="342" w:lineRule="auto"/>
        <w:rPr>
          <w:sz w:val="20"/>
          <w:szCs w:val="20"/>
          <w:color w:val="auto"/>
        </w:rPr>
      </w:pPr>
      <w:r>
        <w:rPr>
          <w:rFonts w:ascii="Arial" w:cs="Arial" w:eastAsia="Arial" w:hAnsi="Arial"/>
          <w:sz w:val="16"/>
          <w:szCs w:val="16"/>
          <w:color w:val="auto"/>
        </w:rPr>
        <w:t>The increase in general and administrative expenses for the three months ended September 30, 2020, as compared to the three months ended September 30, 2019, was primarily due to an $18 million increase in personnel costs as a result of higher share-based compensation.</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YTD Q3 2020 vs. YTD Q3 2019</w:t>
      </w:r>
    </w:p>
    <w:p>
      <w:pPr>
        <w:spacing w:after="0" w:line="252" w:lineRule="exact"/>
        <w:rPr>
          <w:sz w:val="20"/>
          <w:szCs w:val="20"/>
          <w:color w:val="auto"/>
        </w:rPr>
      </w:pPr>
    </w:p>
    <w:p>
      <w:pPr>
        <w:ind w:right="720" w:firstLine="324"/>
        <w:spacing w:after="0" w:line="277" w:lineRule="auto"/>
        <w:rPr>
          <w:sz w:val="20"/>
          <w:szCs w:val="20"/>
          <w:color w:val="auto"/>
        </w:rPr>
      </w:pPr>
      <w:r>
        <w:rPr>
          <w:rFonts w:ascii="Arial" w:cs="Arial" w:eastAsia="Arial" w:hAnsi="Arial"/>
          <w:sz w:val="18"/>
          <w:szCs w:val="18"/>
          <w:color w:val="auto"/>
        </w:rPr>
        <w:t>General and administrative expenses for the nine months ended September 30, 2020, were comparable to expenses for the nine months ended September 30, 2019.</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and related costs (amounts in millions)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40" w:type="dxa"/>
            <w:vAlign w:val="bottom"/>
          </w:tcPr>
          <w:p>
            <w:pPr>
              <w:spacing w:after="0"/>
              <w:rPr>
                <w:sz w:val="16"/>
                <w:szCs w:val="16"/>
                <w:color w:val="auto"/>
              </w:rPr>
            </w:pPr>
          </w:p>
        </w:tc>
        <w:tc>
          <w:tcPr>
            <w:tcW w:w="150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w w:val="97"/>
              </w:rPr>
              <w:t>September 30, 2020</w:t>
            </w:r>
          </w:p>
        </w:tc>
        <w:tc>
          <w:tcPr>
            <w:tcW w:w="16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 of consolidated</w:t>
            </w:r>
          </w:p>
        </w:tc>
        <w:tc>
          <w:tcPr>
            <w:tcW w:w="150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w w:val="97"/>
              </w:rPr>
              <w:t>September 30, 2019</w:t>
            </w:r>
          </w:p>
        </w:tc>
        <w:tc>
          <w:tcPr>
            <w:tcW w:w="16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 of consolidated</w:t>
            </w:r>
          </w:p>
        </w:tc>
        <w:tc>
          <w:tcPr>
            <w:tcW w:w="160" w:type="dxa"/>
            <w:vAlign w:val="bottom"/>
          </w:tcPr>
          <w:p>
            <w:pPr>
              <w:spacing w:after="0"/>
              <w:rPr>
                <w:sz w:val="16"/>
                <w:szCs w:val="16"/>
                <w:color w:val="auto"/>
              </w:rPr>
            </w:pPr>
          </w:p>
        </w:tc>
        <w:tc>
          <w:tcPr>
            <w:tcW w:w="1020" w:type="dxa"/>
            <w:vAlign w:val="bottom"/>
          </w:tcPr>
          <w:p>
            <w:pPr>
              <w:jc w:val="right"/>
              <w:ind w:right="215"/>
              <w:spacing w:after="0"/>
              <w:rPr>
                <w:sz w:val="20"/>
                <w:szCs w:val="20"/>
                <w:color w:val="auto"/>
              </w:rPr>
            </w:pPr>
            <w:r>
              <w:rPr>
                <w:rFonts w:ascii="Arial" w:cs="Arial" w:eastAsia="Arial" w:hAnsi="Arial"/>
                <w:sz w:val="16"/>
                <w:szCs w:val="16"/>
                <w:b w:val="1"/>
                <w:bCs w:val="1"/>
                <w:color w:val="auto"/>
              </w:rPr>
              <w:t>Increase</w:t>
            </w:r>
          </w:p>
        </w:tc>
        <w:tc>
          <w:tcPr>
            <w:tcW w:w="0" w:type="dxa"/>
            <w:vAlign w:val="bottom"/>
          </w:tcPr>
          <w:p>
            <w:pPr>
              <w:spacing w:after="0"/>
              <w:rPr>
                <w:sz w:val="1"/>
                <w:szCs w:val="1"/>
                <w:color w:val="auto"/>
              </w:rPr>
            </w:pPr>
          </w:p>
        </w:tc>
      </w:tr>
      <w:tr>
        <w:trPr>
          <w:trHeight w:val="213"/>
        </w:trPr>
        <w:tc>
          <w:tcPr>
            <w:tcW w:w="3740" w:type="dxa"/>
            <w:vAlign w:val="bottom"/>
          </w:tcPr>
          <w:p>
            <w:pPr>
              <w:spacing w:after="0"/>
              <w:rPr>
                <w:sz w:val="18"/>
                <w:szCs w:val="18"/>
                <w:color w:val="auto"/>
              </w:rPr>
            </w:pPr>
          </w:p>
        </w:tc>
        <w:tc>
          <w:tcPr>
            <w:tcW w:w="1500" w:type="dxa"/>
            <w:vAlign w:val="bottom"/>
            <w:gridSpan w:val="3"/>
            <w:vMerge w:val="continue"/>
          </w:tcPr>
          <w:p>
            <w:pPr>
              <w:spacing w:after="0"/>
              <w:rPr>
                <w:sz w:val="18"/>
                <w:szCs w:val="18"/>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7"/>
              </w:rPr>
              <w:t>net revenues</w:t>
            </w:r>
          </w:p>
        </w:tc>
        <w:tc>
          <w:tcPr>
            <w:tcW w:w="1500" w:type="dxa"/>
            <w:vAlign w:val="bottom"/>
            <w:gridSpan w:val="3"/>
            <w:vMerge w:val="continue"/>
          </w:tcPr>
          <w:p>
            <w:pPr>
              <w:spacing w:after="0"/>
              <w:rPr>
                <w:sz w:val="18"/>
                <w:szCs w:val="18"/>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7"/>
              </w:rPr>
              <w:t>net revenues</w:t>
            </w:r>
          </w:p>
        </w:tc>
        <w:tc>
          <w:tcPr>
            <w:tcW w:w="160" w:type="dxa"/>
            <w:vAlign w:val="bottom"/>
          </w:tcPr>
          <w:p>
            <w:pPr>
              <w:spacing w:after="0"/>
              <w:rPr>
                <w:sz w:val="18"/>
                <w:szCs w:val="18"/>
                <w:color w:val="auto"/>
              </w:rPr>
            </w:pPr>
          </w:p>
        </w:tc>
        <w:tc>
          <w:tcPr>
            <w:tcW w:w="1020" w:type="dxa"/>
            <w:vAlign w:val="bottom"/>
          </w:tcPr>
          <w:p>
            <w:pPr>
              <w:jc w:val="right"/>
              <w:ind w:right="155"/>
              <w:spacing w:after="0"/>
              <w:rPr>
                <w:sz w:val="20"/>
                <w:szCs w:val="20"/>
                <w:color w:val="auto"/>
              </w:rPr>
            </w:pPr>
            <w:r>
              <w:rPr>
                <w:rFonts w:ascii="Arial" w:cs="Arial" w:eastAsia="Arial" w:hAnsi="Arial"/>
                <w:sz w:val="16"/>
                <w:szCs w:val="16"/>
                <w:b w:val="1"/>
                <w:bCs w:val="1"/>
                <w:color w:val="auto"/>
                <w:w w:val="92"/>
              </w:rPr>
              <w:t>(Decrease)</w:t>
            </w:r>
          </w:p>
        </w:tc>
        <w:tc>
          <w:tcPr>
            <w:tcW w:w="0" w:type="dxa"/>
            <w:vAlign w:val="bottom"/>
          </w:tcPr>
          <w:p>
            <w:pPr>
              <w:spacing w:after="0"/>
              <w:rPr>
                <w:sz w:val="1"/>
                <w:szCs w:val="1"/>
                <w:color w:val="auto"/>
              </w:rPr>
            </w:pPr>
          </w:p>
        </w:tc>
      </w:tr>
      <w:tr>
        <w:trPr>
          <w:trHeight w:val="226"/>
        </w:trPr>
        <w:tc>
          <w:tcPr>
            <w:tcW w:w="3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Three Months Ended</w:t>
            </w:r>
          </w:p>
        </w:tc>
        <w:tc>
          <w:tcPr>
            <w:tcW w:w="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2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3740" w:type="dxa"/>
            <w:vAlign w:val="bottom"/>
          </w:tcPr>
          <w:p>
            <w:pPr>
              <w:ind w:left="20"/>
              <w:spacing w:after="0"/>
              <w:rPr>
                <w:sz w:val="20"/>
                <w:szCs w:val="20"/>
                <w:color w:val="auto"/>
              </w:rPr>
            </w:pPr>
            <w:r>
              <w:rPr>
                <w:rFonts w:ascii="Arial" w:cs="Arial" w:eastAsia="Arial" w:hAnsi="Arial"/>
                <w:sz w:val="18"/>
                <w:szCs w:val="18"/>
                <w:color w:val="auto"/>
              </w:rPr>
              <w:t>Nine Months Ended</w:t>
            </w:r>
          </w:p>
        </w:tc>
        <w:tc>
          <w:tcPr>
            <w:tcW w:w="620" w:type="dxa"/>
            <w:vAlign w:val="bottom"/>
          </w:tcPr>
          <w:p>
            <w:pPr>
              <w:ind w:left="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1 %</w:t>
            </w:r>
          </w:p>
        </w:tc>
        <w:tc>
          <w:tcPr>
            <w:tcW w:w="120" w:type="dxa"/>
            <w:vAlign w:val="bottom"/>
          </w:tcPr>
          <w:p>
            <w:pPr>
              <w:spacing w:after="0"/>
              <w:rPr>
                <w:sz w:val="20"/>
                <w:szCs w:val="20"/>
                <w:color w:val="auto"/>
              </w:rPr>
            </w:pPr>
          </w:p>
        </w:tc>
        <w:tc>
          <w:tcPr>
            <w:tcW w:w="580" w:type="dxa"/>
            <w:vAlign w:val="bottom"/>
          </w:tcPr>
          <w:p>
            <w:pPr>
              <w:ind w:lef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2 %</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bl>
    <w:p>
      <w:pPr>
        <w:spacing w:after="0" w:line="309" w:lineRule="exact"/>
        <w:rPr>
          <w:sz w:val="20"/>
          <w:szCs w:val="20"/>
          <w:color w:val="auto"/>
        </w:rPr>
      </w:pPr>
    </w:p>
    <w:p>
      <w:pPr>
        <w:ind w:right="80" w:firstLine="324"/>
        <w:spacing w:after="0" w:line="275" w:lineRule="auto"/>
        <w:rPr>
          <w:rFonts w:ascii="Arial" w:cs="Arial" w:eastAsia="Arial" w:hAnsi="Arial"/>
          <w:sz w:val="17"/>
          <w:szCs w:val="17"/>
          <w:color w:val="auto"/>
        </w:rPr>
      </w:pPr>
      <w:r>
        <w:rPr>
          <w:rFonts w:ascii="Arial" w:cs="Arial" w:eastAsia="Arial" w:hAnsi="Arial"/>
          <w:sz w:val="17"/>
          <w:szCs w:val="17"/>
          <w:color w:val="auto"/>
        </w:rPr>
        <w:t xml:space="preserve">During 2019, we began implementing a restructuring plan aimed at refocusing our resources on our largest opportunities and removing unnecessary levels of complexity and duplication from certain parts of our business. Since the roll out of the plan, we have been, and will continue, focusing on these goals as we continue to execute against our plan. The restructuring and related costs incurred during the three and nine months ended September 30, 2020, relate primarily to severance costs for actions under this plan being executed in 2020. Refer to </w:t>
      </w:r>
      <w:hyperlink w:anchor="page29">
        <w:r>
          <w:rPr>
            <w:rFonts w:ascii="Arial" w:cs="Arial" w:eastAsia="Arial" w:hAnsi="Arial"/>
            <w:sz w:val="17"/>
            <w:szCs w:val="17"/>
            <w:u w:val="single" w:color="auto"/>
            <w:color w:val="0000FF"/>
          </w:rPr>
          <w:t>Note 11</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of the notes to the condensed consolidated financial statements included in Item 1 of this Quarterly Report on Form 10-Q for further discussion.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Other Expense (Income), Net (amounts in millions)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40" w:type="dxa"/>
            <w:vAlign w:val="bottom"/>
          </w:tcPr>
          <w:p>
            <w:pPr>
              <w:spacing w:after="0"/>
              <w:rPr>
                <w:sz w:val="16"/>
                <w:szCs w:val="16"/>
                <w:color w:val="auto"/>
              </w:rPr>
            </w:pPr>
          </w:p>
        </w:tc>
        <w:tc>
          <w:tcPr>
            <w:tcW w:w="150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w w:val="97"/>
              </w:rPr>
              <w:t>September 30, 2020</w:t>
            </w:r>
          </w:p>
        </w:tc>
        <w:tc>
          <w:tcPr>
            <w:tcW w:w="16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 of consolidated</w:t>
            </w:r>
          </w:p>
        </w:tc>
        <w:tc>
          <w:tcPr>
            <w:tcW w:w="150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w w:val="97"/>
              </w:rPr>
              <w:t>September 30, 2019</w:t>
            </w:r>
          </w:p>
        </w:tc>
        <w:tc>
          <w:tcPr>
            <w:tcW w:w="16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 of consolidated</w:t>
            </w:r>
          </w:p>
        </w:tc>
        <w:tc>
          <w:tcPr>
            <w:tcW w:w="160" w:type="dxa"/>
            <w:vAlign w:val="bottom"/>
          </w:tcPr>
          <w:p>
            <w:pPr>
              <w:spacing w:after="0"/>
              <w:rPr>
                <w:sz w:val="16"/>
                <w:szCs w:val="16"/>
                <w:color w:val="auto"/>
              </w:rPr>
            </w:pPr>
          </w:p>
        </w:tc>
        <w:tc>
          <w:tcPr>
            <w:tcW w:w="1020" w:type="dxa"/>
            <w:vAlign w:val="bottom"/>
          </w:tcPr>
          <w:p>
            <w:pPr>
              <w:jc w:val="right"/>
              <w:ind w:right="215"/>
              <w:spacing w:after="0"/>
              <w:rPr>
                <w:sz w:val="20"/>
                <w:szCs w:val="20"/>
                <w:color w:val="auto"/>
              </w:rPr>
            </w:pPr>
            <w:r>
              <w:rPr>
                <w:rFonts w:ascii="Arial" w:cs="Arial" w:eastAsia="Arial" w:hAnsi="Arial"/>
                <w:sz w:val="16"/>
                <w:szCs w:val="16"/>
                <w:b w:val="1"/>
                <w:bCs w:val="1"/>
                <w:color w:val="auto"/>
              </w:rPr>
              <w:t>Increase</w:t>
            </w:r>
          </w:p>
        </w:tc>
        <w:tc>
          <w:tcPr>
            <w:tcW w:w="0" w:type="dxa"/>
            <w:vAlign w:val="bottom"/>
          </w:tcPr>
          <w:p>
            <w:pPr>
              <w:spacing w:after="0"/>
              <w:rPr>
                <w:sz w:val="1"/>
                <w:szCs w:val="1"/>
                <w:color w:val="auto"/>
              </w:rPr>
            </w:pPr>
          </w:p>
        </w:tc>
      </w:tr>
      <w:tr>
        <w:trPr>
          <w:trHeight w:val="213"/>
        </w:trPr>
        <w:tc>
          <w:tcPr>
            <w:tcW w:w="3740" w:type="dxa"/>
            <w:vAlign w:val="bottom"/>
          </w:tcPr>
          <w:p>
            <w:pPr>
              <w:spacing w:after="0"/>
              <w:rPr>
                <w:sz w:val="18"/>
                <w:szCs w:val="18"/>
                <w:color w:val="auto"/>
              </w:rPr>
            </w:pPr>
          </w:p>
        </w:tc>
        <w:tc>
          <w:tcPr>
            <w:tcW w:w="1500" w:type="dxa"/>
            <w:vAlign w:val="bottom"/>
            <w:gridSpan w:val="3"/>
            <w:vMerge w:val="continue"/>
          </w:tcPr>
          <w:p>
            <w:pPr>
              <w:spacing w:after="0"/>
              <w:rPr>
                <w:sz w:val="18"/>
                <w:szCs w:val="18"/>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7"/>
              </w:rPr>
              <w:t>net revenues</w:t>
            </w:r>
          </w:p>
        </w:tc>
        <w:tc>
          <w:tcPr>
            <w:tcW w:w="1500" w:type="dxa"/>
            <w:vAlign w:val="bottom"/>
            <w:gridSpan w:val="3"/>
            <w:vMerge w:val="continue"/>
          </w:tcPr>
          <w:p>
            <w:pPr>
              <w:spacing w:after="0"/>
              <w:rPr>
                <w:sz w:val="18"/>
                <w:szCs w:val="18"/>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7"/>
              </w:rPr>
              <w:t>net revenues</w:t>
            </w:r>
          </w:p>
        </w:tc>
        <w:tc>
          <w:tcPr>
            <w:tcW w:w="160" w:type="dxa"/>
            <w:vAlign w:val="bottom"/>
          </w:tcPr>
          <w:p>
            <w:pPr>
              <w:spacing w:after="0"/>
              <w:rPr>
                <w:sz w:val="18"/>
                <w:szCs w:val="18"/>
                <w:color w:val="auto"/>
              </w:rPr>
            </w:pPr>
          </w:p>
        </w:tc>
        <w:tc>
          <w:tcPr>
            <w:tcW w:w="1020" w:type="dxa"/>
            <w:vAlign w:val="bottom"/>
          </w:tcPr>
          <w:p>
            <w:pPr>
              <w:jc w:val="right"/>
              <w:ind w:right="155"/>
              <w:spacing w:after="0"/>
              <w:rPr>
                <w:sz w:val="20"/>
                <w:szCs w:val="20"/>
                <w:color w:val="auto"/>
              </w:rPr>
            </w:pPr>
            <w:r>
              <w:rPr>
                <w:rFonts w:ascii="Arial" w:cs="Arial" w:eastAsia="Arial" w:hAnsi="Arial"/>
                <w:sz w:val="16"/>
                <w:szCs w:val="16"/>
                <w:b w:val="1"/>
                <w:bCs w:val="1"/>
                <w:color w:val="auto"/>
                <w:w w:val="92"/>
              </w:rPr>
              <w:t>(Decrease)</w:t>
            </w:r>
          </w:p>
        </w:tc>
        <w:tc>
          <w:tcPr>
            <w:tcW w:w="0" w:type="dxa"/>
            <w:vAlign w:val="bottom"/>
          </w:tcPr>
          <w:p>
            <w:pPr>
              <w:spacing w:after="0"/>
              <w:rPr>
                <w:sz w:val="1"/>
                <w:szCs w:val="1"/>
                <w:color w:val="auto"/>
              </w:rPr>
            </w:pPr>
          </w:p>
        </w:tc>
      </w:tr>
      <w:tr>
        <w:trPr>
          <w:trHeight w:val="226"/>
        </w:trPr>
        <w:tc>
          <w:tcPr>
            <w:tcW w:w="3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Three Months Ended</w:t>
            </w:r>
          </w:p>
        </w:tc>
        <w:tc>
          <w:tcPr>
            <w:tcW w:w="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2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3740" w:type="dxa"/>
            <w:vAlign w:val="bottom"/>
          </w:tcPr>
          <w:p>
            <w:pPr>
              <w:ind w:left="20"/>
              <w:spacing w:after="0"/>
              <w:rPr>
                <w:sz w:val="20"/>
                <w:szCs w:val="20"/>
                <w:color w:val="auto"/>
              </w:rPr>
            </w:pPr>
            <w:r>
              <w:rPr>
                <w:rFonts w:ascii="Arial" w:cs="Arial" w:eastAsia="Arial" w:hAnsi="Arial"/>
                <w:sz w:val="18"/>
                <w:szCs w:val="18"/>
                <w:color w:val="auto"/>
              </w:rPr>
              <w:t>Nine Months Ended</w:t>
            </w:r>
          </w:p>
        </w:tc>
        <w:tc>
          <w:tcPr>
            <w:tcW w:w="620" w:type="dxa"/>
            <w:vAlign w:val="bottom"/>
          </w:tcPr>
          <w:p>
            <w:pPr>
              <w:ind w:left="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1 %</w:t>
            </w:r>
          </w:p>
        </w:tc>
        <w:tc>
          <w:tcPr>
            <w:tcW w:w="120" w:type="dxa"/>
            <w:vAlign w:val="bottom"/>
          </w:tcPr>
          <w:p>
            <w:pPr>
              <w:spacing w:after="0"/>
              <w:rPr>
                <w:sz w:val="20"/>
                <w:szCs w:val="20"/>
                <w:color w:val="auto"/>
              </w:rPr>
            </w:pPr>
          </w:p>
        </w:tc>
        <w:tc>
          <w:tcPr>
            <w:tcW w:w="580" w:type="dxa"/>
            <w:vAlign w:val="bottom"/>
          </w:tcPr>
          <w:p>
            <w:pPr>
              <w:ind w:lef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bl>
    <w:p>
      <w:pPr>
        <w:spacing w:after="0" w:line="295"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Q3 2020 vs. Q3 2019</w:t>
      </w:r>
    </w:p>
    <w:p>
      <w:pPr>
        <w:spacing w:after="0" w:line="252"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The increase in interest and other expense (income), net, for the three months ended September 30, 2020, as compared to the three months ended September 30, 2019, was primarily due to a $19 million decrease in interest income due to lower returns on our investment portfolio as a result of interest rate cuts, reflecting actions by central banks around the world.</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YTD Q3 2020 vs. YTD Q3 2019</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increase in interest and other expense (income), net, for the nine months ended September 30, 2020, as compared to the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2019 was primarily due to:</w:t>
      </w:r>
    </w:p>
    <w:p>
      <w:pPr>
        <w:spacing w:after="0" w:line="278" w:lineRule="exact"/>
        <w:rPr>
          <w:sz w:val="20"/>
          <w:szCs w:val="20"/>
          <w:color w:val="auto"/>
        </w:rPr>
      </w:pPr>
    </w:p>
    <w:p>
      <w:pPr>
        <w:ind w:left="980" w:right="40" w:hanging="324"/>
        <w:spacing w:after="0" w:line="232" w:lineRule="auto"/>
        <w:tabs>
          <w:tab w:leader="none" w:pos="975" w:val="left"/>
        </w:tabs>
        <w:numPr>
          <w:ilvl w:val="0"/>
          <w:numId w:val="57"/>
        </w:numPr>
        <w:rPr>
          <w:rFonts w:ascii="Arial" w:cs="Arial" w:eastAsia="Arial" w:hAnsi="Arial"/>
          <w:sz w:val="22"/>
          <w:szCs w:val="22"/>
          <w:color w:val="auto"/>
        </w:rPr>
      </w:pPr>
      <w:r>
        <w:rPr>
          <w:rFonts w:ascii="Arial" w:cs="Arial" w:eastAsia="Arial" w:hAnsi="Arial"/>
          <w:sz w:val="18"/>
          <w:szCs w:val="18"/>
          <w:color w:val="auto"/>
        </w:rPr>
        <w:t>a $41 million decrease in interest income driven by lower returns on our investment portfolio as a result of interest rate cuts, reflecting actions by central banks around the world; and</w:t>
      </w:r>
    </w:p>
    <w:p>
      <w:pPr>
        <w:spacing w:after="0" w:line="230" w:lineRule="exact"/>
        <w:rPr>
          <w:rFonts w:ascii="Arial" w:cs="Arial" w:eastAsia="Arial" w:hAnsi="Arial"/>
          <w:sz w:val="22"/>
          <w:szCs w:val="22"/>
          <w:color w:val="auto"/>
        </w:rPr>
      </w:pPr>
    </w:p>
    <w:p>
      <w:pPr>
        <w:ind w:left="980" w:right="260" w:hanging="324"/>
        <w:spacing w:after="0" w:line="277" w:lineRule="auto"/>
        <w:tabs>
          <w:tab w:leader="none" w:pos="975"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$38 million gain recognized in the prior-year period as a result of adjusting a cost-method equity investment to fair value, as compared to only a $3 million gain recorded in the current year.</w:t>
      </w:r>
    </w:p>
    <w:p>
      <w:pPr>
        <w:spacing w:after="0" w:line="197"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color w:val="auto"/>
        </w:rPr>
        <w:t>As of September 30, 2020, based on the composition of our investment portfolio and recent actions by central banks around the world, including the interest rate cuts by the U.S. Federal Reserve, we anticipate investment yields may remain low, which would continue to negatively impact our future interest income. Such impact is not expected to be material to the Company’s liquidity.</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 (amounts in millions)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60" w:type="dxa"/>
            <w:vAlign w:val="bottom"/>
          </w:tcPr>
          <w:p>
            <w:pPr>
              <w:spacing w:after="0"/>
              <w:rPr>
                <w:sz w:val="16"/>
                <w:szCs w:val="16"/>
                <w:color w:val="auto"/>
              </w:rPr>
            </w:pPr>
          </w:p>
        </w:tc>
        <w:tc>
          <w:tcPr>
            <w:tcW w:w="150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w w:val="97"/>
              </w:rPr>
              <w:t>September 30, 2020</w:t>
            </w:r>
          </w:p>
        </w:tc>
        <w:tc>
          <w:tcPr>
            <w:tcW w:w="164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 of pretax income</w:t>
            </w:r>
          </w:p>
        </w:tc>
        <w:tc>
          <w:tcPr>
            <w:tcW w:w="150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w w:val="97"/>
              </w:rPr>
              <w:t>September 30, 2019</w:t>
            </w:r>
          </w:p>
        </w:tc>
        <w:tc>
          <w:tcPr>
            <w:tcW w:w="166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 of pretax income</w:t>
            </w:r>
          </w:p>
        </w:tc>
        <w:tc>
          <w:tcPr>
            <w:tcW w:w="160" w:type="dxa"/>
            <w:vAlign w:val="bottom"/>
          </w:tcPr>
          <w:p>
            <w:pPr>
              <w:spacing w:after="0"/>
              <w:rPr>
                <w:sz w:val="16"/>
                <w:szCs w:val="16"/>
                <w:color w:val="auto"/>
              </w:rPr>
            </w:pPr>
          </w:p>
        </w:tc>
        <w:tc>
          <w:tcPr>
            <w:tcW w:w="1020" w:type="dxa"/>
            <w:vAlign w:val="bottom"/>
          </w:tcPr>
          <w:p>
            <w:pPr>
              <w:jc w:val="right"/>
              <w:ind w:right="215"/>
              <w:spacing w:after="0"/>
              <w:rPr>
                <w:sz w:val="20"/>
                <w:szCs w:val="20"/>
                <w:color w:val="auto"/>
              </w:rPr>
            </w:pPr>
            <w:r>
              <w:rPr>
                <w:rFonts w:ascii="Arial" w:cs="Arial" w:eastAsia="Arial" w:hAnsi="Arial"/>
                <w:sz w:val="16"/>
                <w:szCs w:val="16"/>
                <w:b w:val="1"/>
                <w:bCs w:val="1"/>
                <w:color w:val="auto"/>
              </w:rPr>
              <w:t>Increase</w:t>
            </w:r>
          </w:p>
        </w:tc>
        <w:tc>
          <w:tcPr>
            <w:tcW w:w="0" w:type="dxa"/>
            <w:vAlign w:val="bottom"/>
          </w:tcPr>
          <w:p>
            <w:pPr>
              <w:spacing w:after="0"/>
              <w:rPr>
                <w:sz w:val="1"/>
                <w:szCs w:val="1"/>
                <w:color w:val="auto"/>
              </w:rPr>
            </w:pPr>
          </w:p>
        </w:tc>
      </w:tr>
      <w:tr>
        <w:trPr>
          <w:trHeight w:val="213"/>
        </w:trPr>
        <w:tc>
          <w:tcPr>
            <w:tcW w:w="3760" w:type="dxa"/>
            <w:vAlign w:val="bottom"/>
          </w:tcPr>
          <w:p>
            <w:pPr>
              <w:spacing w:after="0"/>
              <w:rPr>
                <w:sz w:val="18"/>
                <w:szCs w:val="18"/>
                <w:color w:val="auto"/>
              </w:rPr>
            </w:pPr>
          </w:p>
        </w:tc>
        <w:tc>
          <w:tcPr>
            <w:tcW w:w="1500" w:type="dxa"/>
            <w:vAlign w:val="bottom"/>
            <w:gridSpan w:val="3"/>
            <w:vMerge w:val="continue"/>
          </w:tcPr>
          <w:p>
            <w:pPr>
              <w:spacing w:after="0"/>
              <w:rPr>
                <w:sz w:val="18"/>
                <w:szCs w:val="18"/>
                <w:color w:val="auto"/>
              </w:rPr>
            </w:pPr>
          </w:p>
        </w:tc>
        <w:tc>
          <w:tcPr>
            <w:tcW w:w="1640" w:type="dxa"/>
            <w:vAlign w:val="bottom"/>
            <w:gridSpan w:val="2"/>
            <w:vMerge w:val="continue"/>
          </w:tcPr>
          <w:p>
            <w:pPr>
              <w:spacing w:after="0"/>
              <w:rPr>
                <w:sz w:val="18"/>
                <w:szCs w:val="18"/>
                <w:color w:val="auto"/>
              </w:rPr>
            </w:pPr>
          </w:p>
        </w:tc>
        <w:tc>
          <w:tcPr>
            <w:tcW w:w="1500" w:type="dxa"/>
            <w:vAlign w:val="bottom"/>
            <w:gridSpan w:val="3"/>
            <w:vMerge w:val="continue"/>
          </w:tcPr>
          <w:p>
            <w:pPr>
              <w:spacing w:after="0"/>
              <w:rPr>
                <w:sz w:val="18"/>
                <w:szCs w:val="18"/>
                <w:color w:val="auto"/>
              </w:rPr>
            </w:pPr>
          </w:p>
        </w:tc>
        <w:tc>
          <w:tcPr>
            <w:tcW w:w="16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155"/>
              <w:spacing w:after="0"/>
              <w:rPr>
                <w:sz w:val="20"/>
                <w:szCs w:val="20"/>
                <w:color w:val="auto"/>
              </w:rPr>
            </w:pPr>
            <w:r>
              <w:rPr>
                <w:rFonts w:ascii="Arial" w:cs="Arial" w:eastAsia="Arial" w:hAnsi="Arial"/>
                <w:sz w:val="16"/>
                <w:szCs w:val="16"/>
                <w:b w:val="1"/>
                <w:bCs w:val="1"/>
                <w:color w:val="auto"/>
                <w:w w:val="92"/>
              </w:rPr>
              <w:t>(Decrease)</w:t>
            </w:r>
          </w:p>
        </w:tc>
        <w:tc>
          <w:tcPr>
            <w:tcW w:w="0" w:type="dxa"/>
            <w:vAlign w:val="bottom"/>
          </w:tcPr>
          <w:p>
            <w:pPr>
              <w:spacing w:after="0"/>
              <w:rPr>
                <w:sz w:val="1"/>
                <w:szCs w:val="1"/>
                <w:color w:val="auto"/>
              </w:rPr>
            </w:pPr>
          </w:p>
        </w:tc>
      </w:tr>
      <w:tr>
        <w:trPr>
          <w:trHeight w:val="226"/>
        </w:trPr>
        <w:tc>
          <w:tcPr>
            <w:tcW w:w="3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Three Months Ended</w:t>
            </w:r>
          </w:p>
        </w:tc>
        <w:tc>
          <w:tcPr>
            <w:tcW w:w="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2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30"/>
        </w:trPr>
        <w:tc>
          <w:tcPr>
            <w:tcW w:w="3760" w:type="dxa"/>
            <w:vAlign w:val="bottom"/>
          </w:tcPr>
          <w:p>
            <w:pPr>
              <w:ind w:left="20"/>
              <w:spacing w:after="0"/>
              <w:rPr>
                <w:sz w:val="20"/>
                <w:szCs w:val="20"/>
                <w:color w:val="auto"/>
              </w:rPr>
            </w:pPr>
            <w:r>
              <w:rPr>
                <w:rFonts w:ascii="Arial" w:cs="Arial" w:eastAsia="Arial" w:hAnsi="Arial"/>
                <w:sz w:val="18"/>
                <w:szCs w:val="18"/>
                <w:color w:val="auto"/>
              </w:rPr>
              <w:t>Nine Months Ended</w:t>
            </w:r>
          </w:p>
        </w:tc>
        <w:tc>
          <w:tcPr>
            <w:tcW w:w="580" w:type="dxa"/>
            <w:vAlign w:val="bottom"/>
          </w:tcPr>
          <w:p>
            <w:pPr>
              <w:ind w:lef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18 %</w:t>
            </w:r>
          </w:p>
        </w:tc>
        <w:tc>
          <w:tcPr>
            <w:tcW w:w="120" w:type="dxa"/>
            <w:vAlign w:val="bottom"/>
          </w:tcPr>
          <w:p>
            <w:pPr>
              <w:spacing w:after="0"/>
              <w:rPr>
                <w:sz w:val="20"/>
                <w:szCs w:val="20"/>
                <w:color w:val="auto"/>
              </w:rPr>
            </w:pPr>
          </w:p>
        </w:tc>
        <w:tc>
          <w:tcPr>
            <w:tcW w:w="580" w:type="dxa"/>
            <w:vAlign w:val="bottom"/>
          </w:tcPr>
          <w:p>
            <w:pPr>
              <w:ind w:lef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18 %</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bl>
    <w:p>
      <w:pPr>
        <w:spacing w:after="0" w:line="309" w:lineRule="exact"/>
        <w:rPr>
          <w:sz w:val="20"/>
          <w:szCs w:val="20"/>
          <w:color w:val="auto"/>
        </w:rPr>
      </w:pPr>
    </w:p>
    <w:p>
      <w:pPr>
        <w:jc w:val="both"/>
        <w:ind w:right="160" w:firstLine="324"/>
        <w:spacing w:after="0" w:line="270" w:lineRule="auto"/>
        <w:rPr>
          <w:sz w:val="20"/>
          <w:szCs w:val="20"/>
          <w:color w:val="auto"/>
        </w:rPr>
      </w:pPr>
      <w:r>
        <w:rPr>
          <w:rFonts w:ascii="Arial" w:cs="Arial" w:eastAsia="Arial" w:hAnsi="Arial"/>
          <w:sz w:val="17"/>
          <w:szCs w:val="17"/>
          <w:color w:val="auto"/>
        </w:rPr>
        <w:t>The income tax expense of $118 million for the three months ended September 30, 2020 reflects an effective tax rate of 16%, which is lower than the effective tax rate of 18% for the three months ended September 30, 2019. This decrease is primarily due to discrete tax benefits recognized in the current quarter for the remeasurement of deferred tax assets, partially offset by an increase in taxes on foreign earnings.</w:t>
      </w:r>
    </w:p>
    <w:p>
      <w:pPr>
        <w:spacing w:after="0" w:line="191" w:lineRule="exact"/>
        <w:rPr>
          <w:sz w:val="20"/>
          <w:szCs w:val="20"/>
          <w:color w:val="auto"/>
        </w:rPr>
      </w:pPr>
    </w:p>
    <w:p>
      <w:pPr>
        <w:jc w:val="both"/>
        <w:ind w:right="160" w:firstLine="324"/>
        <w:spacing w:after="0" w:line="248" w:lineRule="auto"/>
        <w:rPr>
          <w:sz w:val="20"/>
          <w:szCs w:val="20"/>
          <w:color w:val="auto"/>
        </w:rPr>
      </w:pPr>
      <w:r>
        <w:rPr>
          <w:rFonts w:ascii="Arial" w:cs="Arial" w:eastAsia="Arial" w:hAnsi="Arial"/>
          <w:sz w:val="18"/>
          <w:szCs w:val="18"/>
          <w:color w:val="auto"/>
        </w:rPr>
        <w:t>The income tax expense of $365 million for the nine months ended September 30, 2020, reflects an effective tax rate of 18%, which is comparable to the effective tax rate of 18% for the nine months ended September 30, 2019. Discrete tax benefits recognized in the current year for the remeasurement of deferred tax assets were offset by an increase in taxes on foreign earnings.</w:t>
      </w:r>
    </w:p>
    <w:p>
      <w:pPr>
        <w:spacing w:after="0" w:line="209" w:lineRule="exact"/>
        <w:rPr>
          <w:sz w:val="20"/>
          <w:szCs w:val="20"/>
          <w:color w:val="auto"/>
        </w:rPr>
      </w:pPr>
    </w:p>
    <w:p>
      <w:pPr>
        <w:ind w:right="220" w:firstLine="324"/>
        <w:spacing w:after="0" w:line="248" w:lineRule="auto"/>
        <w:rPr>
          <w:sz w:val="20"/>
          <w:szCs w:val="20"/>
          <w:color w:val="auto"/>
        </w:rPr>
      </w:pPr>
      <w:r>
        <w:rPr>
          <w:rFonts w:ascii="Arial" w:cs="Arial" w:eastAsia="Arial" w:hAnsi="Arial"/>
          <w:sz w:val="18"/>
          <w:szCs w:val="18"/>
          <w:color w:val="auto"/>
        </w:rPr>
        <w:t>The effective tax rates of 16% and 18% for the three and nine months ended September 30, 2020, are lower than the U.S. statutory rate of 21%, primarily due to discrete tax benefits recognized for the remeasurement of deferred tax assets and the recognition of excess tax benefits from share-based payments.</w:t>
      </w:r>
    </w:p>
    <w:p>
      <w:pPr>
        <w:spacing w:after="0" w:line="209" w:lineRule="exact"/>
        <w:rPr>
          <w:sz w:val="20"/>
          <w:szCs w:val="20"/>
          <w:color w:val="auto"/>
        </w:rPr>
      </w:pPr>
    </w:p>
    <w:p>
      <w:pPr>
        <w:ind w:right="180" w:firstLine="324"/>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Further information about our income taxes is provided in </w:t>
      </w:r>
      <w:hyperlink w:anchor="page31">
        <w:r>
          <w:rPr>
            <w:rFonts w:ascii="Arial" w:cs="Arial" w:eastAsia="Arial" w:hAnsi="Arial"/>
            <w:sz w:val="18"/>
            <w:szCs w:val="18"/>
            <w:u w:val="single" w:color="auto"/>
            <w:color w:val="0000FF"/>
          </w:rPr>
          <w:t>Note 13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the notes to the condensed consolidated financial statements included in Item 1 of this Quarterly Report on Form 10-Q.</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We believe our ability to generate cash flows from operating activities is one of our fundamental financial strengths. Despite the impacts of the COVID-19 pandemic on the global economy, in the near term, we expect our business and financial condition to remain strong and to continue to generate significant operating cash flows, which, we believe, in combination with our existing balance of cash and cash equivalents and short-term investments of $7.6 billion, our access to capital, and the availability of our $1.5 billion revolving credit facility, will be sufficient to finance our operational and financing requirements for the next 12 months. Our primary sources of liquidity, which are available to us to fund cash outflows such as potential dividend payments or share repurchases and scheduled debt maturities (the next of which is not until 2026), include our cash and cash equivalents, short-term investments, and cash flows provided by operating activities.</w:t>
      </w:r>
    </w:p>
    <w:p>
      <w:pPr>
        <w:spacing w:after="0" w:line="222" w:lineRule="exact"/>
        <w:rPr>
          <w:sz w:val="20"/>
          <w:szCs w:val="20"/>
          <w:color w:val="auto"/>
        </w:rPr>
      </w:pPr>
    </w:p>
    <w:p>
      <w:pPr>
        <w:ind w:right="120" w:firstLine="324"/>
        <w:spacing w:after="0" w:line="342" w:lineRule="auto"/>
        <w:rPr>
          <w:sz w:val="20"/>
          <w:szCs w:val="20"/>
          <w:color w:val="auto"/>
        </w:rPr>
      </w:pPr>
      <w:r>
        <w:rPr>
          <w:rFonts w:ascii="Arial" w:cs="Arial" w:eastAsia="Arial" w:hAnsi="Arial"/>
          <w:sz w:val="16"/>
          <w:szCs w:val="16"/>
          <w:color w:val="auto"/>
        </w:rPr>
        <w:t>As of September 30, 2020, the amount of cash and cash equivalents held outside of the U.S. by our foreign subsidiaries was $1.9 billion, as compared to $2.8 billion as of December 31, 2019. These cash balances are generally available for use in the U.S., subject in some cases to certain restrictions.</w:t>
      </w:r>
    </w:p>
    <w:p>
      <w:pPr>
        <w:spacing w:after="0" w:line="151" w:lineRule="exact"/>
        <w:rPr>
          <w:sz w:val="20"/>
          <w:szCs w:val="20"/>
          <w:color w:val="auto"/>
        </w:rPr>
      </w:pPr>
    </w:p>
    <w:p>
      <w:pPr>
        <w:ind w:right="400" w:firstLine="324"/>
        <w:spacing w:after="0" w:line="259" w:lineRule="auto"/>
        <w:rPr>
          <w:sz w:val="20"/>
          <w:szCs w:val="20"/>
          <w:color w:val="auto"/>
        </w:rPr>
      </w:pPr>
      <w:r>
        <w:rPr>
          <w:rFonts w:ascii="Arial" w:cs="Arial" w:eastAsia="Arial" w:hAnsi="Arial"/>
          <w:sz w:val="18"/>
          <w:szCs w:val="18"/>
          <w:color w:val="auto"/>
        </w:rPr>
        <w:t>Our cash provided from operating activities is somewhat impacted by seasonality. Working capital needs are impacted by weekly sales, which are generally highest in the fourth quarter due to seasonal and holiday-related sales patterns. We consider, on a continuing basis, various transactions to increase shareholder value and enhance our business results, including acquisitions, divestitures, joint ventures, share repurchases, and other structural changes. These transactions may result in future cash proceeds or payments.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 (amounts in millions)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20" w:type="dxa"/>
            <w:vAlign w:val="bottom"/>
            <w:gridSpan w:val="3"/>
          </w:tcPr>
          <w:p>
            <w:pPr>
              <w:ind w:left="60"/>
              <w:spacing w:after="0"/>
              <w:rPr>
                <w:sz w:val="20"/>
                <w:szCs w:val="20"/>
                <w:color w:val="auto"/>
              </w:rPr>
            </w:pPr>
            <w:r>
              <w:rPr>
                <w:rFonts w:ascii="Arial" w:cs="Arial" w:eastAsia="Arial" w:hAnsi="Arial"/>
                <w:sz w:val="16"/>
                <w:szCs w:val="16"/>
                <w:b w:val="1"/>
                <w:bCs w:val="1"/>
                <w:color w:val="auto"/>
              </w:rPr>
              <w:t>September 30, 2020</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December 31, 2019</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jc w:val="right"/>
              <w:ind w:right="232"/>
              <w:spacing w:after="0"/>
              <w:rPr>
                <w:sz w:val="20"/>
                <w:szCs w:val="20"/>
                <w:color w:val="auto"/>
              </w:rPr>
            </w:pPr>
            <w:r>
              <w:rPr>
                <w:rFonts w:ascii="Arial" w:cs="Arial" w:eastAsia="Arial" w:hAnsi="Arial"/>
                <w:sz w:val="16"/>
                <w:szCs w:val="16"/>
                <w:b w:val="1"/>
                <w:bCs w:val="1"/>
                <w:color w:val="auto"/>
                <w:w w:val="95"/>
              </w:rPr>
              <w:t>Increase (Decrease)</w:t>
            </w:r>
          </w:p>
        </w:tc>
        <w:tc>
          <w:tcPr>
            <w:tcW w:w="0" w:type="dxa"/>
            <w:vAlign w:val="bottom"/>
          </w:tcPr>
          <w:p>
            <w:pPr>
              <w:spacing w:after="0"/>
              <w:rPr>
                <w:sz w:val="1"/>
                <w:szCs w:val="1"/>
                <w:color w:val="auto"/>
              </w:rPr>
            </w:pPr>
          </w:p>
        </w:tc>
      </w:tr>
      <w:tr>
        <w:trPr>
          <w:trHeight w:val="226"/>
        </w:trPr>
        <w:tc>
          <w:tcPr>
            <w:tcW w:w="4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7,415</w:t>
            </w: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80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5,794</w:t>
            </w:r>
          </w:p>
        </w:tc>
        <w:tc>
          <w:tcPr>
            <w:tcW w:w="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1,621</w:t>
            </w:r>
          </w:p>
        </w:tc>
        <w:tc>
          <w:tcPr>
            <w:tcW w:w="0" w:type="dxa"/>
            <w:vAlign w:val="bottom"/>
          </w:tcPr>
          <w:p>
            <w:pPr>
              <w:spacing w:after="0"/>
              <w:rPr>
                <w:sz w:val="1"/>
                <w:szCs w:val="1"/>
                <w:color w:val="auto"/>
              </w:rPr>
            </w:pPr>
          </w:p>
        </w:tc>
      </w:tr>
      <w:tr>
        <w:trPr>
          <w:trHeight w:val="230"/>
        </w:trPr>
        <w:tc>
          <w:tcPr>
            <w:tcW w:w="4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Short-term investments</w:t>
            </w: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188</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ind w:left="1440"/>
              <w:spacing w:after="0"/>
              <w:rPr>
                <w:sz w:val="20"/>
                <w:szCs w:val="20"/>
                <w:color w:val="auto"/>
              </w:rPr>
            </w:pPr>
            <w:r>
              <w:rPr>
                <w:rFonts w:ascii="Arial" w:cs="Arial" w:eastAsia="Arial" w:hAnsi="Arial"/>
                <w:sz w:val="18"/>
                <w:szCs w:val="18"/>
                <w:color w:val="auto"/>
              </w:rPr>
              <w:t>69</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48"/>
        </w:trPr>
        <w:tc>
          <w:tcPr>
            <w:tcW w:w="47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tcBorders>
            <w:shd w:val="clear" w:color="auto" w:fill="CCEEFF"/>
          </w:tcPr>
          <w:p>
            <w:pPr>
              <w:spacing w:after="0"/>
              <w:rPr>
                <w:sz w:val="21"/>
                <w:szCs w:val="21"/>
                <w:color w:val="auto"/>
              </w:rPr>
            </w:pPr>
          </w:p>
        </w:tc>
        <w:tc>
          <w:tcPr>
            <w:tcW w:w="180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7,603</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5,863</w:t>
            </w:r>
          </w:p>
        </w:tc>
        <w:tc>
          <w:tcPr>
            <w:tcW w:w="4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1,740</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Percentage of total assets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7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0" w:type="dxa"/>
            <w:vAlign w:val="bottom"/>
          </w:tcPr>
          <w:p>
            <w:pPr>
              <w:jc w:val="right"/>
              <w:spacing w:after="0" w:line="204" w:lineRule="exact"/>
              <w:rPr>
                <w:sz w:val="20"/>
                <w:szCs w:val="20"/>
                <w:color w:val="auto"/>
              </w:rPr>
            </w:pPr>
            <w:r>
              <w:rPr>
                <w:rFonts w:ascii="Arial" w:cs="Arial" w:eastAsia="Arial" w:hAnsi="Arial"/>
                <w:sz w:val="18"/>
                <w:szCs w:val="18"/>
                <w:color w:val="auto"/>
              </w:rPr>
              <w:t>35 %</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40" w:type="dxa"/>
            <w:vAlign w:val="bottom"/>
            <w:gridSpan w:val="2"/>
          </w:tcPr>
          <w:p>
            <w:pPr>
              <w:ind w:left="1440"/>
              <w:spacing w:after="0" w:line="204" w:lineRule="exact"/>
              <w:rPr>
                <w:sz w:val="20"/>
                <w:szCs w:val="20"/>
                <w:color w:val="auto"/>
              </w:rPr>
            </w:pPr>
            <w:r>
              <w:rPr>
                <w:rFonts w:ascii="Arial" w:cs="Arial" w:eastAsia="Arial" w:hAnsi="Arial"/>
                <w:sz w:val="18"/>
                <w:szCs w:val="18"/>
                <w:color w:val="auto"/>
                <w:w w:val="92"/>
              </w:rPr>
              <w:t>30 %</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31"/>
        </w:trPr>
        <w:tc>
          <w:tcPr>
            <w:tcW w:w="4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140" w:type="dxa"/>
            <w:vAlign w:val="bottom"/>
            <w:tcBorders>
              <w:bottom w:val="single" w:sz="8" w:color="auto"/>
            </w:tcBorders>
            <w:gridSpan w:val="11"/>
          </w:tcPr>
          <w:p>
            <w:pPr>
              <w:jc w:val="center"/>
              <w:ind w:right="72"/>
              <w:spacing w:after="0"/>
              <w:rPr>
                <w:sz w:val="20"/>
                <w:szCs w:val="20"/>
                <w:color w:val="auto"/>
              </w:rPr>
            </w:pPr>
            <w:r>
              <w:rPr>
                <w:rFonts w:ascii="Arial" w:cs="Arial" w:eastAsia="Arial" w:hAnsi="Arial"/>
                <w:sz w:val="16"/>
                <w:szCs w:val="16"/>
                <w:b w:val="1"/>
                <w:bCs w:val="1"/>
                <w:color w:val="auto"/>
                <w:w w:val="92"/>
              </w:rPr>
              <w:t>For the Nine Months Ended September 30,</w:t>
            </w:r>
          </w:p>
        </w:tc>
        <w:tc>
          <w:tcPr>
            <w:tcW w:w="0" w:type="dxa"/>
            <w:vAlign w:val="bottom"/>
          </w:tcPr>
          <w:p>
            <w:pPr>
              <w:spacing w:after="0"/>
              <w:rPr>
                <w:sz w:val="1"/>
                <w:szCs w:val="1"/>
                <w:color w:val="auto"/>
              </w:rPr>
            </w:pPr>
          </w:p>
        </w:tc>
      </w:tr>
      <w:tr>
        <w:trPr>
          <w:trHeight w:val="210"/>
        </w:trPr>
        <w:tc>
          <w:tcPr>
            <w:tcW w:w="47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692"/>
              <w:spacing w:after="0"/>
              <w:rPr>
                <w:sz w:val="20"/>
                <w:szCs w:val="20"/>
                <w:color w:val="auto"/>
              </w:rPr>
            </w:pPr>
            <w:r>
              <w:rPr>
                <w:rFonts w:ascii="Arial" w:cs="Arial" w:eastAsia="Arial" w:hAnsi="Arial"/>
                <w:sz w:val="16"/>
                <w:szCs w:val="16"/>
                <w:b w:val="1"/>
                <w:bCs w:val="1"/>
                <w:color w:val="auto"/>
              </w:rPr>
              <w:t>2020</w:t>
            </w: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center"/>
              <w:ind w:right="152"/>
              <w:spacing w:after="0"/>
              <w:rPr>
                <w:sz w:val="20"/>
                <w:szCs w:val="20"/>
                <w:color w:val="auto"/>
              </w:rPr>
            </w:pPr>
            <w:r>
              <w:rPr>
                <w:rFonts w:ascii="Arial" w:cs="Arial" w:eastAsia="Arial" w:hAnsi="Arial"/>
                <w:sz w:val="16"/>
                <w:szCs w:val="16"/>
                <w:b w:val="1"/>
                <w:bCs w:val="1"/>
                <w:color w:val="auto"/>
                <w:w w:val="89"/>
              </w:rPr>
              <w:t>2019</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252"/>
              <w:spacing w:after="0"/>
              <w:rPr>
                <w:sz w:val="20"/>
                <w:szCs w:val="20"/>
                <w:color w:val="auto"/>
              </w:rPr>
            </w:pPr>
            <w:r>
              <w:rPr>
                <w:rFonts w:ascii="Arial" w:cs="Arial" w:eastAsia="Arial" w:hAnsi="Arial"/>
                <w:sz w:val="16"/>
                <w:szCs w:val="16"/>
                <w:b w:val="1"/>
                <w:bCs w:val="1"/>
                <w:color w:val="auto"/>
                <w:w w:val="93"/>
              </w:rPr>
              <w:t>Increase (Decrease)</w:t>
            </w:r>
          </w:p>
        </w:tc>
        <w:tc>
          <w:tcPr>
            <w:tcW w:w="0" w:type="dxa"/>
            <w:vAlign w:val="bottom"/>
          </w:tcPr>
          <w:p>
            <w:pPr>
              <w:spacing w:after="0"/>
              <w:rPr>
                <w:sz w:val="1"/>
                <w:szCs w:val="1"/>
                <w:color w:val="auto"/>
              </w:rPr>
            </w:pPr>
          </w:p>
        </w:tc>
      </w:tr>
      <w:tr>
        <w:trPr>
          <w:trHeight w:val="226"/>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ind w:left="1460"/>
              <w:spacing w:after="0"/>
              <w:rPr>
                <w:sz w:val="20"/>
                <w:szCs w:val="20"/>
                <w:color w:val="auto"/>
              </w:rPr>
            </w:pPr>
            <w:r>
              <w:rPr>
                <w:rFonts w:ascii="Arial" w:cs="Arial" w:eastAsia="Arial" w:hAnsi="Arial"/>
                <w:sz w:val="18"/>
                <w:szCs w:val="18"/>
                <w:color w:val="auto"/>
              </w:rPr>
              <w:t>913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29"/>
        </w:trPr>
        <w:tc>
          <w:tcPr>
            <w:tcW w:w="478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(178)</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79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w:t>
            </w:r>
          </w:p>
        </w:tc>
        <w:tc>
          <w:tcPr>
            <w:tcW w:w="0" w:type="dxa"/>
            <w:vAlign w:val="bottom"/>
          </w:tcPr>
          <w:p>
            <w:pPr>
              <w:spacing w:after="0"/>
              <w:rPr>
                <w:sz w:val="1"/>
                <w:szCs w:val="1"/>
                <w:color w:val="auto"/>
              </w:rPr>
            </w:pPr>
          </w:p>
        </w:tc>
      </w:tr>
      <w:tr>
        <w:trPr>
          <w:trHeight w:val="229"/>
        </w:trPr>
        <w:tc>
          <w:tcPr>
            <w:tcW w:w="4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foreign exchange rate changes</w:t>
            </w: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48"/>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5"/>
              </w:rPr>
              <w:t>Net increase in cash and cash equivalents and restricted cash</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1,619</w:t>
            </w:r>
          </w:p>
        </w:tc>
        <w:tc>
          <w:tcPr>
            <w:tcW w:w="6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ind w:left="1460"/>
              <w:spacing w:after="0"/>
              <w:rPr>
                <w:sz w:val="20"/>
                <w:szCs w:val="20"/>
                <w:color w:val="auto"/>
              </w:rPr>
            </w:pPr>
            <w:r>
              <w:rPr>
                <w:rFonts w:ascii="Arial" w:cs="Arial" w:eastAsia="Arial" w:hAnsi="Arial"/>
                <w:sz w:val="18"/>
                <w:szCs w:val="18"/>
                <w:color w:val="auto"/>
              </w:rPr>
              <w:t>717</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225" w:lineRule="exact"/>
        <w:rPr>
          <w:sz w:val="20"/>
          <w:szCs w:val="20"/>
          <w:color w:val="auto"/>
        </w:rPr>
      </w:pPr>
    </w:p>
    <w:p>
      <w:pPr>
        <w:jc w:val="both"/>
        <w:ind w:right="280" w:firstLine="324"/>
        <w:spacing w:after="0" w:line="279" w:lineRule="auto"/>
        <w:rPr>
          <w:sz w:val="20"/>
          <w:szCs w:val="20"/>
          <w:color w:val="auto"/>
        </w:rPr>
      </w:pPr>
      <w:r>
        <w:rPr>
          <w:rFonts w:ascii="Arial" w:cs="Arial" w:eastAsia="Arial" w:hAnsi="Arial"/>
          <w:sz w:val="17"/>
          <w:szCs w:val="17"/>
          <w:color w:val="auto"/>
        </w:rPr>
        <w:t>The primary driver of net cash flows associated with our operating activities is the collection of customer receivables generated from the sale of our products and services. These collections are typically partially offset by: payments to vendors for the manufacturing, distribution, and marketing of our products; payments for customer service support for our consumers; payments to third-party developers and intellectual property holders; payments for interest on our debt; payments for software development; payments for tax liabilities; and payments to our workforce.</w:t>
      </w:r>
    </w:p>
    <w:p>
      <w:pPr>
        <w:spacing w:after="0" w:line="198"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Net cash provided by operating activities for the nine months ended September 30, 2020, was $1.11 billion, as compared to $913 million for the nine months ended September 30, 2019. The increase was primarily due to higher net income partially offset by higher tax payments and changes in our working capital resulting from the timing of collections and payments.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225" w:lineRule="exact"/>
        <w:rPr>
          <w:sz w:val="20"/>
          <w:szCs w:val="20"/>
          <w:color w:val="auto"/>
        </w:rPr>
      </w:pPr>
    </w:p>
    <w:p>
      <w:pPr>
        <w:ind w:right="940" w:firstLine="324"/>
        <w:spacing w:after="0" w:line="277" w:lineRule="auto"/>
        <w:rPr>
          <w:sz w:val="20"/>
          <w:szCs w:val="20"/>
          <w:color w:val="auto"/>
        </w:rPr>
      </w:pPr>
      <w:r>
        <w:rPr>
          <w:rFonts w:ascii="Arial" w:cs="Arial" w:eastAsia="Arial" w:hAnsi="Arial"/>
          <w:sz w:val="18"/>
          <w:szCs w:val="18"/>
          <w:color w:val="auto"/>
        </w:rPr>
        <w:t>The primary drivers of net cash flows associated with our investing activities typically include capital expenditures, purchases and sales of investments, and cash used for acquisitions.</w:t>
      </w:r>
    </w:p>
    <w:p>
      <w:pPr>
        <w:spacing w:after="0" w:line="197"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Net cash used in investing activities for the nine months ended September 30, 2020, was $178 million, as compared to net cash provided by investing activities of $79 million for the nine months ended September 30, 2019. The change was primarily due to the net purchases of $122 million of available-for-sale investments in the nine months ended September 30, 2020, as compared to proceeds from maturities of available-for-sale investments of $153 million in the prior-year period. This was partially offset by capital expenditures of $56 million for the nine months ended September 30, 2020, which were lower than the capital expenditures of $79 million for the prior-year period.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Financing Activities</w:t>
      </w:r>
    </w:p>
    <w:p>
      <w:pPr>
        <w:spacing w:after="0" w:line="252" w:lineRule="exact"/>
        <w:rPr>
          <w:sz w:val="20"/>
          <w:szCs w:val="20"/>
          <w:color w:val="auto"/>
        </w:rPr>
      </w:pPr>
    </w:p>
    <w:p>
      <w:pPr>
        <w:jc w:val="both"/>
        <w:ind w:right="180" w:firstLine="324"/>
        <w:spacing w:after="0" w:line="263" w:lineRule="auto"/>
        <w:rPr>
          <w:sz w:val="20"/>
          <w:szCs w:val="20"/>
          <w:color w:val="auto"/>
        </w:rPr>
      </w:pPr>
      <w:r>
        <w:rPr>
          <w:rFonts w:ascii="Arial" w:cs="Arial" w:eastAsia="Arial" w:hAnsi="Arial"/>
          <w:sz w:val="18"/>
          <w:szCs w:val="18"/>
          <w:color w:val="auto"/>
        </w:rPr>
        <w:t>The primary drivers of net cash flows associated with our financing activities typically include the proceeds from, and repayments of, our long-term debt and transactions involving our common stock, including the issuance of shares of common stock to employees upon the exercise of stock options, as well as the payment of dividends.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firstLine="324"/>
        <w:spacing w:after="0" w:line="272" w:lineRule="auto"/>
        <w:rPr>
          <w:rFonts w:ascii="Arial" w:cs="Arial" w:eastAsia="Arial" w:hAnsi="Arial"/>
          <w:sz w:val="17"/>
          <w:szCs w:val="17"/>
          <w:color w:val="auto"/>
        </w:rPr>
      </w:pPr>
      <w:r>
        <w:rPr>
          <w:rFonts w:ascii="Arial" w:cs="Arial" w:eastAsia="Arial" w:hAnsi="Arial"/>
          <w:sz w:val="17"/>
          <w:szCs w:val="17"/>
          <w:color w:val="auto"/>
        </w:rPr>
        <w:t xml:space="preserve">Net cash provided by financing activities for the nine months ended September 30, 2020, was $653 million, as compared to net cash used in financing activities of $251 million for the nine months ended September 30, 2019. The change was primarily attributed to our debt financing activities—for the nine months ended September 30, 2020, we had net debt proceeds of approximately $896 million resulting from the issuance of an aggregate principal amount of $2.0 billion of new notes and the early redemption of $1.05 billion of our previously outstanding notes, with no comparable activity for the prior year-period. Refer to </w:t>
      </w:r>
      <w:hyperlink w:anchor="page16">
        <w:r>
          <w:rPr>
            <w:rFonts w:ascii="Arial" w:cs="Arial" w:eastAsia="Arial" w:hAnsi="Arial"/>
            <w:sz w:val="17"/>
            <w:szCs w:val="17"/>
            <w:u w:val="single" w:color="auto"/>
            <w:color w:val="0000FF"/>
          </w:rPr>
          <w:t>Note 8</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of the notes to the condensed consolidated financial statements included in Item 1 of this Quarterly Report on Form 10-Q for further discussion. The cash flows provided by our debt financing activities for the nine months ended September 30, 2020, were partially offset by higher dividends paid of $316 million, as compared to $283 million for the prior-year period.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 of Foreign Exchange Rate Changes</w:t>
      </w:r>
    </w:p>
    <w:p>
      <w:pPr>
        <w:spacing w:after="0" w:line="252"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Changes in foreign exchange rates had a positive impact of $32 million on our cash and cash equivalents and restricted cash for the nine months ended September 30, 2020, as compared to a negative impact of $24 million for the nine months ended September 30, 2019. The change was primarily due to changes in the value of the U.S. dollar relative to the euro and the British pound.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w:t>
      </w:r>
    </w:p>
    <w:p>
      <w:pPr>
        <w:spacing w:after="0" w:line="225"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On August 5, 2020, we issued $500 million of unsecured senior notes due 2030, (i.e., the 2030 Notes) and $1.5 billion of unsecured senior notes due 2050, (i.e., the 2050 Notes) in a public underwritten offering. In connection with the issuance, we incurred approximately $26 million of discounts and financing costs that were capitalized and recorded within "Long-term debt, net" in our condensed consolidated balance sheet. On September 4, 2020, we redeemed all of our outstanding 2021 Notes and 2022 Notes at a redemption price equal to 100% of their respective principal amounts plus (1) a “make-whole” premium of $28 million and (2) accrued and unpaid interest to the redemption date. The redemption of the 2021 Notes and 2022 Notes resulted in a “Loss on extinguishment of debt” recorded in the condensed consolidated statement of operations of $31 million.</w:t>
      </w:r>
    </w:p>
    <w:p>
      <w:pPr>
        <w:spacing w:after="0" w:line="20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At September 30, 2020 and December 31, 2019, our total outstanding debt was $3.7 billion and $2.7 billion, respectively, bearing interest at a weighted average rate of 2.87% and 3.18%, respectively.</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our outstanding debt is as follows (amounts in millions):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80" w:type="dxa"/>
            <w:vAlign w:val="bottom"/>
            <w:gridSpan w:val="2"/>
          </w:tcPr>
          <w:p>
            <w:pPr>
              <w:ind w:left="160"/>
              <w:spacing w:after="0"/>
              <w:rPr>
                <w:sz w:val="20"/>
                <w:szCs w:val="20"/>
                <w:color w:val="auto"/>
              </w:rPr>
            </w:pPr>
            <w:r>
              <w:rPr>
                <w:rFonts w:ascii="Arial" w:cs="Arial" w:eastAsia="Arial" w:hAnsi="Arial"/>
                <w:sz w:val="16"/>
                <w:szCs w:val="16"/>
                <w:b w:val="1"/>
                <w:bCs w:val="1"/>
                <w:color w:val="auto"/>
              </w:rPr>
              <w:t>At September 30, 2020</w:t>
            </w:r>
          </w:p>
        </w:tc>
        <w:tc>
          <w:tcPr>
            <w:tcW w:w="280" w:type="dxa"/>
            <w:vAlign w:val="bottom"/>
          </w:tcPr>
          <w:p>
            <w:pPr>
              <w:spacing w:after="0"/>
              <w:rPr>
                <w:sz w:val="18"/>
                <w:szCs w:val="18"/>
                <w:color w:val="auto"/>
              </w:rPr>
            </w:pPr>
          </w:p>
        </w:tc>
        <w:tc>
          <w:tcPr>
            <w:tcW w:w="2140" w:type="dxa"/>
            <w:vAlign w:val="bottom"/>
          </w:tcPr>
          <w:p>
            <w:pPr>
              <w:jc w:val="right"/>
              <w:ind w:right="351"/>
              <w:spacing w:after="0"/>
              <w:rPr>
                <w:sz w:val="20"/>
                <w:szCs w:val="20"/>
                <w:color w:val="auto"/>
              </w:rPr>
            </w:pPr>
            <w:r>
              <w:rPr>
                <w:rFonts w:ascii="Arial" w:cs="Arial" w:eastAsia="Arial" w:hAnsi="Arial"/>
                <w:sz w:val="16"/>
                <w:szCs w:val="16"/>
                <w:b w:val="1"/>
                <w:bCs w:val="1"/>
                <w:color w:val="auto"/>
              </w:rPr>
              <w:t>At December 31, 2019</w:t>
            </w:r>
          </w:p>
        </w:tc>
      </w:tr>
      <w:tr>
        <w:trPr>
          <w:trHeight w:val="226"/>
        </w:trPr>
        <w:tc>
          <w:tcPr>
            <w:tcW w:w="6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 Notes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w:t>
            </w:r>
          </w:p>
        </w:tc>
      </w:tr>
      <w:tr>
        <w:trPr>
          <w:trHeight w:val="230"/>
        </w:trPr>
        <w:tc>
          <w:tcPr>
            <w:tcW w:w="6280" w:type="dxa"/>
            <w:vAlign w:val="bottom"/>
          </w:tcPr>
          <w:p>
            <w:pPr>
              <w:ind w:left="20"/>
              <w:spacing w:after="0"/>
              <w:rPr>
                <w:sz w:val="20"/>
                <w:szCs w:val="20"/>
                <w:color w:val="auto"/>
              </w:rPr>
            </w:pPr>
            <w:r>
              <w:rPr>
                <w:rFonts w:ascii="Arial" w:cs="Arial" w:eastAsia="Arial" w:hAnsi="Arial"/>
                <w:sz w:val="18"/>
                <w:szCs w:val="18"/>
                <w:color w:val="auto"/>
              </w:rPr>
              <w:t>2022 Notes</w:t>
            </w:r>
          </w:p>
        </w:tc>
        <w:tc>
          <w:tcPr>
            <w:tcW w:w="260" w:type="dxa"/>
            <w:vAlign w:val="bottom"/>
          </w:tcPr>
          <w:p>
            <w:pPr>
              <w:spacing w:after="0"/>
              <w:rPr>
                <w:sz w:val="19"/>
                <w:szCs w:val="19"/>
                <w:color w:val="auto"/>
              </w:rPr>
            </w:pPr>
          </w:p>
        </w:tc>
        <w:tc>
          <w:tcPr>
            <w:tcW w:w="2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400</w:t>
            </w:r>
          </w:p>
        </w:tc>
      </w:tr>
      <w:tr>
        <w:trPr>
          <w:trHeight w:val="23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 Notes</w:t>
            </w:r>
          </w:p>
        </w:tc>
        <w:tc>
          <w:tcPr>
            <w:tcW w:w="26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r>
      <w:tr>
        <w:trPr>
          <w:trHeight w:val="230"/>
        </w:trPr>
        <w:tc>
          <w:tcPr>
            <w:tcW w:w="6280" w:type="dxa"/>
            <w:vAlign w:val="bottom"/>
          </w:tcPr>
          <w:p>
            <w:pPr>
              <w:ind w:left="20"/>
              <w:spacing w:after="0"/>
              <w:rPr>
                <w:sz w:val="20"/>
                <w:szCs w:val="20"/>
                <w:color w:val="auto"/>
              </w:rPr>
            </w:pPr>
            <w:r>
              <w:rPr>
                <w:rFonts w:ascii="Arial" w:cs="Arial" w:eastAsia="Arial" w:hAnsi="Arial"/>
                <w:sz w:val="18"/>
                <w:szCs w:val="18"/>
                <w:color w:val="auto"/>
              </w:rPr>
              <w:t>2027 Notes</w:t>
            </w:r>
          </w:p>
        </w:tc>
        <w:tc>
          <w:tcPr>
            <w:tcW w:w="26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400</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400</w:t>
            </w:r>
          </w:p>
        </w:tc>
      </w:tr>
      <w:tr>
        <w:trPr>
          <w:trHeight w:val="229"/>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2030 Notes</w:t>
            </w:r>
          </w:p>
        </w:tc>
        <w:tc>
          <w:tcPr>
            <w:tcW w:w="26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280" w:type="dxa"/>
            <w:vAlign w:val="bottom"/>
          </w:tcPr>
          <w:p>
            <w:pPr>
              <w:ind w:left="20"/>
              <w:spacing w:after="0"/>
              <w:rPr>
                <w:sz w:val="20"/>
                <w:szCs w:val="20"/>
                <w:color w:val="auto"/>
              </w:rPr>
            </w:pPr>
            <w:r>
              <w:rPr>
                <w:rFonts w:ascii="Arial" w:cs="Arial" w:eastAsia="Arial" w:hAnsi="Arial"/>
                <w:sz w:val="18"/>
                <w:szCs w:val="18"/>
                <w:color w:val="auto"/>
              </w:rPr>
              <w:t>2047 Notes</w:t>
            </w:r>
          </w:p>
        </w:tc>
        <w:tc>
          <w:tcPr>
            <w:tcW w:w="26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400</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400</w:t>
            </w:r>
          </w:p>
        </w:tc>
      </w:tr>
      <w:tr>
        <w:trPr>
          <w:trHeight w:val="23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2050 Notes</w:t>
            </w:r>
          </w:p>
        </w:tc>
        <w:tc>
          <w:tcPr>
            <w:tcW w:w="260" w:type="dxa"/>
            <w:vAlign w:val="bottom"/>
            <w:tcBorders>
              <w:bottom w:val="single" w:sz="8" w:color="auto"/>
            </w:tcBorders>
            <w:shd w:val="clear" w:color="auto" w:fill="CCEEFF"/>
          </w:tcPr>
          <w:p>
            <w:pPr>
              <w:spacing w:after="0"/>
              <w:rPr>
                <w:sz w:val="19"/>
                <w:szCs w:val="19"/>
                <w:color w:val="auto"/>
              </w:rPr>
            </w:pPr>
          </w:p>
        </w:tc>
        <w:tc>
          <w:tcPr>
            <w:tcW w:w="2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2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gross long-term debt</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3,650</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2,700</w:t>
            </w:r>
          </w:p>
        </w:tc>
      </w:tr>
      <w:tr>
        <w:trPr>
          <w:trHeight w:val="223"/>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Unamortized discount and deferred financing costs</w:t>
            </w:r>
          </w:p>
        </w:tc>
        <w:tc>
          <w:tcPr>
            <w:tcW w:w="260" w:type="dxa"/>
            <w:vAlign w:val="bottom"/>
            <w:tcBorders>
              <w:bottom w:val="single" w:sz="8" w:color="auto"/>
            </w:tcBorders>
            <w:shd w:val="clear" w:color="auto" w:fill="CCEEFF"/>
          </w:tcPr>
          <w:p>
            <w:pPr>
              <w:spacing w:after="0"/>
              <w:rPr>
                <w:sz w:val="19"/>
                <w:szCs w:val="19"/>
                <w:color w:val="auto"/>
              </w:rPr>
            </w:pPr>
          </w:p>
        </w:tc>
        <w:tc>
          <w:tcPr>
            <w:tcW w:w="2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2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23"/>
        </w:trPr>
        <w:tc>
          <w:tcPr>
            <w:tcW w:w="6280" w:type="dxa"/>
            <w:vAlign w:val="bottom"/>
          </w:tcPr>
          <w:p>
            <w:pPr>
              <w:ind w:left="20"/>
              <w:spacing w:after="0"/>
              <w:rPr>
                <w:sz w:val="20"/>
                <w:szCs w:val="20"/>
                <w:color w:val="auto"/>
              </w:rPr>
            </w:pPr>
            <w:r>
              <w:rPr>
                <w:rFonts w:ascii="Arial" w:cs="Arial" w:eastAsia="Arial" w:hAnsi="Arial"/>
                <w:sz w:val="18"/>
                <w:szCs w:val="18"/>
                <w:color w:val="auto"/>
              </w:rPr>
              <w:t>Total net carrying amount</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3,604</w:t>
            </w:r>
          </w:p>
        </w:tc>
        <w:tc>
          <w:tcPr>
            <w:tcW w:w="14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2,675</w:t>
            </w:r>
          </w:p>
        </w:tc>
      </w:tr>
      <w:tr>
        <w:trPr>
          <w:trHeight w:val="20"/>
        </w:trPr>
        <w:tc>
          <w:tcPr>
            <w:tcW w:w="6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240" w:firstLine="324"/>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Refer to </w:t>
      </w:r>
      <w:hyperlink w:anchor="page16">
        <w:r>
          <w:rPr>
            <w:rFonts w:ascii="Arial" w:cs="Arial" w:eastAsia="Arial" w:hAnsi="Arial"/>
            <w:sz w:val="18"/>
            <w:szCs w:val="18"/>
            <w:u w:val="single" w:color="auto"/>
            <w:color w:val="0000FF"/>
          </w:rPr>
          <w:t>Note 8</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the notes to the condensed consolidated financial statements included in Item 1 of this Quarterly Report on Form 10-Q for further disclosures regarding our debt obligations.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52"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On February 6, 2020, our Board of Directors declared a cash dividend of $0.41 per common share. On May 6, 2020, we made an aggregate cash dividend payment of $316 million to shareholders of record at the close of business on April 15, 2020.</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225" w:lineRule="exact"/>
        <w:rPr>
          <w:sz w:val="20"/>
          <w:szCs w:val="20"/>
          <w:color w:val="auto"/>
        </w:rPr>
      </w:pPr>
    </w:p>
    <w:p>
      <w:pPr>
        <w:ind w:right="120" w:firstLine="324"/>
        <w:spacing w:after="0" w:line="308" w:lineRule="auto"/>
        <w:rPr>
          <w:sz w:val="20"/>
          <w:szCs w:val="20"/>
          <w:color w:val="auto"/>
        </w:rPr>
      </w:pPr>
      <w:r>
        <w:rPr>
          <w:rFonts w:ascii="Arial" w:cs="Arial" w:eastAsia="Arial" w:hAnsi="Arial"/>
          <w:sz w:val="17"/>
          <w:szCs w:val="17"/>
          <w:color w:val="auto"/>
        </w:rPr>
        <w:t>For the year ending December 31, 2020, we anticipate total capital expenditures of approximately $110 million, primarily for computer and network hardware and leasehold improvements. During the nine months ended September 30, 2020, capital expenditures were $56 million.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At each of September 30, 2020 and December 31, 2019, Activision Blizzard had no significant relationships with unconsolidated entities or financial parties, often referred to as “structured finance” or “special purpose” entities, established for the purpose of facilitating off-balance sheet arrangements or other contractually narrow or limited purposes, that have or are reasonably likely to have a material current or future effect on our financial condition, changes in financial condition, revenues or expenses, results of operations, liquidity, capital expenditures, or capital resources.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Our condensed consolidated financial statements are prepared in accordance with accounting principles generally accepted in the United States of America. These accounting principles require us to make certain estimates, judgments, and assumptions. We believe that the estimates, judgments, and assumptions upon which we rely are reasonable based upon information available to us at the time that they are made. These estimates, judgments, and assumptions can affect the reported amounts of assets and liabilities at the date of the financial statements, as well as the reported amounts of revenues and expenses during the periods presented. To the extent there are material differences between these estimates, judgments, or assumptions and actual results, our financial statements will be affected. The accounting policies that reflect our more significant estimates, judgments, and assumptions, and which we believe are the most critical to aid in fully understanding and evaluating our reported financial results, include the following:</w:t>
      </w:r>
    </w:p>
    <w:p>
      <w:pPr>
        <w:spacing w:after="0" w:line="193" w:lineRule="exact"/>
        <w:rPr>
          <w:sz w:val="20"/>
          <w:szCs w:val="20"/>
          <w:color w:val="auto"/>
        </w:rPr>
      </w:pPr>
    </w:p>
    <w:p>
      <w:pPr>
        <w:ind w:left="1300" w:hanging="644"/>
        <w:spacing w:after="0"/>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Software Development Costs; and</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Fair Value Estimates (including Assessment of Impairment of Assets).</w:t>
      </w:r>
    </w:p>
    <w:p>
      <w:pPr>
        <w:spacing w:after="0" w:line="23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During the nine months ended September 30, 2020, there were no significant changes to the above critical accounting policies and estimates. Refer to “Management’s Discussion and Analysis of Financial Condition and Results of Operations” contained in Part II, Item 7 of our Annual Report on Form 10-K for the year ended December 31, 2019, for a more complete discussion of our critical accounting policies and estimates.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56" w:lineRule="exact"/>
        <w:rPr>
          <w:sz w:val="20"/>
          <w:szCs w:val="20"/>
          <w:color w:val="auto"/>
        </w:rPr>
      </w:pPr>
    </w:p>
    <w:p>
      <w:pPr>
        <w:ind w:right="180" w:firstLine="324"/>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For a detailed discussion of all relevant recently issued accounting pronouncements, see </w:t>
      </w:r>
      <w:hyperlink w:anchor="page11">
        <w:r>
          <w:rPr>
            <w:rFonts w:ascii="Arial" w:cs="Arial" w:eastAsia="Arial" w:hAnsi="Arial"/>
            <w:sz w:val="18"/>
            <w:szCs w:val="18"/>
            <w:u w:val="single" w:color="auto"/>
            <w:color w:val="0000FF"/>
          </w:rPr>
          <w:t>Note 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the notes to the condensed consolidated financial statements included in Item 1 of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Market risk is the potential loss arising from fluctuations in market rates and prices. Our market risk exposures primarily include fluctuations in foreign currency exchange rates and interest rates.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229" w:lineRule="exact"/>
        <w:rPr>
          <w:sz w:val="20"/>
          <w:szCs w:val="20"/>
          <w:color w:val="auto"/>
        </w:rPr>
      </w:pPr>
    </w:p>
    <w:p>
      <w:pPr>
        <w:ind w:right="160" w:firstLine="324"/>
        <w:spacing w:after="0" w:line="270" w:lineRule="auto"/>
        <w:rPr>
          <w:sz w:val="20"/>
          <w:szCs w:val="20"/>
          <w:color w:val="auto"/>
        </w:rPr>
      </w:pPr>
      <w:r>
        <w:rPr>
          <w:rFonts w:ascii="Arial" w:cs="Arial" w:eastAsia="Arial" w:hAnsi="Arial"/>
          <w:sz w:val="17"/>
          <w:szCs w:val="17"/>
          <w:color w:val="auto"/>
        </w:rPr>
        <w:t>We transact business in many different foreign currencies and may be exposed to financial market risk resulting from fluctuations in foreign currency exchange rates, with a heightened risk for volatility in the future due to potential impacts of COVID-19 on global financial markets. Revenues and related expenses generated from our international operations are generally denominated in their respective local currencies. Primary currencies include euros, British pounds, Australian dollars, South Korean won, Chinese yuan, and Swedish krona. To the extent the U.S. dollar strengthens against foreign currencies, the translation of these foreign currency-denominated transactions will result in reduced revenues, operating expenses, net income, and cash flows from our international operations. Similarly, our revenues, operating expenses, net income, and cash flows will increase for our international operations if the U.S. dollar weakens against foreign currencies. Since we have significant international sales, but incur the majority of our costs in the United States, the impact of foreign currency fluctuations, particularly the strengthening of the U.S. dollar, may have an asymmetric and disproportional impact on our business. We monitor currency volatility throughout the year.</w:t>
      </w:r>
    </w:p>
    <w:p>
      <w:pPr>
        <w:spacing w:after="0" w:line="208" w:lineRule="exact"/>
        <w:rPr>
          <w:sz w:val="20"/>
          <w:szCs w:val="20"/>
          <w:color w:val="auto"/>
        </w:rPr>
      </w:pPr>
    </w:p>
    <w:p>
      <w:pPr>
        <w:ind w:right="560" w:firstLine="324"/>
        <w:spacing w:after="0" w:line="259" w:lineRule="auto"/>
        <w:rPr>
          <w:sz w:val="20"/>
          <w:szCs w:val="20"/>
          <w:color w:val="auto"/>
        </w:rPr>
      </w:pPr>
      <w:r>
        <w:rPr>
          <w:rFonts w:ascii="Arial" w:cs="Arial" w:eastAsia="Arial" w:hAnsi="Arial"/>
          <w:sz w:val="18"/>
          <w:szCs w:val="18"/>
          <w:color w:val="auto"/>
        </w:rPr>
        <w:t>To mitigate our foreign currency risk resulting from our foreign currency-denominated monetary assets, liabilities, and earnings and our foreign currency risk related to functional currency-equivalent cash flows resulting from our intercompany transactions, we periodically enter into currency derivative contracts, principally forward contracts. The counterparties for our currency derivative contracts are large and reputable commercial or investment banks.</w:t>
      </w:r>
    </w:p>
    <w:p>
      <w:pPr>
        <w:spacing w:after="0" w:line="214"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 fair values of our foreign currency contracts are estimated based on the prevailing exchange rates of the various hedged currencies as of the end of the period.</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do not hold or purchase any foreign currency forward contracts for trading or speculative purposes.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Forward Contracts Designated as Hedges (“Cash Flow Hedges”)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total gross notional amounts and fair values of our Cash Flow Hedges, all of which have remaining maturities of 13 months or less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2020, are as follows (amounts in millions):</w:t>
      </w:r>
    </w:p>
    <w:p>
      <w:pPr>
        <w:sectPr>
          <w:pgSz w:w="11900" w:h="16838" w:orient="portrait"/>
          <w:cols w:equalWidth="0" w:num="1">
            <w:col w:w="11240"/>
          </w:cols>
          <w:pgMar w:left="320" w:top="125" w:right="339" w:bottom="1440" w:gutter="0" w:footer="0" w:header="0"/>
        </w:sectPr>
      </w:pPr>
    </w:p>
    <w:p>
      <w:pPr>
        <w:spacing w:after="0" w:line="373" w:lineRule="exact"/>
        <w:rPr>
          <w:sz w:val="20"/>
          <w:szCs w:val="20"/>
          <w:color w:val="auto"/>
        </w:rPr>
      </w:pPr>
    </w:p>
    <w:p>
      <w:pPr>
        <w:ind w:left="4520"/>
        <w:spacing w:after="0"/>
        <w:rPr>
          <w:sz w:val="20"/>
          <w:szCs w:val="20"/>
          <w:color w:val="auto"/>
        </w:rPr>
      </w:pPr>
      <w:r>
        <w:rPr>
          <w:rFonts w:ascii="Arial" w:cs="Arial" w:eastAsia="Arial" w:hAnsi="Arial"/>
          <w:sz w:val="16"/>
          <w:szCs w:val="16"/>
          <w:b w:val="1"/>
          <w:bCs w:val="1"/>
          <w:color w:val="auto"/>
        </w:rPr>
        <w:t>As of 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2225040</wp:posOffset>
            </wp:positionH>
            <wp:positionV relativeFrom="paragraph">
              <wp:posOffset>20320</wp:posOffset>
            </wp:positionV>
            <wp:extent cx="241744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417445" cy="8890"/>
                    </a:xfrm>
                    <a:prstGeom prst="rect">
                      <a:avLst/>
                    </a:prstGeom>
                    <a:noFill/>
                  </pic:spPr>
                </pic:pic>
              </a:graphicData>
            </a:graphic>
          </wp:anchor>
        </w:drawing>
      </w:r>
    </w:p>
    <w:p>
      <w:pPr>
        <w:spacing w:after="0" w:line="26" w:lineRule="exact"/>
        <w:rPr>
          <w:sz w:val="20"/>
          <w:szCs w:val="20"/>
          <w:color w:val="auto"/>
        </w:rPr>
      </w:pPr>
    </w:p>
    <w:p>
      <w:pPr>
        <w:ind w:left="3860"/>
        <w:spacing w:after="0"/>
        <w:tabs>
          <w:tab w:leader="none" w:pos="5620" w:val="left"/>
        </w:tabs>
        <w:rPr>
          <w:sz w:val="20"/>
          <w:szCs w:val="20"/>
          <w:color w:val="auto"/>
        </w:rPr>
      </w:pPr>
      <w:r>
        <w:rPr>
          <w:rFonts w:ascii="Arial" w:cs="Arial" w:eastAsia="Arial" w:hAnsi="Arial"/>
          <w:sz w:val="16"/>
          <w:szCs w:val="16"/>
          <w:b w:val="1"/>
          <w:bCs w:val="1"/>
          <w:color w:val="auto"/>
        </w:rPr>
        <w:t>Notional amount</w:t>
      </w:r>
      <w:r>
        <w:rPr>
          <w:sz w:val="20"/>
          <w:szCs w:val="20"/>
          <w:color w:val="auto"/>
        </w:rPr>
        <w:tab/>
      </w:r>
      <w:r>
        <w:rPr>
          <w:rFonts w:ascii="Arial" w:cs="Arial" w:eastAsia="Arial" w:hAnsi="Arial"/>
          <w:sz w:val="14"/>
          <w:szCs w:val="14"/>
          <w:b w:val="1"/>
          <w:bCs w:val="1"/>
          <w:color w:val="auto"/>
        </w:rPr>
        <w:t>Fair value gain (loss)</w:t>
      </w:r>
    </w:p>
    <w:p>
      <w:pPr>
        <w:spacing w:after="0" w:line="20" w:lineRule="exact"/>
        <w:rPr>
          <w:sz w:val="20"/>
          <w:szCs w:val="20"/>
          <w:color w:val="auto"/>
        </w:rPr>
      </w:pPr>
      <w:r>
        <w:rPr>
          <w:sz w:val="20"/>
          <w:szCs w:val="20"/>
          <w:color w:val="auto"/>
        </w:rPr>
        <w:br w:type="column"/>
      </w:r>
    </w:p>
    <w:p>
      <w:pPr>
        <w:spacing w:after="0" w:line="353" w:lineRule="exact"/>
        <w:rPr>
          <w:sz w:val="20"/>
          <w:szCs w:val="20"/>
          <w:color w:val="auto"/>
        </w:rPr>
      </w:pPr>
    </w:p>
    <w:p>
      <w:pPr>
        <w:ind w:left="680"/>
        <w:spacing w:after="0"/>
        <w:rPr>
          <w:sz w:val="20"/>
          <w:szCs w:val="20"/>
          <w:color w:val="auto"/>
        </w:rPr>
      </w:pPr>
      <w:r>
        <w:rPr>
          <w:rFonts w:ascii="Arial" w:cs="Arial" w:eastAsia="Arial" w:hAnsi="Arial"/>
          <w:sz w:val="16"/>
          <w:szCs w:val="16"/>
          <w:b w:val="1"/>
          <w:bCs w:val="1"/>
          <w:color w:val="auto"/>
        </w:rPr>
        <w:t>As of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20320</wp:posOffset>
            </wp:positionV>
            <wp:extent cx="241744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417445" cy="8890"/>
                    </a:xfrm>
                    <a:prstGeom prst="rect">
                      <a:avLst/>
                    </a:prstGeom>
                    <a:noFill/>
                  </pic:spPr>
                </pic:pic>
              </a:graphicData>
            </a:graphic>
          </wp:anchor>
        </w:drawing>
      </w:r>
    </w:p>
    <w:p>
      <w:pPr>
        <w:spacing w:after="0" w:line="26" w:lineRule="exact"/>
        <w:rPr>
          <w:sz w:val="20"/>
          <w:szCs w:val="20"/>
          <w:color w:val="auto"/>
        </w:rPr>
      </w:pPr>
    </w:p>
    <w:p>
      <w:pPr>
        <w:spacing w:after="0"/>
        <w:tabs>
          <w:tab w:leader="none" w:pos="1740" w:val="left"/>
        </w:tabs>
        <w:rPr>
          <w:sz w:val="20"/>
          <w:szCs w:val="20"/>
          <w:color w:val="auto"/>
        </w:rPr>
      </w:pPr>
      <w:r>
        <w:rPr>
          <w:rFonts w:ascii="Arial" w:cs="Arial" w:eastAsia="Arial" w:hAnsi="Arial"/>
          <w:sz w:val="16"/>
          <w:szCs w:val="16"/>
          <w:b w:val="1"/>
          <w:bCs w:val="1"/>
          <w:color w:val="auto"/>
        </w:rPr>
        <w:t>Notional amount</w:t>
      </w:r>
      <w:r>
        <w:rPr>
          <w:sz w:val="20"/>
          <w:szCs w:val="20"/>
          <w:color w:val="auto"/>
        </w:rPr>
        <w:tab/>
      </w:r>
      <w:r>
        <w:rPr>
          <w:rFonts w:ascii="Arial" w:cs="Arial" w:eastAsia="Arial" w:hAnsi="Arial"/>
          <w:sz w:val="14"/>
          <w:szCs w:val="14"/>
          <w:b w:val="1"/>
          <w:bCs w:val="1"/>
          <w:color w:val="auto"/>
        </w:rPr>
        <w:t>Fair value gain (loss)</w:t>
      </w:r>
    </w:p>
    <w:p>
      <w:pPr>
        <w:spacing w:after="0" w:line="28" w:lineRule="exact"/>
        <w:rPr>
          <w:sz w:val="20"/>
          <w:szCs w:val="20"/>
          <w:color w:val="auto"/>
        </w:rPr>
      </w:pPr>
    </w:p>
    <w:p>
      <w:pPr>
        <w:sectPr>
          <w:pgSz w:w="11900" w:h="16838" w:orient="portrait"/>
          <w:cols w:equalWidth="0" w:num="2">
            <w:col w:w="7080" w:space="700"/>
            <w:col w:w="3460"/>
          </w:cols>
          <w:pgMar w:left="320" w:top="125" w:right="339" w:bottom="1440" w:gutter="0" w:footer="0" w:header="0"/>
          <w:type w:val="continuous"/>
        </w:sectPr>
      </w:pPr>
    </w:p>
    <w:p>
      <w:pPr>
        <w:ind w:left="40"/>
        <w:spacing w:after="0"/>
        <w:rPr>
          <w:sz w:val="20"/>
          <w:szCs w:val="20"/>
          <w:color w:val="auto"/>
        </w:rPr>
      </w:pPr>
      <w:r>
        <w:rPr>
          <w:rFonts w:ascii="Arial" w:cs="Arial" w:eastAsia="Arial" w:hAnsi="Arial"/>
          <w:sz w:val="18"/>
          <w:szCs w:val="18"/>
          <w:b w:val="1"/>
          <w:bCs w:val="1"/>
          <w:color w:val="auto"/>
        </w:rPr>
        <w:t>Foreign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-127635</wp:posOffset>
            </wp:positionV>
            <wp:extent cx="7106285" cy="146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7" w:lineRule="exact"/>
        <w:rPr>
          <w:sz w:val="20"/>
          <w:szCs w:val="20"/>
          <w:color w:val="auto"/>
        </w:rPr>
      </w:pPr>
    </w:p>
    <w:p>
      <w:pPr>
        <w:ind w:left="40"/>
        <w:spacing w:after="0"/>
        <w:tabs>
          <w:tab w:leader="none" w:pos="3500" w:val="left"/>
          <w:tab w:leader="none" w:pos="5040" w:val="left"/>
          <w:tab w:leader="none" w:pos="6960" w:val="left"/>
          <w:tab w:leader="none" w:pos="7420" w:val="left"/>
          <w:tab w:leader="none" w:pos="8960" w:val="left"/>
          <w:tab w:leader="none" w:pos="10960" w:val="left"/>
        </w:tabs>
        <w:rPr>
          <w:sz w:val="20"/>
          <w:szCs w:val="20"/>
          <w:color w:val="auto"/>
        </w:rPr>
      </w:pPr>
      <w:r>
        <w:rPr>
          <w:rFonts w:ascii="Arial" w:cs="Arial" w:eastAsia="Arial" w:hAnsi="Arial"/>
          <w:sz w:val="18"/>
          <w:szCs w:val="18"/>
          <w:color w:val="auto"/>
        </w:rPr>
        <w:t>Buy USD, Sell Euro</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608 $</w:t>
      </w:r>
      <w:r>
        <w:rPr>
          <w:sz w:val="20"/>
          <w:szCs w:val="20"/>
          <w:color w:val="auto"/>
        </w:rPr>
        <w:tab/>
      </w:r>
      <w:r>
        <w:rPr>
          <w:rFonts w:ascii="Arial" w:cs="Arial" w:eastAsia="Arial" w:hAnsi="Arial"/>
          <w:sz w:val="18"/>
          <w:szCs w:val="18"/>
          <w:color w:val="auto"/>
        </w:rPr>
        <w:t>(18)</w:t>
        <w:tab/>
        <w:t>$</w:t>
      </w:r>
      <w:r>
        <w:rPr>
          <w:sz w:val="20"/>
          <w:szCs w:val="20"/>
          <w:color w:val="auto"/>
        </w:rPr>
        <w:tab/>
      </w:r>
      <w:r>
        <w:rPr>
          <w:rFonts w:ascii="Arial" w:cs="Arial" w:eastAsia="Arial" w:hAnsi="Arial"/>
          <w:sz w:val="18"/>
          <w:szCs w:val="18"/>
          <w:color w:val="auto"/>
        </w:rPr>
        <w:t>350 $</w:t>
      </w:r>
      <w:r>
        <w:rPr>
          <w:sz w:val="20"/>
          <w:szCs w:val="20"/>
          <w:color w:val="auto"/>
        </w:rPr>
        <w:tab/>
      </w:r>
      <w:r>
        <w:rPr>
          <w:rFonts w:ascii="Arial" w:cs="Arial" w:eastAsia="Arial" w:hAnsi="Arial"/>
          <w:sz w:val="18"/>
          <w:szCs w:val="18"/>
          <w:color w:val="auto"/>
        </w:rPr>
        <w:t>(2)</w:t>
      </w:r>
    </w:p>
    <w:p>
      <w:pPr>
        <w:spacing w:after="0" w:line="332" w:lineRule="exact"/>
        <w:rPr>
          <w:sz w:val="20"/>
          <w:szCs w:val="20"/>
          <w:color w:val="auto"/>
        </w:rPr>
      </w:pPr>
    </w:p>
    <w:p>
      <w:pPr>
        <w:ind w:right="1020" w:firstLine="324"/>
        <w:spacing w:after="0" w:line="277" w:lineRule="auto"/>
        <w:rPr>
          <w:sz w:val="20"/>
          <w:szCs w:val="20"/>
          <w:color w:val="auto"/>
        </w:rPr>
      </w:pPr>
      <w:r>
        <w:rPr>
          <w:rFonts w:ascii="Arial" w:cs="Arial" w:eastAsia="Arial" w:hAnsi="Arial"/>
          <w:sz w:val="18"/>
          <w:szCs w:val="18"/>
          <w:color w:val="auto"/>
        </w:rPr>
        <w:t>The amount of pre-tax net realized gains (losses) associated with our Cash Flow Hedges that were reclassified out of “Accumulated other comprehensive income (loss)” and into earnings was as follows (amounts in millions):</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00" w:type="dxa"/>
            <w:vAlign w:val="bottom"/>
            <w:gridSpan w:val="4"/>
          </w:tcPr>
          <w:p>
            <w:pPr>
              <w:spacing w:after="0"/>
              <w:rPr>
                <w:sz w:val="20"/>
                <w:szCs w:val="20"/>
                <w:color w:val="auto"/>
              </w:rPr>
            </w:pPr>
            <w:r>
              <w:rPr>
                <w:rFonts w:ascii="Arial" w:cs="Arial" w:eastAsia="Arial" w:hAnsi="Arial"/>
                <w:sz w:val="16"/>
                <w:szCs w:val="16"/>
                <w:b w:val="1"/>
                <w:bCs w:val="1"/>
                <w:color w:val="auto"/>
                <w:w w:val="99"/>
              </w:rPr>
              <w:t>For the Three Months Ended September 30,</w:t>
            </w:r>
          </w:p>
        </w:tc>
        <w:tc>
          <w:tcPr>
            <w:tcW w:w="120" w:type="dxa"/>
            <w:vAlign w:val="bottom"/>
          </w:tcPr>
          <w:p>
            <w:pPr>
              <w:spacing w:after="0"/>
              <w:rPr>
                <w:sz w:val="18"/>
                <w:szCs w:val="18"/>
                <w:color w:val="auto"/>
              </w:rPr>
            </w:pPr>
          </w:p>
        </w:tc>
        <w:tc>
          <w:tcPr>
            <w:tcW w:w="3140" w:type="dxa"/>
            <w:vAlign w:val="bottom"/>
            <w:gridSpan w:val="3"/>
          </w:tcPr>
          <w:p>
            <w:pPr>
              <w:jc w:val="right"/>
              <w:ind w:right="55"/>
              <w:spacing w:after="0"/>
              <w:rPr>
                <w:sz w:val="20"/>
                <w:szCs w:val="20"/>
                <w:color w:val="auto"/>
              </w:rPr>
            </w:pPr>
            <w:r>
              <w:rPr>
                <w:rFonts w:ascii="Arial" w:cs="Arial" w:eastAsia="Arial" w:hAnsi="Arial"/>
                <w:sz w:val="16"/>
                <w:szCs w:val="16"/>
                <w:b w:val="1"/>
                <w:bCs w:val="1"/>
                <w:color w:val="auto"/>
                <w:w w:val="92"/>
              </w:rPr>
              <w:t>For the Nine Months Ended September 30,</w:t>
            </w:r>
          </w:p>
        </w:tc>
        <w:tc>
          <w:tcPr>
            <w:tcW w:w="120" w:type="dxa"/>
            <w:vAlign w:val="bottom"/>
          </w:tcPr>
          <w:p>
            <w:pPr>
              <w:spacing w:after="0"/>
              <w:rPr>
                <w:sz w:val="18"/>
                <w:szCs w:val="18"/>
                <w:color w:val="auto"/>
              </w:rPr>
            </w:pPr>
          </w:p>
        </w:tc>
        <w:tc>
          <w:tcPr>
            <w:tcW w:w="23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1"/>
              </w:rPr>
              <w:t>Statement of Operations</w:t>
            </w:r>
          </w:p>
        </w:tc>
        <w:tc>
          <w:tcPr>
            <w:tcW w:w="0" w:type="dxa"/>
            <w:vAlign w:val="bottom"/>
          </w:tcPr>
          <w:p>
            <w:pPr>
              <w:spacing w:after="0"/>
              <w:rPr>
                <w:sz w:val="1"/>
                <w:szCs w:val="1"/>
                <w:color w:val="auto"/>
              </w:rPr>
            </w:pPr>
          </w:p>
        </w:tc>
      </w:tr>
      <w:tr>
        <w:trPr>
          <w:trHeight w:val="37"/>
        </w:trPr>
        <w:tc>
          <w:tcPr>
            <w:tcW w:w="2160" w:type="dxa"/>
            <w:vAlign w:val="bottom"/>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1520" w:type="dxa"/>
            <w:vAlign w:val="bottom"/>
            <w:tcBorders>
              <w:top w:val="single" w:sz="8" w:color="auto"/>
            </w:tcBorders>
            <w:vMerge w:val="restart"/>
          </w:tcPr>
          <w:p>
            <w:pPr>
              <w:jc w:val="right"/>
              <w:ind w:right="556"/>
              <w:spacing w:after="0"/>
              <w:rPr>
                <w:sz w:val="20"/>
                <w:szCs w:val="20"/>
                <w:color w:val="auto"/>
              </w:rPr>
            </w:pPr>
            <w:r>
              <w:rPr>
                <w:rFonts w:ascii="Arial" w:cs="Arial" w:eastAsia="Arial" w:hAnsi="Arial"/>
                <w:sz w:val="16"/>
                <w:szCs w:val="16"/>
                <w:b w:val="1"/>
                <w:bCs w:val="1"/>
                <w:color w:val="auto"/>
              </w:rPr>
              <w:t>2020</w:t>
            </w:r>
          </w:p>
        </w:tc>
        <w:tc>
          <w:tcPr>
            <w:tcW w:w="380" w:type="dxa"/>
            <w:vAlign w:val="bottom"/>
            <w:tcBorders>
              <w:top w:val="single" w:sz="8" w:color="auto"/>
            </w:tcBorders>
          </w:tcPr>
          <w:p>
            <w:pPr>
              <w:spacing w:after="0"/>
              <w:rPr>
                <w:sz w:val="3"/>
                <w:szCs w:val="3"/>
                <w:color w:val="auto"/>
              </w:rPr>
            </w:pPr>
          </w:p>
        </w:tc>
        <w:tc>
          <w:tcPr>
            <w:tcW w:w="1260" w:type="dxa"/>
            <w:vAlign w:val="bottom"/>
            <w:tcBorders>
              <w:top w:val="single" w:sz="8" w:color="auto"/>
            </w:tcBorders>
            <w:vMerge w:val="restart"/>
          </w:tcPr>
          <w:p>
            <w:pPr>
              <w:jc w:val="right"/>
              <w:ind w:right="575"/>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480" w:type="dxa"/>
            <w:vAlign w:val="bottom"/>
            <w:tcBorders>
              <w:top w:val="single" w:sz="8" w:color="auto"/>
            </w:tcBorders>
            <w:vMerge w:val="restart"/>
          </w:tcPr>
          <w:p>
            <w:pPr>
              <w:jc w:val="right"/>
              <w:ind w:right="536"/>
              <w:spacing w:after="0"/>
              <w:rPr>
                <w:sz w:val="20"/>
                <w:szCs w:val="20"/>
                <w:color w:val="auto"/>
              </w:rPr>
            </w:pPr>
            <w:r>
              <w:rPr>
                <w:rFonts w:ascii="Arial" w:cs="Arial" w:eastAsia="Arial" w:hAnsi="Arial"/>
                <w:sz w:val="16"/>
                <w:szCs w:val="16"/>
                <w:b w:val="1"/>
                <w:bCs w:val="1"/>
                <w:color w:val="auto"/>
              </w:rPr>
              <w:t>2020</w:t>
            </w:r>
          </w:p>
        </w:tc>
        <w:tc>
          <w:tcPr>
            <w:tcW w:w="420" w:type="dxa"/>
            <w:vAlign w:val="bottom"/>
            <w:tcBorders>
              <w:top w:val="single" w:sz="8" w:color="auto"/>
            </w:tcBorders>
          </w:tcPr>
          <w:p>
            <w:pPr>
              <w:spacing w:after="0"/>
              <w:rPr>
                <w:sz w:val="3"/>
                <w:szCs w:val="3"/>
                <w:color w:val="auto"/>
              </w:rPr>
            </w:pPr>
          </w:p>
        </w:tc>
        <w:tc>
          <w:tcPr>
            <w:tcW w:w="1240" w:type="dxa"/>
            <w:vAlign w:val="bottom"/>
            <w:tcBorders>
              <w:top w:val="single" w:sz="8" w:color="auto"/>
            </w:tcBorders>
            <w:vMerge w:val="restart"/>
          </w:tcPr>
          <w:p>
            <w:pPr>
              <w:jc w:val="right"/>
              <w:ind w:right="575"/>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3"/>
                <w:szCs w:val="3"/>
                <w:color w:val="auto"/>
              </w:rPr>
            </w:pPr>
          </w:p>
        </w:tc>
        <w:tc>
          <w:tcPr>
            <w:tcW w:w="23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vMerge w:val="continue"/>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vMerge w:val="continue"/>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Classification</w:t>
            </w:r>
          </w:p>
        </w:tc>
        <w:tc>
          <w:tcPr>
            <w:tcW w:w="0" w:type="dxa"/>
            <w:vAlign w:val="bottom"/>
          </w:tcPr>
          <w:p>
            <w:pPr>
              <w:spacing w:after="0"/>
              <w:rPr>
                <w:sz w:val="1"/>
                <w:szCs w:val="1"/>
                <w:color w:val="auto"/>
              </w:rPr>
            </w:pPr>
          </w:p>
        </w:tc>
      </w:tr>
      <w:tr>
        <w:trPr>
          <w:trHeight w:val="226"/>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 Hedges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9"/>
                <w:szCs w:val="19"/>
                <w:color w:val="auto"/>
              </w:rPr>
            </w:pPr>
          </w:p>
        </w:tc>
        <w:tc>
          <w:tcPr>
            <w:tcW w:w="2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Net revenues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2" w:name="page63"/>
    <w:bookmarkEnd w:id="6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Forward Contracts Not Designated as Hedges</w:t>
      </w:r>
    </w:p>
    <w:p>
      <w:pPr>
        <w:spacing w:after="0" w:line="252"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color w:val="auto"/>
        </w:rPr>
        <w:t>The total gross notional amounts and fair values of our foreign currency forward contracts not designated as hedges are as follows (amounts in millions):</w:t>
      </w:r>
    </w:p>
    <w:p>
      <w:pPr>
        <w:sectPr>
          <w:pgSz w:w="11900" w:h="16838" w:orient="portrait"/>
          <w:cols w:equalWidth="0" w:num="1">
            <w:col w:w="11220"/>
          </w:cols>
          <w:pgMar w:left="320" w:top="125" w:right="359" w:bottom="1440" w:gutter="0" w:footer="0" w:header="0"/>
        </w:sectPr>
      </w:pPr>
    </w:p>
    <w:p>
      <w:pPr>
        <w:spacing w:after="0" w:line="333" w:lineRule="exact"/>
        <w:rPr>
          <w:sz w:val="20"/>
          <w:szCs w:val="20"/>
          <w:color w:val="auto"/>
        </w:rPr>
      </w:pPr>
    </w:p>
    <w:p>
      <w:pPr>
        <w:ind w:left="4500"/>
        <w:spacing w:after="0"/>
        <w:rPr>
          <w:sz w:val="20"/>
          <w:szCs w:val="20"/>
          <w:color w:val="auto"/>
        </w:rPr>
      </w:pPr>
      <w:r>
        <w:rPr>
          <w:rFonts w:ascii="Arial" w:cs="Arial" w:eastAsia="Arial" w:hAnsi="Arial"/>
          <w:sz w:val="16"/>
          <w:szCs w:val="16"/>
          <w:b w:val="1"/>
          <w:bCs w:val="1"/>
          <w:color w:val="auto"/>
        </w:rPr>
        <w:t>As of 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2207895</wp:posOffset>
            </wp:positionH>
            <wp:positionV relativeFrom="paragraph">
              <wp:posOffset>20320</wp:posOffset>
            </wp:positionV>
            <wp:extent cx="241744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26" w:lineRule="exact"/>
        <w:rPr>
          <w:sz w:val="20"/>
          <w:szCs w:val="20"/>
          <w:color w:val="auto"/>
        </w:rPr>
      </w:pPr>
    </w:p>
    <w:p>
      <w:pPr>
        <w:ind w:left="3840"/>
        <w:spacing w:after="0"/>
        <w:tabs>
          <w:tab w:leader="none" w:pos="5600" w:val="left"/>
        </w:tabs>
        <w:rPr>
          <w:sz w:val="20"/>
          <w:szCs w:val="20"/>
          <w:color w:val="auto"/>
        </w:rPr>
      </w:pPr>
      <w:r>
        <w:rPr>
          <w:rFonts w:ascii="Arial" w:cs="Arial" w:eastAsia="Arial" w:hAnsi="Arial"/>
          <w:sz w:val="16"/>
          <w:szCs w:val="16"/>
          <w:b w:val="1"/>
          <w:bCs w:val="1"/>
          <w:color w:val="auto"/>
        </w:rPr>
        <w:t>Notional amount</w:t>
      </w:r>
      <w:r>
        <w:rPr>
          <w:sz w:val="20"/>
          <w:szCs w:val="20"/>
          <w:color w:val="auto"/>
        </w:rPr>
        <w:tab/>
      </w:r>
      <w:r>
        <w:rPr>
          <w:rFonts w:ascii="Arial" w:cs="Arial" w:eastAsia="Arial" w:hAnsi="Arial"/>
          <w:sz w:val="14"/>
          <w:szCs w:val="14"/>
          <w:b w:val="1"/>
          <w:bCs w:val="1"/>
          <w:color w:val="auto"/>
        </w:rPr>
        <w:t>Fair value gain (loss)</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ind w:left="680"/>
        <w:spacing w:after="0"/>
        <w:rPr>
          <w:sz w:val="20"/>
          <w:szCs w:val="20"/>
          <w:color w:val="auto"/>
        </w:rPr>
      </w:pPr>
      <w:r>
        <w:rPr>
          <w:rFonts w:ascii="Arial" w:cs="Arial" w:eastAsia="Arial" w:hAnsi="Arial"/>
          <w:sz w:val="16"/>
          <w:szCs w:val="16"/>
          <w:b w:val="1"/>
          <w:bCs w:val="1"/>
          <w:color w:val="auto"/>
        </w:rPr>
        <w:t>As of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20320</wp:posOffset>
            </wp:positionV>
            <wp:extent cx="241744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26" w:lineRule="exact"/>
        <w:rPr>
          <w:sz w:val="20"/>
          <w:szCs w:val="20"/>
          <w:color w:val="auto"/>
        </w:rPr>
      </w:pPr>
    </w:p>
    <w:p>
      <w:pPr>
        <w:spacing w:after="0"/>
        <w:tabs>
          <w:tab w:leader="none" w:pos="1740" w:val="left"/>
        </w:tabs>
        <w:rPr>
          <w:sz w:val="20"/>
          <w:szCs w:val="20"/>
          <w:color w:val="auto"/>
        </w:rPr>
      </w:pPr>
      <w:r>
        <w:rPr>
          <w:rFonts w:ascii="Arial" w:cs="Arial" w:eastAsia="Arial" w:hAnsi="Arial"/>
          <w:sz w:val="16"/>
          <w:szCs w:val="16"/>
          <w:b w:val="1"/>
          <w:bCs w:val="1"/>
          <w:color w:val="auto"/>
        </w:rPr>
        <w:t>Notional amount</w:t>
      </w:r>
      <w:r>
        <w:rPr>
          <w:sz w:val="20"/>
          <w:szCs w:val="20"/>
          <w:color w:val="auto"/>
        </w:rPr>
        <w:tab/>
      </w:r>
      <w:r>
        <w:rPr>
          <w:rFonts w:ascii="Arial" w:cs="Arial" w:eastAsia="Arial" w:hAnsi="Arial"/>
          <w:sz w:val="14"/>
          <w:szCs w:val="14"/>
          <w:b w:val="1"/>
          <w:bCs w:val="1"/>
          <w:color w:val="auto"/>
        </w:rPr>
        <w:t>Fair value gain (loss)</w:t>
      </w:r>
    </w:p>
    <w:p>
      <w:pPr>
        <w:spacing w:after="0" w:line="28" w:lineRule="exact"/>
        <w:rPr>
          <w:sz w:val="20"/>
          <w:szCs w:val="20"/>
          <w:color w:val="auto"/>
        </w:rPr>
      </w:pPr>
    </w:p>
    <w:p>
      <w:pPr>
        <w:sectPr>
          <w:pgSz w:w="11900" w:h="16838" w:orient="portrait"/>
          <w:cols w:equalWidth="0" w:num="2">
            <w:col w:w="7060" w:space="700"/>
            <w:col w:w="3460"/>
          </w:cols>
          <w:pgMar w:left="320" w:top="125" w:right="359" w:bottom="1440" w:gutter="0" w:footer="0" w:header="0"/>
          <w:type w:val="continuous"/>
        </w:sectPr>
      </w:pPr>
    </w:p>
    <w:p>
      <w:pPr>
        <w:ind w:left="20"/>
        <w:spacing w:after="0"/>
        <w:rPr>
          <w:sz w:val="20"/>
          <w:szCs w:val="20"/>
          <w:color w:val="auto"/>
        </w:rPr>
      </w:pPr>
      <w:r>
        <w:rPr>
          <w:rFonts w:ascii="Arial" w:cs="Arial" w:eastAsia="Arial" w:hAnsi="Arial"/>
          <w:sz w:val="18"/>
          <w:szCs w:val="18"/>
          <w:b w:val="1"/>
          <w:bCs w:val="1"/>
          <w:color w:val="auto"/>
        </w:rPr>
        <w:t>Foreign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06285" cy="1460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7" w:lineRule="exact"/>
        <w:rPr>
          <w:sz w:val="20"/>
          <w:szCs w:val="20"/>
          <w:color w:val="auto"/>
        </w:rPr>
      </w:pPr>
    </w:p>
    <w:p>
      <w:pPr>
        <w:ind w:left="20"/>
        <w:spacing w:after="0"/>
        <w:tabs>
          <w:tab w:leader="none" w:pos="3480" w:val="left"/>
          <w:tab w:leader="none" w:pos="5100" w:val="left"/>
          <w:tab w:leader="none" w:pos="7020" w:val="left"/>
          <w:tab w:leader="none" w:pos="7400" w:val="left"/>
          <w:tab w:leader="none" w:pos="9020" w:val="left"/>
          <w:tab w:leader="none" w:pos="10940" w:val="left"/>
        </w:tabs>
        <w:rPr>
          <w:sz w:val="20"/>
          <w:szCs w:val="20"/>
          <w:color w:val="auto"/>
        </w:rPr>
      </w:pPr>
      <w:r>
        <w:rPr>
          <w:rFonts w:ascii="Arial" w:cs="Arial" w:eastAsia="Arial" w:hAnsi="Arial"/>
          <w:sz w:val="18"/>
          <w:szCs w:val="18"/>
          <w:color w:val="auto"/>
        </w:rPr>
        <w:t>Buy USD, Sell GBP</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61 $</w:t>
      </w:r>
      <w:r>
        <w:rPr>
          <w:sz w:val="20"/>
          <w:szCs w:val="20"/>
          <w:color w:val="auto"/>
        </w:rPr>
        <w:tab/>
      </w:r>
      <w:r>
        <w:rPr>
          <w:rFonts w:ascii="Arial" w:cs="Arial" w:eastAsia="Arial" w:hAnsi="Arial"/>
          <w:sz w:val="18"/>
          <w:szCs w:val="18"/>
          <w:color w:val="auto"/>
        </w:rPr>
        <w:t>(1)</w:t>
        <w:tab/>
        <w:t>$</w:t>
      </w:r>
      <w:r>
        <w:rPr>
          <w:sz w:val="20"/>
          <w:szCs w:val="20"/>
          <w:color w:val="auto"/>
        </w:rPr>
        <w:tab/>
      </w:r>
      <w:r>
        <w:rPr>
          <w:rFonts w:ascii="Arial" w:cs="Arial" w:eastAsia="Arial" w:hAnsi="Arial"/>
          <w:sz w:val="18"/>
          <w:szCs w:val="18"/>
          <w:color w:val="auto"/>
        </w:rPr>
        <w:t>25 $</w:t>
      </w:r>
      <w:r>
        <w:rPr>
          <w:sz w:val="20"/>
          <w:szCs w:val="20"/>
          <w:color w:val="auto"/>
        </w:rPr>
        <w:tab/>
      </w:r>
      <w:r>
        <w:rPr>
          <w:rFonts w:ascii="Arial" w:cs="Arial" w:eastAsia="Arial" w:hAnsi="Arial"/>
          <w:sz w:val="18"/>
          <w:szCs w:val="18"/>
          <w:color w:val="auto"/>
        </w:rPr>
        <w:t>(2)</w:t>
      </w:r>
    </w:p>
    <w:p>
      <w:pPr>
        <w:spacing w:after="0" w:line="332"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For the three and nine months ended September 30, 2020 and 2019, pre-tax net gains (losses) associated with these forward contracts were recorded in “General and administrative expenses” and were not material.</w:t>
      </w:r>
    </w:p>
    <w:p>
      <w:pPr>
        <w:spacing w:after="0" w:line="197"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In the absence of hedging activities for the nine months ended September 30, 2020, a hypothetical adverse foreign currency exchange rate movement of 10% would have resulted in a theoretical decline of our net income of approximately $116 million. This sensitivity analysis assumes a parallel adverse shift of all foreign currency exchange rates against the U.S. dollar; however, all foreign currency exchange rates do not always move in this manner and actual results may differ materially.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56"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Our exposure to market rate risk for changes in interest rates relates primarily to our investment portfolio, as our outstanding debt is all at fixed rates. Our investment portfolio consists primarily of money market funds and government securities with high credit quality and short average maturities. Because short-term securities mature relatively quickly and must be reinvested at the then-current market rates, interest income on a portfolio consisting of cash, cash equivalents, or short-term securities is more subject to market fluctuations than a portfolio of longer-term securities. Conversely, the fair value of such a portfolio is less sensitive to market fluctuations than a portfolio of longer-term securities. At September 30, 2020, our cash and cash equivalents were comprised primarily of money market funds.</w:t>
      </w:r>
    </w:p>
    <w:p>
      <w:pPr>
        <w:spacing w:after="0" w:line="219"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As of September 30, 2020, based on the composition of our investment portfolio and recent actions by central banks around the world, including the interest rate cuts by the U.S. Federal Reserve, we anticipate investment yields may remain low, which would continue to negatively impact our future interest income. Such impact is not expected to be material to the Company’s liquidity.</w:t>
      </w:r>
    </w:p>
    <w:p>
      <w:pPr>
        <w:spacing w:after="0" w:line="20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Disclosure Controls and Procedures</w:t>
      </w:r>
    </w:p>
    <w:p>
      <w:pPr>
        <w:spacing w:after="0" w:line="229" w:lineRule="exact"/>
        <w:rPr>
          <w:sz w:val="20"/>
          <w:szCs w:val="20"/>
          <w:color w:val="auto"/>
        </w:rPr>
      </w:pPr>
    </w:p>
    <w:p>
      <w:pPr>
        <w:ind w:right="120" w:firstLine="324"/>
        <w:spacing w:after="0" w:line="289" w:lineRule="auto"/>
        <w:rPr>
          <w:sz w:val="20"/>
          <w:szCs w:val="20"/>
          <w:color w:val="auto"/>
        </w:rPr>
      </w:pPr>
      <w:r>
        <w:rPr>
          <w:rFonts w:ascii="Arial" w:cs="Arial" w:eastAsia="Arial" w:hAnsi="Arial"/>
          <w:sz w:val="16"/>
          <w:szCs w:val="16"/>
          <w:color w:val="auto"/>
        </w:rPr>
        <w:t>Our disclosure controls and procedures (as such term is defined in Rules 13a-15(e) and 15d-15(e) under the Securities Exchange Act of 1934 (the “Exchange Act”)) are designed to reasonably ensure that information required to be disclosed in our reports filed under the Exchange Act is: (1) recorded, processed, summarized, and reported within the time periods specified in the Securities and Exchange Commission’s rules and forms and (2) accumulated and communicated to management, including our principal executive officer and principal financial officer, as appropriate, to allow timely decisions regarding required disclosures. A control system, no matter how well designed and operated, can provide only reasonable assurance that it will detect or uncover failures within the Company to disclose material information otherwise required to be set forth in our periodic reports. Inherent limitations to any system of disclosure controls and procedures include, but are not limited to, the possibility of human error and the circumvention or overriding of such controls by one or more persons. In addition, we have designed our system of controls based on certain assumptions, which we believe are reasonable, about the likelihood of future events, and our system of controls may therefore not achieve its desired objectives under all possible future events.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63" w:name="page64"/>
    <w:bookmarkEnd w:id="6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Our management, with the participation of our principal executive officer and principal financial officer, has evaluated the effectiveness of our disclosure controls and procedures at September 30, 2020, the end of the period covered by this report. Based on this evaluation, the principal executive officer and principal financial officer concluded that, at September 30, 2020, our disclosure controls and procedures were effective to provide reasonable assurance that information required to be disclosed by the Company in the reports that it files or submits under the Exchange Act is (1) recorded, processed, summarized, and reported on a timely basis and (2) accumulated and communicated to our management, including our principal executive officer and principal financial officer, as appropriate to allow timely decisions regarding required disclosures.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60" w:firstLine="324"/>
        <w:spacing w:after="0" w:line="274" w:lineRule="auto"/>
        <w:rPr>
          <w:sz w:val="20"/>
          <w:szCs w:val="20"/>
          <w:color w:val="auto"/>
        </w:rPr>
      </w:pPr>
      <w:r>
        <w:rPr>
          <w:rFonts w:ascii="Arial" w:cs="Arial" w:eastAsia="Arial" w:hAnsi="Arial"/>
          <w:sz w:val="16"/>
          <w:szCs w:val="16"/>
          <w:color w:val="auto"/>
        </w:rPr>
        <w:t>Our management, with the participation of our principal executive officer and principal financial officer, has evaluated any changes in our internal control over financial reporting that occurred during the fiscal quarter ended September 30, 2020. Based on this evaluation, the principal executive officer and principal financial officer concluded that, at September 30, 2020, there have not been any changes in our internal control over financial reporting during the most recent fiscal quarter that have materially affected, or are reasonably likely to materially affect, our internal control over financial reporting. Additionally, we have not experienced any material impact to our internal control over financial reporting or our disclosure controls and procedures despite the fact that most of our employees are working remotely for their health and safety during the COVID-19 pandemic. We are continually monitoring and assessing the potential impact of COVID-19 on our internal controls to minimize the impact on their design and operating effectiveness.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56" w:lineRule="exact"/>
        <w:rPr>
          <w:sz w:val="20"/>
          <w:szCs w:val="20"/>
          <w:color w:val="auto"/>
        </w:rPr>
      </w:pPr>
    </w:p>
    <w:p>
      <w:pPr>
        <w:ind w:right="120" w:firstLine="324"/>
        <w:spacing w:after="0" w:line="301" w:lineRule="auto"/>
        <w:rPr>
          <w:sz w:val="20"/>
          <w:szCs w:val="20"/>
          <w:color w:val="auto"/>
        </w:rPr>
      </w:pPr>
      <w:r>
        <w:rPr>
          <w:rFonts w:ascii="Arial" w:cs="Arial" w:eastAsia="Arial" w:hAnsi="Arial"/>
          <w:sz w:val="16"/>
          <w:szCs w:val="16"/>
          <w:color w:val="auto"/>
        </w:rPr>
        <w:t>We are party to routine claims, suits, investigations, audits, and other proceedings arising from the ordinary course of business, including with respect to intellectual property rights, contractual claims, labor and employment matters, regulatory matters, tax matters, unclaimed property matters, compliance matters, and collection matters. In the opinion of management, after consultation with legal counsel, such routine claims and lawsuits are not significant, and we do not expect them to have a material adverse effect on our business, financial condition, results of operations, or liquidity.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Various risks associated with our business are described in Part I, Item 1A, “Risk Factors,” of our Annual Report on Form 10-K for the year ended December 31, 2019 (the “2019 Form 10-K”), Part II, Item 1A, “Risk Factors,” of our Quarterly Report on Form 10-Q for the quarter ended March 31, 2020 (the “First Quarter 10-Q”), and Part II, Item 1A, “Risk Factors,” of our Quarterly Report on Form 10-Q for the quarter ended June 30, 2020 (the “Second Quarter 10-Q”).</w:t>
      </w:r>
    </w:p>
    <w:p>
      <w:pPr>
        <w:spacing w:after="0" w:line="214"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In addition to the other information set forth in this Quarterly Report on Form 10-Q, you should carefully consider the factors discussed in “Risk Factors” in each of the 2019 Form 10-K, the First Quarter 10-Q, and the Second Quarter 10-Q, any of which could materially affect our business, reputation, financial condition, results of operations, income, revenue, profitability, cash flows, liquidity, or stock price. The ongoing global COVID-19 pandemic has heightened, and in some cases manifested, certain of the risks we normally face in operating our business, including those disclosed in the 2019 Form 10-K, the First Quarter 10-Q, and the Second Quarter 10-Q, and the risk factor disclosure in the 2019 Form 10-K is qualified by the information relating to the ongoing global COVID-19 pandemic that is described in this Quarterly Report on Form 10-Q, the First Quarter 10-Q, and the Second Quarter 10-Q.</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56"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During 2019, we began implementing a restructuring plan aimed at refocusing our resources on our largest opportunities and removing unnecessary levels of complexity from certain parts of our business. On October 27, 2020, the Company’s Board of Directors approved an expansion to the scope of this restructuring plan that are aimed at integrating our global and regional functions to allow continued focus on investing in our franchises and to provide us with the ability to better leverage our scale.</w:t>
      </w:r>
    </w:p>
    <w:p>
      <w:pPr>
        <w:spacing w:after="0" w:line="214"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As a result of the restructuring expansion approved on October 27, 2020, we now expect to incur total aggregate pre-tax restructuring charges of approximately $310 million associated with the restructuring plan, of which the remaining charges that have not yet been incurred are expected to largely be incurred within the next 12 months. The charges associated with the restructuring plan are expected to relate to severance and employee-related costs (approximately 60% of the aggregate charge), facilities and related costs (approximately 20% of the aggregate charge), and other costs (approximately 20% of the aggregate charge), including charges for restructuring-related fees and the write-down of assets. A substantial majority (approximately 70%) of the total pre-tax charge associated with the restructuring is expected to be paid in cash using amounts on hand, and such cash outlays are largely expected to be completed by the end of 2021.</w:t>
      </w:r>
    </w:p>
    <w:p>
      <w:pPr>
        <w:spacing w:after="0" w:line="21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exhibits listed on the accompanying Exhibit Index are hereby incorporated by reference into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07"/>
        </w:trPr>
        <w:tc>
          <w:tcPr>
            <w:tcW w:w="1880" w:type="dxa"/>
            <w:vAlign w:val="bottom"/>
            <w:gridSpan w:val="3"/>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2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790"/>
        </w:trPr>
        <w:tc>
          <w:tcPr>
            <w:tcW w:w="1280" w:type="dxa"/>
            <w:vAlign w:val="bottom"/>
            <w:tcBorders>
              <w:top w:val="single" w:sz="8" w:color="0000FF"/>
            </w:tcBorders>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20" w:type="dxa"/>
            <w:vAlign w:val="bottom"/>
            <w:gridSpan w:val="9"/>
          </w:tcPr>
          <w:p>
            <w:pPr>
              <w:ind w:left="3020"/>
              <w:spacing w:after="0"/>
              <w:rPr>
                <w:sz w:val="20"/>
                <w:szCs w:val="20"/>
                <w:color w:val="auto"/>
              </w:rPr>
            </w:pPr>
            <w:r>
              <w:rPr>
                <w:rFonts w:ascii="Arial" w:cs="Arial" w:eastAsia="Arial" w:hAnsi="Arial"/>
                <w:sz w:val="18"/>
                <w:szCs w:val="18"/>
                <w:b w:val="1"/>
                <w:bCs w:val="1"/>
                <w:color w:val="auto"/>
              </w:rPr>
              <w:t>EXHIBIT INDEX</w:t>
            </w:r>
          </w:p>
        </w:tc>
      </w:tr>
      <w:tr>
        <w:trPr>
          <w:trHeight w:val="351"/>
        </w:trPr>
        <w:tc>
          <w:tcPr>
            <w:tcW w:w="18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3"/>
              </w:rPr>
              <w:t>Exhibit Number</w:t>
            </w:r>
          </w:p>
        </w:tc>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20" w:type="dxa"/>
            <w:vAlign w:val="bottom"/>
            <w:gridSpan w:val="7"/>
          </w:tcPr>
          <w:p>
            <w:pPr>
              <w:ind w:left="60"/>
              <w:spacing w:after="0"/>
              <w:rPr>
                <w:sz w:val="20"/>
                <w:szCs w:val="20"/>
                <w:color w:val="auto"/>
              </w:rPr>
            </w:pPr>
            <w:r>
              <w:rPr>
                <w:rFonts w:ascii="Arial" w:cs="Arial" w:eastAsia="Arial" w:hAnsi="Arial"/>
                <w:sz w:val="18"/>
                <w:szCs w:val="18"/>
                <w:b w:val="1"/>
                <w:bCs w:val="1"/>
                <w:color w:val="auto"/>
              </w:rPr>
              <w:t>Exhibit</w:t>
            </w:r>
          </w:p>
        </w:tc>
      </w:tr>
      <w:tr>
        <w:trPr>
          <w:trHeight w:val="412"/>
        </w:trPr>
        <w:tc>
          <w:tcPr>
            <w:tcW w:w="1280" w:type="dxa"/>
            <w:vAlign w:val="bottom"/>
            <w:tcBorders>
              <w:top w:val="single" w:sz="8" w:color="auto"/>
            </w:tcBorders>
          </w:tcPr>
          <w:p>
            <w:pPr>
              <w:jc w:val="center"/>
              <w:ind w:left="390"/>
              <w:spacing w:after="0"/>
              <w:rPr>
                <w:sz w:val="20"/>
                <w:szCs w:val="20"/>
                <w:color w:val="auto"/>
              </w:rPr>
            </w:pPr>
            <w:r>
              <w:rPr>
                <w:rFonts w:ascii="Arial" w:cs="Arial" w:eastAsia="Arial" w:hAnsi="Arial"/>
                <w:sz w:val="18"/>
                <w:szCs w:val="18"/>
                <w:color w:val="auto"/>
                <w:w w:val="95"/>
              </w:rPr>
              <w:t>3.1</w:t>
            </w:r>
          </w:p>
        </w:tc>
        <w:tc>
          <w:tcPr>
            <w:tcW w:w="4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320" w:type="dxa"/>
            <w:vAlign w:val="bottom"/>
            <w:tcBorders>
              <w:top w:val="single" w:sz="8" w:color="auto"/>
            </w:tcBorders>
            <w:gridSpan w:val="9"/>
          </w:tcPr>
          <w:p>
            <w:pPr>
              <w:spacing w:after="0"/>
              <w:rPr>
                <w:rFonts w:ascii="Arial" w:cs="Arial" w:eastAsia="Arial" w:hAnsi="Arial"/>
                <w:sz w:val="18"/>
                <w:szCs w:val="18"/>
                <w:color w:val="0000FF"/>
                <w:w w:val="96"/>
              </w:rPr>
            </w:pPr>
            <w:hyperlink r:id="rId104">
              <w:r>
                <w:rPr>
                  <w:rFonts w:ascii="Arial" w:cs="Arial" w:eastAsia="Arial" w:hAnsi="Arial"/>
                  <w:sz w:val="18"/>
                  <w:szCs w:val="18"/>
                  <w:color w:val="0000FF"/>
                  <w:w w:val="96"/>
                </w:rPr>
                <w:t>Third Amended and Restated Certificate of Incorporation of Activision Blizzard, Inc., dated June 5, 2014 (incorporated by</w:t>
              </w:r>
            </w:hyperlink>
          </w:p>
        </w:tc>
      </w:tr>
      <w:tr>
        <w:trPr>
          <w:trHeight w:val="156"/>
        </w:trPr>
        <w:tc>
          <w:tcPr>
            <w:tcW w:w="1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20" w:type="dxa"/>
            <w:vAlign w:val="bottom"/>
            <w:tcBorders>
              <w:top w:val="single" w:sz="8" w:color="0000FF"/>
            </w:tcBorders>
            <w:gridSpan w:val="6"/>
          </w:tcPr>
          <w:p>
            <w:pPr>
              <w:spacing w:after="0" w:line="156" w:lineRule="exact"/>
              <w:rPr>
                <w:rFonts w:ascii="Arial" w:cs="Arial" w:eastAsia="Arial" w:hAnsi="Arial"/>
                <w:sz w:val="18"/>
                <w:szCs w:val="18"/>
                <w:color w:val="0000FF"/>
              </w:rPr>
            </w:pPr>
            <w:hyperlink r:id="rId104">
              <w:r>
                <w:rPr>
                  <w:rFonts w:ascii="Arial" w:cs="Arial" w:eastAsia="Arial" w:hAnsi="Arial"/>
                  <w:sz w:val="18"/>
                  <w:szCs w:val="18"/>
                  <w:color w:val="0000FF"/>
                </w:rPr>
                <w:t>reference to Exhibit 3.1 of the Company’s Form 8-K, filed June 6, 2014).</w:t>
              </w:r>
            </w:hyperlink>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0"/>
        </w:trPr>
        <w:tc>
          <w:tcPr>
            <w:tcW w:w="1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79"/>
        </w:trPr>
        <w:tc>
          <w:tcPr>
            <w:tcW w:w="1280" w:type="dxa"/>
            <w:vAlign w:val="bottom"/>
          </w:tcPr>
          <w:p>
            <w:pPr>
              <w:jc w:val="center"/>
              <w:ind w:left="390"/>
              <w:spacing w:after="0"/>
              <w:rPr>
                <w:sz w:val="20"/>
                <w:szCs w:val="20"/>
                <w:color w:val="auto"/>
              </w:rPr>
            </w:pPr>
            <w:r>
              <w:rPr>
                <w:rFonts w:ascii="Arial" w:cs="Arial" w:eastAsia="Arial" w:hAnsi="Arial"/>
                <w:sz w:val="18"/>
                <w:szCs w:val="18"/>
                <w:color w:val="auto"/>
                <w:w w:val="95"/>
              </w:rPr>
              <w:t>3.2</w:t>
            </w: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20" w:type="dxa"/>
            <w:vAlign w:val="bottom"/>
            <w:gridSpan w:val="9"/>
          </w:tcPr>
          <w:p>
            <w:pPr>
              <w:spacing w:after="0"/>
              <w:rPr>
                <w:rFonts w:ascii="Arial" w:cs="Arial" w:eastAsia="Arial" w:hAnsi="Arial"/>
                <w:sz w:val="18"/>
                <w:szCs w:val="18"/>
                <w:color w:val="0000FF"/>
                <w:w w:val="91"/>
              </w:rPr>
            </w:pPr>
            <w:hyperlink r:id="rId105">
              <w:r>
                <w:rPr>
                  <w:rFonts w:ascii="Arial" w:cs="Arial" w:eastAsia="Arial" w:hAnsi="Arial"/>
                  <w:sz w:val="18"/>
                  <w:szCs w:val="18"/>
                  <w:color w:val="0000FF"/>
                  <w:w w:val="91"/>
                </w:rPr>
                <w:t>Fourth Amended and Restated Bylaws of Activision Blizzard, Inc., adopted as of February 1, 2018 (incorporated by reference to</w:t>
              </w:r>
            </w:hyperlink>
          </w:p>
        </w:tc>
      </w:tr>
      <w:tr>
        <w:trPr>
          <w:trHeight w:val="156"/>
        </w:trPr>
        <w:tc>
          <w:tcPr>
            <w:tcW w:w="1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8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3"/>
              </w:rPr>
            </w:pPr>
            <w:hyperlink r:id="rId105">
              <w:r>
                <w:rPr>
                  <w:rFonts w:ascii="Arial" w:cs="Arial" w:eastAsia="Arial" w:hAnsi="Arial"/>
                  <w:sz w:val="18"/>
                  <w:szCs w:val="18"/>
                  <w:color w:val="0000FF"/>
                  <w:w w:val="93"/>
                </w:rPr>
                <w:t>Exhibit 3.1 of the Company’s Form 8-K/A, filed March 21, 2018).</w:t>
              </w:r>
            </w:hyperlink>
          </w:p>
        </w:tc>
        <w:tc>
          <w:tcPr>
            <w:tcW w:w="4480" w:type="dxa"/>
            <w:vAlign w:val="bottom"/>
            <w:tcBorders>
              <w:top w:val="single" w:sz="8" w:color="0000FF"/>
            </w:tcBorders>
            <w:gridSpan w:val="5"/>
          </w:tcPr>
          <w:p>
            <w:pPr>
              <w:spacing w:after="0"/>
              <w:rPr>
                <w:sz w:val="13"/>
                <w:szCs w:val="13"/>
                <w:color w:val="auto"/>
              </w:rPr>
            </w:pPr>
          </w:p>
        </w:tc>
        <w:tc>
          <w:tcPr>
            <w:tcW w:w="60" w:type="dxa"/>
            <w:vAlign w:val="bottom"/>
          </w:tcPr>
          <w:p>
            <w:pPr>
              <w:spacing w:after="0"/>
              <w:rPr>
                <w:sz w:val="13"/>
                <w:szCs w:val="13"/>
                <w:color w:val="auto"/>
              </w:rPr>
            </w:pPr>
          </w:p>
        </w:tc>
      </w:tr>
      <w:tr>
        <w:trPr>
          <w:trHeight w:val="479"/>
        </w:trPr>
        <w:tc>
          <w:tcPr>
            <w:tcW w:w="1280" w:type="dxa"/>
            <w:vAlign w:val="bottom"/>
          </w:tcPr>
          <w:p>
            <w:pPr>
              <w:jc w:val="center"/>
              <w:ind w:left="390"/>
              <w:spacing w:after="0"/>
              <w:rPr>
                <w:sz w:val="20"/>
                <w:szCs w:val="20"/>
                <w:color w:val="auto"/>
              </w:rPr>
            </w:pPr>
            <w:r>
              <w:rPr>
                <w:rFonts w:ascii="Arial" w:cs="Arial" w:eastAsia="Arial" w:hAnsi="Arial"/>
                <w:sz w:val="18"/>
                <w:szCs w:val="18"/>
                <w:color w:val="auto"/>
                <w:w w:val="91"/>
              </w:rPr>
              <w:t>31.1</w:t>
            </w: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20" w:type="dxa"/>
            <w:vAlign w:val="bottom"/>
            <w:gridSpan w:val="9"/>
          </w:tcPr>
          <w:p>
            <w:pPr>
              <w:spacing w:after="0"/>
              <w:rPr>
                <w:rFonts w:ascii="Arial" w:cs="Arial" w:eastAsia="Arial" w:hAnsi="Arial"/>
                <w:sz w:val="18"/>
                <w:szCs w:val="18"/>
                <w:color w:val="0000FF"/>
                <w:w w:val="97"/>
              </w:rPr>
            </w:pPr>
            <w:hyperlink w:anchor="page68">
              <w:r>
                <w:rPr>
                  <w:rFonts w:ascii="Arial" w:cs="Arial" w:eastAsia="Arial" w:hAnsi="Arial"/>
                  <w:sz w:val="18"/>
                  <w:szCs w:val="18"/>
                  <w:color w:val="0000FF"/>
                  <w:w w:val="97"/>
                </w:rPr>
                <w:t>Certification of Robert A. Kotick pursuant to Rule 13a-14(a) under the Securities and Exchange Act of 1934, as adopted</w:t>
              </w:r>
            </w:hyperlink>
          </w:p>
        </w:tc>
      </w:tr>
      <w:tr>
        <w:trPr>
          <w:trHeight w:val="156"/>
        </w:trPr>
        <w:tc>
          <w:tcPr>
            <w:tcW w:w="1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60" w:type="dxa"/>
            <w:vAlign w:val="bottom"/>
            <w:tcBorders>
              <w:top w:val="single" w:sz="8" w:color="0000FF"/>
            </w:tcBorders>
            <w:gridSpan w:val="5"/>
          </w:tcPr>
          <w:p>
            <w:pPr>
              <w:spacing w:after="0" w:line="156" w:lineRule="exact"/>
              <w:rPr>
                <w:rFonts w:ascii="Arial" w:cs="Arial" w:eastAsia="Arial" w:hAnsi="Arial"/>
                <w:sz w:val="18"/>
                <w:szCs w:val="18"/>
                <w:color w:val="0000FF"/>
              </w:rPr>
            </w:pPr>
            <w:hyperlink w:anchor="page68">
              <w:r>
                <w:rPr>
                  <w:rFonts w:ascii="Arial" w:cs="Arial" w:eastAsia="Arial" w:hAnsi="Arial"/>
                  <w:sz w:val="18"/>
                  <w:szCs w:val="18"/>
                  <w:color w:val="0000FF"/>
                </w:rPr>
                <w:t>pursuant to Section 302 of the Sarbanes-Oxley Act of 2002.</w:t>
              </w:r>
            </w:hyperlink>
          </w:p>
        </w:tc>
        <w:tc>
          <w:tcPr>
            <w:tcW w:w="500" w:type="dxa"/>
            <w:vAlign w:val="bottom"/>
            <w:gridSpan w:val="2"/>
          </w:tcPr>
          <w:p>
            <w:pPr>
              <w:spacing w:after="0"/>
              <w:rPr>
                <w:sz w:val="13"/>
                <w:szCs w:val="13"/>
                <w:color w:val="auto"/>
              </w:rPr>
            </w:pPr>
          </w:p>
        </w:tc>
        <w:tc>
          <w:tcPr>
            <w:tcW w:w="160" w:type="dxa"/>
            <w:vAlign w:val="bottom"/>
            <w:gridSpan w:val="2"/>
          </w:tcPr>
          <w:p>
            <w:pPr>
              <w:spacing w:after="0"/>
              <w:rPr>
                <w:sz w:val="13"/>
                <w:szCs w:val="13"/>
                <w:color w:val="auto"/>
              </w:rPr>
            </w:pPr>
          </w:p>
        </w:tc>
      </w:tr>
      <w:tr>
        <w:trPr>
          <w:trHeight w:val="20"/>
        </w:trPr>
        <w:tc>
          <w:tcPr>
            <w:tcW w:w="1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86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439"/>
        </w:trPr>
        <w:tc>
          <w:tcPr>
            <w:tcW w:w="1280" w:type="dxa"/>
            <w:vAlign w:val="bottom"/>
          </w:tcPr>
          <w:p>
            <w:pPr>
              <w:jc w:val="center"/>
              <w:ind w:left="390"/>
              <w:spacing w:after="0"/>
              <w:rPr>
                <w:sz w:val="20"/>
                <w:szCs w:val="20"/>
                <w:color w:val="auto"/>
              </w:rPr>
            </w:pPr>
            <w:r>
              <w:rPr>
                <w:rFonts w:ascii="Arial" w:cs="Arial" w:eastAsia="Arial" w:hAnsi="Arial"/>
                <w:sz w:val="18"/>
                <w:szCs w:val="18"/>
                <w:color w:val="auto"/>
                <w:w w:val="91"/>
              </w:rPr>
              <w:t>31.2</w:t>
            </w: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20" w:type="dxa"/>
            <w:vAlign w:val="bottom"/>
            <w:gridSpan w:val="9"/>
          </w:tcPr>
          <w:p>
            <w:pPr>
              <w:spacing w:after="0"/>
              <w:rPr>
                <w:rFonts w:ascii="Arial" w:cs="Arial" w:eastAsia="Arial" w:hAnsi="Arial"/>
                <w:sz w:val="18"/>
                <w:szCs w:val="18"/>
                <w:color w:val="0000FF"/>
                <w:w w:val="92"/>
              </w:rPr>
            </w:pPr>
            <w:hyperlink w:anchor="page69">
              <w:r>
                <w:rPr>
                  <w:rFonts w:ascii="Arial" w:cs="Arial" w:eastAsia="Arial" w:hAnsi="Arial"/>
                  <w:sz w:val="18"/>
                  <w:szCs w:val="18"/>
                  <w:color w:val="0000FF"/>
                  <w:w w:val="92"/>
                </w:rPr>
                <w:t>Certification of Dennis Durkin pursuant to Rule 13a-14(a) under the Securities and Exchange Act of 1934, as adopted pursuant</w:t>
              </w:r>
            </w:hyperlink>
          </w:p>
        </w:tc>
      </w:tr>
      <w:tr>
        <w:trPr>
          <w:trHeight w:val="156"/>
        </w:trPr>
        <w:tc>
          <w:tcPr>
            <w:tcW w:w="1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60" w:type="dxa"/>
            <w:vAlign w:val="bottom"/>
            <w:tcBorders>
              <w:top w:val="single" w:sz="8" w:color="0000FF"/>
            </w:tcBorders>
            <w:gridSpan w:val="7"/>
          </w:tcPr>
          <w:p>
            <w:pPr>
              <w:spacing w:after="0" w:line="156" w:lineRule="exact"/>
              <w:rPr>
                <w:rFonts w:ascii="Arial" w:cs="Arial" w:eastAsia="Arial" w:hAnsi="Arial"/>
                <w:sz w:val="18"/>
                <w:szCs w:val="18"/>
                <w:color w:val="0000FF"/>
              </w:rPr>
            </w:pPr>
            <w:hyperlink w:anchor="page69">
              <w:r>
                <w:rPr>
                  <w:rFonts w:ascii="Arial" w:cs="Arial" w:eastAsia="Arial" w:hAnsi="Arial"/>
                  <w:sz w:val="18"/>
                  <w:szCs w:val="18"/>
                  <w:color w:val="0000FF"/>
                </w:rPr>
                <w:t>to Section 302 of the Sarbanes-Oxley Act of 2002.</w:t>
              </w:r>
            </w:hyperlink>
          </w:p>
        </w:tc>
        <w:tc>
          <w:tcPr>
            <w:tcW w:w="160" w:type="dxa"/>
            <w:vAlign w:val="bottom"/>
            <w:gridSpan w:val="2"/>
          </w:tcPr>
          <w:p>
            <w:pPr>
              <w:spacing w:after="0"/>
              <w:rPr>
                <w:sz w:val="13"/>
                <w:szCs w:val="13"/>
                <w:color w:val="auto"/>
              </w:rPr>
            </w:pPr>
          </w:p>
        </w:tc>
      </w:tr>
      <w:tr>
        <w:trPr>
          <w:trHeight w:val="20"/>
        </w:trPr>
        <w:tc>
          <w:tcPr>
            <w:tcW w:w="1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40" w:type="dxa"/>
            <w:vAlign w:val="bottom"/>
            <w:shd w:val="clear" w:color="auto" w:fill="0000FF"/>
          </w:tcPr>
          <w:p>
            <w:pPr>
              <w:spacing w:after="0" w:line="20" w:lineRule="exact"/>
              <w:rPr>
                <w:sz w:val="1"/>
                <w:szCs w:val="1"/>
                <w:color w:val="auto"/>
              </w:rPr>
            </w:pPr>
          </w:p>
        </w:tc>
        <w:tc>
          <w:tcPr>
            <w:tcW w:w="5680" w:type="dxa"/>
            <w:vAlign w:val="bottom"/>
            <w:gridSpan w:val="8"/>
          </w:tcPr>
          <w:p>
            <w:pPr>
              <w:spacing w:after="0" w:line="20" w:lineRule="exact"/>
              <w:rPr>
                <w:sz w:val="1"/>
                <w:szCs w:val="1"/>
                <w:color w:val="auto"/>
              </w:rPr>
            </w:pPr>
          </w:p>
        </w:tc>
      </w:tr>
      <w:tr>
        <w:trPr>
          <w:trHeight w:val="480"/>
        </w:trPr>
        <w:tc>
          <w:tcPr>
            <w:tcW w:w="1280" w:type="dxa"/>
            <w:vAlign w:val="bottom"/>
          </w:tcPr>
          <w:p>
            <w:pPr>
              <w:jc w:val="center"/>
              <w:ind w:left="390"/>
              <w:spacing w:after="0"/>
              <w:rPr>
                <w:sz w:val="20"/>
                <w:szCs w:val="20"/>
                <w:color w:val="auto"/>
              </w:rPr>
            </w:pPr>
            <w:r>
              <w:rPr>
                <w:rFonts w:ascii="Arial" w:cs="Arial" w:eastAsia="Arial" w:hAnsi="Arial"/>
                <w:sz w:val="18"/>
                <w:szCs w:val="18"/>
                <w:color w:val="auto"/>
                <w:w w:val="91"/>
              </w:rPr>
              <w:t>32.1</w:t>
            </w: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20" w:type="dxa"/>
            <w:vAlign w:val="bottom"/>
            <w:gridSpan w:val="9"/>
          </w:tcPr>
          <w:p>
            <w:pPr>
              <w:spacing w:after="0"/>
              <w:rPr>
                <w:rFonts w:ascii="Arial" w:cs="Arial" w:eastAsia="Arial" w:hAnsi="Arial"/>
                <w:sz w:val="18"/>
                <w:szCs w:val="18"/>
                <w:u w:val="single" w:color="auto"/>
                <w:color w:val="0000FF"/>
              </w:rPr>
            </w:pPr>
            <w:hyperlink w:anchor="page70">
              <w:r>
                <w:rPr>
                  <w:rFonts w:ascii="Arial" w:cs="Arial" w:eastAsia="Arial" w:hAnsi="Arial"/>
                  <w:sz w:val="18"/>
                  <w:szCs w:val="18"/>
                  <w:u w:val="single" w:color="auto"/>
                  <w:color w:val="0000FF"/>
                </w:rPr>
                <w:t>Certification of Robert A. Kotick pursuant to Section 906 of the Sarbanes-Oxley Act of 2002.</w:t>
              </w:r>
            </w:hyperlink>
          </w:p>
        </w:tc>
      </w:tr>
      <w:tr>
        <w:trPr>
          <w:trHeight w:val="459"/>
        </w:trPr>
        <w:tc>
          <w:tcPr>
            <w:tcW w:w="1280" w:type="dxa"/>
            <w:vAlign w:val="bottom"/>
          </w:tcPr>
          <w:p>
            <w:pPr>
              <w:jc w:val="center"/>
              <w:ind w:left="390"/>
              <w:spacing w:after="0"/>
              <w:rPr>
                <w:sz w:val="20"/>
                <w:szCs w:val="20"/>
                <w:color w:val="auto"/>
              </w:rPr>
            </w:pPr>
            <w:r>
              <w:rPr>
                <w:rFonts w:ascii="Arial" w:cs="Arial" w:eastAsia="Arial" w:hAnsi="Arial"/>
                <w:sz w:val="18"/>
                <w:szCs w:val="18"/>
                <w:color w:val="auto"/>
                <w:w w:val="91"/>
              </w:rPr>
              <w:t>32.2</w:t>
            </w: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20" w:type="dxa"/>
            <w:vAlign w:val="bottom"/>
            <w:gridSpan w:val="9"/>
          </w:tcPr>
          <w:p>
            <w:pPr>
              <w:spacing w:after="0"/>
              <w:rPr>
                <w:rFonts w:ascii="Arial" w:cs="Arial" w:eastAsia="Arial" w:hAnsi="Arial"/>
                <w:sz w:val="18"/>
                <w:szCs w:val="18"/>
                <w:u w:val="single" w:color="auto"/>
                <w:color w:val="0000FF"/>
              </w:rPr>
            </w:pPr>
            <w:hyperlink w:anchor="page71">
              <w:r>
                <w:rPr>
                  <w:rFonts w:ascii="Arial" w:cs="Arial" w:eastAsia="Arial" w:hAnsi="Arial"/>
                  <w:sz w:val="18"/>
                  <w:szCs w:val="18"/>
                  <w:u w:val="single" w:color="auto"/>
                  <w:color w:val="0000FF"/>
                </w:rPr>
                <w:t>Certification of Dennis Durkin pursuant to Section 906 of the Sarbanes-Oxley Act of 2002.</w:t>
              </w:r>
            </w:hyperlink>
          </w:p>
        </w:tc>
      </w:tr>
      <w:tr>
        <w:trPr>
          <w:trHeight w:val="446"/>
        </w:trPr>
        <w:tc>
          <w:tcPr>
            <w:tcW w:w="1880" w:type="dxa"/>
            <w:vAlign w:val="bottom"/>
            <w:gridSpan w:val="3"/>
          </w:tcPr>
          <w:p>
            <w:pPr>
              <w:jc w:val="center"/>
              <w:ind w:right="120"/>
              <w:spacing w:after="0"/>
              <w:rPr>
                <w:sz w:val="20"/>
                <w:szCs w:val="20"/>
                <w:color w:val="auto"/>
              </w:rPr>
            </w:pPr>
            <w:r>
              <w:rPr>
                <w:rFonts w:ascii="Arial" w:cs="Arial" w:eastAsia="Arial" w:hAnsi="Arial"/>
                <w:sz w:val="18"/>
                <w:szCs w:val="18"/>
                <w:color w:val="auto"/>
                <w:w w:val="92"/>
              </w:rPr>
              <w:t>101.INS</w:t>
            </w:r>
          </w:p>
        </w:tc>
        <w:tc>
          <w:tcPr>
            <w:tcW w:w="20" w:type="dxa"/>
            <w:vAlign w:val="bottom"/>
          </w:tcPr>
          <w:p>
            <w:pPr>
              <w:spacing w:after="0"/>
              <w:rPr>
                <w:sz w:val="24"/>
                <w:szCs w:val="24"/>
                <w:color w:val="auto"/>
              </w:rPr>
            </w:pPr>
          </w:p>
        </w:tc>
        <w:tc>
          <w:tcPr>
            <w:tcW w:w="9320" w:type="dxa"/>
            <w:vAlign w:val="bottom"/>
            <w:gridSpan w:val="9"/>
          </w:tcPr>
          <w:p>
            <w:pPr>
              <w:spacing w:after="0"/>
              <w:rPr>
                <w:sz w:val="20"/>
                <w:szCs w:val="20"/>
                <w:color w:val="auto"/>
              </w:rPr>
            </w:pPr>
            <w:r>
              <w:rPr>
                <w:rFonts w:ascii="Arial" w:cs="Arial" w:eastAsia="Arial" w:hAnsi="Arial"/>
                <w:sz w:val="18"/>
                <w:szCs w:val="18"/>
                <w:color w:val="auto"/>
                <w:w w:val="96"/>
              </w:rPr>
              <w:t>XBRL Instance Document - The instance document does not appear in the interactive data file because its XBRL tags are</w:t>
            </w:r>
          </w:p>
        </w:tc>
      </w:tr>
      <w:tr>
        <w:trPr>
          <w:trHeight w:val="230"/>
        </w:trPr>
        <w:tc>
          <w:tcPr>
            <w:tcW w:w="1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320" w:type="dxa"/>
            <w:vAlign w:val="bottom"/>
            <w:gridSpan w:val="9"/>
          </w:tcPr>
          <w:p>
            <w:pPr>
              <w:spacing w:after="0"/>
              <w:rPr>
                <w:sz w:val="20"/>
                <w:szCs w:val="20"/>
                <w:color w:val="auto"/>
              </w:rPr>
            </w:pPr>
            <w:r>
              <w:rPr>
                <w:rFonts w:ascii="Arial" w:cs="Arial" w:eastAsia="Arial" w:hAnsi="Arial"/>
                <w:sz w:val="18"/>
                <w:szCs w:val="18"/>
                <w:color w:val="auto"/>
              </w:rPr>
              <w:t>embedded within the Inline XBRL document.</w:t>
            </w:r>
          </w:p>
        </w:tc>
      </w:tr>
      <w:tr>
        <w:trPr>
          <w:trHeight w:val="458"/>
        </w:trPr>
        <w:tc>
          <w:tcPr>
            <w:tcW w:w="1880" w:type="dxa"/>
            <w:vAlign w:val="bottom"/>
            <w:gridSpan w:val="3"/>
          </w:tcPr>
          <w:p>
            <w:pPr>
              <w:jc w:val="center"/>
              <w:ind w:right="120"/>
              <w:spacing w:after="0"/>
              <w:rPr>
                <w:sz w:val="20"/>
                <w:szCs w:val="20"/>
                <w:color w:val="auto"/>
              </w:rPr>
            </w:pPr>
            <w:r>
              <w:rPr>
                <w:rFonts w:ascii="Arial" w:cs="Arial" w:eastAsia="Arial" w:hAnsi="Arial"/>
                <w:sz w:val="18"/>
                <w:szCs w:val="18"/>
                <w:color w:val="auto"/>
                <w:w w:val="93"/>
              </w:rPr>
              <w:t>101.SCH</w:t>
            </w:r>
          </w:p>
        </w:tc>
        <w:tc>
          <w:tcPr>
            <w:tcW w:w="20" w:type="dxa"/>
            <w:vAlign w:val="bottom"/>
          </w:tcPr>
          <w:p>
            <w:pPr>
              <w:spacing w:after="0"/>
              <w:rPr>
                <w:sz w:val="24"/>
                <w:szCs w:val="24"/>
                <w:color w:val="auto"/>
              </w:rPr>
            </w:pPr>
          </w:p>
        </w:tc>
        <w:tc>
          <w:tcPr>
            <w:tcW w:w="9320" w:type="dxa"/>
            <w:vAlign w:val="bottom"/>
            <w:gridSpan w:val="9"/>
          </w:tcPr>
          <w:p>
            <w:pPr>
              <w:spacing w:after="0"/>
              <w:rPr>
                <w:sz w:val="20"/>
                <w:szCs w:val="20"/>
                <w:color w:val="auto"/>
              </w:rPr>
            </w:pPr>
            <w:r>
              <w:rPr>
                <w:rFonts w:ascii="Arial" w:cs="Arial" w:eastAsia="Arial" w:hAnsi="Arial"/>
                <w:sz w:val="18"/>
                <w:szCs w:val="18"/>
                <w:color w:val="auto"/>
              </w:rPr>
              <w:t>XBRL Taxonomy Extension Schema Document.</w:t>
            </w:r>
          </w:p>
        </w:tc>
      </w:tr>
      <w:tr>
        <w:trPr>
          <w:trHeight w:val="459"/>
        </w:trPr>
        <w:tc>
          <w:tcPr>
            <w:tcW w:w="1880" w:type="dxa"/>
            <w:vAlign w:val="bottom"/>
            <w:gridSpan w:val="3"/>
          </w:tcPr>
          <w:p>
            <w:pPr>
              <w:jc w:val="center"/>
              <w:ind w:right="120"/>
              <w:spacing w:after="0"/>
              <w:rPr>
                <w:sz w:val="20"/>
                <w:szCs w:val="20"/>
                <w:color w:val="auto"/>
              </w:rPr>
            </w:pPr>
            <w:r>
              <w:rPr>
                <w:rFonts w:ascii="Arial" w:cs="Arial" w:eastAsia="Arial" w:hAnsi="Arial"/>
                <w:sz w:val="18"/>
                <w:szCs w:val="18"/>
                <w:color w:val="auto"/>
                <w:w w:val="97"/>
              </w:rPr>
              <w:t>101.CAL</w:t>
            </w:r>
          </w:p>
        </w:tc>
        <w:tc>
          <w:tcPr>
            <w:tcW w:w="20" w:type="dxa"/>
            <w:vAlign w:val="bottom"/>
          </w:tcPr>
          <w:p>
            <w:pPr>
              <w:spacing w:after="0"/>
              <w:rPr>
                <w:sz w:val="24"/>
                <w:szCs w:val="24"/>
                <w:color w:val="auto"/>
              </w:rPr>
            </w:pPr>
          </w:p>
        </w:tc>
        <w:tc>
          <w:tcPr>
            <w:tcW w:w="9320" w:type="dxa"/>
            <w:vAlign w:val="bottom"/>
            <w:gridSpan w:val="9"/>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459"/>
        </w:trPr>
        <w:tc>
          <w:tcPr>
            <w:tcW w:w="1880" w:type="dxa"/>
            <w:vAlign w:val="bottom"/>
            <w:gridSpan w:val="3"/>
          </w:tcPr>
          <w:p>
            <w:pPr>
              <w:jc w:val="center"/>
              <w:ind w:right="120"/>
              <w:spacing w:after="0"/>
              <w:rPr>
                <w:sz w:val="20"/>
                <w:szCs w:val="20"/>
                <w:color w:val="auto"/>
              </w:rPr>
            </w:pPr>
            <w:r>
              <w:rPr>
                <w:rFonts w:ascii="Arial" w:cs="Arial" w:eastAsia="Arial" w:hAnsi="Arial"/>
                <w:sz w:val="18"/>
                <w:szCs w:val="18"/>
                <w:color w:val="auto"/>
                <w:w w:val="98"/>
              </w:rPr>
              <w:t>101.LAB</w:t>
            </w:r>
          </w:p>
        </w:tc>
        <w:tc>
          <w:tcPr>
            <w:tcW w:w="20" w:type="dxa"/>
            <w:vAlign w:val="bottom"/>
          </w:tcPr>
          <w:p>
            <w:pPr>
              <w:spacing w:after="0"/>
              <w:rPr>
                <w:sz w:val="24"/>
                <w:szCs w:val="24"/>
                <w:color w:val="auto"/>
              </w:rPr>
            </w:pPr>
          </w:p>
        </w:tc>
        <w:tc>
          <w:tcPr>
            <w:tcW w:w="9320" w:type="dxa"/>
            <w:vAlign w:val="bottom"/>
            <w:gridSpan w:val="9"/>
          </w:tcPr>
          <w:p>
            <w:pPr>
              <w:spacing w:after="0"/>
              <w:rPr>
                <w:sz w:val="20"/>
                <w:szCs w:val="20"/>
                <w:color w:val="auto"/>
              </w:rPr>
            </w:pPr>
            <w:r>
              <w:rPr>
                <w:rFonts w:ascii="Arial" w:cs="Arial" w:eastAsia="Arial" w:hAnsi="Arial"/>
                <w:sz w:val="18"/>
                <w:szCs w:val="18"/>
                <w:color w:val="auto"/>
              </w:rPr>
              <w:t>XBRL Taxonomy Extension Labels Linkbase Document.</w:t>
            </w:r>
          </w:p>
        </w:tc>
      </w:tr>
      <w:tr>
        <w:trPr>
          <w:trHeight w:val="459"/>
        </w:trPr>
        <w:tc>
          <w:tcPr>
            <w:tcW w:w="1880" w:type="dxa"/>
            <w:vAlign w:val="bottom"/>
            <w:gridSpan w:val="3"/>
          </w:tcPr>
          <w:p>
            <w:pPr>
              <w:jc w:val="center"/>
              <w:ind w:right="120"/>
              <w:spacing w:after="0"/>
              <w:rPr>
                <w:sz w:val="20"/>
                <w:szCs w:val="20"/>
                <w:color w:val="auto"/>
              </w:rPr>
            </w:pPr>
            <w:r>
              <w:rPr>
                <w:rFonts w:ascii="Arial" w:cs="Arial" w:eastAsia="Arial" w:hAnsi="Arial"/>
                <w:sz w:val="18"/>
                <w:szCs w:val="18"/>
                <w:color w:val="auto"/>
                <w:w w:val="88"/>
              </w:rPr>
              <w:t>101.PRE</w:t>
            </w:r>
          </w:p>
        </w:tc>
        <w:tc>
          <w:tcPr>
            <w:tcW w:w="20" w:type="dxa"/>
            <w:vAlign w:val="bottom"/>
          </w:tcPr>
          <w:p>
            <w:pPr>
              <w:spacing w:after="0"/>
              <w:rPr>
                <w:sz w:val="24"/>
                <w:szCs w:val="24"/>
                <w:color w:val="auto"/>
              </w:rPr>
            </w:pPr>
          </w:p>
        </w:tc>
        <w:tc>
          <w:tcPr>
            <w:tcW w:w="9320" w:type="dxa"/>
            <w:vAlign w:val="bottom"/>
            <w:gridSpan w:val="9"/>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459"/>
        </w:trPr>
        <w:tc>
          <w:tcPr>
            <w:tcW w:w="1880" w:type="dxa"/>
            <w:vAlign w:val="bottom"/>
            <w:gridSpan w:val="3"/>
          </w:tcPr>
          <w:p>
            <w:pPr>
              <w:jc w:val="center"/>
              <w:ind w:right="120"/>
              <w:spacing w:after="0"/>
              <w:rPr>
                <w:sz w:val="20"/>
                <w:szCs w:val="20"/>
                <w:color w:val="auto"/>
              </w:rPr>
            </w:pPr>
            <w:r>
              <w:rPr>
                <w:rFonts w:ascii="Arial" w:cs="Arial" w:eastAsia="Arial" w:hAnsi="Arial"/>
                <w:sz w:val="18"/>
                <w:szCs w:val="18"/>
                <w:color w:val="auto"/>
                <w:w w:val="90"/>
              </w:rPr>
              <w:t>101.DEF</w:t>
            </w:r>
          </w:p>
        </w:tc>
        <w:tc>
          <w:tcPr>
            <w:tcW w:w="20" w:type="dxa"/>
            <w:vAlign w:val="bottom"/>
          </w:tcPr>
          <w:p>
            <w:pPr>
              <w:spacing w:after="0"/>
              <w:rPr>
                <w:sz w:val="24"/>
                <w:szCs w:val="24"/>
                <w:color w:val="auto"/>
              </w:rPr>
            </w:pPr>
          </w:p>
        </w:tc>
        <w:tc>
          <w:tcPr>
            <w:tcW w:w="9320" w:type="dxa"/>
            <w:vAlign w:val="bottom"/>
            <w:gridSpan w:val="9"/>
          </w:tcPr>
          <w:p>
            <w:pPr>
              <w:spacing w:after="0"/>
              <w:rPr>
                <w:sz w:val="20"/>
                <w:szCs w:val="20"/>
                <w:color w:val="auto"/>
              </w:rPr>
            </w:pPr>
            <w:r>
              <w:rPr>
                <w:rFonts w:ascii="Arial" w:cs="Arial" w:eastAsia="Arial" w:hAnsi="Arial"/>
                <w:sz w:val="18"/>
                <w:szCs w:val="18"/>
                <w:color w:val="auto"/>
              </w:rPr>
              <w:t>XBRL Taxonomy Extension Definition Linkbase Document.</w:t>
            </w:r>
          </w:p>
        </w:tc>
      </w:tr>
    </w:tbl>
    <w:p>
      <w:pPr>
        <w:spacing w:after="0" w:line="269" w:lineRule="exact"/>
        <w:rPr>
          <w:sz w:val="20"/>
          <w:szCs w:val="20"/>
          <w:color w:val="auto"/>
        </w:rPr>
      </w:pPr>
    </w:p>
    <w:p>
      <w:pPr>
        <w:ind w:left="1900" w:hanging="1156"/>
        <w:spacing w:after="0"/>
        <w:tabs>
          <w:tab w:leader="none" w:pos="1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45"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Date: October 29, 2020</w:t>
            </w:r>
          </w:p>
        </w:tc>
        <w:tc>
          <w:tcPr>
            <w:tcW w:w="460" w:type="dxa"/>
            <w:vAlign w:val="bottom"/>
          </w:tcPr>
          <w:p>
            <w:pPr>
              <w:spacing w:after="0"/>
              <w:rPr>
                <w:sz w:val="20"/>
                <w:szCs w:val="20"/>
                <w:color w:val="auto"/>
              </w:rPr>
            </w:pPr>
          </w:p>
        </w:tc>
        <w:tc>
          <w:tcPr>
            <w:tcW w:w="5380" w:type="dxa"/>
            <w:vAlign w:val="bottom"/>
          </w:tcPr>
          <w:p>
            <w:pPr>
              <w:spacing w:after="0"/>
              <w:rPr>
                <w:sz w:val="20"/>
                <w:szCs w:val="20"/>
                <w:color w:val="auto"/>
              </w:rPr>
            </w:pPr>
          </w:p>
        </w:tc>
      </w:tr>
      <w:tr>
        <w:trPr>
          <w:trHeight w:val="459"/>
        </w:trPr>
        <w:tc>
          <w:tcPr>
            <w:tcW w:w="5400" w:type="dxa"/>
            <w:vAlign w:val="bottom"/>
          </w:tcPr>
          <w:p>
            <w:pPr>
              <w:spacing w:after="0"/>
              <w:rPr>
                <w:sz w:val="20"/>
                <w:szCs w:val="20"/>
                <w:color w:val="auto"/>
              </w:rPr>
            </w:pPr>
            <w:r>
              <w:rPr>
                <w:rFonts w:ascii="Arial" w:cs="Arial" w:eastAsia="Arial" w:hAnsi="Arial"/>
                <w:sz w:val="18"/>
                <w:szCs w:val="18"/>
                <w:color w:val="auto"/>
              </w:rPr>
              <w:t>ACTIVISION BLIZZARD, INC.</w:t>
            </w:r>
          </w:p>
        </w:tc>
        <w:tc>
          <w:tcPr>
            <w:tcW w:w="460" w:type="dxa"/>
            <w:vAlign w:val="bottom"/>
          </w:tcPr>
          <w:p>
            <w:pPr>
              <w:spacing w:after="0"/>
              <w:rPr>
                <w:sz w:val="24"/>
                <w:szCs w:val="24"/>
                <w:color w:val="auto"/>
              </w:rPr>
            </w:pPr>
          </w:p>
        </w:tc>
        <w:tc>
          <w:tcPr>
            <w:tcW w:w="5380" w:type="dxa"/>
            <w:vAlign w:val="bottom"/>
          </w:tcPr>
          <w:p>
            <w:pPr>
              <w:spacing w:after="0"/>
              <w:rPr>
                <w:sz w:val="24"/>
                <w:szCs w:val="24"/>
                <w:color w:val="auto"/>
              </w:rPr>
            </w:pPr>
          </w:p>
        </w:tc>
      </w:tr>
      <w:tr>
        <w:trPr>
          <w:trHeight w:val="567"/>
        </w:trPr>
        <w:tc>
          <w:tcPr>
            <w:tcW w:w="5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DENNIS DURKIN</w:t>
            </w:r>
          </w:p>
        </w:tc>
        <w:tc>
          <w:tcPr>
            <w:tcW w:w="460" w:type="dxa"/>
            <w:vAlign w:val="bottom"/>
          </w:tcPr>
          <w:p>
            <w:pPr>
              <w:spacing w:after="0"/>
              <w:rPr>
                <w:sz w:val="24"/>
                <w:szCs w:val="24"/>
                <w:color w:val="auto"/>
              </w:rPr>
            </w:pPr>
          </w:p>
        </w:tc>
        <w:tc>
          <w:tcPr>
            <w:tcW w:w="5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JESSE YANG</w:t>
            </w:r>
          </w:p>
        </w:tc>
      </w:tr>
      <w:tr>
        <w:trPr>
          <w:trHeight w:val="222"/>
        </w:trPr>
        <w:tc>
          <w:tcPr>
            <w:tcW w:w="5400" w:type="dxa"/>
            <w:vAlign w:val="bottom"/>
          </w:tcPr>
          <w:p>
            <w:pPr>
              <w:ind w:left="20"/>
              <w:spacing w:after="0"/>
              <w:rPr>
                <w:sz w:val="20"/>
                <w:szCs w:val="20"/>
                <w:color w:val="auto"/>
              </w:rPr>
            </w:pPr>
            <w:r>
              <w:rPr>
                <w:rFonts w:ascii="Arial" w:cs="Arial" w:eastAsia="Arial" w:hAnsi="Arial"/>
                <w:sz w:val="18"/>
                <w:szCs w:val="18"/>
                <w:color w:val="auto"/>
              </w:rPr>
              <w:t>Dennis Durkin</w:t>
            </w:r>
          </w:p>
        </w:tc>
        <w:tc>
          <w:tcPr>
            <w:tcW w:w="460" w:type="dxa"/>
            <w:vAlign w:val="bottom"/>
          </w:tcPr>
          <w:p>
            <w:pPr>
              <w:spacing w:after="0"/>
              <w:rPr>
                <w:sz w:val="19"/>
                <w:szCs w:val="19"/>
                <w:color w:val="auto"/>
              </w:rPr>
            </w:pPr>
          </w:p>
        </w:tc>
        <w:tc>
          <w:tcPr>
            <w:tcW w:w="5380" w:type="dxa"/>
            <w:vAlign w:val="bottom"/>
          </w:tcPr>
          <w:p>
            <w:pPr>
              <w:ind w:left="20"/>
              <w:spacing w:after="0"/>
              <w:rPr>
                <w:sz w:val="20"/>
                <w:szCs w:val="20"/>
                <w:color w:val="auto"/>
              </w:rPr>
            </w:pPr>
            <w:r>
              <w:rPr>
                <w:rFonts w:ascii="Arial" w:cs="Arial" w:eastAsia="Arial" w:hAnsi="Arial"/>
                <w:sz w:val="18"/>
                <w:szCs w:val="18"/>
                <w:color w:val="auto"/>
              </w:rPr>
              <w:t>Jesse Yang</w:t>
            </w:r>
          </w:p>
        </w:tc>
      </w:tr>
      <w:tr>
        <w:trPr>
          <w:trHeight w:val="229"/>
        </w:trPr>
        <w:tc>
          <w:tcPr>
            <w:tcW w:w="5400" w:type="dxa"/>
            <w:vAlign w:val="bottom"/>
          </w:tcPr>
          <w:p>
            <w:pPr>
              <w:ind w:left="20"/>
              <w:spacing w:after="0"/>
              <w:rPr>
                <w:sz w:val="20"/>
                <w:szCs w:val="20"/>
                <w:color w:val="auto"/>
              </w:rPr>
            </w:pPr>
            <w:r>
              <w:rPr>
                <w:rFonts w:ascii="Arial" w:cs="Arial" w:eastAsia="Arial" w:hAnsi="Arial"/>
                <w:sz w:val="18"/>
                <w:szCs w:val="18"/>
                <w:i w:val="1"/>
                <w:iCs w:val="1"/>
                <w:color w:val="auto"/>
              </w:rPr>
              <w:t>Chief Financial Officer and Principal Financial Officer</w:t>
            </w:r>
          </w:p>
        </w:tc>
        <w:tc>
          <w:tcPr>
            <w:tcW w:w="460" w:type="dxa"/>
            <w:vAlign w:val="bottom"/>
          </w:tcPr>
          <w:p>
            <w:pPr>
              <w:spacing w:after="0"/>
              <w:rPr>
                <w:sz w:val="19"/>
                <w:szCs w:val="19"/>
                <w:color w:val="auto"/>
              </w:rPr>
            </w:pPr>
          </w:p>
        </w:tc>
        <w:tc>
          <w:tcPr>
            <w:tcW w:w="5380" w:type="dxa"/>
            <w:vAlign w:val="bottom"/>
          </w:tcPr>
          <w:p>
            <w:pPr>
              <w:ind w:left="20"/>
              <w:spacing w:after="0"/>
              <w:rPr>
                <w:sz w:val="20"/>
                <w:szCs w:val="20"/>
                <w:color w:val="auto"/>
              </w:rPr>
            </w:pPr>
            <w:r>
              <w:rPr>
                <w:rFonts w:ascii="Arial" w:cs="Arial" w:eastAsia="Arial" w:hAnsi="Arial"/>
                <w:sz w:val="18"/>
                <w:szCs w:val="18"/>
                <w:i w:val="1"/>
                <w:iCs w:val="1"/>
                <w:color w:val="auto"/>
              </w:rPr>
              <w:t>Chief Accounting Officer and Principal Accounting Officer</w:t>
            </w: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i w:val="1"/>
                <w:iCs w:val="1"/>
                <w:color w:val="auto"/>
              </w:rPr>
              <w:t>of Activision Blizzard, Inc.</w:t>
            </w:r>
          </w:p>
        </w:tc>
        <w:tc>
          <w:tcPr>
            <w:tcW w:w="460" w:type="dxa"/>
            <w:vAlign w:val="bottom"/>
          </w:tcPr>
          <w:p>
            <w:pPr>
              <w:spacing w:after="0"/>
              <w:rPr>
                <w:sz w:val="20"/>
                <w:szCs w:val="20"/>
                <w:color w:val="auto"/>
              </w:rPr>
            </w:pPr>
          </w:p>
        </w:tc>
        <w:tc>
          <w:tcPr>
            <w:tcW w:w="5380" w:type="dxa"/>
            <w:vAlign w:val="bottom"/>
          </w:tcPr>
          <w:p>
            <w:pPr>
              <w:ind w:left="20"/>
              <w:spacing w:after="0"/>
              <w:rPr>
                <w:sz w:val="20"/>
                <w:szCs w:val="20"/>
                <w:color w:val="auto"/>
              </w:rPr>
            </w:pPr>
            <w:r>
              <w:rPr>
                <w:rFonts w:ascii="Arial" w:cs="Arial" w:eastAsia="Arial" w:hAnsi="Arial"/>
                <w:sz w:val="18"/>
                <w:szCs w:val="18"/>
                <w:i w:val="1"/>
                <w:iCs w:val="1"/>
                <w:color w:val="auto"/>
              </w:rPr>
              <w:t>of Activision Blizzard, Inc.</w:t>
            </w:r>
          </w:p>
        </w:tc>
      </w:tr>
      <w:tr>
        <w:trPr>
          <w:trHeight w:val="850"/>
        </w:trPr>
        <w:tc>
          <w:tcPr>
            <w:tcW w:w="5400" w:type="dxa"/>
            <w:vAlign w:val="bottom"/>
          </w:tcPr>
          <w:p>
            <w:pPr>
              <w:spacing w:after="0"/>
              <w:rPr>
                <w:sz w:val="24"/>
                <w:szCs w:val="24"/>
                <w:color w:val="auto"/>
              </w:rPr>
            </w:pP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67</w:t>
            </w:r>
          </w:p>
        </w:tc>
        <w:tc>
          <w:tcPr>
            <w:tcW w:w="5380" w:type="dxa"/>
            <w:vAlign w:val="bottom"/>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Robert A. Kotick, certify that:</w:t>
      </w:r>
    </w:p>
    <w:p>
      <w:pPr>
        <w:spacing w:after="0" w:line="225" w:lineRule="exact"/>
        <w:rPr>
          <w:sz w:val="20"/>
          <w:szCs w:val="20"/>
          <w:color w:val="auto"/>
        </w:rPr>
      </w:pPr>
    </w:p>
    <w:p>
      <w:pPr>
        <w:ind w:left="180" w:hanging="172"/>
        <w:spacing w:after="0"/>
        <w:tabs>
          <w:tab w:leader="none" w:pos="1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Activision Blizzard, Inc.;</w:t>
      </w:r>
    </w:p>
    <w:p>
      <w:pPr>
        <w:spacing w:after="0" w:line="225"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540" w:firstLine="8"/>
        <w:spacing w:after="0" w:line="308" w:lineRule="auto"/>
        <w:tabs>
          <w:tab w:leader="none" w:pos="1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20" w:firstLine="8"/>
        <w:spacing w:after="0" w:line="263" w:lineRule="auto"/>
        <w:tabs>
          <w:tab w:leader="none" w:pos="1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right="20" w:firstLine="656"/>
        <w:spacing w:after="0" w:line="263" w:lineRule="auto"/>
        <w:tabs>
          <w:tab w:leader="none" w:pos="1001"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right="40" w:firstLine="656"/>
        <w:spacing w:after="0" w:line="263" w:lineRule="auto"/>
        <w:tabs>
          <w:tab w:leader="none" w:pos="1011"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520" w:firstLine="656"/>
        <w:spacing w:after="0" w:line="342" w:lineRule="auto"/>
        <w:tabs>
          <w:tab w:leader="none" w:pos="1014" w:val="left"/>
        </w:tabs>
        <w:numPr>
          <w:ilvl w:val="1"/>
          <w:numId w:val="6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firstLine="656"/>
        <w:spacing w:after="0" w:line="263" w:lineRule="auto"/>
        <w:tabs>
          <w:tab w:leader="none" w:pos="1011" w:val="left"/>
        </w:tabs>
        <w:numPr>
          <w:ilvl w:val="1"/>
          <w:numId w:val="6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480" w:firstLine="8"/>
        <w:spacing w:after="0" w:line="308" w:lineRule="auto"/>
        <w:tabs>
          <w:tab w:leader="none" w:pos="1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740" w:firstLine="656"/>
        <w:spacing w:after="0" w:line="308" w:lineRule="auto"/>
        <w:tabs>
          <w:tab w:leader="none" w:pos="1001" w:val="left"/>
        </w:tabs>
        <w:numPr>
          <w:ilvl w:val="1"/>
          <w:numId w:val="6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420" w:firstLine="656"/>
        <w:spacing w:after="0" w:line="277" w:lineRule="auto"/>
        <w:tabs>
          <w:tab w:leader="none" w:pos="1011"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29, 2020</w:t>
      </w:r>
    </w:p>
    <w:p>
      <w:pPr>
        <w:spacing w:after="0" w:line="200" w:lineRule="exact"/>
        <w:rPr>
          <w:sz w:val="20"/>
          <w:szCs w:val="20"/>
          <w:color w:val="auto"/>
        </w:rPr>
      </w:pPr>
    </w:p>
    <w:p>
      <w:pPr>
        <w:spacing w:after="0" w:line="39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ROBERT A. KOTICK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31750</wp:posOffset>
            </wp:positionV>
            <wp:extent cx="355727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5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Robert A. Kotick</w:t>
      </w:r>
    </w:p>
    <w:p>
      <w:pPr>
        <w:spacing w:after="0" w:line="63"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Chief Executive Officer and</w:t>
      </w:r>
    </w:p>
    <w:p>
      <w:pPr>
        <w:spacing w:after="0" w:line="63"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Principal Executive Officer of</w:t>
      </w:r>
    </w:p>
    <w:p>
      <w:pPr>
        <w:spacing w:after="0" w:line="63"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Activision Blizzard, Inc.</w:t>
      </w:r>
    </w:p>
    <w:p>
      <w:pPr>
        <w:sectPr>
          <w:pgSz w:w="11900" w:h="16838" w:orient="portrait"/>
          <w:cols w:equalWidth="0" w:num="1">
            <w:col w:w="11240"/>
          </w:cols>
          <w:pgMar w:left="320" w:top="891"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Dennis Durkin, certify that:</w:t>
      </w:r>
    </w:p>
    <w:p>
      <w:pPr>
        <w:spacing w:after="0" w:line="225" w:lineRule="exact"/>
        <w:rPr>
          <w:sz w:val="20"/>
          <w:szCs w:val="20"/>
          <w:color w:val="auto"/>
        </w:rPr>
      </w:pPr>
    </w:p>
    <w:p>
      <w:pPr>
        <w:ind w:left="180" w:hanging="172"/>
        <w:spacing w:after="0"/>
        <w:tabs>
          <w:tab w:leader="none" w:pos="1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Activision Blizzard, Inc.;</w:t>
      </w:r>
    </w:p>
    <w:p>
      <w:pPr>
        <w:spacing w:after="0" w:line="225"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540" w:firstLine="8"/>
        <w:spacing w:after="0" w:line="308" w:lineRule="auto"/>
        <w:tabs>
          <w:tab w:leader="none" w:pos="1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20" w:firstLine="8"/>
        <w:spacing w:after="0" w:line="263" w:lineRule="auto"/>
        <w:tabs>
          <w:tab w:leader="none" w:pos="1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right="140" w:firstLine="656"/>
        <w:spacing w:after="0" w:line="263" w:lineRule="auto"/>
        <w:tabs>
          <w:tab w:leader="none" w:pos="893"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right="40" w:firstLine="656"/>
        <w:spacing w:after="0" w:line="263" w:lineRule="auto"/>
        <w:tabs>
          <w:tab w:leader="none" w:pos="903"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640" w:firstLine="656"/>
        <w:spacing w:after="0" w:line="342" w:lineRule="auto"/>
        <w:tabs>
          <w:tab w:leader="none" w:pos="893" w:val="left"/>
        </w:tabs>
        <w:numPr>
          <w:ilvl w:val="1"/>
          <w:numId w:val="6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right="120" w:firstLine="656"/>
        <w:spacing w:after="0" w:line="263" w:lineRule="auto"/>
        <w:tabs>
          <w:tab w:leader="none" w:pos="903" w:val="left"/>
        </w:tabs>
        <w:numPr>
          <w:ilvl w:val="1"/>
          <w:numId w:val="6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480" w:firstLine="8"/>
        <w:spacing w:after="0" w:line="308" w:lineRule="auto"/>
        <w:tabs>
          <w:tab w:leader="none" w:pos="1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40" w:firstLine="656"/>
        <w:spacing w:after="0" w:line="277" w:lineRule="auto"/>
        <w:tabs>
          <w:tab w:leader="none" w:pos="883" w:val="left"/>
        </w:tabs>
        <w:numPr>
          <w:ilvl w:val="1"/>
          <w:numId w:val="6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540" w:firstLine="656"/>
        <w:spacing w:after="0" w:line="277" w:lineRule="auto"/>
        <w:tabs>
          <w:tab w:leader="none" w:pos="893" w:val="left"/>
        </w:tabs>
        <w:numPr>
          <w:ilvl w:val="1"/>
          <w:numId w:val="6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29, 2020</w:t>
      </w:r>
    </w:p>
    <w:p>
      <w:pPr>
        <w:spacing w:after="0" w:line="200" w:lineRule="exact"/>
        <w:rPr>
          <w:sz w:val="20"/>
          <w:szCs w:val="20"/>
          <w:color w:val="auto"/>
        </w:rPr>
      </w:pPr>
    </w:p>
    <w:p>
      <w:pPr>
        <w:spacing w:after="0" w:line="39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DENNIS DURKIN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31750</wp:posOffset>
            </wp:positionV>
            <wp:extent cx="355727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5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Dennis Durkin</w:t>
      </w:r>
    </w:p>
    <w:p>
      <w:pPr>
        <w:spacing w:after="0" w:line="63"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Chief Financial Officer and Principal Financial Officer</w:t>
      </w:r>
    </w:p>
    <w:p>
      <w:pPr>
        <w:spacing w:after="0" w:line="63"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of Activision Blizzard, Inc.</w:t>
      </w:r>
    </w:p>
    <w:p>
      <w:pPr>
        <w:sectPr>
          <w:pgSz w:w="11900" w:h="16838" w:orient="portrait"/>
          <w:cols w:equalWidth="0" w:num="1">
            <w:col w:w="11240"/>
          </w:cols>
          <w:pgMar w:left="320" w:top="891"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0" w:firstLine="324"/>
        <w:spacing w:after="0" w:line="311" w:lineRule="auto"/>
        <w:rPr>
          <w:sz w:val="20"/>
          <w:szCs w:val="20"/>
          <w:color w:val="auto"/>
        </w:rPr>
      </w:pPr>
      <w:r>
        <w:rPr>
          <w:rFonts w:ascii="Arial" w:cs="Arial" w:eastAsia="Arial" w:hAnsi="Arial"/>
          <w:sz w:val="16"/>
          <w:szCs w:val="16"/>
          <w:color w:val="auto"/>
        </w:rPr>
        <w:t>In connection with the quarterly report of Activision Blizzard, Inc. (the “Company”) on Form 10-Q for the period ended September 30, 2020 as filed with the Securities and Exchange Commission on the date hereof (the “Report”), I, Robert A. Kotick, Chief Executive Officer and Principal Executive Officer of the Company, certify, to my knowledge, pursuant to 18 U.S.C. § 1350, as adopted pursuant to § 906 of the Sarbanes-Oxley Act of 2002, that:</w:t>
      </w:r>
    </w:p>
    <w:p>
      <w:pPr>
        <w:spacing w:after="0" w:line="149" w:lineRule="exact"/>
        <w:rPr>
          <w:sz w:val="20"/>
          <w:szCs w:val="20"/>
          <w:color w:val="auto"/>
        </w:rPr>
      </w:pPr>
    </w:p>
    <w:p>
      <w:pPr>
        <w:ind w:left="1000" w:hanging="344"/>
        <w:spacing w:after="0"/>
        <w:tabs>
          <w:tab w:leader="none" w:pos="10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000" w:hanging="344"/>
        <w:spacing w:after="0"/>
        <w:tabs>
          <w:tab w:leader="none" w:pos="10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October 29, 2020</w:t>
      </w:r>
    </w:p>
    <w:p>
      <w:pPr>
        <w:spacing w:after="0" w:line="37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ROBERT A. KOTICK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31750</wp:posOffset>
            </wp:positionV>
            <wp:extent cx="355727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5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Robert A. Kotick</w:t>
      </w:r>
    </w:p>
    <w:p>
      <w:pPr>
        <w:spacing w:after="0" w:line="63"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Chief Executive Officer and</w:t>
      </w:r>
    </w:p>
    <w:p>
      <w:pPr>
        <w:spacing w:after="0" w:line="63"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Principal Executive Officer of</w:t>
      </w:r>
    </w:p>
    <w:p>
      <w:pPr>
        <w:spacing w:after="0" w:line="63"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Activision Blizzard, Inc.</w:t>
      </w:r>
    </w:p>
    <w:p>
      <w:pPr>
        <w:spacing w:after="0" w:line="33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891"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120" w:firstLine="324"/>
        <w:spacing w:after="0" w:line="311" w:lineRule="auto"/>
        <w:rPr>
          <w:sz w:val="20"/>
          <w:szCs w:val="20"/>
          <w:color w:val="auto"/>
        </w:rPr>
      </w:pPr>
      <w:r>
        <w:rPr>
          <w:rFonts w:ascii="Arial" w:cs="Arial" w:eastAsia="Arial" w:hAnsi="Arial"/>
          <w:sz w:val="16"/>
          <w:szCs w:val="16"/>
          <w:color w:val="auto"/>
        </w:rPr>
        <w:t>In connection with the quarterly report of Activision Blizzard, Inc. (the “Company”) on Form 10-Q for the period ended September 30, 2020 as filed with the Securities and Exchange Commission on the date hereof (the “Report”), I, Dennis Durkin, Chief Financial Officer and Principal Financial Officer of the Company, certify, to my knowledge, pursuant to 18 U.S.C. § 1350, as adopted pursuant to § 906 of the Sarbanes-Oxley Act of 2002, that:</w:t>
      </w:r>
    </w:p>
    <w:p>
      <w:pPr>
        <w:spacing w:after="0" w:line="149" w:lineRule="exact"/>
        <w:rPr>
          <w:sz w:val="20"/>
          <w:szCs w:val="20"/>
          <w:color w:val="auto"/>
        </w:rPr>
      </w:pPr>
    </w:p>
    <w:p>
      <w:pPr>
        <w:ind w:left="1000" w:hanging="344"/>
        <w:spacing w:after="0"/>
        <w:tabs>
          <w:tab w:leader="none" w:pos="10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000" w:hanging="344"/>
        <w:spacing w:after="0"/>
        <w:tabs>
          <w:tab w:leader="none" w:pos="100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October 29, 2020</w:t>
      </w:r>
    </w:p>
    <w:p>
      <w:pPr>
        <w:spacing w:after="0" w:line="37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DENNIS DURKIN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31750</wp:posOffset>
            </wp:positionV>
            <wp:extent cx="355727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5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Dennis Durkin</w:t>
      </w:r>
    </w:p>
    <w:p>
      <w:pPr>
        <w:spacing w:after="0" w:line="63"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Chief Financial Officer and Principal Financial Officer</w:t>
      </w:r>
    </w:p>
    <w:p>
      <w:pPr>
        <w:spacing w:after="0" w:line="63"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of Activision Blizzard, Inc.</w:t>
      </w:r>
    </w:p>
    <w:p>
      <w:pPr>
        <w:spacing w:after="0" w:line="33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abstractNum>
  <w:abstractNum w:abstractNumId="1">
    <w:nsid w:val="22221A70"/>
    <w:multiLevelType w:val="hybridMultilevel"/>
    <w:lvl w:ilvl="0">
      <w:lvlJc w:val="left"/>
      <w:lvlText w:val="☐"/>
      <w:numFmt w:val="bullet"/>
      <w:start w:val="1"/>
    </w:lvl>
  </w:abstractNum>
  <w:abstractNum w:abstractNumId="2">
    <w:nsid w:val="4516DDE9"/>
    <w:multiLevelType w:val="hybridMultilevel"/>
    <w:lvl w:ilvl="0">
      <w:lvlJc w:val="left"/>
      <w:lvlText w:val="(%1)"/>
      <w:numFmt w:val="decimal"/>
      <w:start w:val="1"/>
    </w:lvl>
  </w:abstractNum>
  <w:abstractNum w:abstractNumId="3">
    <w:nsid w:val="3006C83E"/>
    <w:multiLevelType w:val="hybridMultilevel"/>
    <w:lvl w:ilvl="0">
      <w:lvlJc w:val="left"/>
      <w:lvlText w:val="•"/>
      <w:numFmt w:val="bullet"/>
      <w:start w:val="1"/>
    </w:lvl>
  </w:abstractNum>
  <w:abstractNum w:abstractNumId="4">
    <w:nsid w:val="614FD4A1"/>
    <w:multiLevelType w:val="hybridMultilevel"/>
    <w:lvl w:ilvl="0">
      <w:lvlJc w:val="left"/>
      <w:lvlText w:val="(%1)"/>
      <w:numFmt w:val="decimal"/>
      <w:start w:val="1"/>
    </w:lvl>
  </w:abstractNum>
  <w:abstractNum w:abstractNumId="5">
    <w:nsid w:val="419AC241"/>
    <w:multiLevelType w:val="hybridMultilevel"/>
    <w:lvl w:ilvl="0">
      <w:lvlJc w:val="left"/>
      <w:lvlText w:val="(%1)"/>
      <w:numFmt w:val="decimal"/>
      <w:start w:val="1"/>
    </w:lvl>
  </w:abstractNum>
  <w:abstractNum w:abstractNumId="6">
    <w:nsid w:val="5577F8E1"/>
    <w:multiLevelType w:val="hybridMultilevel"/>
    <w:lvl w:ilvl="0">
      <w:lvlJc w:val="left"/>
      <w:lvlText w:val="(%1)"/>
      <w:numFmt w:val="decimal"/>
      <w:start w:val="1"/>
    </w:lvl>
  </w:abstractNum>
  <w:abstractNum w:abstractNumId="7">
    <w:nsid w:val="440BADFC"/>
    <w:multiLevelType w:val="hybridMultilevel"/>
    <w:lvl w:ilvl="0">
      <w:lvlJc w:val="left"/>
      <w:lvlText w:val="(%1)"/>
      <w:numFmt w:val="decimal"/>
      <w:start w:val="1"/>
    </w:lvl>
  </w:abstractNum>
  <w:abstractNum w:abstractNumId="8">
    <w:nsid w:val="5072367"/>
    <w:multiLevelType w:val="hybridMultilevel"/>
    <w:lvl w:ilvl="0">
      <w:lvlJc w:val="left"/>
      <w:lvlText w:val="(%1)"/>
      <w:numFmt w:val="decimal"/>
      <w:start w:val="1"/>
    </w:lvl>
  </w:abstractNum>
  <w:abstractNum w:abstractNumId="9">
    <w:nsid w:val="3804823E"/>
    <w:multiLevelType w:val="hybridMultilevel"/>
    <w:lvl w:ilvl="0">
      <w:lvlJc w:val="left"/>
      <w:lvlText w:val="(%1)"/>
      <w:numFmt w:val="decimal"/>
      <w:start w:val="1"/>
    </w:lvl>
  </w:abstractNum>
  <w:abstractNum w:abstractNumId="10">
    <w:nsid w:val="77465F01"/>
    <w:multiLevelType w:val="hybridMultilevel"/>
    <w:lvl w:ilvl="0">
      <w:lvlJc w:val="left"/>
      <w:lvlText w:val="•"/>
      <w:numFmt w:val="bullet"/>
      <w:start w:val="1"/>
    </w:lvl>
  </w:abstractNum>
  <w:abstractNum w:abstractNumId="11">
    <w:nsid w:val="7724C67E"/>
    <w:multiLevelType w:val="hybridMultilevel"/>
    <w:lvl w:ilvl="0">
      <w:lvlJc w:val="left"/>
      <w:lvlText w:val="(%1)"/>
      <w:numFmt w:val="decimal"/>
      <w:start w:val="1"/>
    </w:lvl>
  </w:abstractNum>
  <w:abstractNum w:abstractNumId="12">
    <w:nsid w:val="5C482A97"/>
    <w:multiLevelType w:val="hybridMultilevel"/>
    <w:lvl w:ilvl="0">
      <w:lvlJc w:val="left"/>
      <w:lvlText w:val="(%1)"/>
      <w:numFmt w:val="decimal"/>
      <w:start w:val="1"/>
    </w:lvl>
  </w:abstractNum>
  <w:abstractNum w:abstractNumId="13">
    <w:nsid w:val="2463B9EA"/>
    <w:multiLevelType w:val="hybridMultilevel"/>
    <w:lvl w:ilvl="0">
      <w:lvlJc w:val="left"/>
      <w:lvlText w:val="(%1)"/>
      <w:numFmt w:val="decimal"/>
      <w:start w:val="1"/>
    </w:lvl>
  </w:abstractNum>
  <w:abstractNum w:abstractNumId="14">
    <w:nsid w:val="5E884ADC"/>
    <w:multiLevelType w:val="hybridMultilevel"/>
    <w:lvl w:ilvl="0">
      <w:lvlJc w:val="left"/>
      <w:lvlText w:val="%1."/>
      <w:numFmt w:val="decimal"/>
      <w:start w:val="12"/>
    </w:lvl>
  </w:abstractNum>
  <w:abstractNum w:abstractNumId="15">
    <w:nsid w:val="51EAD36B"/>
    <w:multiLevelType w:val="hybridMultilevel"/>
    <w:lvl w:ilvl="0">
      <w:lvlJc w:val="left"/>
      <w:lvlText w:val="•"/>
      <w:numFmt w:val="bullet"/>
      <w:start w:val="1"/>
    </w:lvl>
  </w:abstractNum>
  <w:abstractNum w:abstractNumId="16">
    <w:nsid w:val="2D517796"/>
    <w:multiLevelType w:val="hybridMultilevel"/>
    <w:lvl w:ilvl="0">
      <w:lvlJc w:val="left"/>
      <w:lvlText w:val="•"/>
      <w:numFmt w:val="bullet"/>
      <w:start w:val="1"/>
    </w:lvl>
  </w:abstractNum>
  <w:abstractNum w:abstractNumId="17">
    <w:nsid w:val="580BD78F"/>
    <w:multiLevelType w:val="hybridMultilevel"/>
    <w:lvl w:ilvl="0">
      <w:lvlJc w:val="left"/>
      <w:lvlText w:val="•"/>
      <w:numFmt w:val="bullet"/>
      <w:start w:val="1"/>
    </w:lvl>
  </w:abstractNum>
  <w:abstractNum w:abstractNumId="18">
    <w:nsid w:val="153EA438"/>
    <w:multiLevelType w:val="hybridMultilevel"/>
    <w:lvl w:ilvl="0">
      <w:lvlJc w:val="left"/>
      <w:lvlText w:val="•"/>
      <w:numFmt w:val="bullet"/>
      <w:start w:val="1"/>
    </w:lvl>
  </w:abstractNum>
  <w:abstractNum w:abstractNumId="19">
    <w:nsid w:val="3855585C"/>
    <w:multiLevelType w:val="hybridMultilevel"/>
    <w:lvl w:ilvl="0">
      <w:lvlJc w:val="left"/>
      <w:lvlText w:val="•"/>
      <w:numFmt w:val="bullet"/>
      <w:start w:val="1"/>
    </w:lvl>
  </w:abstractNum>
  <w:abstractNum w:abstractNumId="20">
    <w:nsid w:val="70A64E2A"/>
    <w:multiLevelType w:val="hybridMultilevel"/>
    <w:lvl w:ilvl="0">
      <w:lvlJc w:val="left"/>
      <w:lvlText w:val="•"/>
      <w:numFmt w:val="bullet"/>
      <w:start w:val="1"/>
    </w:lvl>
  </w:abstractNum>
  <w:abstractNum w:abstractNumId="21">
    <w:nsid w:val="6A2342EC"/>
    <w:multiLevelType w:val="hybridMultilevel"/>
    <w:lvl w:ilvl="0">
      <w:lvlJc w:val="left"/>
      <w:lvlText w:val="•"/>
      <w:numFmt w:val="bullet"/>
      <w:start w:val="1"/>
    </w:lvl>
  </w:abstractNum>
  <w:abstractNum w:abstractNumId="22">
    <w:nsid w:val="2A487CB0"/>
    <w:multiLevelType w:val="hybridMultilevel"/>
    <w:lvl w:ilvl="0">
      <w:lvlJc w:val="left"/>
      <w:lvlText w:val="(%1)"/>
      <w:numFmt w:val="decimal"/>
      <w:start w:val="1"/>
    </w:lvl>
  </w:abstractNum>
  <w:abstractNum w:abstractNumId="23">
    <w:nsid w:val="1D4ED43B"/>
    <w:multiLevelType w:val="hybridMultilevel"/>
    <w:lvl w:ilvl="0">
      <w:lvlJc w:val="left"/>
      <w:lvlText w:val="(%1)"/>
      <w:numFmt w:val="decimal"/>
      <w:start w:val="1"/>
    </w:lvl>
  </w:abstractNum>
  <w:abstractNum w:abstractNumId="24">
    <w:nsid w:val="725A06FB"/>
    <w:multiLevelType w:val="hybridMultilevel"/>
    <w:lvl w:ilvl="0">
      <w:lvlJc w:val="left"/>
      <w:lvlText w:val="•"/>
      <w:numFmt w:val="bullet"/>
      <w:start w:val="1"/>
    </w:lvl>
  </w:abstractNum>
  <w:abstractNum w:abstractNumId="25">
    <w:nsid w:val="2CD89A32"/>
    <w:multiLevelType w:val="hybridMultilevel"/>
    <w:lvl w:ilvl="0">
      <w:lvlJc w:val="left"/>
      <w:lvlText w:val="•"/>
      <w:numFmt w:val="bullet"/>
      <w:start w:val="1"/>
    </w:lvl>
  </w:abstractNum>
  <w:abstractNum w:abstractNumId="26">
    <w:nsid w:val="57E4CCAF"/>
    <w:multiLevelType w:val="hybridMultilevel"/>
    <w:lvl w:ilvl="0">
      <w:lvlJc w:val="left"/>
      <w:lvlText w:val="•"/>
      <w:numFmt w:val="bullet"/>
      <w:start w:val="1"/>
    </w:lvl>
  </w:abstractNum>
  <w:abstractNum w:abstractNumId="27">
    <w:nsid w:val="7A6D8D3C"/>
    <w:multiLevelType w:val="hybridMultilevel"/>
    <w:lvl w:ilvl="0">
      <w:lvlJc w:val="left"/>
      <w:lvlText w:val="•"/>
      <w:numFmt w:val="bullet"/>
      <w:start w:val="1"/>
    </w:lvl>
  </w:abstractNum>
  <w:abstractNum w:abstractNumId="28">
    <w:nsid w:val="4B588F54"/>
    <w:multiLevelType w:val="hybridMultilevel"/>
    <w:lvl w:ilvl="0">
      <w:lvlJc w:val="left"/>
      <w:lvlText w:val="(%1)"/>
      <w:numFmt w:val="decimal"/>
      <w:start w:val="1"/>
    </w:lvl>
  </w:abstractNum>
  <w:abstractNum w:abstractNumId="29">
    <w:nsid w:val="542289EC"/>
    <w:multiLevelType w:val="hybridMultilevel"/>
    <w:lvl w:ilvl="0">
      <w:lvlJc w:val="left"/>
      <w:lvlText w:val="(%1)"/>
      <w:numFmt w:val="decimal"/>
      <w:start w:val="1"/>
    </w:lvl>
  </w:abstractNum>
  <w:abstractNum w:abstractNumId="30">
    <w:nsid w:val="6DE91B18"/>
    <w:multiLevelType w:val="hybridMultilevel"/>
    <w:lvl w:ilvl="0">
      <w:lvlJc w:val="left"/>
      <w:lvlText w:val="(%1)"/>
      <w:numFmt w:val="decimal"/>
      <w:start w:val="2"/>
    </w:lvl>
  </w:abstractNum>
  <w:abstractNum w:abstractNumId="31">
    <w:nsid w:val="38437FDB"/>
    <w:multiLevelType w:val="hybridMultilevel"/>
    <w:lvl w:ilvl="0">
      <w:lvlJc w:val="left"/>
      <w:lvlText w:val="•"/>
      <w:numFmt w:val="bullet"/>
      <w:start w:val="1"/>
    </w:lvl>
  </w:abstractNum>
  <w:abstractNum w:abstractNumId="32">
    <w:nsid w:val="7644A45C"/>
    <w:multiLevelType w:val="hybridMultilevel"/>
    <w:lvl w:ilvl="0">
      <w:lvlJc w:val="left"/>
      <w:lvlText w:val="•"/>
      <w:numFmt w:val="bullet"/>
      <w:start w:val="1"/>
    </w:lvl>
  </w:abstractNum>
  <w:abstractNum w:abstractNumId="33">
    <w:nsid w:val="32FFF902"/>
    <w:multiLevelType w:val="hybridMultilevel"/>
    <w:lvl w:ilvl="0">
      <w:lvlJc w:val="left"/>
      <w:lvlText w:val="•"/>
      <w:numFmt w:val="bullet"/>
      <w:start w:val="1"/>
    </w:lvl>
  </w:abstractNum>
  <w:abstractNum w:abstractNumId="34">
    <w:nsid w:val="684A481A"/>
    <w:multiLevelType w:val="hybridMultilevel"/>
    <w:lvl w:ilvl="0">
      <w:lvlJc w:val="left"/>
      <w:lvlText w:val="•"/>
      <w:numFmt w:val="bullet"/>
      <w:start w:val="1"/>
    </w:lvl>
  </w:abstractNum>
  <w:abstractNum w:abstractNumId="35">
    <w:nsid w:val="579478FE"/>
    <w:multiLevelType w:val="hybridMultilevel"/>
    <w:lvl w:ilvl="0">
      <w:lvlJc w:val="left"/>
      <w:lvlText w:val="•"/>
      <w:numFmt w:val="bullet"/>
      <w:start w:val="1"/>
    </w:lvl>
  </w:abstractNum>
  <w:abstractNum w:abstractNumId="36">
    <w:nsid w:val="749ABB43"/>
    <w:multiLevelType w:val="hybridMultilevel"/>
    <w:lvl w:ilvl="0">
      <w:lvlJc w:val="left"/>
      <w:lvlText w:val="•"/>
      <w:numFmt w:val="bullet"/>
      <w:start w:val="1"/>
    </w:lvl>
  </w:abstractNum>
  <w:abstractNum w:abstractNumId="37">
    <w:nsid w:val="3DC240FB"/>
    <w:multiLevelType w:val="hybridMultilevel"/>
    <w:lvl w:ilvl="0">
      <w:lvlJc w:val="left"/>
      <w:lvlText w:val="•"/>
      <w:numFmt w:val="bullet"/>
      <w:start w:val="1"/>
    </w:lvl>
  </w:abstractNum>
  <w:abstractNum w:abstractNumId="38">
    <w:nsid w:val="1BA026FA"/>
    <w:multiLevelType w:val="hybridMultilevel"/>
    <w:lvl w:ilvl="0">
      <w:lvlJc w:val="left"/>
      <w:lvlText w:val="•"/>
      <w:numFmt w:val="bullet"/>
      <w:start w:val="1"/>
    </w:lvl>
  </w:abstractNum>
  <w:abstractNum w:abstractNumId="39">
    <w:nsid w:val="79A1DEAA"/>
    <w:multiLevelType w:val="hybridMultilevel"/>
    <w:lvl w:ilvl="0">
      <w:lvlJc w:val="left"/>
      <w:lvlText w:val="(%1)"/>
      <w:numFmt w:val="decimal"/>
      <w:start w:val="1"/>
    </w:lvl>
  </w:abstractNum>
  <w:abstractNum w:abstractNumId="40">
    <w:nsid w:val="75C6C33A"/>
    <w:multiLevelType w:val="hybridMultilevel"/>
    <w:lvl w:ilvl="0">
      <w:lvlJc w:val="left"/>
      <w:lvlText w:val="•"/>
      <w:numFmt w:val="bullet"/>
      <w:start w:val="1"/>
    </w:lvl>
  </w:abstractNum>
  <w:abstractNum w:abstractNumId="41">
    <w:nsid w:val="12E685FB"/>
    <w:multiLevelType w:val="hybridMultilevel"/>
    <w:lvl w:ilvl="0">
      <w:lvlJc w:val="left"/>
      <w:lvlText w:val="•"/>
      <w:numFmt w:val="bullet"/>
      <w:start w:val="1"/>
    </w:lvl>
  </w:abstractNum>
  <w:abstractNum w:abstractNumId="42">
    <w:nsid w:val="70C6A529"/>
    <w:multiLevelType w:val="hybridMultilevel"/>
    <w:lvl w:ilvl="0">
      <w:lvlJc w:val="left"/>
      <w:lvlText w:val="•"/>
      <w:numFmt w:val="bullet"/>
      <w:start w:val="1"/>
    </w:lvl>
  </w:abstractNum>
  <w:abstractNum w:abstractNumId="43">
    <w:nsid w:val="520EEDD1"/>
    <w:multiLevelType w:val="hybridMultilevel"/>
    <w:lvl w:ilvl="0">
      <w:lvlJc w:val="left"/>
      <w:lvlText w:val="(%1)"/>
      <w:numFmt w:val="decimal"/>
      <w:start w:val="1"/>
    </w:lvl>
  </w:abstractNum>
  <w:abstractNum w:abstractNumId="44">
    <w:nsid w:val="374A3FE6"/>
    <w:multiLevelType w:val="hybridMultilevel"/>
    <w:lvl w:ilvl="0">
      <w:lvlJc w:val="left"/>
      <w:lvlText w:val="•"/>
      <w:numFmt w:val="bullet"/>
      <w:start w:val="1"/>
    </w:lvl>
  </w:abstractNum>
  <w:abstractNum w:abstractNumId="45">
    <w:nsid w:val="4F4EF005"/>
    <w:multiLevelType w:val="hybridMultilevel"/>
    <w:lvl w:ilvl="0">
      <w:lvlJc w:val="left"/>
      <w:lvlText w:val="•"/>
      <w:numFmt w:val="bullet"/>
      <w:start w:val="1"/>
    </w:lvl>
  </w:abstractNum>
  <w:abstractNum w:abstractNumId="46">
    <w:nsid w:val="23F9C13C"/>
    <w:multiLevelType w:val="hybridMultilevel"/>
    <w:lvl w:ilvl="0">
      <w:lvlJc w:val="left"/>
      <w:lvlText w:val="•"/>
      <w:numFmt w:val="bullet"/>
      <w:start w:val="1"/>
    </w:lvl>
  </w:abstractNum>
  <w:abstractNum w:abstractNumId="47">
    <w:nsid w:val="649BB77C"/>
    <w:multiLevelType w:val="hybridMultilevel"/>
    <w:lvl w:ilvl="0">
      <w:lvlJc w:val="left"/>
      <w:lvlText w:val="•"/>
      <w:numFmt w:val="bullet"/>
      <w:start w:val="1"/>
    </w:lvl>
  </w:abstractNum>
  <w:abstractNum w:abstractNumId="48">
    <w:nsid w:val="275AC794"/>
    <w:multiLevelType w:val="hybridMultilevel"/>
    <w:lvl w:ilvl="0">
      <w:lvlJc w:val="left"/>
      <w:lvlText w:val="•"/>
      <w:numFmt w:val="bullet"/>
      <w:start w:val="1"/>
    </w:lvl>
  </w:abstractNum>
  <w:abstractNum w:abstractNumId="49">
    <w:nsid w:val="39386575"/>
    <w:multiLevelType w:val="hybridMultilevel"/>
    <w:lvl w:ilvl="0">
      <w:lvlJc w:val="left"/>
      <w:lvlText w:val="(%1)"/>
      <w:numFmt w:val="decimal"/>
      <w:start w:val="1"/>
    </w:lvl>
  </w:abstractNum>
  <w:abstractNum w:abstractNumId="50">
    <w:nsid w:val="1CF10FD8"/>
    <w:multiLevelType w:val="hybridMultilevel"/>
    <w:lvl w:ilvl="0">
      <w:lvlJc w:val="left"/>
      <w:lvlText w:val="•"/>
      <w:numFmt w:val="bullet"/>
      <w:start w:val="1"/>
    </w:lvl>
  </w:abstractNum>
  <w:abstractNum w:abstractNumId="51">
    <w:nsid w:val="180115BE"/>
    <w:multiLevelType w:val="hybridMultilevel"/>
    <w:lvl w:ilvl="0">
      <w:lvlJc w:val="left"/>
      <w:lvlText w:val="•"/>
      <w:numFmt w:val="bullet"/>
      <w:start w:val="1"/>
    </w:lvl>
  </w:abstractNum>
  <w:abstractNum w:abstractNumId="52">
    <w:nsid w:val="235BA861"/>
    <w:multiLevelType w:val="hybridMultilevel"/>
    <w:lvl w:ilvl="0">
      <w:lvlJc w:val="left"/>
      <w:lvlText w:val="•"/>
      <w:numFmt w:val="bullet"/>
      <w:start w:val="1"/>
    </w:lvl>
  </w:abstractNum>
  <w:abstractNum w:abstractNumId="53">
    <w:nsid w:val="47398C89"/>
    <w:multiLevelType w:val="hybridMultilevel"/>
    <w:lvl w:ilvl="0">
      <w:lvlJc w:val="left"/>
      <w:lvlText w:val="•"/>
      <w:numFmt w:val="bullet"/>
      <w:start w:val="1"/>
    </w:lvl>
  </w:abstractNum>
  <w:abstractNum w:abstractNumId="54">
    <w:nsid w:val="354FE9F9"/>
    <w:multiLevelType w:val="hybridMultilevel"/>
    <w:lvl w:ilvl="0">
      <w:lvlJc w:val="left"/>
      <w:lvlText w:val="•"/>
      <w:numFmt w:val="bullet"/>
      <w:start w:val="1"/>
    </w:lvl>
  </w:abstractNum>
  <w:abstractNum w:abstractNumId="55">
    <w:nsid w:val="15B5AF5C"/>
    <w:multiLevelType w:val="hybridMultilevel"/>
    <w:lvl w:ilvl="0">
      <w:lvlJc w:val="left"/>
      <w:lvlText w:val="•"/>
      <w:numFmt w:val="bullet"/>
      <w:start w:val="1"/>
    </w:lvl>
  </w:abstractNum>
  <w:abstractNum w:abstractNumId="56">
    <w:nsid w:val="741226BB"/>
    <w:multiLevelType w:val="hybridMultilevel"/>
    <w:lvl w:ilvl="0">
      <w:lvlJc w:val="left"/>
      <w:lvlText w:val="•"/>
      <w:numFmt w:val="bullet"/>
      <w:start w:val="1"/>
    </w:lvl>
  </w:abstractNum>
  <w:abstractNum w:abstractNumId="57">
    <w:nsid w:val="D34B6A8"/>
    <w:multiLevelType w:val="hybridMultilevel"/>
    <w:lvl w:ilvl="0">
      <w:lvlJc w:val="left"/>
      <w:lvlText w:val="•"/>
      <w:numFmt w:val="bullet"/>
      <w:start w:val="1"/>
    </w:lvl>
  </w:abstractNum>
  <w:abstractNum w:abstractNumId="58">
    <w:nsid w:val="10233C99"/>
    <w:multiLevelType w:val="hybridMultilevel"/>
    <w:lvl w:ilvl="0">
      <w:lvlJc w:val="left"/>
      <w:lvlText w:val="%1"/>
      <w:numFmt w:val="decimal"/>
      <w:start w:val="104"/>
    </w:lvl>
  </w:abstractNum>
  <w:abstractNum w:abstractNumId="59">
    <w:nsid w:val="3F6AB60F"/>
    <w:multiLevelType w:val="hybridMultilevel"/>
    <w:lvl w:ilvl="0">
      <w:lvlJc w:val="left"/>
      <w:lvlText w:val="%1."/>
      <w:numFmt w:val="decimal"/>
      <w:start w:val="1"/>
    </w:lvl>
    <w:lvl w:ilvl="1">
      <w:lvlJc w:val="left"/>
      <w:lvlText w:val="(%2)"/>
      <w:numFmt w:val="lowerLetter"/>
      <w:start w:val="1"/>
    </w:lvl>
  </w:abstractNum>
  <w:abstractNum w:abstractNumId="60">
    <w:nsid w:val="61574095"/>
    <w:multiLevelType w:val="hybridMultilevel"/>
    <w:lvl w:ilvl="0">
      <w:lvlJc w:val="left"/>
      <w:lvlText w:val="%1."/>
      <w:numFmt w:val="decimal"/>
      <w:start w:val="1"/>
    </w:lvl>
    <w:lvl w:ilvl="1">
      <w:lvlJc w:val="left"/>
      <w:lvlText w:val="(%2)"/>
      <w:numFmt w:val="lowerLetter"/>
      <w:start w:val="1"/>
    </w:lvl>
  </w:abstractNum>
  <w:abstractNum w:abstractNumId="61">
    <w:nsid w:val="7E0C57B1"/>
    <w:multiLevelType w:val="hybridMultilevel"/>
    <w:lvl w:ilvl="0">
      <w:lvlJc w:val="left"/>
      <w:lvlText w:val="(%1)"/>
      <w:numFmt w:val="decimal"/>
      <w:start w:val="1"/>
    </w:lvl>
  </w:abstractNum>
  <w:abstractNum w:abstractNumId="62">
    <w:nsid w:val="77AE35E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6"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04" Type="http://schemas.openxmlformats.org/officeDocument/2006/relationships/hyperlink" Target="http://www.sec.gov/Archives/edgar/data/718877/000110465914044513/a14-14950_1ex3d1.htm" TargetMode="External"/><Relationship Id="rId105" Type="http://schemas.openxmlformats.org/officeDocument/2006/relationships/hyperlink" Target="http://www.sec.gov/Archives/edgar/data/718877/000110465918019359/a18-8728_1ex3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2020-10-29T15:45:23Z</dcterms:created>
  <dcterms:modified xsi:type="dcterms:W3CDTF">2020-10-29T15:45:23Z</dcterms:modified>
</cp:coreProperties>
</file>