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309245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268605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5" w:lineRule="exact"/>
        <w:rPr>
          <w:sz w:val="24"/>
          <w:szCs w:val="24"/>
          <w:color w:val="auto"/>
        </w:rPr>
      </w:pPr>
    </w:p>
    <w:p>
      <w:pPr>
        <w:ind w:left="500" w:hanging="237"/>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2022</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8" w:lineRule="exact"/>
        <w:rPr>
          <w:sz w:val="24"/>
          <w:szCs w:val="24"/>
          <w:color w:val="auto"/>
        </w:rPr>
      </w:pPr>
    </w:p>
    <w:p>
      <w:pPr>
        <w:ind w:left="500" w:hanging="244"/>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4" w:lineRule="exact"/>
        <w:rPr>
          <w:sz w:val="24"/>
          <w:szCs w:val="24"/>
          <w:color w:val="auto"/>
        </w:rPr>
      </w:pPr>
    </w:p>
    <w:p>
      <w:pPr>
        <w:ind w:left="352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2490470</wp:posOffset>
            </wp:positionH>
            <wp:positionV relativeFrom="paragraph">
              <wp:posOffset>18415</wp:posOffset>
            </wp:positionV>
            <wp:extent cx="2160905" cy="671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671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ACTIVISION BLIZZARD,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Borders>
              <w:bottom w:val="single" w:sz="8" w:color="auto"/>
            </w:tcBorders>
          </w:tcPr>
          <w:p>
            <w:pPr>
              <w:jc w:val="center"/>
              <w:ind w:left="2194"/>
              <w:spacing w:after="0"/>
              <w:rPr>
                <w:sz w:val="20"/>
                <w:szCs w:val="20"/>
                <w:color w:val="auto"/>
              </w:rPr>
            </w:pPr>
            <w:r>
              <w:rPr>
                <w:rFonts w:ascii="Arial" w:cs="Arial" w:eastAsia="Arial" w:hAnsi="Arial"/>
                <w:sz w:val="17"/>
                <w:szCs w:val="17"/>
                <w:b w:val="1"/>
                <w:bCs w:val="1"/>
                <w:color w:val="auto"/>
                <w:w w:val="91"/>
              </w:rPr>
              <w:t>Delaware</w:t>
            </w:r>
          </w:p>
        </w:tc>
        <w:tc>
          <w:tcPr>
            <w:tcW w:w="1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Borders>
              <w:bottom w:val="single" w:sz="8" w:color="auto"/>
            </w:tcBorders>
          </w:tcPr>
          <w:p>
            <w:pPr>
              <w:jc w:val="right"/>
              <w:ind w:right="2054"/>
              <w:spacing w:after="0"/>
              <w:rPr>
                <w:sz w:val="20"/>
                <w:szCs w:val="20"/>
                <w:color w:val="auto"/>
              </w:rPr>
            </w:pPr>
            <w:r>
              <w:rPr>
                <w:rFonts w:ascii="Arial" w:cs="Arial" w:eastAsia="Arial" w:hAnsi="Arial"/>
                <w:sz w:val="17"/>
                <w:szCs w:val="17"/>
                <w:b w:val="1"/>
                <w:bCs w:val="1"/>
                <w:color w:val="auto"/>
              </w:rPr>
              <w:t>95-4803544</w:t>
            </w:r>
          </w:p>
        </w:tc>
      </w:tr>
      <w:tr>
        <w:trPr>
          <w:trHeight w:val="211"/>
        </w:trPr>
        <w:tc>
          <w:tcPr>
            <w:tcW w:w="5380" w:type="dxa"/>
            <w:vAlign w:val="bottom"/>
            <w:gridSpan w:val="2"/>
          </w:tcPr>
          <w:p>
            <w:pPr>
              <w:jc w:val="center"/>
              <w:ind w:left="53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7"/>
                <w:szCs w:val="17"/>
                <w:color w:val="auto"/>
                <w:w w:val="95"/>
              </w:rPr>
              <w:t>(I.R.S. Employer Identification No.)</w:t>
            </w:r>
          </w:p>
        </w:tc>
      </w:tr>
      <w:tr>
        <w:trPr>
          <w:trHeight w:val="272"/>
        </w:trPr>
        <w:tc>
          <w:tcPr>
            <w:tcW w:w="3720" w:type="dxa"/>
            <w:vAlign w:val="bottom"/>
          </w:tcPr>
          <w:p>
            <w:pPr>
              <w:ind w:left="560"/>
              <w:spacing w:after="0"/>
              <w:rPr>
                <w:sz w:val="20"/>
                <w:szCs w:val="20"/>
                <w:color w:val="auto"/>
              </w:rPr>
            </w:pPr>
            <w:r>
              <w:rPr>
                <w:rFonts w:ascii="Arial" w:cs="Arial" w:eastAsia="Arial" w:hAnsi="Arial"/>
                <w:sz w:val="17"/>
                <w:szCs w:val="17"/>
                <w:b w:val="1"/>
                <w:bCs w:val="1"/>
                <w:color w:val="auto"/>
              </w:rPr>
              <w:t>2701 Olympic Boulevard Building B</w:t>
            </w:r>
          </w:p>
        </w:tc>
        <w:tc>
          <w:tcPr>
            <w:tcW w:w="1660" w:type="dxa"/>
            <w:vAlign w:val="bottom"/>
          </w:tcPr>
          <w:p>
            <w:pPr>
              <w:ind w:left="380"/>
              <w:spacing w:after="0"/>
              <w:rPr>
                <w:sz w:val="20"/>
                <w:szCs w:val="20"/>
                <w:color w:val="auto"/>
              </w:rPr>
            </w:pPr>
            <w:r>
              <w:rPr>
                <w:rFonts w:ascii="Arial" w:cs="Arial" w:eastAsia="Arial" w:hAnsi="Arial"/>
                <w:sz w:val="17"/>
                <w:szCs w:val="17"/>
                <w:b w:val="1"/>
                <w:bCs w:val="1"/>
                <w:color w:val="auto"/>
              </w:rPr>
              <w:t>Santa Monica,</w:t>
            </w:r>
          </w:p>
        </w:tc>
        <w:tc>
          <w:tcPr>
            <w:tcW w:w="760" w:type="dxa"/>
            <w:vAlign w:val="bottom"/>
            <w:gridSpan w:val="2"/>
          </w:tcPr>
          <w:p>
            <w:pPr>
              <w:ind w:left="220"/>
              <w:spacing w:after="0"/>
              <w:rPr>
                <w:sz w:val="20"/>
                <w:szCs w:val="20"/>
                <w:color w:val="auto"/>
              </w:rPr>
            </w:pPr>
            <w:r>
              <w:rPr>
                <w:rFonts w:ascii="Arial" w:cs="Arial" w:eastAsia="Arial" w:hAnsi="Arial"/>
                <w:sz w:val="17"/>
                <w:szCs w:val="17"/>
                <w:b w:val="1"/>
                <w:bCs w:val="1"/>
                <w:color w:val="auto"/>
              </w:rPr>
              <w:t>CA</w:t>
            </w:r>
          </w:p>
        </w:tc>
        <w:tc>
          <w:tcPr>
            <w:tcW w:w="5100" w:type="dxa"/>
            <w:vAlign w:val="bottom"/>
          </w:tcPr>
          <w:p>
            <w:pPr>
              <w:jc w:val="right"/>
              <w:ind w:right="2254"/>
              <w:spacing w:after="0"/>
              <w:rPr>
                <w:sz w:val="20"/>
                <w:szCs w:val="20"/>
                <w:color w:val="auto"/>
              </w:rPr>
            </w:pPr>
            <w:r>
              <w:rPr>
                <w:rFonts w:ascii="Arial" w:cs="Arial" w:eastAsia="Arial" w:hAnsi="Arial"/>
                <w:sz w:val="17"/>
                <w:szCs w:val="17"/>
                <w:b w:val="1"/>
                <w:bCs w:val="1"/>
                <w:color w:val="auto"/>
              </w:rPr>
              <w:t>90404</w:t>
            </w:r>
          </w:p>
        </w:tc>
      </w:tr>
      <w:tr>
        <w:trPr>
          <w:trHeight w:val="211"/>
        </w:trPr>
        <w:tc>
          <w:tcPr>
            <w:tcW w:w="5380" w:type="dxa"/>
            <w:vAlign w:val="bottom"/>
            <w:tcBorders>
              <w:top w:val="single" w:sz="8" w:color="auto"/>
            </w:tcBorders>
            <w:gridSpan w:val="2"/>
          </w:tcPr>
          <w:p>
            <w:pPr>
              <w:jc w:val="center"/>
              <w:ind w:left="534"/>
              <w:spacing w:after="0"/>
              <w:rPr>
                <w:sz w:val="20"/>
                <w:szCs w:val="20"/>
                <w:color w:val="auto"/>
              </w:rPr>
            </w:pPr>
            <w:r>
              <w:rPr>
                <w:rFonts w:ascii="Arial" w:cs="Arial" w:eastAsia="Arial" w:hAnsi="Arial"/>
                <w:sz w:val="17"/>
                <w:szCs w:val="17"/>
                <w:color w:val="auto"/>
                <w:w w:val="93"/>
              </w:rPr>
              <w:t>(Address of principal executive offices)</w:t>
            </w: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(Zip Code)</w:t>
            </w:r>
          </w:p>
        </w:tc>
      </w:tr>
    </w:tbl>
    <w:p>
      <w:pPr>
        <w:spacing w:after="0" w:line="2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(310) 255-2000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380" w:type="dxa"/>
            <w:vAlign w:val="bottom"/>
            <w:gridSpan w:val="2"/>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46"/>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20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200" w:type="dxa"/>
            <w:vAlign w:val="bottom"/>
          </w:tcPr>
          <w:p>
            <w:pPr>
              <w:spacing w:after="0"/>
              <w:rPr>
                <w:sz w:val="21"/>
                <w:szCs w:val="21"/>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1"/>
        </w:trPr>
        <w:tc>
          <w:tcPr>
            <w:tcW w:w="438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Common Stock, par value $0.000001 per share</w:t>
            </w:r>
          </w:p>
        </w:tc>
        <w:tc>
          <w:tcPr>
            <w:tcW w:w="2280" w:type="dxa"/>
            <w:vAlign w:val="bottom"/>
            <w:gridSpan w:val="2"/>
          </w:tcPr>
          <w:p>
            <w:pPr>
              <w:jc w:val="center"/>
              <w:ind w:right="200"/>
              <w:spacing w:after="0"/>
              <w:rPr>
                <w:sz w:val="20"/>
                <w:szCs w:val="20"/>
                <w:color w:val="auto"/>
              </w:rPr>
            </w:pPr>
            <w:r>
              <w:rPr>
                <w:rFonts w:ascii="Arial" w:cs="Arial" w:eastAsia="Arial" w:hAnsi="Arial"/>
                <w:sz w:val="17"/>
                <w:szCs w:val="17"/>
                <w:color w:val="auto"/>
              </w:rPr>
              <w:t>ATVI</w:t>
            </w:r>
          </w:p>
        </w:tc>
        <w:tc>
          <w:tcPr>
            <w:tcW w:w="4580" w:type="dxa"/>
            <w:vAlign w:val="bottom"/>
          </w:tcPr>
          <w:p>
            <w:pPr>
              <w:jc w:val="center"/>
              <w:spacing w:after="0"/>
              <w:rPr>
                <w:sz w:val="20"/>
                <w:szCs w:val="20"/>
                <w:color w:val="auto"/>
              </w:rPr>
            </w:pPr>
            <w:r>
              <w:rPr>
                <w:rFonts w:ascii="Arial" w:cs="Arial" w:eastAsia="Arial" w:hAnsi="Arial"/>
                <w:sz w:val="17"/>
                <w:szCs w:val="17"/>
                <w:color w:val="auto"/>
                <w:w w:val="91"/>
              </w:rPr>
              <w:t>The Nasdaq Global Select Market</w:t>
            </w:r>
          </w:p>
        </w:tc>
      </w:tr>
    </w:tbl>
    <w:p>
      <w:pPr>
        <w:spacing w:after="0" w:line="79"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60"/>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60"/>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0" w:right="339" w:bottom="1440" w:gutter="0" w:footer="0" w:header="0"/>
        </w:sectPr>
      </w:pPr>
    </w:p>
    <w:p>
      <w:pPr>
        <w:spacing w:after="0" w:line="30" w:lineRule="exact"/>
        <w:rPr>
          <w:sz w:val="24"/>
          <w:szCs w:val="24"/>
          <w:color w:val="auto"/>
        </w:rPr>
      </w:pPr>
    </w:p>
    <w:p>
      <w:pPr>
        <w:ind w:left="6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26" w:lineRule="exact"/>
        <w:rPr>
          <w:sz w:val="24"/>
          <w:szCs w:val="24"/>
          <w:color w:val="auto"/>
        </w:rPr>
      </w:pPr>
    </w:p>
    <w:p>
      <w:pPr>
        <w:sectPr>
          <w:pgSz w:w="11900" w:h="16838" w:orient="portrait"/>
          <w:cols w:equalWidth="0" w:num="6">
            <w:col w:w="2320" w:space="720"/>
            <w:col w:w="820" w:space="720"/>
            <w:col w:w="1640" w:space="720"/>
            <w:col w:w="1000" w:space="720"/>
            <w:col w:w="1500" w:space="720"/>
            <w:col w:w="360"/>
          </w:cols>
          <w:pgMar w:left="320" w:top="230" w:right="339" w:bottom="1440" w:gutter="0" w:footer="0" w:header="0"/>
          <w:type w:val="continuous"/>
        </w:sectPr>
      </w:pPr>
    </w:p>
    <w:p>
      <w:pPr>
        <w:spacing w:after="0" w:line="45" w:lineRule="exact"/>
        <w:rPr>
          <w:sz w:val="24"/>
          <w:szCs w:val="24"/>
          <w:color w:val="auto"/>
        </w:rPr>
      </w:pPr>
    </w:p>
    <w:p>
      <w:pPr>
        <w:ind w:left="8300"/>
        <w:spacing w:after="0"/>
        <w:rPr>
          <w:sz w:val="20"/>
          <w:szCs w:val="20"/>
          <w:color w:val="auto"/>
        </w:rPr>
      </w:pPr>
      <w:r>
        <w:rPr>
          <w:rFonts w:ascii="Arial" w:cs="Arial" w:eastAsia="Arial" w:hAnsi="Arial"/>
          <w:sz w:val="15"/>
          <w:szCs w:val="15"/>
          <w:color w:val="auto"/>
        </w:rPr>
        <w:t>Smaller reporting company</w:t>
      </w:r>
    </w:p>
    <w:p>
      <w:pPr>
        <w:spacing w:after="0" w:line="60" w:lineRule="exact"/>
        <w:rPr>
          <w:sz w:val="24"/>
          <w:szCs w:val="24"/>
          <w:color w:val="auto"/>
        </w:rPr>
      </w:pPr>
    </w:p>
    <w:p>
      <w:pPr>
        <w:ind w:left="830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1" w:lineRule="exact"/>
        <w:rPr>
          <w:sz w:val="24"/>
          <w:szCs w:val="24"/>
          <w:color w:val="auto"/>
        </w:rPr>
      </w:pPr>
    </w:p>
    <w:p>
      <w:pPr>
        <w:sectPr>
          <w:pgSz w:w="11900" w:h="16838" w:orient="portrait"/>
          <w:cols w:equalWidth="0" w:num="2">
            <w:col w:w="10180" w:space="700"/>
            <w:col w:w="360"/>
          </w:cols>
          <w:pgMar w:left="320" w:top="230" w:right="339" w:bottom="1440" w:gutter="0" w:footer="0" w:header="0"/>
          <w:type w:val="continuous"/>
        </w:sect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right="244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at July 25, 2022 was 782,306,592.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168910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2000" w:type="dxa"/>
            <w:vAlign w:val="bottom"/>
            <w:gridSpan w:val="7"/>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7"/>
        </w:trPr>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60" w:type="dxa"/>
            <w:vAlign w:val="bottom"/>
            <w:gridSpan w:val="12"/>
          </w:tcPr>
          <w:p>
            <w:pPr>
              <w:jc w:val="center"/>
              <w:ind w:right="2600"/>
              <w:spacing w:after="0"/>
              <w:rPr>
                <w:sz w:val="20"/>
                <w:szCs w:val="20"/>
                <w:color w:val="auto"/>
              </w:rPr>
            </w:pPr>
            <w:r>
              <w:rPr>
                <w:rFonts w:ascii="Arial" w:cs="Arial" w:eastAsia="Arial" w:hAnsi="Arial"/>
                <w:sz w:val="17"/>
                <w:szCs w:val="17"/>
                <w:b w:val="1"/>
                <w:bCs w:val="1"/>
                <w:color w:val="auto"/>
              </w:rPr>
              <w:t>ACTIVISION BLIZZARD, INC. AND SUBSIDIARIES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8"/>
          </w:tcPr>
          <w:p>
            <w:pPr>
              <w:jc w:val="center"/>
              <w:ind w:right="3420"/>
              <w:spacing w:after="0"/>
              <w:rPr>
                <w:sz w:val="20"/>
                <w:szCs w:val="20"/>
                <w:color w:val="auto"/>
              </w:rPr>
            </w:pPr>
            <w:r>
              <w:rPr>
                <w:rFonts w:ascii="Arial" w:cs="Arial" w:eastAsia="Arial" w:hAnsi="Arial"/>
                <w:sz w:val="17"/>
                <w:szCs w:val="17"/>
                <w:b w:val="1"/>
                <w:bCs w:val="1"/>
                <w:color w:val="auto"/>
                <w:w w:val="90"/>
              </w:rPr>
              <w:t>Table of Contents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2">
              <w:r>
                <w:rPr>
                  <w:rFonts w:ascii="Arial" w:cs="Arial" w:eastAsia="Arial" w:hAnsi="Arial"/>
                  <w:sz w:val="17"/>
                  <w:szCs w:val="17"/>
                  <w:color w:val="0000FF"/>
                  <w:w w:val="89"/>
                </w:rPr>
                <w:t>Cautionary Statement</w:t>
              </w:r>
            </w:hyperlink>
          </w:p>
        </w:tc>
        <w:tc>
          <w:tcPr>
            <w:tcW w:w="6860" w:type="dxa"/>
            <w:vAlign w:val="bottom"/>
            <w:gridSpan w:val="12"/>
          </w:tcPr>
          <w:p>
            <w:pPr>
              <w:spacing w:after="0"/>
              <w:rPr>
                <w:sz w:val="24"/>
                <w:szCs w:val="24"/>
                <w:color w:val="auto"/>
              </w:rPr>
            </w:pPr>
          </w:p>
        </w:tc>
        <w:tc>
          <w:tcPr>
            <w:tcW w:w="880" w:type="dxa"/>
            <w:vAlign w:val="bottom"/>
          </w:tcPr>
          <w:p>
            <w:pPr>
              <w:jc w:val="right"/>
              <w:spacing w:after="0"/>
              <w:rPr>
                <w:rFonts w:ascii="Arial" w:cs="Arial" w:eastAsia="Arial" w:hAnsi="Arial"/>
                <w:sz w:val="17"/>
                <w:szCs w:val="17"/>
                <w:color w:val="0000FF"/>
              </w:rPr>
            </w:pPr>
            <w:hyperlink w:anchor="page2">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PART I.</w:t>
              </w:r>
            </w:hyperlink>
          </w:p>
        </w:tc>
        <w:tc>
          <w:tcPr>
            <w:tcW w:w="1420" w:type="dxa"/>
            <w:vAlign w:val="bottom"/>
            <w:gridSpan w:val="4"/>
          </w:tcPr>
          <w:p>
            <w:pPr>
              <w:spacing w:after="0"/>
              <w:rPr>
                <w:sz w:val="24"/>
                <w:szCs w:val="24"/>
                <w:color w:val="auto"/>
              </w:rPr>
            </w:pPr>
          </w:p>
        </w:tc>
        <w:tc>
          <w:tcPr>
            <w:tcW w:w="2160" w:type="dxa"/>
            <w:vAlign w:val="bottom"/>
            <w:tcBorders>
              <w:bottom w:val="single" w:sz="8" w:color="0000FF"/>
            </w:tcBorders>
            <w:gridSpan w:val="9"/>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INFORMATION</w:t>
              </w:r>
            </w:hyperlink>
          </w:p>
        </w:tc>
        <w:tc>
          <w:tcPr>
            <w:tcW w:w="6200" w:type="dxa"/>
            <w:vAlign w:val="bottom"/>
            <w:gridSpan w:val="9"/>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6"/>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Item 1.</w:t>
              </w:r>
            </w:hyperlink>
          </w:p>
        </w:tc>
        <w:tc>
          <w:tcPr>
            <w:tcW w:w="8360" w:type="dxa"/>
            <w:vAlign w:val="bottom"/>
            <w:gridSpan w:val="18"/>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Financial Statements (Unaudited)</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60" w:type="dxa"/>
            <w:vAlign w:val="bottom"/>
            <w:gridSpan w:val="18"/>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Balance Sheets at June 30, 2022 and December 31, 2021</w:t>
              </w:r>
            </w:hyperlink>
          </w:p>
        </w:tc>
        <w:tc>
          <w:tcPr>
            <w:tcW w:w="88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20" w:type="dxa"/>
            <w:vAlign w:val="bottom"/>
            <w:tcBorders>
              <w:bottom w:val="single" w:sz="8" w:color="0000FF"/>
            </w:tcBorders>
            <w:gridSpan w:val="17"/>
          </w:tcPr>
          <w:p>
            <w:pPr>
              <w:spacing w:after="0"/>
              <w:rPr>
                <w:rFonts w:ascii="Arial" w:cs="Arial" w:eastAsia="Arial" w:hAnsi="Arial"/>
                <w:sz w:val="17"/>
                <w:szCs w:val="17"/>
                <w:color w:val="0000FF"/>
                <w:w w:val="89"/>
              </w:rPr>
            </w:pPr>
            <w:hyperlink w:anchor="page4">
              <w:r>
                <w:rPr>
                  <w:rFonts w:ascii="Arial" w:cs="Arial" w:eastAsia="Arial" w:hAnsi="Arial"/>
                  <w:sz w:val="17"/>
                  <w:szCs w:val="17"/>
                  <w:color w:val="0000FF"/>
                  <w:w w:val="89"/>
                </w:rPr>
                <w:t>Condensed Consolidated Statements of Operations for the three and six months ended June 30, 2022 and June 30, 2021</w:t>
              </w:r>
            </w:hyperlink>
          </w:p>
        </w:tc>
        <w:tc>
          <w:tcPr>
            <w:tcW w:w="140" w:type="dxa"/>
            <w:vAlign w:val="bottom"/>
          </w:tcPr>
          <w:p>
            <w:pPr>
              <w:spacing w:after="0"/>
              <w:rPr>
                <w:sz w:val="24"/>
                <w:szCs w:val="24"/>
                <w:color w:val="auto"/>
              </w:rPr>
            </w:pPr>
          </w:p>
        </w:tc>
        <w:tc>
          <w:tcPr>
            <w:tcW w:w="880" w:type="dxa"/>
            <w:vAlign w:val="bottom"/>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60" w:type="dxa"/>
            <w:vAlign w:val="bottom"/>
            <w:gridSpan w:val="18"/>
          </w:tcPr>
          <w:p>
            <w:pPr>
              <w:spacing w:after="0"/>
              <w:rPr>
                <w:rFonts w:ascii="Arial" w:cs="Arial" w:eastAsia="Arial" w:hAnsi="Arial"/>
                <w:sz w:val="17"/>
                <w:szCs w:val="17"/>
                <w:color w:val="0000FF"/>
                <w:w w:val="92"/>
              </w:rPr>
            </w:pPr>
            <w:hyperlink w:anchor="page5">
              <w:r>
                <w:rPr>
                  <w:rFonts w:ascii="Arial" w:cs="Arial" w:eastAsia="Arial" w:hAnsi="Arial"/>
                  <w:sz w:val="17"/>
                  <w:szCs w:val="17"/>
                  <w:color w:val="0000FF"/>
                  <w:w w:val="92"/>
                </w:rPr>
                <w:t>Condensed Consolidated Statements of Comprehensive Income for the three and six months ended June 30, 2022 and</w:t>
              </w:r>
            </w:hyperlink>
          </w:p>
        </w:tc>
        <w:tc>
          <w:tcPr>
            <w:tcW w:w="880" w:type="dxa"/>
            <w:vAlign w:val="bottom"/>
            <w:vMerge w:val="restart"/>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10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w:anchor="page5">
              <w:r>
                <w:rPr>
                  <w:rFonts w:ascii="Arial" w:cs="Arial" w:eastAsia="Arial" w:hAnsi="Arial"/>
                  <w:sz w:val="17"/>
                  <w:szCs w:val="17"/>
                  <w:color w:val="0000FF"/>
                </w:rPr>
                <w:t>June 30, 2021</w:t>
              </w:r>
            </w:hyperlink>
          </w:p>
        </w:tc>
        <w:tc>
          <w:tcPr>
            <w:tcW w:w="260" w:type="dxa"/>
            <w:vAlign w:val="bottom"/>
            <w:gridSpan w:val="2"/>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60" w:type="dxa"/>
            <w:vAlign w:val="bottom"/>
            <w:gridSpan w:val="18"/>
          </w:tcPr>
          <w:p>
            <w:pPr>
              <w:spacing w:after="0"/>
              <w:rPr>
                <w:rFonts w:ascii="Arial" w:cs="Arial" w:eastAsia="Arial" w:hAnsi="Arial"/>
                <w:sz w:val="17"/>
                <w:szCs w:val="17"/>
                <w:color w:val="0000FF"/>
                <w:w w:val="98"/>
              </w:rPr>
            </w:pPr>
            <w:hyperlink w:anchor="page6">
              <w:r>
                <w:rPr>
                  <w:rFonts w:ascii="Arial" w:cs="Arial" w:eastAsia="Arial" w:hAnsi="Arial"/>
                  <w:sz w:val="17"/>
                  <w:szCs w:val="17"/>
                  <w:color w:val="0000FF"/>
                  <w:w w:val="98"/>
                </w:rPr>
                <w:t>Condensed Consolidated Statements of Cash Flows for the six months ended June 30, 2022 and June 30, 2021</w:t>
              </w:r>
            </w:hyperlink>
          </w:p>
        </w:tc>
        <w:tc>
          <w:tcPr>
            <w:tcW w:w="88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360" w:type="dxa"/>
            <w:vAlign w:val="bottom"/>
            <w:tcBorders>
              <w:bottom w:val="single" w:sz="8" w:color="0000FF"/>
            </w:tcBorders>
            <w:gridSpan w:val="18"/>
          </w:tcPr>
          <w:p>
            <w:pPr>
              <w:spacing w:after="0"/>
              <w:rPr>
                <w:rFonts w:ascii="Arial" w:cs="Arial" w:eastAsia="Arial" w:hAnsi="Arial"/>
                <w:sz w:val="17"/>
                <w:szCs w:val="17"/>
                <w:color w:val="0000FF"/>
                <w:w w:val="90"/>
              </w:rPr>
            </w:pPr>
            <w:hyperlink w:anchor="page7">
              <w:r>
                <w:rPr>
                  <w:rFonts w:ascii="Arial" w:cs="Arial" w:eastAsia="Arial" w:hAnsi="Arial"/>
                  <w:sz w:val="17"/>
                  <w:szCs w:val="17"/>
                  <w:color w:val="0000FF"/>
                  <w:w w:val="90"/>
                </w:rPr>
                <w:t>Condensed Consolidated Statement of Changes in Shareholders’ Equity for the three and six months ended June 30, 2022</w:t>
              </w:r>
            </w:hyperlink>
          </w:p>
        </w:tc>
        <w:tc>
          <w:tcPr>
            <w:tcW w:w="880" w:type="dxa"/>
            <w:vAlign w:val="bottom"/>
            <w:vMerge w:val="restart"/>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tcBorders>
              <w:bottom w:val="single" w:sz="8" w:color="0000FF"/>
            </w:tcBorders>
            <w:gridSpan w:val="4"/>
          </w:tcPr>
          <w:p>
            <w:pPr>
              <w:spacing w:after="0" w:line="148" w:lineRule="exact"/>
              <w:rPr>
                <w:rFonts w:ascii="Arial" w:cs="Arial" w:eastAsia="Arial" w:hAnsi="Arial"/>
                <w:sz w:val="17"/>
                <w:szCs w:val="17"/>
                <w:color w:val="0000FF"/>
                <w:w w:val="88"/>
              </w:rPr>
            </w:pPr>
            <w:hyperlink w:anchor="page7">
              <w:r>
                <w:rPr>
                  <w:rFonts w:ascii="Arial" w:cs="Arial" w:eastAsia="Arial" w:hAnsi="Arial"/>
                  <w:sz w:val="17"/>
                  <w:szCs w:val="17"/>
                  <w:color w:val="0000FF"/>
                  <w:w w:val="88"/>
                </w:rPr>
                <w:t>and June 30, 2021</w:t>
              </w:r>
            </w:hyperlink>
          </w:p>
        </w:tc>
        <w:tc>
          <w:tcPr>
            <w:tcW w:w="7100" w:type="dxa"/>
            <w:vAlign w:val="bottom"/>
            <w:gridSpan w:val="14"/>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Borders>
              <w:bottom w:val="single" w:sz="8" w:color="0000FF"/>
            </w:tcBorders>
            <w:gridSpan w:val="11"/>
          </w:tcPr>
          <w:p>
            <w:pPr>
              <w:spacing w:after="0"/>
              <w:rPr>
                <w:rFonts w:ascii="Arial" w:cs="Arial" w:eastAsia="Arial" w:hAnsi="Arial"/>
                <w:sz w:val="17"/>
                <w:szCs w:val="17"/>
                <w:color w:val="0000FF"/>
                <w:w w:val="89"/>
              </w:rPr>
            </w:pPr>
            <w:hyperlink w:anchor="page9">
              <w:r>
                <w:rPr>
                  <w:rFonts w:ascii="Arial" w:cs="Arial" w:eastAsia="Arial" w:hAnsi="Arial"/>
                  <w:sz w:val="17"/>
                  <w:szCs w:val="17"/>
                  <w:color w:val="0000FF"/>
                  <w:w w:val="89"/>
                </w:rPr>
                <w:t>Notes to Condensed Consolidated Financial Statements</w:t>
              </w:r>
            </w:hyperlink>
          </w:p>
        </w:tc>
        <w:tc>
          <w:tcPr>
            <w:tcW w:w="4540" w:type="dxa"/>
            <w:vAlign w:val="bottom"/>
            <w:gridSpan w:val="7"/>
          </w:tcPr>
          <w:p>
            <w:pPr>
              <w:spacing w:after="0"/>
              <w:rPr>
                <w:sz w:val="24"/>
                <w:szCs w:val="24"/>
                <w:color w:val="auto"/>
              </w:rPr>
            </w:pPr>
          </w:p>
        </w:tc>
        <w:tc>
          <w:tcPr>
            <w:tcW w:w="88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6"/>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Item 2.</w:t>
              </w:r>
            </w:hyperlink>
          </w:p>
        </w:tc>
        <w:tc>
          <w:tcPr>
            <w:tcW w:w="8360" w:type="dxa"/>
            <w:vAlign w:val="bottom"/>
            <w:gridSpan w:val="18"/>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Management’s Discussion and Analysis of Financial Condition and Results of Operations</w:t>
              </w:r>
            </w:hyperlink>
          </w:p>
        </w:tc>
        <w:tc>
          <w:tcPr>
            <w:tcW w:w="880" w:type="dxa"/>
            <w:vAlign w:val="bottom"/>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6"/>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Item 3.</w:t>
              </w:r>
            </w:hyperlink>
          </w:p>
        </w:tc>
        <w:tc>
          <w:tcPr>
            <w:tcW w:w="8360" w:type="dxa"/>
            <w:vAlign w:val="bottom"/>
            <w:gridSpan w:val="18"/>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Quantitative and Qualitative Disclosures About Market Risk</w:t>
              </w:r>
            </w:hyperlink>
          </w:p>
        </w:tc>
        <w:tc>
          <w:tcPr>
            <w:tcW w:w="880" w:type="dxa"/>
            <w:vAlign w:val="bottom"/>
          </w:tcPr>
          <w:p>
            <w:pPr>
              <w:jc w:val="right"/>
              <w:spacing w:after="0"/>
              <w:rPr>
                <w:rFonts w:ascii="Arial" w:cs="Arial" w:eastAsia="Arial" w:hAnsi="Arial"/>
                <w:sz w:val="17"/>
                <w:szCs w:val="17"/>
                <w:color w:val="0000FF"/>
              </w:rPr>
            </w:pPr>
            <w:hyperlink w:anchor="page57">
              <w:r>
                <w:rPr>
                  <w:rFonts w:ascii="Arial" w:cs="Arial" w:eastAsia="Arial" w:hAnsi="Arial"/>
                  <w:sz w:val="17"/>
                  <w:szCs w:val="17"/>
                  <w:color w:val="0000FF"/>
                </w:rPr>
                <w:t>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6"/>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Item 4.</w:t>
              </w:r>
            </w:hyperlink>
          </w:p>
        </w:tc>
        <w:tc>
          <w:tcPr>
            <w:tcW w:w="8360" w:type="dxa"/>
            <w:vAlign w:val="bottom"/>
            <w:gridSpan w:val="18"/>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Controls and Procedures</w:t>
              </w:r>
            </w:hyperlink>
          </w:p>
        </w:tc>
        <w:tc>
          <w:tcPr>
            <w:tcW w:w="880" w:type="dxa"/>
            <w:vAlign w:val="bottom"/>
          </w:tcPr>
          <w:p>
            <w:pPr>
              <w:jc w:val="right"/>
              <w:spacing w:after="0"/>
              <w:rPr>
                <w:rFonts w:ascii="Arial" w:cs="Arial" w:eastAsia="Arial" w:hAnsi="Arial"/>
                <w:sz w:val="17"/>
                <w:szCs w:val="17"/>
                <w:color w:val="0000FF"/>
              </w:rPr>
            </w:pPr>
            <w:hyperlink w:anchor="page58">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6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7"/>
                <w:szCs w:val="17"/>
                <w:color w:val="0000FF"/>
                <w:w w:val="93"/>
              </w:rPr>
            </w:pPr>
            <w:hyperlink w:anchor="page59">
              <w:r>
                <w:rPr>
                  <w:rFonts w:ascii="Arial" w:cs="Arial" w:eastAsia="Arial" w:hAnsi="Arial"/>
                  <w:sz w:val="17"/>
                  <w:szCs w:val="17"/>
                  <w:color w:val="0000FF"/>
                  <w:w w:val="93"/>
                </w:rPr>
                <w:t>PART II.</w:t>
              </w:r>
            </w:hyperlink>
          </w:p>
        </w:tc>
        <w:tc>
          <w:tcPr>
            <w:tcW w:w="1360" w:type="dxa"/>
            <w:vAlign w:val="bottom"/>
            <w:gridSpan w:val="3"/>
          </w:tcPr>
          <w:p>
            <w:pPr>
              <w:spacing w:after="0"/>
              <w:rPr>
                <w:sz w:val="24"/>
                <w:szCs w:val="24"/>
                <w:color w:val="auto"/>
              </w:rPr>
            </w:pPr>
          </w:p>
        </w:tc>
        <w:tc>
          <w:tcPr>
            <w:tcW w:w="8360" w:type="dxa"/>
            <w:vAlign w:val="bottom"/>
            <w:gridSpan w:val="18"/>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OTHER INFORMATION</w:t>
              </w:r>
            </w:hyperlink>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Item 1.</w:t>
              </w:r>
            </w:hyperlink>
          </w:p>
        </w:tc>
        <w:tc>
          <w:tcPr>
            <w:tcW w:w="1360" w:type="dxa"/>
            <w:vAlign w:val="bottom"/>
            <w:gridSpan w:val="3"/>
          </w:tcPr>
          <w:p>
            <w:pPr>
              <w:spacing w:after="0"/>
              <w:rPr>
                <w:sz w:val="24"/>
                <w:szCs w:val="24"/>
                <w:color w:val="auto"/>
              </w:rPr>
            </w:pPr>
          </w:p>
        </w:tc>
        <w:tc>
          <w:tcPr>
            <w:tcW w:w="1800" w:type="dxa"/>
            <w:vAlign w:val="bottom"/>
            <w:tcBorders>
              <w:top w:val="single" w:sz="8" w:color="0000FF"/>
            </w:tcBorders>
            <w:gridSpan w:val="8"/>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Legal Proceedings</w:t>
              </w:r>
            </w:hyperlink>
          </w:p>
        </w:tc>
        <w:tc>
          <w:tcPr>
            <w:tcW w:w="6560" w:type="dxa"/>
            <w:vAlign w:val="bottom"/>
            <w:gridSpan w:val="10"/>
          </w:tcPr>
          <w:p>
            <w:pPr>
              <w:spacing w:after="0"/>
              <w:rPr>
                <w:sz w:val="24"/>
                <w:szCs w:val="24"/>
                <w:color w:val="auto"/>
              </w:rPr>
            </w:pPr>
          </w:p>
        </w:tc>
        <w:tc>
          <w:tcPr>
            <w:tcW w:w="880" w:type="dxa"/>
            <w:vAlign w:val="bottom"/>
          </w:tcPr>
          <w:p>
            <w:pPr>
              <w:jc w:val="right"/>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7"/>
                <w:szCs w:val="17"/>
                <w:color w:val="0000FF"/>
                <w:w w:val="94"/>
              </w:rPr>
            </w:pPr>
            <w:hyperlink w:anchor="page60">
              <w:r>
                <w:rPr>
                  <w:rFonts w:ascii="Arial" w:cs="Arial" w:eastAsia="Arial" w:hAnsi="Arial"/>
                  <w:sz w:val="17"/>
                  <w:szCs w:val="17"/>
                  <w:color w:val="0000FF"/>
                  <w:w w:val="94"/>
                </w:rPr>
                <w:t>Item 1A.</w:t>
              </w:r>
            </w:hyperlink>
          </w:p>
        </w:tc>
        <w:tc>
          <w:tcPr>
            <w:tcW w:w="1360" w:type="dxa"/>
            <w:vAlign w:val="bottom"/>
            <w:gridSpan w:val="3"/>
          </w:tcPr>
          <w:p>
            <w:pPr>
              <w:spacing w:after="0"/>
              <w:rPr>
                <w:sz w:val="24"/>
                <w:szCs w:val="24"/>
                <w:color w:val="auto"/>
              </w:rPr>
            </w:pPr>
          </w:p>
        </w:tc>
        <w:tc>
          <w:tcPr>
            <w:tcW w:w="8360" w:type="dxa"/>
            <w:vAlign w:val="bottom"/>
            <w:gridSpan w:val="18"/>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Risk Factors</w:t>
              </w:r>
            </w:hyperlink>
          </w:p>
        </w:tc>
        <w:tc>
          <w:tcPr>
            <w:tcW w:w="880" w:type="dxa"/>
            <w:vAlign w:val="bottom"/>
          </w:tcPr>
          <w:p>
            <w:pPr>
              <w:jc w:val="right"/>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Item 6.</w:t>
              </w:r>
            </w:hyperlink>
          </w:p>
        </w:tc>
        <w:tc>
          <w:tcPr>
            <w:tcW w:w="1360" w:type="dxa"/>
            <w:vAlign w:val="bottom"/>
            <w:gridSpan w:val="3"/>
          </w:tcPr>
          <w:p>
            <w:pPr>
              <w:spacing w:after="0"/>
              <w:rPr>
                <w:sz w:val="24"/>
                <w:szCs w:val="24"/>
                <w:color w:val="auto"/>
              </w:rPr>
            </w:pPr>
          </w:p>
        </w:tc>
        <w:tc>
          <w:tcPr>
            <w:tcW w:w="860" w:type="dxa"/>
            <w:vAlign w:val="bottom"/>
            <w:tcBorders>
              <w:top w:val="single" w:sz="8" w:color="0000FF"/>
            </w:tcBorders>
            <w:gridSpan w:val="2"/>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Exhibits</w:t>
              </w:r>
            </w:hyperlink>
          </w:p>
        </w:tc>
        <w:tc>
          <w:tcPr>
            <w:tcW w:w="7500" w:type="dxa"/>
            <w:vAlign w:val="bottom"/>
            <w:gridSpan w:val="16"/>
          </w:tcPr>
          <w:p>
            <w:pPr>
              <w:spacing w:after="0"/>
              <w:rPr>
                <w:sz w:val="24"/>
                <w:szCs w:val="24"/>
                <w:color w:val="auto"/>
              </w:rPr>
            </w:pPr>
          </w:p>
        </w:tc>
        <w:tc>
          <w:tcPr>
            <w:tcW w:w="880" w:type="dxa"/>
            <w:vAlign w:val="bottom"/>
          </w:tcPr>
          <w:p>
            <w:pPr>
              <w:jc w:val="right"/>
              <w:spacing w:after="0"/>
              <w:rPr>
                <w:rFonts w:ascii="Arial" w:cs="Arial" w:eastAsia="Arial" w:hAnsi="Arial"/>
                <w:sz w:val="17"/>
                <w:szCs w:val="17"/>
                <w:color w:val="0000FF"/>
              </w:rPr>
            </w:pPr>
            <w:hyperlink w:anchor="page60">
              <w:r>
                <w:rPr>
                  <w:rFonts w:ascii="Arial" w:cs="Arial" w:eastAsia="Arial" w:hAnsi="Arial"/>
                  <w:sz w:val="17"/>
                  <w:szCs w:val="17"/>
                  <w:color w:val="0000FF"/>
                </w:rPr>
                <w:t>61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980" w:type="dxa"/>
            <w:vAlign w:val="bottom"/>
            <w:gridSpan w:val="6"/>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SIGNATURE</w:t>
              </w:r>
            </w:hyperlink>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62</w:t>
              </w:r>
            </w:hyperlink>
          </w:p>
        </w:tc>
        <w:tc>
          <w:tcPr>
            <w:tcW w:w="0" w:type="dxa"/>
            <w:vAlign w:val="bottom"/>
          </w:tcPr>
          <w:p>
            <w:pPr>
              <w:spacing w:after="0"/>
              <w:rPr>
                <w:sz w:val="1"/>
                <w:szCs w:val="1"/>
                <w:color w:val="auto"/>
              </w:rPr>
            </w:pPr>
          </w:p>
        </w:tc>
      </w:tr>
      <w:tr>
        <w:trPr>
          <w:trHeight w:val="842"/>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gridSpan w:val="11"/>
          </w:tcPr>
          <w:p>
            <w:pPr>
              <w:jc w:val="center"/>
              <w:ind w:left="3334"/>
              <w:spacing w:after="0"/>
              <w:rPr>
                <w:sz w:val="20"/>
                <w:szCs w:val="20"/>
                <w:color w:val="auto"/>
              </w:rPr>
            </w:pPr>
            <w:r>
              <w:rPr>
                <w:rFonts w:ascii="Arial" w:cs="Arial" w:eastAsia="Arial" w:hAnsi="Arial"/>
                <w:sz w:val="17"/>
                <w:szCs w:val="17"/>
                <w:color w:val="auto"/>
                <w:w w:val="84"/>
              </w:rPr>
              <w:t>2</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243" w:lineRule="exact"/>
        <w:rPr>
          <w:sz w:val="20"/>
          <w:szCs w:val="20"/>
          <w:color w:val="auto"/>
        </w:rPr>
      </w:pPr>
    </w:p>
    <w:p>
      <w:pPr>
        <w:ind w:right="20" w:firstLine="387"/>
        <w:spacing w:after="0" w:line="232" w:lineRule="auto"/>
        <w:rPr>
          <w:sz w:val="20"/>
          <w:szCs w:val="20"/>
          <w:color w:val="auto"/>
        </w:rPr>
      </w:pPr>
      <w:r>
        <w:rPr>
          <w:rFonts w:ascii="Arial" w:cs="Arial" w:eastAsia="Arial" w:hAnsi="Arial"/>
          <w:sz w:val="13"/>
          <w:szCs w:val="13"/>
          <w:i w:val="1"/>
          <w:iCs w:val="1"/>
          <w:color w:val="auto"/>
        </w:rPr>
        <w:t>This Quarterly Report on Form 10-Q contains, or incorporates by reference, statements reflecting our views about our future performance that constitute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(4) statements regarding the proposed transaction between Activision Blizzard, Inc. and Microsoft Corporation (“Microsoft”)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(5)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05" w:lineRule="exact"/>
        <w:rPr>
          <w:sz w:val="20"/>
          <w:szCs w:val="20"/>
          <w:color w:val="auto"/>
        </w:rPr>
      </w:pPr>
    </w:p>
    <w:p>
      <w:pPr>
        <w:ind w:firstLine="387"/>
        <w:spacing w:after="0" w:line="271" w:lineRule="auto"/>
        <w:rPr>
          <w:rFonts w:ascii="Arial" w:cs="Arial" w:eastAsia="Arial" w:hAnsi="Arial"/>
          <w:sz w:val="11"/>
          <w:szCs w:val="11"/>
          <w:i w:val="1"/>
          <w:iCs w:val="1"/>
          <w:color w:val="auto"/>
        </w:rPr>
      </w:pPr>
      <w:r>
        <w:rPr>
          <w:rFonts w:ascii="Arial" w:cs="Arial" w:eastAsia="Arial" w:hAnsi="Arial"/>
          <w:sz w:val="11"/>
          <w:szCs w:val="11"/>
          <w:i w:val="1"/>
          <w:iCs w:val="1"/>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the occurrence of any event, change, or other circumstance that could give rise to the termination of the Agreement and Plan of Merger, dated as of January 18, 2022, by and among Activision Blizzard, Microsoft, and Anchorage Merger Sub Inc., a wholly owned subsidiary of Microsoft (the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as a result of the proposed transaction with Microsoft; risks related to diverting management’s attention from ongoing business operations; the outcome of any legal proceedings that have been or may be instituted against us related to the Merger Agreement or the transactions contemplated thereby; restrictions during the pendency of the proposed transaction with Microsoft that may impact our ability to pursue certain business opportunities or strategic transactions; the potential for receipt of alternative acquisition proposals from potential acquirors; the global impact of the ongoing COVID-19 pandemic and other macroeconomic factors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 platform providers on whose networks and consoles certain of our games are available; effects on our ability to release our content in a timely manner and with effective quality control; effects on our ability to prevent cyber-security incidents while our workforce is dispersed; effects on the operations of our professional esports leagues; the impact on interest rates, including via the impact of large-scale intervention by the Federal Reserve and other central banks around the world and other economic factors; increased demand for our games due to stay-at-home orders and curtailment of other forms of entertainment, which may not be sustained and may fluctuate as stay-at-home orders are reduced, lifted, and/or reinstated; macroeconomic impacts arising from the long duration of the COVID-19 pandemic, including labor shortages and supply chain disruptions; and volatility in foreign exchange rates); our ability to consistently deliver popular, high-quality titles in a timely manner, which has been made more difficult as a result of the COVID-19 pandemic; our ability to satisfy the expectations of consumers with respect to our brands, games, services, and/or business practices; negative impacts on our business from concerns regarding our workplace; our ability to attract, retain, and motivate skilled personnel; competition; concentration of revenue among a small number of franchises; negative impacts from unionization or attempts to unionize by our workforce; rapid changes in technology and industry standards; increasing importance of revenues derived from digital distribution channels; our ability to manage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our dependence on a relatively small number of consumers for a significant portion of revenues and profits from any given game; risks and uncertainties of conducting business outside the United States (the “U.S.”), including the need for regulatory approval to operate, impacts on our business arising from the current conflict between Russia and Ukraine, the relatively weaker protection for our intellectual property rights, and the impact of cultural differences on consumer preferences; risks associated with the retail sales business model; our ability to realize the expected benefits of our recent restructuring actions; difficulties in integrating acquired businesses or otherwise realizing the anticipated benefits of strategic transactions; the seasonality in the sale of our products; fluctuation in our recurring business; risks relating to behavior of our distributors, retailers, development, and licensing partners, or other affiliated third parties that may harm our brands or business operations; our reliance on tools and technologies owned by third parties; risks associated with our use of open source software; risks associated with undisclosed content or features that may result in consumers’ refusal to buy or retailers’ refusal to sell our products; risks associated with objectionable consumer- or other third-party-created content; outages, disruptions or degradations in our services, products, and/or technological infrastructure; data breaches, fraudulent activity, and other cybersecurity risks; significant disruption during our live events; risks related to the impacts of catastrophic events; climate change; provisions in our corporate documents that may make it more difficult for any person to acquire control of our company; ongoing legal proceedings related to workplace concerns and otherwise, including the impact of the complaint filed in 2021 by the California Department of Fair Employment and Housing alleging violations of the California Fair Employment and Housing Act and the California Equal Pay Act and separate investigations and complaints by other parties and regulators related to certain employment practices and related disclosures; successful implementation of the requirements of the court-approved consent decree with the Equal Employment Opportunity Commission; intellectual property claims; increasing regulation in key territories; regulation relating to the Internet, including potential harm from laws impacting “net neutrality”; regulation concerning data privacy, including China’s Personal Information Protection Law; scrutiny regarding the appropriateness of our games’ content, including ratings assigned by third parties; changes in tax rates and/or tax laws or exposure to additional tax liabilities; fluctuations in currency exchange rates; impacts of changes in financial accounting standards; insolvency or business failure of any of our business partners, which has been magnified as a result of the COVID-19 pandemic; risks associated with our reliance on consumer discretionary spending; risks associated with increased inflation on our costs and the impacts on consumer discretionary spending; and the other factors included in “</w:t>
      </w:r>
      <w:hyperlink r:id="rId16">
        <w:r>
          <w:rPr>
            <w:rFonts w:ascii="Arial" w:cs="Arial" w:eastAsia="Arial" w:hAnsi="Arial"/>
            <w:sz w:val="11"/>
            <w:szCs w:val="11"/>
            <w:i w:val="1"/>
            <w:iCs w:val="1"/>
            <w:u w:val="single" w:color="auto"/>
            <w:color w:val="auto"/>
          </w:rPr>
          <w:t>Risk Factors</w:t>
        </w:r>
      </w:hyperlink>
      <w:r>
        <w:rPr>
          <w:rFonts w:ascii="Arial" w:cs="Arial" w:eastAsia="Arial" w:hAnsi="Arial"/>
          <w:sz w:val="11"/>
          <w:szCs w:val="11"/>
          <w:i w:val="1"/>
          <w:iCs w:val="1"/>
          <w:color w:val="auto"/>
        </w:rPr>
        <w:t>” included in Part I, Item 1A of our Annual Report on Form 10-K for the year ended December 31, 2021, filed with the U.S.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firstLine="387"/>
        <w:spacing w:after="0" w:line="238" w:lineRule="auto"/>
        <w:rPr>
          <w:sz w:val="20"/>
          <w:szCs w:val="20"/>
          <w:color w:val="auto"/>
        </w:rPr>
      </w:pPr>
      <w:r>
        <w:rPr>
          <w:rFonts w:ascii="Arial" w:cs="Arial" w:eastAsia="Arial" w:hAnsi="Arial"/>
          <w:sz w:val="13"/>
          <w:szCs w:val="13"/>
          <w:i w:val="1"/>
          <w:iCs w:val="1"/>
          <w:color w:val="auto"/>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200" w:lineRule="exact"/>
        <w:rPr>
          <w:sz w:val="20"/>
          <w:szCs w:val="20"/>
          <w:color w:val="auto"/>
        </w:rPr>
      </w:pPr>
    </w:p>
    <w:p>
      <w:pPr>
        <w:jc w:val="both"/>
        <w:ind w:right="140" w:firstLine="387"/>
        <w:spacing w:after="0" w:line="227" w:lineRule="auto"/>
        <w:rPr>
          <w:sz w:val="20"/>
          <w:szCs w:val="20"/>
          <w:color w:val="auto"/>
        </w:rPr>
      </w:pPr>
      <w:r>
        <w:rPr>
          <w:rFonts w:ascii="Arial" w:cs="Arial" w:eastAsia="Arial" w:hAnsi="Arial"/>
          <w:sz w:val="14"/>
          <w:szCs w:val="14"/>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 (Unaudited)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share data)</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gridSpan w:val="2"/>
          </w:tcPr>
          <w:p>
            <w:pPr>
              <w:ind w:left="220"/>
              <w:spacing w:after="0"/>
              <w:rPr>
                <w:sz w:val="20"/>
                <w:szCs w:val="20"/>
                <w:color w:val="auto"/>
              </w:rPr>
            </w:pPr>
            <w:r>
              <w:rPr>
                <w:rFonts w:ascii="Arial" w:cs="Arial" w:eastAsia="Arial" w:hAnsi="Arial"/>
                <w:sz w:val="17"/>
                <w:szCs w:val="17"/>
                <w:b w:val="1"/>
                <w:bCs w:val="1"/>
                <w:color w:val="auto"/>
              </w:rPr>
              <w:t>At June 30, 2022</w:t>
            </w:r>
          </w:p>
        </w:tc>
        <w:tc>
          <w:tcPr>
            <w:tcW w:w="200" w:type="dxa"/>
            <w:vAlign w:val="bottom"/>
          </w:tcPr>
          <w:p>
            <w:pPr>
              <w:spacing w:after="0"/>
              <w:rPr>
                <w:sz w:val="19"/>
                <w:szCs w:val="19"/>
                <w:color w:val="auto"/>
              </w:rPr>
            </w:pPr>
          </w:p>
        </w:tc>
        <w:tc>
          <w:tcPr>
            <w:tcW w:w="2080" w:type="dxa"/>
            <w:vAlign w:val="bottom"/>
          </w:tcPr>
          <w:p>
            <w:pPr>
              <w:jc w:val="right"/>
              <w:ind w:right="254"/>
              <w:spacing w:after="0"/>
              <w:rPr>
                <w:sz w:val="20"/>
                <w:szCs w:val="20"/>
                <w:color w:val="auto"/>
              </w:rPr>
            </w:pPr>
            <w:r>
              <w:rPr>
                <w:rFonts w:ascii="Arial" w:cs="Arial" w:eastAsia="Arial" w:hAnsi="Arial"/>
                <w:sz w:val="17"/>
                <w:szCs w:val="17"/>
                <w:b w:val="1"/>
                <w:bCs w:val="1"/>
                <w:color w:val="auto"/>
                <w:w w:val="97"/>
              </w:rPr>
              <w:t>At December 31, 2021</w:t>
            </w:r>
          </w:p>
        </w:tc>
        <w:tc>
          <w:tcPr>
            <w:tcW w:w="0" w:type="dxa"/>
            <w:vAlign w:val="bottom"/>
          </w:tcPr>
          <w:p>
            <w:pPr>
              <w:spacing w:after="0"/>
              <w:rPr>
                <w:sz w:val="1"/>
                <w:szCs w:val="1"/>
                <w:color w:val="auto"/>
              </w:rPr>
            </w:pPr>
          </w:p>
        </w:tc>
      </w:tr>
      <w:tr>
        <w:trPr>
          <w:trHeight w:val="200"/>
        </w:trPr>
        <w:tc>
          <w:tcPr>
            <w:tcW w:w="6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10,423</w:t>
            </w:r>
          </w:p>
        </w:tc>
        <w:tc>
          <w:tcPr>
            <w:tcW w:w="0" w:type="dxa"/>
            <w:vAlign w:val="bottom"/>
          </w:tcPr>
          <w:p>
            <w:pPr>
              <w:spacing w:after="0"/>
              <w:rPr>
                <w:sz w:val="1"/>
                <w:szCs w:val="1"/>
                <w:color w:val="auto"/>
              </w:rPr>
            </w:pP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Software development</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12,556</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Software development</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Deferred income taxes, net</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453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c>
          <w:tcPr>
            <w:tcW w:w="0" w:type="dxa"/>
            <w:vAlign w:val="bottom"/>
          </w:tcPr>
          <w:p>
            <w:pPr>
              <w:spacing w:after="0"/>
              <w:rPr>
                <w:sz w:val="1"/>
                <w:szCs w:val="1"/>
                <w:color w:val="auto"/>
              </w:rPr>
            </w:pPr>
          </w:p>
        </w:tc>
      </w:tr>
      <w:tr>
        <w:trPr>
          <w:trHeight w:val="213"/>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24,994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25,056</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540" w:type="dxa"/>
            <w:vAlign w:val="bottom"/>
            <w:gridSpan w:val="3"/>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40" w:type="dxa"/>
            <w:vAlign w:val="bottom"/>
            <w:gridSpan w:val="3"/>
          </w:tcPr>
          <w:p>
            <w:pPr>
              <w:ind w:left="320"/>
              <w:spacing w:after="0"/>
              <w:rPr>
                <w:sz w:val="20"/>
                <w:szCs w:val="20"/>
                <w:color w:val="auto"/>
              </w:rPr>
            </w:pPr>
            <w:r>
              <w:rPr>
                <w:rFonts w:ascii="Arial" w:cs="Arial" w:eastAsia="Arial" w:hAnsi="Arial"/>
                <w:sz w:val="17"/>
                <w:szCs w:val="17"/>
                <w:color w:val="auto"/>
              </w:rPr>
              <w:t>Accounts payable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Deferred revenues</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w:t>
            </w:r>
          </w:p>
        </w:tc>
        <w:tc>
          <w:tcPr>
            <w:tcW w:w="0" w:type="dxa"/>
            <w:vAlign w:val="bottom"/>
          </w:tcPr>
          <w:p>
            <w:pPr>
              <w:spacing w:after="0"/>
              <w:rPr>
                <w:sz w:val="1"/>
                <w:szCs w:val="1"/>
                <w:color w:val="auto"/>
              </w:rPr>
            </w:pPr>
          </w:p>
        </w:tc>
      </w:tr>
      <w:tr>
        <w:trPr>
          <w:trHeight w:val="218"/>
        </w:trPr>
        <w:tc>
          <w:tcPr>
            <w:tcW w:w="6540" w:type="dxa"/>
            <w:vAlign w:val="bottom"/>
            <w:gridSpan w:val="3"/>
          </w:tcPr>
          <w:p>
            <w:pPr>
              <w:ind w:left="120"/>
              <w:spacing w:after="0"/>
              <w:rPr>
                <w:sz w:val="20"/>
                <w:szCs w:val="20"/>
                <w:color w:val="auto"/>
              </w:rPr>
            </w:pPr>
            <w:r>
              <w:rPr>
                <w:rFonts w:ascii="Arial" w:cs="Arial" w:eastAsia="Arial" w:hAnsi="Arial"/>
                <w:sz w:val="17"/>
                <w:szCs w:val="17"/>
                <w:color w:val="auto"/>
              </w:rPr>
              <w:t>Long-term debt, net</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3,609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3,608</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Deferred income taxes, net</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r>
        <w:trPr>
          <w:trHeight w:val="213"/>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7,457</w:t>
            </w:r>
          </w:p>
        </w:tc>
        <w:tc>
          <w:tcPr>
            <w:tcW w:w="0" w:type="dxa"/>
            <w:vAlign w:val="bottom"/>
          </w:tcPr>
          <w:p>
            <w:pPr>
              <w:spacing w:after="0"/>
              <w:rPr>
                <w:sz w:val="1"/>
                <w:szCs w:val="1"/>
                <w:color w:val="auto"/>
              </w:rPr>
            </w:pPr>
          </w:p>
        </w:tc>
      </w:tr>
      <w:tr>
        <w:trPr>
          <w:trHeight w:val="170"/>
        </w:trPr>
        <w:tc>
          <w:tcPr>
            <w:tcW w:w="6540" w:type="dxa"/>
            <w:vAlign w:val="bottom"/>
            <w:gridSpan w:val="3"/>
          </w:tcPr>
          <w:p>
            <w:pPr>
              <w:ind w:left="20"/>
              <w:spacing w:after="0" w:line="161" w:lineRule="exact"/>
              <w:rPr>
                <w:rFonts w:ascii="Arial" w:cs="Arial" w:eastAsia="Arial" w:hAnsi="Arial"/>
                <w:sz w:val="17"/>
                <w:szCs w:val="17"/>
                <w:color w:val="auto"/>
              </w:rPr>
            </w:pPr>
            <w:r>
              <w:rPr>
                <w:rFonts w:ascii="Arial" w:cs="Arial" w:eastAsia="Arial" w:hAnsi="Arial"/>
                <w:sz w:val="17"/>
                <w:szCs w:val="17"/>
                <w:color w:val="auto"/>
              </w:rPr>
              <w:t>Commitments and contingencies (</w:t>
            </w:r>
            <w:hyperlink w:anchor="page32">
              <w:r>
                <w:rPr>
                  <w:rFonts w:ascii="Arial" w:cs="Arial" w:eastAsia="Arial" w:hAnsi="Arial"/>
                  <w:sz w:val="17"/>
                  <w:szCs w:val="17"/>
                  <w:color w:val="0000FF"/>
                </w:rPr>
                <w:t>Note 16</w:t>
              </w:r>
            </w:hyperlink>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560" w:type="dxa"/>
            <w:vAlign w:val="bottom"/>
            <w:tcBorders>
              <w:top w:val="single" w:sz="8" w:color="0000FF"/>
            </w:tcBorders>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540" w:type="dxa"/>
            <w:vAlign w:val="bottom"/>
            <w:gridSpan w:val="3"/>
          </w:tcPr>
          <w:p>
            <w:pPr>
              <w:ind w:left="200"/>
              <w:spacing w:after="0" w:line="168" w:lineRule="exact"/>
              <w:rPr>
                <w:sz w:val="20"/>
                <w:szCs w:val="20"/>
                <w:color w:val="auto"/>
              </w:rPr>
            </w:pPr>
            <w:r>
              <w:rPr>
                <w:rFonts w:ascii="Arial" w:cs="Arial" w:eastAsia="Arial" w:hAnsi="Arial"/>
                <w:sz w:val="17"/>
                <w:szCs w:val="17"/>
                <w:color w:val="auto"/>
                <w:w w:val="91"/>
              </w:rPr>
              <w:t>Common stock, $0.000001 par value, 2,400,000,000 shares authorized, 1,210,967,560 and</w:t>
            </w:r>
          </w:p>
        </w:tc>
        <w:tc>
          <w:tcPr>
            <w:tcW w:w="320" w:type="dxa"/>
            <w:vAlign w:val="bottom"/>
          </w:tcPr>
          <w:p>
            <w:pPr>
              <w:spacing w:after="0"/>
              <w:rPr>
                <w:sz w:val="14"/>
                <w:szCs w:val="14"/>
                <w:color w:val="auto"/>
              </w:rPr>
            </w:pPr>
          </w:p>
        </w:tc>
        <w:tc>
          <w:tcPr>
            <w:tcW w:w="20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540" w:type="dxa"/>
            <w:vAlign w:val="bottom"/>
            <w:gridSpan w:val="3"/>
          </w:tcPr>
          <w:p>
            <w:pPr>
              <w:ind w:left="200"/>
              <w:spacing w:after="0"/>
              <w:rPr>
                <w:sz w:val="20"/>
                <w:szCs w:val="20"/>
                <w:color w:val="auto"/>
              </w:rPr>
            </w:pPr>
            <w:r>
              <w:rPr>
                <w:rFonts w:ascii="Arial" w:cs="Arial" w:eastAsia="Arial" w:hAnsi="Arial"/>
                <w:sz w:val="17"/>
                <w:szCs w:val="17"/>
                <w:color w:val="auto"/>
                <w:w w:val="99"/>
              </w:rPr>
              <w:t>1,207,729,623 shares issued at June 30, 2022 and December 31, 2021, respectively</w:t>
            </w:r>
          </w:p>
        </w:tc>
        <w:tc>
          <w:tcPr>
            <w:tcW w:w="32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11,715</w:t>
            </w:r>
          </w:p>
        </w:tc>
        <w:tc>
          <w:tcPr>
            <w:tcW w:w="0" w:type="dxa"/>
            <w:vAlign w:val="bottom"/>
          </w:tcPr>
          <w:p>
            <w:pPr>
              <w:spacing w:after="0"/>
              <w:rPr>
                <w:sz w:val="1"/>
                <w:szCs w:val="1"/>
                <w:color w:val="auto"/>
              </w:rPr>
            </w:pPr>
          </w:p>
        </w:tc>
      </w:tr>
      <w:tr>
        <w:trPr>
          <w:trHeight w:val="218"/>
        </w:trPr>
        <w:tc>
          <w:tcPr>
            <w:tcW w:w="6540" w:type="dxa"/>
            <w:vAlign w:val="bottom"/>
            <w:gridSpan w:val="3"/>
          </w:tcPr>
          <w:p>
            <w:pPr>
              <w:ind w:left="200"/>
              <w:spacing w:after="0"/>
              <w:rPr>
                <w:sz w:val="20"/>
                <w:szCs w:val="20"/>
                <w:color w:val="auto"/>
              </w:rPr>
            </w:pPr>
            <w:r>
              <w:rPr>
                <w:rFonts w:ascii="Arial" w:cs="Arial" w:eastAsia="Arial" w:hAnsi="Arial"/>
                <w:sz w:val="17"/>
                <w:szCs w:val="17"/>
                <w:color w:val="auto"/>
                <w:w w:val="90"/>
              </w:rPr>
              <w:t>Less: Treasury stock, at cost, 428,676,471 shares at June 30, 2022 and December 31, 2021</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(5,563)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(5,563)</w:t>
            </w:r>
          </w:p>
        </w:tc>
        <w:tc>
          <w:tcPr>
            <w:tcW w:w="0" w:type="dxa"/>
            <w:vAlign w:val="bottom"/>
          </w:tcPr>
          <w:p>
            <w:pPr>
              <w:spacing w:after="0"/>
              <w:rPr>
                <w:sz w:val="1"/>
                <w:szCs w:val="1"/>
                <w:color w:val="auto"/>
              </w:rPr>
            </w:pPr>
          </w:p>
        </w:tc>
      </w:tr>
      <w:tr>
        <w:trPr>
          <w:trHeight w:val="220"/>
        </w:trPr>
        <w:tc>
          <w:tcPr>
            <w:tcW w:w="6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12,025</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2"/>
        </w:trPr>
        <w:tc>
          <w:tcPr>
            <w:tcW w:w="65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17,599</w:t>
            </w:r>
          </w:p>
        </w:tc>
        <w:tc>
          <w:tcPr>
            <w:tcW w:w="0" w:type="dxa"/>
            <w:vAlign w:val="bottom"/>
          </w:tcPr>
          <w:p>
            <w:pPr>
              <w:spacing w:after="0"/>
              <w:rPr>
                <w:sz w:val="1"/>
                <w:szCs w:val="1"/>
                <w:color w:val="auto"/>
              </w:rPr>
            </w:pPr>
          </w:p>
        </w:tc>
      </w:tr>
      <w:tr>
        <w:trPr>
          <w:trHeight w:val="213"/>
        </w:trPr>
        <w:tc>
          <w:tcPr>
            <w:tcW w:w="6540" w:type="dxa"/>
            <w:vAlign w:val="bottom"/>
            <w:gridSpan w:val="3"/>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24,994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25,056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Three Months Ended June 30,</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7"/>
                <w:szCs w:val="17"/>
                <w:b w:val="1"/>
                <w:bCs w:val="1"/>
                <w:color w:val="auto"/>
                <w:w w:val="97"/>
              </w:rPr>
              <w:t>For the Six Months Ended June 30,</w:t>
            </w:r>
          </w:p>
        </w:tc>
      </w:tr>
      <w:tr>
        <w:trPr>
          <w:trHeight w:val="213"/>
        </w:trPr>
        <w:tc>
          <w:tcPr>
            <w:tcW w:w="28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r>
      <w:tr>
        <w:trPr>
          <w:trHeight w:val="19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Product sales</w:t>
            </w:r>
          </w:p>
        </w:tc>
        <w:tc>
          <w:tcPr>
            <w:tcW w:w="1260" w:type="dxa"/>
            <w:vAlign w:val="bottom"/>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8"/>
                <w:szCs w:val="18"/>
                <w:color w:val="auto"/>
              </w:rPr>
            </w:pPr>
          </w:p>
        </w:tc>
        <w:tc>
          <w:tcPr>
            <w:tcW w:w="1380" w:type="dxa"/>
            <w:vAlign w:val="bottom"/>
          </w:tcPr>
          <w:p>
            <w:pPr>
              <w:jc w:val="right"/>
              <w:ind w:right="1194"/>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568</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1,243</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In-game, subscription, and other revenues</w:t>
            </w:r>
          </w:p>
        </w:tc>
        <w:tc>
          <w:tcPr>
            <w:tcW w:w="1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3,328</w:t>
            </w:r>
          </w:p>
        </w:tc>
      </w:tr>
      <w:tr>
        <w:trPr>
          <w:trHeight w:val="211"/>
        </w:trPr>
        <w:tc>
          <w:tcPr>
            <w:tcW w:w="3760" w:type="dxa"/>
            <w:vAlign w:val="bottom"/>
            <w:gridSpan w:val="3"/>
          </w:tcPr>
          <w:p>
            <w:pPr>
              <w:ind w:left="20"/>
              <w:spacing w:after="0"/>
              <w:rPr>
                <w:sz w:val="20"/>
                <w:szCs w:val="20"/>
                <w:color w:val="auto"/>
              </w:rPr>
            </w:pPr>
            <w:r>
              <w:rPr>
                <w:rFonts w:ascii="Arial" w:cs="Arial" w:eastAsia="Arial" w:hAnsi="Arial"/>
                <w:sz w:val="17"/>
                <w:szCs w:val="17"/>
                <w:color w:val="auto"/>
              </w:rPr>
              <w:t>Total net revenues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1,644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2,296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3,412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4,571</w:t>
            </w:r>
          </w:p>
        </w:tc>
      </w:tr>
      <w:tr>
        <w:trPr>
          <w:trHeight w:val="259"/>
        </w:trPr>
        <w:tc>
          <w:tcPr>
            <w:tcW w:w="28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9"/>
        </w:trPr>
        <w:tc>
          <w:tcPr>
            <w:tcW w:w="3760" w:type="dxa"/>
            <w:vAlign w:val="bottom"/>
            <w:gridSpan w:val="3"/>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9"/>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Cost of revenues—product sales: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3760" w:type="dxa"/>
            <w:vAlign w:val="bottom"/>
            <w:gridSpan w:val="3"/>
          </w:tcPr>
          <w:p>
            <w:pPr>
              <w:ind w:left="220"/>
              <w:spacing w:after="0"/>
              <w:rPr>
                <w:sz w:val="20"/>
                <w:szCs w:val="20"/>
                <w:color w:val="auto"/>
              </w:rPr>
            </w:pPr>
            <w:r>
              <w:rPr>
                <w:rFonts w:ascii="Arial" w:cs="Arial" w:eastAsia="Arial" w:hAnsi="Arial"/>
                <w:sz w:val="17"/>
                <w:szCs w:val="17"/>
                <w:color w:val="auto"/>
              </w:rPr>
              <w:t>Product costs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20"/>
        </w:trPr>
        <w:tc>
          <w:tcPr>
            <w:tcW w:w="37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Software royalties and amortization</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168"/>
        </w:trPr>
        <w:tc>
          <w:tcPr>
            <w:tcW w:w="3760" w:type="dxa"/>
            <w:vAlign w:val="bottom"/>
            <w:gridSpan w:val="3"/>
          </w:tcPr>
          <w:p>
            <w:pPr>
              <w:ind w:left="140"/>
              <w:spacing w:after="0" w:line="168" w:lineRule="exact"/>
              <w:rPr>
                <w:sz w:val="20"/>
                <w:szCs w:val="20"/>
                <w:color w:val="auto"/>
              </w:rPr>
            </w:pPr>
            <w:r>
              <w:rPr>
                <w:rFonts w:ascii="Arial" w:cs="Arial" w:eastAsia="Arial" w:hAnsi="Arial"/>
                <w:sz w:val="17"/>
                <w:szCs w:val="17"/>
                <w:color w:val="auto"/>
              </w:rPr>
              <w:t>Cost of revenues—in-game, subscription, and</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other:</w:t>
            </w: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37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Game operations and distribution costs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18"/>
        </w:trPr>
        <w:tc>
          <w:tcPr>
            <w:tcW w:w="3760" w:type="dxa"/>
            <w:vAlign w:val="bottom"/>
            <w:gridSpan w:val="3"/>
          </w:tcPr>
          <w:p>
            <w:pPr>
              <w:ind w:left="220"/>
              <w:spacing w:after="0"/>
              <w:rPr>
                <w:sz w:val="20"/>
                <w:szCs w:val="20"/>
                <w:color w:val="auto"/>
              </w:rPr>
            </w:pPr>
            <w:r>
              <w:rPr>
                <w:rFonts w:ascii="Arial" w:cs="Arial" w:eastAsia="Arial" w:hAnsi="Arial"/>
                <w:sz w:val="17"/>
                <w:szCs w:val="17"/>
                <w:color w:val="auto"/>
              </w:rPr>
              <w:t>Software royalties and amortization</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Sales and marketing</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482</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r>
      <w:tr>
        <w:trPr>
          <w:trHeight w:val="218"/>
        </w:trPr>
        <w:tc>
          <w:tcPr>
            <w:tcW w:w="376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Restructuring and related costs</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12"/>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1,337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2,817</w:t>
            </w:r>
          </w:p>
        </w:tc>
      </w:tr>
      <w:tr>
        <w:trPr>
          <w:trHeight w:val="239"/>
        </w:trPr>
        <w:tc>
          <w:tcPr>
            <w:tcW w:w="2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w:t>
            </w:r>
          </w:p>
        </w:tc>
      </w:tr>
      <w:tr>
        <w:trPr>
          <w:trHeight w:val="180"/>
        </w:trPr>
        <w:tc>
          <w:tcPr>
            <w:tcW w:w="3760" w:type="dxa"/>
            <w:vAlign w:val="bottom"/>
            <w:gridSpan w:val="3"/>
          </w:tcPr>
          <w:p>
            <w:pPr>
              <w:ind w:left="20"/>
              <w:spacing w:after="0" w:line="180" w:lineRule="exact"/>
              <w:rPr>
                <w:rFonts w:ascii="Arial" w:cs="Arial" w:eastAsia="Arial" w:hAnsi="Arial"/>
                <w:sz w:val="17"/>
                <w:szCs w:val="17"/>
                <w:color w:val="auto"/>
                <w:w w:val="97"/>
              </w:rPr>
            </w:pPr>
            <w:r>
              <w:rPr>
                <w:rFonts w:ascii="Arial" w:cs="Arial" w:eastAsia="Arial" w:hAnsi="Arial"/>
                <w:sz w:val="17"/>
                <w:szCs w:val="17"/>
                <w:color w:val="auto"/>
                <w:w w:val="97"/>
              </w:rPr>
              <w:t>Interest and other expense (income), net (</w:t>
            </w:r>
            <w:hyperlink w:anchor="page29">
              <w:r>
                <w:rPr>
                  <w:rFonts w:ascii="Arial" w:cs="Arial" w:eastAsia="Arial" w:hAnsi="Arial"/>
                  <w:sz w:val="17"/>
                  <w:szCs w:val="17"/>
                  <w:color w:val="0000FF"/>
                  <w:w w:val="97"/>
                </w:rPr>
                <w:t>Note 12</w:t>
              </w:r>
            </w:hyperlink>
            <w:r>
              <w:rPr>
                <w:rFonts w:ascii="Arial" w:cs="Arial" w:eastAsia="Arial" w:hAnsi="Arial"/>
                <w:sz w:val="17"/>
                <w:szCs w:val="17"/>
                <w:color w:val="auto"/>
                <w:w w:val="97"/>
              </w:rPr>
              <w:t>)</w:t>
            </w:r>
          </w:p>
        </w:tc>
        <w:tc>
          <w:tcPr>
            <w:tcW w:w="126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auto"/>
              </w:rPr>
              <w:t>17</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Arial" w:cs="Arial" w:eastAsia="Arial" w:hAnsi="Arial"/>
                <w:sz w:val="17"/>
                <w:szCs w:val="17"/>
                <w:color w:val="auto"/>
              </w:rPr>
              <w:t>(43)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7"/>
                <w:szCs w:val="17"/>
                <w:color w:val="auto"/>
              </w:rPr>
              <w:t>(14)</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0000FF"/>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1"/>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r>
      <w:tr>
        <w:trPr>
          <w:trHeight w:val="218"/>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Income tax expense</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r>
      <w:tr>
        <w:trPr>
          <w:trHeight w:val="238"/>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Basic</w:t>
            </w:r>
          </w:p>
        </w:tc>
        <w:tc>
          <w:tcPr>
            <w:tcW w:w="1260" w:type="dxa"/>
            <w:vAlign w:val="bottom"/>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8"/>
                <w:szCs w:val="18"/>
                <w:color w:val="auto"/>
              </w:rPr>
            </w:pPr>
          </w:p>
        </w:tc>
        <w:tc>
          <w:tcPr>
            <w:tcW w:w="1380" w:type="dxa"/>
            <w:vAlign w:val="bottom"/>
          </w:tcPr>
          <w:p>
            <w:pPr>
              <w:jc w:val="right"/>
              <w:ind w:right="1194"/>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26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58"/>
        </w:trPr>
        <w:tc>
          <w:tcPr>
            <w:tcW w:w="2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w w:val="93"/>
              </w:rPr>
              <w:t>Weighted-average number of shares outstanding</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3760" w:type="dxa"/>
            <w:vAlign w:val="bottom"/>
            <w:gridSpan w:val="3"/>
          </w:tcPr>
          <w:p>
            <w:pPr>
              <w:ind w:left="140"/>
              <w:spacing w:after="0"/>
              <w:rPr>
                <w:sz w:val="20"/>
                <w:szCs w:val="20"/>
                <w:color w:val="auto"/>
              </w:rPr>
            </w:pPr>
            <w:r>
              <w:rPr>
                <w:rFonts w:ascii="Arial" w:cs="Arial" w:eastAsia="Arial" w:hAnsi="Arial"/>
                <w:sz w:val="17"/>
                <w:szCs w:val="17"/>
                <w:color w:val="auto"/>
              </w:rPr>
              <w:t>Basic</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776</w:t>
            </w:r>
          </w:p>
        </w:tc>
      </w:tr>
      <w:tr>
        <w:trPr>
          <w:trHeight w:val="220"/>
        </w:trPr>
        <w:tc>
          <w:tcPr>
            <w:tcW w:w="37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Three Months Ended June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Six Months Ended June 30,</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320" w:type="dxa"/>
            <w:vAlign w:val="bottom"/>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1,496</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Foreign currency translation adjustments, net of tax</w:t>
            </w: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8"/>
        </w:trPr>
        <w:tc>
          <w:tcPr>
            <w:tcW w:w="3800" w:type="dxa"/>
            <w:vAlign w:val="bottom"/>
          </w:tcPr>
          <w:p>
            <w:pPr>
              <w:ind w:left="140"/>
              <w:spacing w:after="0" w:line="168" w:lineRule="exact"/>
              <w:rPr>
                <w:sz w:val="20"/>
                <w:szCs w:val="20"/>
                <w:color w:val="auto"/>
              </w:rPr>
            </w:pPr>
            <w:r>
              <w:rPr>
                <w:rFonts w:ascii="Arial" w:cs="Arial" w:eastAsia="Arial" w:hAnsi="Arial"/>
                <w:sz w:val="17"/>
                <w:szCs w:val="17"/>
                <w:color w:val="auto"/>
              </w:rPr>
              <w:t>Unrealized gains (losses) on forward contracts</w:t>
            </w:r>
          </w:p>
        </w:tc>
        <w:tc>
          <w:tcPr>
            <w:tcW w:w="13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3800" w:type="dxa"/>
            <w:vAlign w:val="bottom"/>
          </w:tcPr>
          <w:p>
            <w:pPr>
              <w:ind w:left="220"/>
              <w:spacing w:after="0"/>
              <w:rPr>
                <w:sz w:val="20"/>
                <w:szCs w:val="20"/>
                <w:color w:val="auto"/>
              </w:rPr>
            </w:pPr>
            <w:r>
              <w:rPr>
                <w:rFonts w:ascii="Arial" w:cs="Arial" w:eastAsia="Arial" w:hAnsi="Arial"/>
                <w:sz w:val="17"/>
                <w:szCs w:val="17"/>
                <w:color w:val="auto"/>
              </w:rPr>
              <w:t>designated as hedges, net of tax</w:t>
            </w:r>
          </w:p>
        </w:tc>
        <w:tc>
          <w:tcPr>
            <w:tcW w:w="13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Unrealized gains (losses) on available-for-sale</w:t>
            </w:r>
          </w:p>
        </w:tc>
        <w:tc>
          <w:tcPr>
            <w:tcW w:w="132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securities, net of tax</w:t>
            </w:r>
          </w:p>
        </w:tc>
        <w:tc>
          <w:tcPr>
            <w:tcW w:w="132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1320" w:type="dxa"/>
            <w:vAlign w:val="bottom"/>
            <w:tcBorders>
              <w:top w:val="single" w:sz="8" w:color="auto"/>
              <w:bottom w:val="single" w:sz="8" w:color="auto"/>
            </w:tcBorders>
          </w:tcPr>
          <w:p>
            <w:pPr>
              <w:jc w:val="right"/>
              <w:ind w:right="113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254"/>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3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94"/>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1,525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6620" w:type="dxa"/>
            <w:vAlign w:val="bottom"/>
            <w:gridSpan w:val="4"/>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890"/>
        </w:trPr>
        <w:tc>
          <w:tcPr>
            <w:tcW w:w="122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gridSpan w:val="2"/>
          </w:tcPr>
          <w:p>
            <w:pPr>
              <w:jc w:val="center"/>
              <w:ind w:right="378"/>
              <w:spacing w:after="0"/>
              <w:rPr>
                <w:sz w:val="20"/>
                <w:szCs w:val="20"/>
                <w:color w:val="auto"/>
              </w:rPr>
            </w:pPr>
            <w:r>
              <w:rPr>
                <w:rFonts w:ascii="Arial" w:cs="Arial" w:eastAsia="Arial" w:hAnsi="Arial"/>
                <w:sz w:val="17"/>
                <w:szCs w:val="17"/>
                <w:b w:val="1"/>
                <w:bCs w:val="1"/>
                <w:color w:val="auto"/>
              </w:rPr>
              <w:t>ACTIVISION BLIZZARD, INC. AND SUBSIDIARIES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6"/>
        </w:trPr>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tcPr>
          <w:p>
            <w:pPr>
              <w:jc w:val="center"/>
              <w:ind w:left="1114"/>
              <w:spacing w:after="0"/>
              <w:rPr>
                <w:sz w:val="20"/>
                <w:szCs w:val="20"/>
                <w:color w:val="auto"/>
              </w:rPr>
            </w:pPr>
            <w:r>
              <w:rPr>
                <w:rFonts w:ascii="Arial" w:cs="Arial" w:eastAsia="Arial" w:hAnsi="Arial"/>
                <w:sz w:val="17"/>
                <w:szCs w:val="17"/>
                <w:color w:val="auto"/>
                <w:w w:val="94"/>
              </w:rPr>
              <w:t>(Unaudited)</w:t>
            </w: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7"/>
        </w:trPr>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jc w:val="center"/>
              <w:ind w:left="1114"/>
              <w:spacing w:after="0"/>
              <w:rPr>
                <w:sz w:val="20"/>
                <w:szCs w:val="20"/>
                <w:color w:val="auto"/>
              </w:rPr>
            </w:pPr>
            <w:r>
              <w:rPr>
                <w:rFonts w:ascii="Arial" w:cs="Arial" w:eastAsia="Arial" w:hAnsi="Arial"/>
                <w:sz w:val="17"/>
                <w:szCs w:val="17"/>
                <w:color w:val="auto"/>
                <w:w w:val="96"/>
              </w:rPr>
              <w:t>(Amounts in millions)</w:t>
            </w:r>
          </w:p>
        </w:tc>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6"/>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7"/>
                <w:szCs w:val="17"/>
                <w:b w:val="1"/>
                <w:bCs w:val="1"/>
                <w:color w:val="auto"/>
              </w:rPr>
              <w:t>For the Six Months Ended June 30,</w:t>
            </w:r>
          </w:p>
        </w:tc>
        <w:tc>
          <w:tcPr>
            <w:tcW w:w="680" w:type="dxa"/>
            <w:vAlign w:val="bottom"/>
            <w:tcBorders>
              <w:bottom w:val="single" w:sz="8" w:color="auto"/>
            </w:tcBorders>
          </w:tcPr>
          <w:p>
            <w:pPr>
              <w:spacing w:after="0"/>
              <w:rPr>
                <w:sz w:val="24"/>
                <w:szCs w:val="24"/>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298"/>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200"/>
              <w:spacing w:after="0"/>
              <w:rPr>
                <w:sz w:val="20"/>
                <w:szCs w:val="20"/>
                <w:color w:val="auto"/>
              </w:rPr>
            </w:pPr>
            <w:r>
              <w:rPr>
                <w:rFonts w:ascii="Arial" w:cs="Arial" w:eastAsia="Arial" w:hAnsi="Arial"/>
                <w:sz w:val="17"/>
                <w:szCs w:val="17"/>
                <w:b w:val="1"/>
                <w:bCs w:val="1"/>
                <w:color w:val="auto"/>
              </w:rPr>
              <w:t>2021</w:t>
            </w:r>
          </w:p>
        </w:tc>
        <w:tc>
          <w:tcPr>
            <w:tcW w:w="680" w:type="dxa"/>
            <w:vAlign w:val="bottom"/>
            <w:tcBorders>
              <w:bottom w:val="single" w:sz="8" w:color="auto"/>
            </w:tcBorders>
          </w:tcPr>
          <w:p>
            <w:pPr>
              <w:spacing w:after="0"/>
              <w:rPr>
                <w:sz w:val="18"/>
                <w:szCs w:val="18"/>
                <w:color w:val="auto"/>
              </w:rPr>
            </w:pPr>
          </w:p>
        </w:tc>
      </w:tr>
      <w:tr>
        <w:trPr>
          <w:trHeight w:val="186"/>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Net income</w:t>
            </w:r>
          </w:p>
        </w:tc>
        <w:tc>
          <w:tcPr>
            <w:tcW w:w="1680" w:type="dxa"/>
            <w:vAlign w:val="bottom"/>
          </w:tcPr>
          <w:p>
            <w:pPr>
              <w:jc w:val="right"/>
              <w:ind w:right="1498"/>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675</w:t>
            </w:r>
          </w:p>
        </w:tc>
        <w:tc>
          <w:tcPr>
            <w:tcW w:w="100" w:type="dxa"/>
            <w:vAlign w:val="bottom"/>
          </w:tcPr>
          <w:p>
            <w:pPr>
              <w:spacing w:after="0"/>
              <w:rPr>
                <w:sz w:val="17"/>
                <w:szCs w:val="17"/>
                <w:color w:val="auto"/>
              </w:rPr>
            </w:pPr>
          </w:p>
        </w:tc>
        <w:tc>
          <w:tcPr>
            <w:tcW w:w="1580" w:type="dxa"/>
            <w:vAlign w:val="bottom"/>
          </w:tcPr>
          <w:p>
            <w:pPr>
              <w:jc w:val="right"/>
              <w:ind w:right="140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1,496</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Deferred income taxes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Non-cash operating lease cost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Depreciation and amortization</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Amortization of capitalized software development costs (1)</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Share-based compensation expense (2)</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194</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Realized and unrealized gain on equity investment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Other</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effect of business acquisitions: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Accounts receivable, net</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394</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369</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Software development</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Other assets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Deferred revenues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w:t>
            </w:r>
          </w:p>
        </w:tc>
      </w:tr>
      <w:tr>
        <w:trPr>
          <w:trHeight w:val="203"/>
        </w:trPr>
        <w:tc>
          <w:tcPr>
            <w:tcW w:w="6620" w:type="dxa"/>
            <w:vAlign w:val="bottom"/>
            <w:gridSpan w:val="4"/>
          </w:tcPr>
          <w:p>
            <w:pPr>
              <w:ind w:left="220"/>
              <w:spacing w:after="0"/>
              <w:rPr>
                <w:sz w:val="20"/>
                <w:szCs w:val="20"/>
                <w:color w:val="auto"/>
              </w:rPr>
            </w:pPr>
            <w:r>
              <w:rPr>
                <w:rFonts w:ascii="Arial" w:cs="Arial" w:eastAsia="Arial" w:hAnsi="Arial"/>
                <w:sz w:val="15"/>
                <w:szCs w:val="15"/>
                <w:color w:val="auto"/>
              </w:rPr>
              <w:t>Accounts payable</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09"/>
        </w:trPr>
        <w:tc>
          <w:tcPr>
            <w:tcW w:w="662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Accrued expenses and other liabilities</w:t>
            </w:r>
          </w:p>
        </w:tc>
        <w:tc>
          <w:tcPr>
            <w:tcW w:w="1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w:t>
            </w:r>
          </w:p>
        </w:tc>
      </w:tr>
      <w:tr>
        <w:trPr>
          <w:trHeight w:val="196"/>
        </w:trPr>
        <w:tc>
          <w:tcPr>
            <w:tcW w:w="6620" w:type="dxa"/>
            <w:vAlign w:val="bottom"/>
            <w:tcBorders>
              <w:bottom w:val="single" w:sz="8" w:color="CCEEFF"/>
            </w:tcBorders>
            <w:gridSpan w:val="4"/>
          </w:tcPr>
          <w:p>
            <w:pPr>
              <w:ind w:left="140"/>
              <w:spacing w:after="0"/>
              <w:rPr>
                <w:sz w:val="20"/>
                <w:szCs w:val="20"/>
                <w:color w:val="auto"/>
              </w:rPr>
            </w:pPr>
            <w:r>
              <w:rPr>
                <w:rFonts w:ascii="Arial" w:cs="Arial" w:eastAsia="Arial" w:hAnsi="Arial"/>
                <w:sz w:val="15"/>
                <w:szCs w:val="15"/>
                <w:color w:val="auto"/>
              </w:rPr>
              <w:t>Net cash provided by operating activities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1,232</w:t>
            </w:r>
          </w:p>
        </w:tc>
      </w:tr>
      <w:tr>
        <w:trPr>
          <w:trHeight w:val="189"/>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Proceeds from maturities of available-for-sale investments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Proceeds from sale of available-for-sale investments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Purchases of available-for-sale investments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(203)</w:t>
            </w:r>
          </w:p>
        </w:tc>
      </w:tr>
      <w:tr>
        <w:trPr>
          <w:trHeight w:val="189"/>
        </w:trPr>
        <w:tc>
          <w:tcPr>
            <w:tcW w:w="6620" w:type="dxa"/>
            <w:vAlign w:val="bottom"/>
            <w:gridSpan w:val="4"/>
            <w:shd w:val="clear" w:color="auto" w:fill="CCEEFF"/>
          </w:tcPr>
          <w:p>
            <w:pPr>
              <w:ind w:left="140"/>
              <w:spacing w:after="0" w:line="171" w:lineRule="exact"/>
              <w:rPr>
                <w:rFonts w:ascii="Arial" w:cs="Arial" w:eastAsia="Arial" w:hAnsi="Arial"/>
                <w:sz w:val="15"/>
                <w:szCs w:val="15"/>
                <w:color w:val="auto"/>
              </w:rPr>
            </w:pPr>
            <w:r>
              <w:rPr>
                <w:rFonts w:ascii="Arial" w:cs="Arial" w:eastAsia="Arial" w:hAnsi="Arial"/>
                <w:sz w:val="15"/>
                <w:szCs w:val="15"/>
                <w:color w:val="auto"/>
              </w:rPr>
              <w:t>Acquisition of business, net of cash acquired (</w:t>
            </w:r>
            <w:hyperlink w:anchor="page12">
              <w:r>
                <w:rPr>
                  <w:rFonts w:ascii="Arial" w:cs="Arial" w:eastAsia="Arial" w:hAnsi="Arial"/>
                  <w:sz w:val="15"/>
                  <w:szCs w:val="15"/>
                  <w:color w:val="0000FF"/>
                </w:rPr>
                <w:t>Note 4</w:t>
              </w:r>
            </w:hyperlink>
            <w:r>
              <w:rPr>
                <w:rFonts w:ascii="Arial" w:cs="Arial" w:eastAsia="Arial" w:hAnsi="Arial"/>
                <w:sz w:val="15"/>
                <w:szCs w:val="15"/>
                <w:color w:val="auto"/>
              </w:rPr>
              <w:t>)</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(135)</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rPr>
              <w:t>—</w:t>
            </w:r>
          </w:p>
        </w:tc>
      </w:tr>
      <w:tr>
        <w:trPr>
          <w:trHeight w:val="203"/>
        </w:trPr>
        <w:tc>
          <w:tcPr>
            <w:tcW w:w="3000" w:type="dxa"/>
            <w:vAlign w:val="bottom"/>
            <w:tcBorders>
              <w:top w:val="single" w:sz="8" w:color="CCEEFF"/>
            </w:tcBorders>
            <w:gridSpan w:val="2"/>
          </w:tcPr>
          <w:p>
            <w:pPr>
              <w:ind w:left="140"/>
              <w:spacing w:after="0"/>
              <w:rPr>
                <w:sz w:val="20"/>
                <w:szCs w:val="20"/>
                <w:color w:val="auto"/>
              </w:rPr>
            </w:pPr>
            <w:r>
              <w:rPr>
                <w:rFonts w:ascii="Arial" w:cs="Arial" w:eastAsia="Arial" w:hAnsi="Arial"/>
                <w:sz w:val="15"/>
                <w:szCs w:val="15"/>
                <w:color w:val="auto"/>
              </w:rPr>
              <w:t>Capital expenditures</w:t>
            </w:r>
          </w:p>
        </w:tc>
        <w:tc>
          <w:tcPr>
            <w:tcW w:w="420" w:type="dxa"/>
            <w:vAlign w:val="bottom"/>
            <w:tcBorders>
              <w:top w:val="single" w:sz="8" w:color="0000FF"/>
            </w:tcBorders>
          </w:tcPr>
          <w:p>
            <w:pPr>
              <w:spacing w:after="0"/>
              <w:rPr>
                <w:sz w:val="17"/>
                <w:szCs w:val="17"/>
                <w:color w:val="auto"/>
              </w:rPr>
            </w:pPr>
          </w:p>
        </w:tc>
        <w:tc>
          <w:tcPr>
            <w:tcW w:w="320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(52)</w:t>
            </w:r>
          </w:p>
        </w:tc>
        <w:tc>
          <w:tcPr>
            <w:tcW w:w="1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(36)</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Other investing activities</w:t>
            </w:r>
          </w:p>
        </w:tc>
        <w:tc>
          <w:tcPr>
            <w:tcW w:w="16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96"/>
        </w:trPr>
        <w:tc>
          <w:tcPr>
            <w:tcW w:w="6620" w:type="dxa"/>
            <w:vAlign w:val="bottom"/>
            <w:tcBorders>
              <w:bottom w:val="single" w:sz="8" w:color="CCEEFF"/>
            </w:tcBorders>
            <w:gridSpan w:val="4"/>
          </w:tcPr>
          <w:p>
            <w:pPr>
              <w:ind w:left="140"/>
              <w:spacing w:after="0"/>
              <w:rPr>
                <w:sz w:val="20"/>
                <w:szCs w:val="20"/>
                <w:color w:val="auto"/>
              </w:rPr>
            </w:pPr>
            <w:r>
              <w:rPr>
                <w:rFonts w:ascii="Arial" w:cs="Arial" w:eastAsia="Arial" w:hAnsi="Arial"/>
                <w:sz w:val="15"/>
                <w:szCs w:val="15"/>
                <w:color w:val="auto"/>
              </w:rPr>
              <w:t>Net cash used in investing activities</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w:t>
            </w:r>
          </w:p>
        </w:tc>
      </w:tr>
      <w:tr>
        <w:trPr>
          <w:trHeight w:val="189"/>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6620" w:type="dxa"/>
            <w:vAlign w:val="bottom"/>
            <w:gridSpan w:val="4"/>
          </w:tcPr>
          <w:p>
            <w:pPr>
              <w:ind w:left="140"/>
              <w:spacing w:after="0"/>
              <w:rPr>
                <w:sz w:val="20"/>
                <w:szCs w:val="20"/>
                <w:color w:val="auto"/>
              </w:rPr>
            </w:pPr>
            <w:r>
              <w:rPr>
                <w:rFonts w:ascii="Arial" w:cs="Arial" w:eastAsia="Arial" w:hAnsi="Arial"/>
                <w:sz w:val="15"/>
                <w:szCs w:val="15"/>
                <w:color w:val="auto"/>
              </w:rPr>
              <w:t>Proceeds from issuance of common stock to employees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09"/>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Tax payment related to net share settlements on restricted stock units</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r>
      <w:tr>
        <w:trPr>
          <w:trHeight w:val="203"/>
        </w:trPr>
        <w:tc>
          <w:tcPr>
            <w:tcW w:w="6620" w:type="dxa"/>
            <w:vAlign w:val="bottom"/>
            <w:tcBorders>
              <w:bottom w:val="single" w:sz="8" w:color="CCEEFF"/>
            </w:tcBorders>
            <w:gridSpan w:val="4"/>
          </w:tcPr>
          <w:p>
            <w:pPr>
              <w:ind w:left="140"/>
              <w:spacing w:after="0"/>
              <w:rPr>
                <w:sz w:val="20"/>
                <w:szCs w:val="20"/>
                <w:color w:val="auto"/>
              </w:rPr>
            </w:pPr>
            <w:r>
              <w:rPr>
                <w:rFonts w:ascii="Arial" w:cs="Arial" w:eastAsia="Arial" w:hAnsi="Arial"/>
                <w:sz w:val="15"/>
                <w:szCs w:val="15"/>
                <w:color w:val="auto"/>
              </w:rPr>
              <w:t>Dividends paid</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w:t>
            </w:r>
          </w:p>
        </w:tc>
      </w:tr>
      <w:tr>
        <w:trPr>
          <w:trHeight w:val="202"/>
        </w:trPr>
        <w:tc>
          <w:tcPr>
            <w:tcW w:w="66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Net cash used in financing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w:t>
            </w:r>
          </w:p>
        </w:tc>
      </w:tr>
      <w:tr>
        <w:trPr>
          <w:trHeight w:val="196"/>
        </w:trPr>
        <w:tc>
          <w:tcPr>
            <w:tcW w:w="6620" w:type="dxa"/>
            <w:vAlign w:val="bottom"/>
            <w:gridSpan w:val="4"/>
          </w:tcPr>
          <w:p>
            <w:pPr>
              <w:ind w:left="20"/>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16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9"/>
        </w:trPr>
        <w:tc>
          <w:tcPr>
            <w:tcW w:w="662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Net increase in cash and cash equivalents and restricted cash</w:t>
            </w:r>
          </w:p>
        </w:tc>
        <w:tc>
          <w:tcPr>
            <w:tcW w:w="1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w:t>
            </w:r>
          </w:p>
        </w:tc>
      </w:tr>
      <w:tr>
        <w:trPr>
          <w:trHeight w:val="204"/>
        </w:trPr>
        <w:tc>
          <w:tcPr>
            <w:tcW w:w="6620" w:type="dxa"/>
            <w:vAlign w:val="bottom"/>
            <w:tcBorders>
              <w:bottom w:val="single" w:sz="8" w:color="CCEEFF"/>
            </w:tcBorders>
            <w:gridSpan w:val="4"/>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period</w:t>
            </w:r>
          </w:p>
        </w:tc>
        <w:tc>
          <w:tcPr>
            <w:tcW w:w="1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10,438</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8,652</w:t>
            </w:r>
          </w:p>
        </w:tc>
      </w:tr>
      <w:tr>
        <w:trPr>
          <w:trHeight w:val="226"/>
        </w:trPr>
        <w:tc>
          <w:tcPr>
            <w:tcW w:w="6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period</w:t>
            </w:r>
          </w:p>
        </w:tc>
        <w:tc>
          <w:tcPr>
            <w:tcW w:w="1680" w:type="dxa"/>
            <w:vAlign w:val="bottom"/>
            <w:tcBorders>
              <w:bottom w:val="single" w:sz="8" w:color="auto"/>
            </w:tcBorders>
            <w:shd w:val="clear" w:color="auto" w:fill="CCEEFF"/>
          </w:tcPr>
          <w:p>
            <w:pPr>
              <w:jc w:val="right"/>
              <w:ind w:right="1498"/>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10,510</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400"/>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 including liability awards accounted for under ASC 718.</w:t>
      </w:r>
    </w:p>
    <w:p>
      <w:pPr>
        <w:spacing w:after="0" w:line="5" w:lineRule="exact"/>
        <w:rPr>
          <w:rFonts w:ascii="Arial" w:cs="Arial" w:eastAsia="Arial" w:hAnsi="Arial"/>
          <w:sz w:val="14"/>
          <w:szCs w:val="14"/>
          <w:color w:val="auto"/>
        </w:rPr>
      </w:pPr>
    </w:p>
    <w:p>
      <w:pPr>
        <w:ind w:left="300" w:hanging="297"/>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 including liability awards accounted for under ASC 718.</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Six Months Ended June 30, 2022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and shares in millions, except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right"/>
              <w:ind w:right="140"/>
              <w:spacing w:after="0" w:line="135" w:lineRule="exact"/>
              <w:rPr>
                <w:sz w:val="20"/>
                <w:szCs w:val="20"/>
                <w:color w:val="auto"/>
              </w:rPr>
            </w:pPr>
            <w:r>
              <w:rPr>
                <w:rFonts w:ascii="Arial" w:cs="Arial" w:eastAsia="Arial" w:hAnsi="Arial"/>
                <w:sz w:val="15"/>
                <w:szCs w:val="15"/>
                <w:b w:val="1"/>
                <w:bCs w:val="1"/>
                <w:color w:val="auto"/>
                <w:w w:val="95"/>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11,715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12,025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(578)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17,599</w:t>
            </w:r>
          </w:p>
        </w:tc>
        <w:tc>
          <w:tcPr>
            <w:tcW w:w="0" w:type="dxa"/>
            <w:vAlign w:val="bottom"/>
          </w:tcPr>
          <w:p>
            <w:pPr>
              <w:spacing w:after="0"/>
              <w:rPr>
                <w:sz w:val="1"/>
                <w:szCs w:val="1"/>
                <w:color w:val="auto"/>
              </w:rPr>
            </w:pP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3"/>
        </w:trPr>
        <w:tc>
          <w:tcPr>
            <w:tcW w:w="3440" w:type="dxa"/>
            <w:vAlign w:val="bottom"/>
            <w:gridSpan w:val="3"/>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rPr>
              <w:t>Settlement of liability-classified awards in restricted</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204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63"/>
        </w:trPr>
        <w:tc>
          <w:tcPr>
            <w:tcW w:w="3440" w:type="dxa"/>
            <w:vAlign w:val="bottom"/>
            <w:gridSpan w:val="3"/>
          </w:tcPr>
          <w:p>
            <w:pPr>
              <w:ind w:left="20"/>
              <w:spacing w:after="0" w:line="163" w:lineRule="exact"/>
              <w:rPr>
                <w:rFonts w:ascii="Arial" w:cs="Arial" w:eastAsia="Arial" w:hAnsi="Arial"/>
                <w:sz w:val="15"/>
                <w:szCs w:val="15"/>
                <w:color w:val="auto"/>
              </w:rPr>
            </w:pPr>
            <w:r>
              <w:rPr>
                <w:rFonts w:ascii="Arial" w:cs="Arial" w:eastAsia="Arial" w:hAnsi="Arial"/>
                <w:sz w:val="15"/>
                <w:szCs w:val="15"/>
                <w:color w:val="auto"/>
              </w:rPr>
              <w:t>stock units (</w:t>
            </w:r>
            <w:hyperlink w:anchor="page27">
              <w:r>
                <w:rPr>
                  <w:rFonts w:ascii="Arial" w:cs="Arial" w:eastAsia="Arial" w:hAnsi="Arial"/>
                  <w:sz w:val="15"/>
                  <w:szCs w:val="15"/>
                  <w:color w:val="0000FF"/>
                </w:rPr>
                <w:t>Note 10</w:t>
              </w:r>
            </w:hyperlink>
            <w:r>
              <w:rPr>
                <w:rFonts w:ascii="Arial" w:cs="Arial" w:eastAsia="Arial" w:hAnsi="Arial"/>
                <w:sz w:val="15"/>
                <w:szCs w:val="15"/>
                <w:color w:val="auto"/>
              </w:rPr>
              <w:t>)</w:t>
            </w: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8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Dividends ($0.47 per common share)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(367)</w:t>
            </w:r>
          </w:p>
        </w:tc>
        <w:tc>
          <w:tcPr>
            <w:tcW w:w="0" w:type="dxa"/>
            <w:vAlign w:val="bottom"/>
          </w:tcPr>
          <w:p>
            <w:pPr>
              <w:spacing w:after="0"/>
              <w:rPr>
                <w:sz w:val="1"/>
                <w:szCs w:val="1"/>
                <w:color w:val="auto"/>
              </w:rPr>
            </w:pPr>
          </w:p>
        </w:tc>
      </w:tr>
      <w:tr>
        <w:trPr>
          <w:trHeight w:val="202"/>
        </w:trPr>
        <w:tc>
          <w:tcPr>
            <w:tcW w:w="34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11,927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12,053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17,831</w:t>
            </w:r>
          </w:p>
        </w:tc>
        <w:tc>
          <w:tcPr>
            <w:tcW w:w="0" w:type="dxa"/>
            <w:vAlign w:val="bottom"/>
          </w:tcPr>
          <w:p>
            <w:pPr>
              <w:spacing w:after="0"/>
              <w:rPr>
                <w:sz w:val="1"/>
                <w:szCs w:val="1"/>
                <w:color w:val="auto"/>
              </w:rPr>
            </w:pPr>
          </w:p>
        </w:tc>
      </w:tr>
      <w:tr>
        <w:trPr>
          <w:trHeight w:val="183"/>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203"/>
        </w:trPr>
        <w:tc>
          <w:tcPr>
            <w:tcW w:w="3440" w:type="dxa"/>
            <w:vAlign w:val="bottom"/>
            <w:gridSpan w:val="3"/>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gridSpan w:val="3"/>
          </w:tcPr>
          <w:p>
            <w:pPr>
              <w:ind w:left="20"/>
              <w:spacing w:after="0" w:line="160"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9"/>
        </w:trPr>
        <w:tc>
          <w:tcPr>
            <w:tcW w:w="3440" w:type="dxa"/>
            <w:vAlign w:val="bottom"/>
            <w:gridSpan w:val="3"/>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201"/>
        </w:trPr>
        <w:tc>
          <w:tcPr>
            <w:tcW w:w="34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ind w:left="20"/>
              <w:spacing w:after="0"/>
              <w:rPr>
                <w:sz w:val="20"/>
                <w:szCs w:val="20"/>
                <w:color w:val="auto"/>
              </w:rPr>
            </w:pPr>
            <w:r>
              <w:rPr>
                <w:rFonts w:ascii="Arial" w:cs="Arial" w:eastAsia="Arial" w:hAnsi="Arial"/>
                <w:sz w:val="15"/>
                <w:szCs w:val="15"/>
                <w:b w:val="1"/>
                <w:bCs w:val="1"/>
                <w:color w:val="auto"/>
              </w:rPr>
              <w:t>Balance at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1,211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12,069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12,333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18,248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Six Months Ended June 30, 2021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and shares in millions, except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Accumulated</w:t>
            </w:r>
          </w:p>
        </w:tc>
        <w:tc>
          <w:tcPr>
            <w:tcW w:w="200" w:type="dxa"/>
            <w:vAlign w:val="bottom"/>
          </w:tcPr>
          <w:p>
            <w:pPr>
              <w:spacing w:after="0"/>
              <w:rPr>
                <w:sz w:val="14"/>
                <w:szCs w:val="14"/>
                <w:color w:val="auto"/>
              </w:rPr>
            </w:pPr>
          </w:p>
        </w:tc>
        <w:tc>
          <w:tcPr>
            <w:tcW w:w="860" w:type="dxa"/>
            <w:vAlign w:val="bottom"/>
            <w:vMerge w:val="restart"/>
          </w:tcPr>
          <w:p>
            <w:pPr>
              <w:jc w:val="center"/>
              <w:ind w:right="12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1700" w:type="dxa"/>
            <w:vAlign w:val="bottom"/>
            <w:gridSpan w:val="4"/>
            <w:vMerge w:val="restart"/>
          </w:tcPr>
          <w:p>
            <w:pPr>
              <w:ind w:left="340"/>
              <w:spacing w:after="0"/>
              <w:rPr>
                <w:sz w:val="20"/>
                <w:szCs w:val="20"/>
                <w:color w:val="auto"/>
              </w:rPr>
            </w:pPr>
            <w:r>
              <w:rPr>
                <w:rFonts w:ascii="Arial" w:cs="Arial" w:eastAsia="Arial" w:hAnsi="Arial"/>
                <w:sz w:val="15"/>
                <w:szCs w:val="15"/>
                <w:b w:val="1"/>
                <w:bCs w:val="1"/>
                <w:color w:val="auto"/>
              </w:rPr>
              <w:t>Common Stock</w:t>
            </w:r>
          </w:p>
        </w:tc>
        <w:tc>
          <w:tcPr>
            <w:tcW w:w="80" w:type="dxa"/>
            <w:vAlign w:val="bottom"/>
            <w:vMerge w:val="restart"/>
          </w:tcPr>
          <w:p>
            <w:pPr>
              <w:spacing w:after="0"/>
              <w:rPr>
                <w:sz w:val="13"/>
                <w:szCs w:val="13"/>
                <w:color w:val="auto"/>
              </w:rPr>
            </w:pPr>
          </w:p>
        </w:tc>
        <w:tc>
          <w:tcPr>
            <w:tcW w:w="1700" w:type="dxa"/>
            <w:vAlign w:val="bottom"/>
            <w:gridSpan w:val="4"/>
            <w:vMerge w:val="restart"/>
          </w:tcPr>
          <w:p>
            <w:pPr>
              <w:ind w:left="360"/>
              <w:spacing w:after="0"/>
              <w:rPr>
                <w:sz w:val="20"/>
                <w:szCs w:val="20"/>
                <w:color w:val="auto"/>
              </w:rPr>
            </w:pPr>
            <w:r>
              <w:rPr>
                <w:rFonts w:ascii="Arial" w:cs="Arial" w:eastAsia="Arial" w:hAnsi="Arial"/>
                <w:sz w:val="15"/>
                <w:szCs w:val="15"/>
                <w:b w:val="1"/>
                <w:bCs w:val="1"/>
                <w:color w:val="auto"/>
              </w:rPr>
              <w:t>Treasury Stock</w:t>
            </w:r>
          </w:p>
        </w:tc>
        <w:tc>
          <w:tcPr>
            <w:tcW w:w="80" w:type="dxa"/>
            <w:vAlign w:val="bottom"/>
            <w:vMerge w:val="restart"/>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line="155"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70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5"/>
                <w:szCs w:val="15"/>
                <w:b w:val="1"/>
                <w:bCs w:val="1"/>
                <w:color w:val="auto"/>
                <w:w w:val="99"/>
              </w:rPr>
              <w:t>Paid-In</w:t>
            </w:r>
          </w:p>
        </w:tc>
        <w:tc>
          <w:tcPr>
            <w:tcW w:w="100" w:type="dxa"/>
            <w:vAlign w:val="bottom"/>
          </w:tcPr>
          <w:p>
            <w:pPr>
              <w:spacing w:after="0"/>
              <w:rPr>
                <w:sz w:val="12"/>
                <w:szCs w:val="12"/>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Retained</w:t>
            </w:r>
          </w:p>
        </w:tc>
        <w:tc>
          <w:tcPr>
            <w:tcW w:w="1240" w:type="dxa"/>
            <w:vAlign w:val="bottom"/>
            <w:gridSpan w:val="3"/>
          </w:tcPr>
          <w:p>
            <w:pPr>
              <w:jc w:val="center"/>
              <w:ind w:right="80"/>
              <w:spacing w:after="0" w:line="135" w:lineRule="exact"/>
              <w:rPr>
                <w:sz w:val="20"/>
                <w:szCs w:val="20"/>
                <w:color w:val="auto"/>
              </w:rPr>
            </w:pPr>
            <w:r>
              <w:rPr>
                <w:rFonts w:ascii="Arial" w:cs="Arial" w:eastAsia="Arial" w:hAnsi="Arial"/>
                <w:sz w:val="15"/>
                <w:szCs w:val="15"/>
                <w:b w:val="1"/>
                <w:bCs w:val="1"/>
                <w:color w:val="auto"/>
                <w:w w:val="92"/>
              </w:rPr>
              <w:t>Comprehensive</w:t>
            </w:r>
          </w:p>
        </w:tc>
        <w:tc>
          <w:tcPr>
            <w:tcW w:w="106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3"/>
              </w:rPr>
              <w:t>Shareholders’</w:t>
            </w:r>
          </w:p>
        </w:tc>
        <w:tc>
          <w:tcPr>
            <w:tcW w:w="0" w:type="dxa"/>
            <w:vAlign w:val="bottom"/>
          </w:tcPr>
          <w:p>
            <w:pPr>
              <w:spacing w:after="0"/>
              <w:rPr>
                <w:sz w:val="1"/>
                <w:szCs w:val="1"/>
                <w:color w:val="auto"/>
              </w:rPr>
            </w:pPr>
          </w:p>
        </w:tc>
      </w:tr>
      <w:tr>
        <w:trPr>
          <w:trHeight w:val="197"/>
        </w:trPr>
        <w:tc>
          <w:tcPr>
            <w:tcW w:w="344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Capital</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Income (Loss)</w:t>
            </w:r>
          </w:p>
        </w:tc>
        <w:tc>
          <w:tcPr>
            <w:tcW w:w="200" w:type="dxa"/>
            <w:vAlign w:val="bottom"/>
          </w:tcPr>
          <w:p>
            <w:pPr>
              <w:spacing w:after="0"/>
              <w:rPr>
                <w:sz w:val="17"/>
                <w:szCs w:val="17"/>
                <w:color w:val="auto"/>
              </w:rPr>
            </w:pPr>
          </w:p>
        </w:tc>
        <w:tc>
          <w:tcPr>
            <w:tcW w:w="860" w:type="dxa"/>
            <w:vAlign w:val="bottom"/>
          </w:tcPr>
          <w:p>
            <w:pPr>
              <w:jc w:val="center"/>
              <w:ind w:right="1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11,531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9,691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15,037</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3"/>
              </w:rPr>
              <w:t>Issuance of common stock pursuant to employee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options</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restricted stock</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units</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($0.47 per common share)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1,206</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11,549</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9,945</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(600)</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15,331</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Components of comprehensive income: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(loss)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w w:val="93"/>
              </w:rPr>
              <w:t>Issuance of common stock pursuant to employee stock</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options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Restricted stock surrendered for employees’ tax</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line="160" w:lineRule="exact"/>
              <w:rPr>
                <w:sz w:val="20"/>
                <w:szCs w:val="20"/>
                <w:color w:val="auto"/>
              </w:rPr>
            </w:pPr>
            <w:r>
              <w:rPr>
                <w:rFonts w:ascii="Arial" w:cs="Arial" w:eastAsia="Arial" w:hAnsi="Arial"/>
                <w:sz w:val="15"/>
                <w:szCs w:val="15"/>
                <w:color w:val="auto"/>
              </w:rPr>
              <w:t>Share-based compensation expense related to</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99"/>
        </w:trPr>
        <w:tc>
          <w:tcPr>
            <w:tcW w:w="3440" w:type="dxa"/>
            <w:vAlign w:val="bottom"/>
          </w:tcPr>
          <w:p>
            <w:pPr>
              <w:ind w:left="20"/>
              <w:spacing w:after="0"/>
              <w:rPr>
                <w:sz w:val="20"/>
                <w:szCs w:val="20"/>
                <w:color w:val="auto"/>
              </w:rPr>
            </w:pPr>
            <w:r>
              <w:rPr>
                <w:rFonts w:ascii="Arial" w:cs="Arial" w:eastAsia="Arial" w:hAnsi="Arial"/>
                <w:sz w:val="15"/>
                <w:szCs w:val="15"/>
                <w:color w:val="auto"/>
              </w:rPr>
              <w:t>employee stock options and restricted stock units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5"/>
                <w:szCs w:val="15"/>
                <w:b w:val="1"/>
                <w:bCs w:val="1"/>
                <w:color w:val="auto"/>
                <w:w w:val="96"/>
              </w:rPr>
              <w:t>(429)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w w:val="96"/>
              </w:rPr>
              <w:t>(5,563)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11,621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(593)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16,286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Consolidation and Presentation</w:t>
      </w:r>
    </w:p>
    <w:p>
      <w:pPr>
        <w:spacing w:after="0" w:line="24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43"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(the “Effective Time”). We do not believe these restrictions will prevent us from meeting our debt service obligations, ongoing costs of operations, working capital needs or capital expenditure requirements. The consummation of the Merger remains subject to customary closing conditions, including satisfaction of certain regulatory approvals. On April 28, 2022, the Company’s stockholders adopted the Merger Agreement at a special meeting of stockholders. The Merger is currently expected to close in Microsoft’s fiscal year ending June 30, 2023.</w:t>
      </w:r>
    </w:p>
    <w:p>
      <w:pPr>
        <w:spacing w:after="0" w:line="202" w:lineRule="exact"/>
        <w:rPr>
          <w:sz w:val="20"/>
          <w:szCs w:val="20"/>
          <w:color w:val="auto"/>
        </w:rPr>
      </w:pPr>
    </w:p>
    <w:p>
      <w:pPr>
        <w:ind w:right="140" w:firstLine="387"/>
        <w:spacing w:after="0" w:line="246" w:lineRule="auto"/>
        <w:rPr>
          <w:rFonts w:ascii="Arial" w:cs="Arial" w:eastAsia="Arial" w:hAnsi="Arial"/>
          <w:sz w:val="17"/>
          <w:szCs w:val="17"/>
          <w:color w:val="0000FF"/>
        </w:rPr>
      </w:pPr>
      <w:r>
        <w:rPr>
          <w:rFonts w:ascii="Arial" w:cs="Arial" w:eastAsia="Arial" w:hAnsi="Arial"/>
          <w:sz w:val="17"/>
          <w:szCs w:val="17"/>
          <w:color w:val="auto"/>
        </w:rPr>
        <w:t xml:space="preserve">For additional information related to the Merger Agreement, please refer to the Definitive Proxy Statement on Schedule 14A filed with the SEC on March 21, 2022, as supplemented by the Current Report on Form 8-K filed with the SEC on April 15, 2022, as well as </w:t>
      </w:r>
      <w:hyperlink r:id="rId24">
        <w:r>
          <w:rPr>
            <w:rFonts w:ascii="Arial" w:cs="Arial" w:eastAsia="Arial" w:hAnsi="Arial"/>
            <w:sz w:val="17"/>
            <w:szCs w:val="17"/>
            <w:u w:val="single" w:color="auto"/>
            <w:color w:val="0000FF"/>
          </w:rPr>
          <w:t>Part I Item 1 “Business” of our Annual Report on</w:t>
        </w:r>
      </w:hyperlink>
      <w:r>
        <w:rPr>
          <w:rFonts w:ascii="Arial" w:cs="Arial" w:eastAsia="Arial" w:hAnsi="Arial"/>
          <w:sz w:val="17"/>
          <w:szCs w:val="17"/>
          <w:color w:val="auto"/>
        </w:rPr>
        <w:t xml:space="preserve"> </w:t>
      </w:r>
      <w:hyperlink r:id="rId24">
        <w:r>
          <w:rPr>
            <w:rFonts w:ascii="Arial" w:cs="Arial" w:eastAsia="Arial" w:hAnsi="Arial"/>
            <w:sz w:val="17"/>
            <w:szCs w:val="17"/>
            <w:u w:val="single" w:color="auto"/>
            <w:color w:val="0000FF"/>
          </w:rPr>
          <w:t>Form 10-K for the year ended December 31, 2021</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and other relevant materials in connection with the proposed transaction with Microsoft that we will file with</w:t>
      </w:r>
      <w:r>
        <w:rPr>
          <w:rFonts w:ascii="Arial" w:cs="Arial" w:eastAsia="Arial" w:hAnsi="Arial"/>
          <w:sz w:val="17"/>
          <w:szCs w:val="17"/>
          <w:color w:val="0000FF"/>
        </w:rPr>
        <w:t xml:space="preserve"> </w:t>
      </w:r>
      <w:r>
        <w:rPr>
          <w:rFonts w:ascii="Arial" w:cs="Arial" w:eastAsia="Arial" w:hAnsi="Arial"/>
          <w:sz w:val="17"/>
          <w:szCs w:val="17"/>
          <w:color w:val="000000"/>
        </w:rPr>
        <w:t>the SEC and that will contain important information about the Company and the Merger.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jc w:val="both"/>
        <w:ind w:right="40" w:firstLine="387"/>
        <w:spacing w:after="0" w:line="239"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2"/>
          <w:szCs w:val="22"/>
          <w:color w:val="auto"/>
          <w:vertAlign w:val="superscript"/>
        </w:rPr>
        <w:t>®</w:t>
      </w:r>
      <w:r>
        <w:rPr>
          <w:rFonts w:ascii="Arial" w:cs="Arial" w:eastAsia="Arial" w:hAnsi="Arial"/>
          <w:sz w:val="17"/>
          <w:szCs w:val="17"/>
          <w:color w:val="auto"/>
        </w:rPr>
        <w:t>, a first-person action franchise. Activision also includes the activities of the Call of Duty League™, a global professional esports league with city-based teams.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firstLine="387"/>
        <w:spacing w:after="0" w:line="218"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w:t>
      </w:r>
      <w:r>
        <w:rPr>
          <w:rFonts w:ascii="Arial" w:cs="Arial" w:eastAsia="Arial" w:hAnsi="Arial"/>
          <w:sz w:val="22"/>
          <w:szCs w:val="22"/>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Warcraft</w:t>
      </w:r>
      <w:r>
        <w:rPr>
          <w:rFonts w:ascii="Arial" w:cs="Arial" w:eastAsia="Arial" w:hAnsi="Arial"/>
          <w:sz w:val="22"/>
          <w:szCs w:val="22"/>
          <w:color w:val="auto"/>
          <w:vertAlign w:val="superscript"/>
        </w:rPr>
        <w:t>®</w:t>
      </w:r>
      <w:r>
        <w:rPr>
          <w:rFonts w:ascii="Arial" w:cs="Arial" w:eastAsia="Arial" w:hAnsi="Arial"/>
          <w:sz w:val="17"/>
          <w:szCs w:val="17"/>
          <w:color w:val="auto"/>
        </w:rPr>
        <w:t>, which includes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a subscription-based massive multi-player online role-playing game, and Hearthstone</w:t>
      </w:r>
      <w:r>
        <w:rPr>
          <w:rFonts w:ascii="Arial" w:cs="Arial" w:eastAsia="Arial" w:hAnsi="Arial"/>
          <w:sz w:val="22"/>
          <w:szCs w:val="22"/>
          <w:color w:val="auto"/>
          <w:vertAlign w:val="superscript"/>
        </w:rPr>
        <w:t>®</w:t>
      </w:r>
      <w:r>
        <w:rPr>
          <w:rFonts w:ascii="Arial" w:cs="Arial" w:eastAsia="Arial" w:hAnsi="Arial"/>
          <w:sz w:val="17"/>
          <w:szCs w:val="17"/>
          <w:color w:val="auto"/>
        </w:rPr>
        <w:t>, an online collectible card game based in the Warcraft universe; Diablo</w:t>
      </w:r>
      <w:r>
        <w:rPr>
          <w:rFonts w:ascii="Arial" w:cs="Arial" w:eastAsia="Arial" w:hAnsi="Arial"/>
          <w:sz w:val="22"/>
          <w:szCs w:val="22"/>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2"/>
          <w:szCs w:val="22"/>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city-based teams.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franchise is Candy Crush™, a “match three”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jc w:val="both"/>
        <w:ind w:right="40"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Presentation</w:t>
      </w:r>
    </w:p>
    <w:p>
      <w:pPr>
        <w:spacing w:after="0" w:line="243" w:lineRule="exact"/>
        <w:rPr>
          <w:sz w:val="20"/>
          <w:szCs w:val="20"/>
          <w:color w:val="auto"/>
        </w:rPr>
      </w:pPr>
    </w:p>
    <w:p>
      <w:pPr>
        <w:ind w:right="20" w:firstLine="387"/>
        <w:spacing w:after="0" w:line="299"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rules and regulations of the SEC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2021.</w:t>
      </w:r>
    </w:p>
    <w:p>
      <w:pPr>
        <w:spacing w:after="0" w:line="180" w:lineRule="exact"/>
        <w:rPr>
          <w:sz w:val="20"/>
          <w:szCs w:val="20"/>
          <w:color w:val="auto"/>
        </w:rPr>
      </w:pPr>
    </w:p>
    <w:p>
      <w:pPr>
        <w:ind w:right="60" w:firstLine="387"/>
        <w:spacing w:after="0" w:line="25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 Actual results could differ from these estimates and assumptions.</w:t>
      </w:r>
    </w:p>
    <w:p>
      <w:pPr>
        <w:spacing w:after="0" w:line="209"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and operations of the Company. All intercompany accounts and transactions have been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Software Development</w:t>
      </w:r>
    </w:p>
    <w:p>
      <w:pPr>
        <w:spacing w:after="0" w:line="249"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Our total capitalized software development costs of $892 million and $660 million as of June 30, 2022 and December 31, 2021, respectively, primarily relate to internal development costs.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Amortization of capitalized software development costs was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60" w:type="dxa"/>
            <w:vAlign w:val="bottom"/>
            <w:gridSpan w:val="5"/>
          </w:tcPr>
          <w:p>
            <w:pPr>
              <w:ind w:left="220"/>
              <w:spacing w:after="0"/>
              <w:rPr>
                <w:sz w:val="20"/>
                <w:szCs w:val="20"/>
                <w:color w:val="auto"/>
              </w:rPr>
            </w:pPr>
            <w:r>
              <w:rPr>
                <w:rFonts w:ascii="Arial" w:cs="Arial" w:eastAsia="Arial" w:hAnsi="Arial"/>
                <w:sz w:val="17"/>
                <w:szCs w:val="17"/>
                <w:b w:val="1"/>
                <w:bCs w:val="1"/>
                <w:color w:val="auto"/>
              </w:rPr>
              <w:t>For the Three Months Ended June 30,</w:t>
            </w:r>
          </w:p>
        </w:tc>
        <w:tc>
          <w:tcPr>
            <w:tcW w:w="380" w:type="dxa"/>
            <w:vAlign w:val="bottom"/>
          </w:tcPr>
          <w:p>
            <w:pPr>
              <w:spacing w:after="0"/>
              <w:rPr>
                <w:sz w:val="19"/>
                <w:szCs w:val="19"/>
                <w:color w:val="auto"/>
              </w:rPr>
            </w:pPr>
          </w:p>
        </w:tc>
        <w:tc>
          <w:tcPr>
            <w:tcW w:w="3520" w:type="dxa"/>
            <w:vAlign w:val="bottom"/>
            <w:gridSpan w:val="4"/>
          </w:tcPr>
          <w:p>
            <w:pPr>
              <w:jc w:val="right"/>
              <w:ind w:right="574"/>
              <w:spacing w:after="0"/>
              <w:rPr>
                <w:sz w:val="20"/>
                <w:szCs w:val="20"/>
                <w:color w:val="auto"/>
              </w:rPr>
            </w:pPr>
            <w:r>
              <w:rPr>
                <w:rFonts w:ascii="Arial" w:cs="Arial" w:eastAsia="Arial" w:hAnsi="Arial"/>
                <w:sz w:val="17"/>
                <w:szCs w:val="17"/>
                <w:b w:val="1"/>
                <w:bCs w:val="1"/>
                <w:color w:val="auto"/>
              </w:rPr>
              <w:t>For the Six Months Ended June 30,</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Amortization of capitalized software</w:t>
            </w: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costs</w:t>
            </w:r>
          </w:p>
        </w:tc>
        <w:tc>
          <w:tcPr>
            <w:tcW w:w="34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Intangible Assets,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Intangible assets, net, consist of the following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7"/>
                <w:szCs w:val="17"/>
                <w:b w:val="1"/>
                <w:bCs w:val="1"/>
                <w:color w:val="auto"/>
                <w:w w:val="91"/>
              </w:rPr>
              <w:t>At June 30, 2022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62"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2"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240" w:type="dxa"/>
            <w:vAlign w:val="bottom"/>
          </w:tcPr>
          <w:p>
            <w:pPr>
              <w:spacing w:after="0"/>
              <w:rPr>
                <w:sz w:val="14"/>
                <w:szCs w:val="14"/>
                <w:color w:val="auto"/>
              </w:rPr>
            </w:pPr>
          </w:p>
        </w:tc>
        <w:tc>
          <w:tcPr>
            <w:tcW w:w="1180" w:type="dxa"/>
            <w:vAlign w:val="bottom"/>
          </w:tcPr>
          <w:p>
            <w:pPr>
              <w:jc w:val="center"/>
              <w:ind w:right="154"/>
              <w:spacing w:after="0" w:line="162" w:lineRule="exact"/>
              <w:rPr>
                <w:sz w:val="20"/>
                <w:szCs w:val="20"/>
                <w:color w:val="auto"/>
              </w:rPr>
            </w:pPr>
            <w:r>
              <w:rPr>
                <w:rFonts w:ascii="Arial" w:cs="Arial" w:eastAsia="Arial" w:hAnsi="Arial"/>
                <w:sz w:val="17"/>
                <w:szCs w:val="17"/>
                <w:b w:val="1"/>
                <w:bCs w:val="1"/>
                <w:color w:val="auto"/>
                <w:w w:val="94"/>
              </w:rPr>
              <w:t>Net</w:t>
            </w:r>
          </w:p>
        </w:tc>
        <w:tc>
          <w:tcPr>
            <w:tcW w:w="0" w:type="dxa"/>
            <w:vAlign w:val="bottom"/>
          </w:tcPr>
          <w:p>
            <w:pPr>
              <w:spacing w:after="0"/>
              <w:rPr>
                <w:sz w:val="1"/>
                <w:szCs w:val="1"/>
                <w:color w:val="auto"/>
              </w:rPr>
            </w:pPr>
          </w:p>
        </w:tc>
      </w:tr>
      <w:tr>
        <w:trPr>
          <w:trHeight w:val="168"/>
        </w:trPr>
        <w:tc>
          <w:tcPr>
            <w:tcW w:w="4760" w:type="dxa"/>
            <w:vAlign w:val="bottom"/>
          </w:tcPr>
          <w:p>
            <w:pPr>
              <w:spacing w:after="0"/>
              <w:rPr>
                <w:sz w:val="14"/>
                <w:szCs w:val="14"/>
                <w:color w:val="auto"/>
              </w:rPr>
            </w:pPr>
          </w:p>
        </w:tc>
        <w:tc>
          <w:tcPr>
            <w:tcW w:w="198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4"/>
              <w:spacing w:after="0" w:line="167" w:lineRule="exact"/>
              <w:rPr>
                <w:sz w:val="20"/>
                <w:szCs w:val="20"/>
                <w:color w:val="auto"/>
              </w:rPr>
            </w:pPr>
            <w:r>
              <w:rPr>
                <w:rFonts w:ascii="Arial" w:cs="Arial" w:eastAsia="Arial" w:hAnsi="Arial"/>
                <w:sz w:val="17"/>
                <w:szCs w:val="17"/>
                <w:b w:val="1"/>
                <w:bCs w:val="1"/>
                <w:color w:val="auto"/>
                <w:w w:val="92"/>
              </w:rPr>
              <w:t>carrying</w:t>
            </w:r>
          </w:p>
        </w:tc>
        <w:tc>
          <w:tcPr>
            <w:tcW w:w="0" w:type="dxa"/>
            <w:vAlign w:val="bottom"/>
          </w:tcPr>
          <w:p>
            <w:pPr>
              <w:spacing w:after="0"/>
              <w:rPr>
                <w:sz w:val="1"/>
                <w:szCs w:val="1"/>
                <w:color w:val="auto"/>
              </w:rPr>
            </w:pPr>
          </w:p>
        </w:tc>
      </w:tr>
      <w:tr>
        <w:trPr>
          <w:trHeight w:val="219"/>
        </w:trPr>
        <w:tc>
          <w:tcPr>
            <w:tcW w:w="476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4"/>
              </w:rPr>
              <w:t>lives</w:t>
            </w:r>
          </w:p>
        </w:tc>
        <w:tc>
          <w:tcPr>
            <w:tcW w:w="2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amount</w:t>
            </w:r>
          </w:p>
        </w:tc>
        <w:tc>
          <w:tcPr>
            <w:tcW w:w="16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amortization</w:t>
            </w:r>
          </w:p>
        </w:tc>
        <w:tc>
          <w:tcPr>
            <w:tcW w:w="240" w:type="dxa"/>
            <w:vAlign w:val="bottom"/>
          </w:tcPr>
          <w:p>
            <w:pPr>
              <w:spacing w:after="0"/>
              <w:rPr>
                <w:sz w:val="19"/>
                <w:szCs w:val="19"/>
                <w:color w:val="auto"/>
              </w:rPr>
            </w:pPr>
          </w:p>
        </w:tc>
        <w:tc>
          <w:tcPr>
            <w:tcW w:w="1180" w:type="dxa"/>
            <w:vAlign w:val="bottom"/>
          </w:tcPr>
          <w:p>
            <w:pPr>
              <w:jc w:val="center"/>
              <w:ind w:right="154"/>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19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 (1):</w:t>
            </w: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140"/>
              <w:spacing w:after="0"/>
              <w:rPr>
                <w:sz w:val="20"/>
                <w:szCs w:val="20"/>
                <w:color w:val="auto"/>
              </w:rPr>
            </w:pPr>
            <w:r>
              <w:rPr>
                <w:rFonts w:ascii="Arial" w:cs="Arial" w:eastAsia="Arial" w:hAnsi="Arial"/>
                <w:sz w:val="17"/>
                <w:szCs w:val="17"/>
                <w:color w:val="auto"/>
              </w:rPr>
              <w:t>Trade names and other</w:t>
            </w:r>
          </w:p>
        </w:tc>
        <w:tc>
          <w:tcPr>
            <w:tcW w:w="1980" w:type="dxa"/>
            <w:vAlign w:val="bottom"/>
            <w:gridSpan w:val="2"/>
          </w:tcPr>
          <w:p>
            <w:pPr>
              <w:ind w:left="760"/>
              <w:spacing w:after="0"/>
              <w:rPr>
                <w:sz w:val="20"/>
                <w:szCs w:val="20"/>
                <w:color w:val="auto"/>
              </w:rPr>
            </w:pPr>
            <w:r>
              <w:rPr>
                <w:rFonts w:ascii="Arial" w:cs="Arial" w:eastAsia="Arial" w:hAnsi="Arial"/>
                <w:sz w:val="17"/>
                <w:szCs w:val="17"/>
                <w:color w:val="auto"/>
              </w:rPr>
              <w:t>1 - 10 years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59"/>
        </w:trPr>
        <w:tc>
          <w:tcPr>
            <w:tcW w:w="47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18"/>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19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8"/>
              </w:rPr>
              <w:t>Indefinite</w:t>
            </w: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firstLine="3"/>
        <w:spacing w:after="0" w:line="279" w:lineRule="auto"/>
        <w:tabs>
          <w:tab w:leader="none" w:pos="243" w:val="left"/>
        </w:tabs>
        <w:numPr>
          <w:ilvl w:val="0"/>
          <w:numId w:val="4"/>
        </w:numPr>
        <w:rPr>
          <w:rFonts w:ascii="Arial" w:cs="Arial" w:eastAsia="Arial" w:hAnsi="Arial"/>
          <w:sz w:val="17"/>
          <w:szCs w:val="17"/>
          <w:color w:val="auto"/>
        </w:rPr>
      </w:pPr>
      <w:r>
        <w:rPr>
          <w:rFonts w:ascii="Arial" w:cs="Arial" w:eastAsia="Arial" w:hAnsi="Arial"/>
          <w:sz w:val="17"/>
          <w:szCs w:val="17"/>
          <w:color w:val="auto"/>
        </w:rPr>
        <w:t>Beginning with the first quarter of 2022, the balances of the internally-developed franchises intangible assets have been removed as such amounts were fully amortized in the prior year.</w:t>
      </w:r>
    </w:p>
    <w:p>
      <w:pPr>
        <w:spacing w:after="0" w:line="223" w:lineRule="exact"/>
        <w:rPr>
          <w:sz w:val="20"/>
          <w:szCs w:val="20"/>
          <w:color w:val="auto"/>
        </w:rPr>
      </w:pPr>
    </w:p>
    <w:p>
      <w:pPr>
        <w:ind w:left="7200"/>
        <w:spacing w:after="0"/>
        <w:rPr>
          <w:sz w:val="20"/>
          <w:szCs w:val="20"/>
          <w:color w:val="auto"/>
        </w:rPr>
      </w:pPr>
      <w:r>
        <w:rPr>
          <w:rFonts w:ascii="Arial" w:cs="Arial" w:eastAsia="Arial" w:hAnsi="Arial"/>
          <w:sz w:val="17"/>
          <w:szCs w:val="17"/>
          <w:b w:val="1"/>
          <w:bCs w:val="1"/>
          <w:color w:val="auto"/>
        </w:rPr>
        <w:t>At December 31, 2021</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Acquired definite-lived intangible assets:</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Internally-developed franchises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Trade names and 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definite-lived intangible assets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Borders>
              <w:top w:val="single" w:sz="8" w:color="auto"/>
            </w:tcBorders>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3"/>
              </w:rPr>
              <w:t>Estimated</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60"/>
              <w:spacing w:after="0" w:line="162" w:lineRule="exact"/>
              <w:rPr>
                <w:sz w:val="20"/>
                <w:szCs w:val="20"/>
                <w:color w:val="auto"/>
              </w:rPr>
            </w:pPr>
            <w:r>
              <w:rPr>
                <w:rFonts w:ascii="Arial" w:cs="Arial" w:eastAsia="Arial" w:hAnsi="Arial"/>
                <w:sz w:val="17"/>
                <w:szCs w:val="17"/>
                <w:b w:val="1"/>
                <w:bCs w:val="1"/>
                <w:color w:val="auto"/>
                <w:w w:val="89"/>
              </w:rPr>
              <w:t>Gross</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center"/>
              <w:ind w:right="94"/>
              <w:spacing w:after="0"/>
              <w:rPr>
                <w:sz w:val="20"/>
                <w:szCs w:val="20"/>
                <w:color w:val="auto"/>
              </w:rPr>
            </w:pPr>
            <w:r>
              <w:rPr>
                <w:rFonts w:ascii="Arial" w:cs="Arial" w:eastAsia="Arial" w:hAnsi="Arial"/>
                <w:sz w:val="17"/>
                <w:szCs w:val="17"/>
                <w:b w:val="1"/>
                <w:bCs w:val="1"/>
                <w:color w:val="auto"/>
                <w:w w:val="94"/>
              </w:rPr>
              <w:t>Net carrying</w:t>
            </w:r>
          </w:p>
        </w:tc>
        <w:tc>
          <w:tcPr>
            <w:tcW w:w="0" w:type="dxa"/>
            <w:vAlign w:val="bottom"/>
          </w:tcPr>
          <w:p>
            <w:pPr>
              <w:spacing w:after="0"/>
              <w:rPr>
                <w:sz w:val="1"/>
                <w:szCs w:val="1"/>
                <w:color w:val="auto"/>
              </w:rPr>
            </w:pPr>
          </w:p>
        </w:tc>
      </w:tr>
      <w:tr>
        <w:trPr>
          <w:trHeight w:val="168"/>
        </w:trPr>
        <w:tc>
          <w:tcPr>
            <w:tcW w:w="1980" w:type="dxa"/>
            <w:vAlign w:val="bottom"/>
            <w:gridSpan w:val="3"/>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useful</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5"/>
              </w:rPr>
              <w:t>carrying</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auto"/>
            </w:tcBorders>
            <w:gridSpan w:val="2"/>
          </w:tcPr>
          <w:p>
            <w:pPr>
              <w:ind w:left="780"/>
              <w:spacing w:after="0"/>
              <w:rPr>
                <w:sz w:val="20"/>
                <w:szCs w:val="20"/>
                <w:color w:val="auto"/>
              </w:rPr>
            </w:pPr>
            <w:r>
              <w:rPr>
                <w:rFonts w:ascii="Arial" w:cs="Arial" w:eastAsia="Arial" w:hAnsi="Arial"/>
                <w:sz w:val="17"/>
                <w:szCs w:val="17"/>
                <w:b w:val="1"/>
                <w:bCs w:val="1"/>
                <w:color w:val="auto"/>
              </w:rPr>
              <w:t>lives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91"/>
              </w:rPr>
              <w:t>amount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8"/>
              </w:rPr>
              <w:t>amortization</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4"/>
              </w:rPr>
              <w:t>amount</w:t>
            </w:r>
          </w:p>
        </w:tc>
        <w:tc>
          <w:tcPr>
            <w:tcW w:w="0" w:type="dxa"/>
            <w:vAlign w:val="bottom"/>
          </w:tcPr>
          <w:p>
            <w:pPr>
              <w:spacing w:after="0"/>
              <w:rPr>
                <w:sz w:val="1"/>
                <w:szCs w:val="1"/>
                <w:color w:val="auto"/>
              </w:rPr>
            </w:pPr>
          </w:p>
        </w:tc>
      </w:tr>
      <w:tr>
        <w:trPr>
          <w:trHeight w:val="417"/>
        </w:trPr>
        <w:tc>
          <w:tcPr>
            <w:tcW w:w="880" w:type="dxa"/>
            <w:vAlign w:val="bottom"/>
          </w:tcPr>
          <w:p>
            <w:pPr>
              <w:ind w:left="760"/>
              <w:spacing w:after="0"/>
              <w:rPr>
                <w:sz w:val="20"/>
                <w:szCs w:val="20"/>
                <w:color w:val="auto"/>
              </w:rPr>
            </w:pPr>
            <w:r>
              <w:rPr>
                <w:rFonts w:ascii="Arial" w:cs="Arial" w:eastAsia="Arial" w:hAnsi="Arial"/>
                <w:sz w:val="17"/>
                <w:szCs w:val="17"/>
                <w:color w:val="auto"/>
              </w:rPr>
              <w:t>3</w:t>
            </w:r>
          </w:p>
        </w:tc>
        <w:tc>
          <w:tcPr>
            <w:tcW w:w="1100" w:type="dxa"/>
            <w:vAlign w:val="bottom"/>
            <w:gridSpan w:val="2"/>
          </w:tcPr>
          <w:p>
            <w:pPr>
              <w:ind w:left="40"/>
              <w:spacing w:after="0"/>
              <w:rPr>
                <w:sz w:val="20"/>
                <w:szCs w:val="20"/>
                <w:color w:val="auto"/>
              </w:rPr>
            </w:pPr>
            <w:r>
              <w:rPr>
                <w:rFonts w:ascii="Arial" w:cs="Arial" w:eastAsia="Arial" w:hAnsi="Arial"/>
                <w:sz w:val="17"/>
                <w:szCs w:val="17"/>
                <w:color w:val="auto"/>
              </w:rPr>
              <w:t>- 11 years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ind w:left="1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80" w:type="dxa"/>
            <w:vAlign w:val="bottom"/>
          </w:tcPr>
          <w:p>
            <w:pPr>
              <w:ind w:left="76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ind w:left="40"/>
              <w:spacing w:after="0"/>
              <w:rPr>
                <w:sz w:val="20"/>
                <w:szCs w:val="20"/>
                <w:color w:val="auto"/>
              </w:rPr>
            </w:pPr>
            <w:r>
              <w:rPr>
                <w:rFonts w:ascii="Arial" w:cs="Arial" w:eastAsia="Arial" w:hAnsi="Arial"/>
                <w:sz w:val="17"/>
                <w:szCs w:val="17"/>
                <w:color w:val="auto"/>
              </w:rPr>
              <w:t>- 10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-596900</wp:posOffset>
            </wp:positionV>
            <wp:extent cx="713867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-318770</wp:posOffset>
            </wp:positionV>
            <wp:extent cx="7138670" cy="139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40" w:space="720"/>
            <w:col w:w="64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1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5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4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Activision trademark</w:t>
            </w:r>
          </w:p>
        </w:tc>
        <w:tc>
          <w:tcPr>
            <w:tcW w:w="564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Indefinite</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18"/>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Acquired trade names</w:t>
            </w:r>
          </w:p>
        </w:tc>
        <w:tc>
          <w:tcPr>
            <w:tcW w:w="5640" w:type="dxa"/>
            <w:vAlign w:val="bottom"/>
            <w:tcBorders>
              <w:bottom w:val="single" w:sz="8" w:color="CCEEFF"/>
            </w:tcBorders>
          </w:tcPr>
          <w:p>
            <w:pPr>
              <w:ind w:left="1180"/>
              <w:spacing w:after="0"/>
              <w:rPr>
                <w:sz w:val="20"/>
                <w:szCs w:val="20"/>
                <w:color w:val="auto"/>
              </w:rPr>
            </w:pPr>
            <w:r>
              <w:rPr>
                <w:rFonts w:ascii="Arial" w:cs="Arial" w:eastAsia="Arial" w:hAnsi="Arial"/>
                <w:sz w:val="17"/>
                <w:szCs w:val="17"/>
                <w:color w:val="auto"/>
              </w:rPr>
              <w:t>Indefinite</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5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r>
      <w:tr>
        <w:trPr>
          <w:trHeight w:val="213"/>
        </w:trPr>
        <w:tc>
          <w:tcPr>
            <w:tcW w:w="418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564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r>
      <w:tr>
        <w:trPr>
          <w:trHeight w:val="20"/>
        </w:trPr>
        <w:tc>
          <w:tcPr>
            <w:tcW w:w="4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Acquisitions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carrying amount of goodwill by reportable segment at both June 30, 2022 and December 31, 2021, was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b w:val="1"/>
                <w:bCs w:val="1"/>
                <w:color w:val="auto"/>
              </w:rPr>
              <w:t>Activision</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King</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Total</w:t>
            </w: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9,799</w:t>
            </w:r>
          </w:p>
        </w:tc>
      </w:tr>
      <w:tr>
        <w:trPr>
          <w:trHeight w:val="218"/>
        </w:trPr>
        <w:tc>
          <w:tcPr>
            <w:tcW w:w="4640" w:type="dxa"/>
            <w:vAlign w:val="bottom"/>
          </w:tcPr>
          <w:p>
            <w:pPr>
              <w:ind w:left="140"/>
              <w:spacing w:after="0"/>
              <w:rPr>
                <w:sz w:val="20"/>
                <w:szCs w:val="20"/>
                <w:color w:val="auto"/>
              </w:rPr>
            </w:pPr>
            <w:r>
              <w:rPr>
                <w:rFonts w:ascii="Arial" w:cs="Arial" w:eastAsia="Arial" w:hAnsi="Arial"/>
                <w:sz w:val="17"/>
                <w:szCs w:val="17"/>
                <w:color w:val="auto"/>
              </w:rPr>
              <w:t>Additions through acquisition (1)</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color w:val="auto"/>
              </w:rPr>
              <w:t>Balance at June 30, 2022</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6,932</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4"/>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9,931</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40" w:hanging="237"/>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completed the acquisition of two businesses to acquire 100% of the voting equity interests during June 2022:</w:t>
      </w:r>
    </w:p>
    <w:p>
      <w:pPr>
        <w:spacing w:after="0" w:line="242" w:lineRule="exact"/>
        <w:rPr>
          <w:rFonts w:ascii="Arial" w:cs="Arial" w:eastAsia="Arial" w:hAnsi="Arial"/>
          <w:sz w:val="17"/>
          <w:szCs w:val="17"/>
          <w:color w:val="auto"/>
        </w:rPr>
      </w:pPr>
    </w:p>
    <w:p>
      <w:pPr>
        <w:ind w:left="940" w:right="520" w:hanging="318"/>
        <w:spacing w:after="0" w:line="279" w:lineRule="auto"/>
        <w:tabs>
          <w:tab w:leader="none" w:pos="936"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Proletariat Inc.(“Proletariat”), a privately held game development studio based in Boston, Massachusetts, was acquired by Blizzard to increase developer resources for the Warcraft franchise.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940" w:right="260" w:hanging="318"/>
        <w:spacing w:after="0" w:line="266" w:lineRule="auto"/>
        <w:tabs>
          <w:tab w:leader="none" w:pos="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Peltarion AB (“Peltarion”), a privately held artificial intelligence (“AI”) software company based in Stockholm, Sweden, was acquired by King to acquire artificial intelligence and machine learning talent and a machine learning operations platform that will accelerate the current use of AI and machine learning technology in King’s game platform.</w:t>
      </w:r>
    </w:p>
    <w:p>
      <w:pPr>
        <w:spacing w:after="0" w:line="201" w:lineRule="exact"/>
        <w:rPr>
          <w:sz w:val="20"/>
          <w:szCs w:val="20"/>
          <w:color w:val="auto"/>
        </w:rPr>
      </w:pPr>
    </w:p>
    <w:p>
      <w:pPr>
        <w:ind w:right="180" w:firstLine="387"/>
        <w:spacing w:after="0" w:line="259" w:lineRule="auto"/>
        <w:rPr>
          <w:sz w:val="20"/>
          <w:szCs w:val="20"/>
          <w:color w:val="auto"/>
        </w:rPr>
      </w:pPr>
      <w:r>
        <w:rPr>
          <w:rFonts w:ascii="Arial" w:cs="Arial" w:eastAsia="Arial" w:hAnsi="Arial"/>
          <w:sz w:val="17"/>
          <w:szCs w:val="17"/>
          <w:color w:val="auto"/>
        </w:rPr>
        <w:t>The total purchase price for these acquisitions was $152 million utilizing cash on hand. The value to the Company of both of these acquisitions is primarily in the assembled workforce of the acquired businesses and therefore the majority of the value for each acquisition has been recognized as goodwill. Goodwill attributed to the acquired businesses is not expected to be tax-deductible. The fair values assigned to assets acquired and liabilities assumed are based on management’s best estimates and assumptions as of June 30, 2022 and are considered preliminary, pending finalization of our valuation of these assets and liabilities.</w:t>
      </w:r>
    </w:p>
    <w:p>
      <w:pPr>
        <w:spacing w:after="0" w:line="209"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The results of operations of Proletariat and Peltarion, in each case, since the date of acquisition, are included in our condensed consolidated financial statements. Pro forma results of operations have not been presented because the effect of the acquisitions are not material to our condensed consolidated statements of operations, either individually or in the aggregate.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49"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The Financial Accounting Standards Board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01" w:lineRule="exact"/>
        <w:rPr>
          <w:sz w:val="20"/>
          <w:szCs w:val="20"/>
          <w:color w:val="auto"/>
        </w:rPr>
      </w:pPr>
    </w:p>
    <w:p>
      <w:pPr>
        <w:ind w:left="920" w:hanging="298"/>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42" w:lineRule="exact"/>
        <w:rPr>
          <w:rFonts w:ascii="Arial" w:cs="Arial" w:eastAsia="Arial" w:hAnsi="Arial"/>
          <w:sz w:val="17"/>
          <w:szCs w:val="17"/>
          <w:color w:val="auto"/>
        </w:rPr>
      </w:pPr>
    </w:p>
    <w:p>
      <w:pPr>
        <w:ind w:left="940" w:right="280" w:hanging="318"/>
        <w:spacing w:after="0" w:line="279"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0" w:lineRule="exact"/>
        <w:rPr>
          <w:rFonts w:ascii="Arial" w:cs="Arial" w:eastAsia="Arial" w:hAnsi="Arial"/>
          <w:sz w:val="17"/>
          <w:szCs w:val="17"/>
          <w:color w:val="auto"/>
        </w:rPr>
      </w:pPr>
    </w:p>
    <w:p>
      <w:pPr>
        <w:ind w:left="940" w:right="340" w:hanging="318"/>
        <w:spacing w:after="0" w:line="349" w:lineRule="auto"/>
        <w:tabs>
          <w:tab w:leader="none" w:pos="936" w:val="left"/>
        </w:tabs>
        <w:numPr>
          <w:ilvl w:val="0"/>
          <w:numId w:val="7"/>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43"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101"/>
              <w:spacing w:after="0"/>
              <w:rPr>
                <w:sz w:val="20"/>
                <w:szCs w:val="20"/>
                <w:color w:val="auto"/>
              </w:rPr>
            </w:pPr>
            <w:r>
              <w:rPr>
                <w:rFonts w:ascii="Arial" w:cs="Arial" w:eastAsia="Arial" w:hAnsi="Arial"/>
                <w:sz w:val="14"/>
                <w:szCs w:val="14"/>
                <w:b w:val="1"/>
                <w:bCs w:val="1"/>
                <w:color w:val="auto"/>
                <w:w w:val="88"/>
              </w:rPr>
              <w:t>Fair Value Measurements at June 30, 2022 Using</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88"/>
              </w:rPr>
              <w:t>Quoted Prices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Significant Other</w:t>
            </w:r>
          </w:p>
        </w:tc>
        <w:tc>
          <w:tcPr>
            <w:tcW w:w="1020" w:type="dxa"/>
            <w:vAlign w:val="bottom"/>
            <w:vMerge w:val="restart"/>
          </w:tcPr>
          <w:p>
            <w:pPr>
              <w:jc w:val="center"/>
              <w:ind w:left="224"/>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13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20" w:type="dxa"/>
            <w:vAlign w:val="bottom"/>
          </w:tcPr>
          <w:p>
            <w:pPr>
              <w:jc w:val="center"/>
              <w:ind w:left="224"/>
              <w:spacing w:after="0"/>
              <w:rPr>
                <w:sz w:val="20"/>
                <w:szCs w:val="20"/>
                <w:color w:val="auto"/>
              </w:rPr>
            </w:pPr>
            <w:r>
              <w:rPr>
                <w:rFonts w:ascii="Arial" w:cs="Arial" w:eastAsia="Arial" w:hAnsi="Arial"/>
                <w:sz w:val="14"/>
                <w:szCs w:val="14"/>
                <w:b w:val="1"/>
                <w:bCs w:val="1"/>
                <w:color w:val="auto"/>
                <w:w w:val="91"/>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Recurring fair value measurements: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U.S. treasuries and government agency</w:t>
            </w: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4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169"/>
        </w:trPr>
        <w:tc>
          <w:tcPr>
            <w:tcW w:w="3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Foreign currency forward contracts</w:t>
            </w: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24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4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7"/>
                <w:szCs w:val="17"/>
                <w:color w:val="auto"/>
              </w:rPr>
              <w:t>Total</w:t>
            </w:r>
          </w:p>
        </w:tc>
        <w:tc>
          <w:tcPr>
            <w:tcW w:w="4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10,381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Assets: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Recurring fair value measurements: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Money market funds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Foreign government treasury bills</w:t>
      </w:r>
    </w:p>
    <w:p>
      <w:pPr>
        <w:spacing w:after="0" w:line="24"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U.S. treasuries and government agency securities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securities</w:t>
      </w:r>
    </w:p>
    <w:p>
      <w:pPr>
        <w:spacing w:after="0" w:line="24" w:lineRule="exact"/>
        <w:rPr>
          <w:sz w:val="20"/>
          <w:szCs w:val="20"/>
          <w:color w:val="auto"/>
        </w:rPr>
      </w:pPr>
    </w:p>
    <w:p>
      <w:pPr>
        <w:ind w:left="20" w:right="280"/>
        <w:spacing w:after="0" w:line="236" w:lineRule="auto"/>
        <w:rPr>
          <w:sz w:val="20"/>
          <w:szCs w:val="20"/>
          <w:color w:val="auto"/>
        </w:rPr>
      </w:pPr>
      <w:r>
        <w:rPr>
          <w:rFonts w:ascii="Arial" w:cs="Arial" w:eastAsia="Arial" w:hAnsi="Arial"/>
          <w:sz w:val="17"/>
          <w:szCs w:val="17"/>
          <w:color w:val="auto"/>
        </w:rPr>
        <w:t>Foreign currency forward contracts designated as hedges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Fair Value Measurements at December 31, 2021 Using</w:t>
            </w: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80"/>
              <w:spacing w:after="0" w:line="128" w:lineRule="exact"/>
              <w:rPr>
                <w:sz w:val="20"/>
                <w:szCs w:val="20"/>
                <w:color w:val="auto"/>
              </w:rPr>
            </w:pPr>
            <w:r>
              <w:rPr>
                <w:rFonts w:ascii="Arial" w:cs="Arial" w:eastAsia="Arial" w:hAnsi="Arial"/>
                <w:sz w:val="14"/>
                <w:szCs w:val="14"/>
                <w:b w:val="1"/>
                <w:bCs w:val="1"/>
                <w:color w:val="auto"/>
                <w:w w:val="88"/>
              </w:rPr>
              <w:t>Quoted Prices in</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Significant Other</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Significant</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As of December 31,</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4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29"/>
        </w:trPr>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Unobservable Inputs</w:t>
            </w:r>
          </w:p>
        </w:tc>
        <w:tc>
          <w:tcPr>
            <w:tcW w:w="2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3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5"/>
                <w:szCs w:val="15"/>
                <w:color w:val="auto"/>
              </w:rPr>
            </w:pPr>
          </w:p>
        </w:tc>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-7620</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269875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10,035</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2640" w:type="dxa"/>
            <w:vAlign w:val="bottom"/>
            <w:gridSpan w:val="2"/>
          </w:tcPr>
          <w:p>
            <w:pPr>
              <w:ind w:left="480"/>
              <w:spacing w:after="0"/>
              <w:rPr>
                <w:sz w:val="20"/>
                <w:szCs w:val="20"/>
                <w:color w:val="auto"/>
              </w:rPr>
            </w:pPr>
            <w:r>
              <w:rPr>
                <w:rFonts w:ascii="Arial" w:cs="Arial" w:eastAsia="Arial" w:hAnsi="Arial"/>
                <w:sz w:val="17"/>
                <w:szCs w:val="17"/>
                <w:color w:val="auto"/>
                <w:w w:val="92"/>
              </w:rPr>
              <w:t>—  Cash and cash equivalents</w:t>
            </w:r>
          </w:p>
        </w:tc>
      </w:tr>
      <w:tr>
        <w:trPr>
          <w:trHeight w:val="21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2640" w:type="dxa"/>
            <w:vAlign w:val="bottom"/>
            <w:gridSpan w:val="2"/>
          </w:tcPr>
          <w:p>
            <w:pPr>
              <w:ind w:left="480"/>
              <w:spacing w:after="0"/>
              <w:rPr>
                <w:sz w:val="20"/>
                <w:szCs w:val="20"/>
                <w:color w:val="auto"/>
              </w:rPr>
            </w:pPr>
            <w:r>
              <w:rPr>
                <w:rFonts w:ascii="Arial" w:cs="Arial" w:eastAsia="Arial" w:hAnsi="Arial"/>
                <w:sz w:val="17"/>
                <w:szCs w:val="17"/>
                <w:color w:val="auto"/>
                <w:w w:val="92"/>
              </w:rPr>
              <w:t>—  Cash and cash equivalents</w:t>
            </w:r>
          </w:p>
        </w:tc>
      </w:tr>
      <w:tr>
        <w:trPr>
          <w:trHeight w:val="387"/>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219"/>
        </w:trPr>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388"/>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ind w:left="120"/>
              <w:spacing w:after="0"/>
              <w:rPr>
                <w:sz w:val="20"/>
                <w:szCs w:val="20"/>
                <w:color w:val="auto"/>
              </w:rPr>
            </w:pPr>
            <w:r>
              <w:rPr>
                <w:rFonts w:ascii="Arial" w:cs="Arial" w:eastAsia="Arial" w:hAnsi="Arial"/>
                <w:sz w:val="17"/>
                <w:szCs w:val="17"/>
                <w:color w:val="auto"/>
              </w:rPr>
              <w:t>Other current assets</w:t>
            </w:r>
          </w:p>
        </w:tc>
      </w:tr>
      <w:tr>
        <w:trPr>
          <w:trHeight w:val="212"/>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10,269</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10,249</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920" w:type="dxa"/>
            <w:vAlign w:val="bottom"/>
          </w:tcPr>
          <w:p>
            <w:pPr>
              <w:spacing w:after="0"/>
              <w:rPr>
                <w:sz w:val="18"/>
                <w:szCs w:val="18"/>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-809625</wp:posOffset>
            </wp:positionV>
            <wp:extent cx="7138670" cy="245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8670" cy="245745"/>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-424815</wp:posOffset>
            </wp:positionV>
            <wp:extent cx="7138670" cy="245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400"/>
            <w:col w:w="8120"/>
          </w:cols>
          <w:pgMar w:left="320" w:top="127" w:right="3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Designated as Hedges (“Cash Flow Hedges”)</w:t>
      </w:r>
    </w:p>
    <w:p>
      <w:pPr>
        <w:spacing w:after="0" w:line="243" w:lineRule="exact"/>
        <w:rPr>
          <w:sz w:val="20"/>
          <w:szCs w:val="20"/>
          <w:color w:val="auto"/>
        </w:rPr>
      </w:pPr>
    </w:p>
    <w:p>
      <w:pPr>
        <w:ind w:right="380" w:firstLine="387"/>
        <w:spacing w:after="0" w:line="279" w:lineRule="auto"/>
        <w:rPr>
          <w:sz w:val="20"/>
          <w:szCs w:val="20"/>
          <w:color w:val="auto"/>
        </w:rPr>
      </w:pPr>
      <w:r>
        <w:rPr>
          <w:rFonts w:ascii="Arial" w:cs="Arial" w:eastAsia="Arial" w:hAnsi="Arial"/>
          <w:sz w:val="17"/>
          <w:szCs w:val="17"/>
          <w:color w:val="auto"/>
        </w:rPr>
        <w:t>The total gross notional amounts and fair values of our Cash Flow Hedges, which generally had remaining maturities of 12 months or less as of June 30, 2022, are as follows (amounts in millions):</w:t>
      </w:r>
    </w:p>
    <w:p>
      <w:pPr>
        <w:sectPr>
          <w:pgSz w:w="11900" w:h="16838" w:orient="portrait"/>
          <w:cols w:equalWidth="0" w:num="1">
            <w:col w:w="11240"/>
          </w:cols>
          <w:pgMar w:left="320" w:top="127" w:right="339" w:bottom="1440" w:gutter="0" w:footer="0" w:header="0"/>
        </w:sect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22225</wp:posOffset>
            </wp:positionV>
            <wp:extent cx="25050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7" w:lineRule="exact"/>
        <w:rPr>
          <w:sz w:val="20"/>
          <w:szCs w:val="20"/>
          <w:color w:val="auto"/>
        </w:rPr>
      </w:pPr>
    </w:p>
    <w:p>
      <w:pPr>
        <w:ind w:left="3560"/>
        <w:spacing w:after="0"/>
        <w:tabs>
          <w:tab w:leader="none" w:pos="5380" w:val="left"/>
        </w:tabs>
        <w:rPr>
          <w:sz w:val="20"/>
          <w:szCs w:val="20"/>
          <w:color w:val="auto"/>
        </w:rPr>
      </w:pPr>
      <w:r>
        <w:rPr>
          <w:rFonts w:ascii="Arial" w:cs="Arial" w:eastAsia="Arial" w:hAnsi="Arial"/>
          <w:sz w:val="15"/>
          <w:szCs w:val="15"/>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22225</wp:posOffset>
            </wp:positionV>
            <wp:extent cx="25050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27" w:lineRule="exact"/>
        <w:rPr>
          <w:sz w:val="20"/>
          <w:szCs w:val="20"/>
          <w:color w:val="auto"/>
        </w:rPr>
      </w:pPr>
    </w:p>
    <w:p>
      <w:pPr>
        <w:spacing w:after="0"/>
        <w:tabs>
          <w:tab w:leader="none" w:pos="1820" w:val="left"/>
        </w:tabs>
        <w:rPr>
          <w:sz w:val="20"/>
          <w:szCs w:val="20"/>
          <w:color w:val="auto"/>
        </w:rPr>
      </w:pPr>
      <w:r>
        <w:rPr>
          <w:rFonts w:ascii="Arial" w:cs="Arial" w:eastAsia="Arial" w:hAnsi="Arial"/>
          <w:sz w:val="15"/>
          <w:szCs w:val="15"/>
          <w:b w:val="1"/>
          <w:bCs w:val="1"/>
          <w:color w:val="auto"/>
        </w:rPr>
        <w:t>Notional amount</w:t>
      </w:r>
      <w:r>
        <w:rPr>
          <w:sz w:val="20"/>
          <w:szCs w:val="20"/>
          <w:color w:val="auto"/>
        </w:rPr>
        <w:tab/>
      </w:r>
      <w:r>
        <w:rPr>
          <w:rFonts w:ascii="Arial" w:cs="Arial" w:eastAsia="Arial" w:hAnsi="Arial"/>
          <w:sz w:val="13"/>
          <w:szCs w:val="13"/>
          <w:b w:val="1"/>
          <w:bCs w:val="1"/>
          <w:color w:val="auto"/>
        </w:rPr>
        <w:t>Fair value gain (loss)</w:t>
      </w:r>
    </w:p>
    <w:p>
      <w:pPr>
        <w:spacing w:after="0" w:line="29" w:lineRule="exact"/>
        <w:rPr>
          <w:sz w:val="20"/>
          <w:szCs w:val="20"/>
          <w:color w:val="auto"/>
        </w:rPr>
      </w:pPr>
    </w:p>
    <w:p>
      <w:pPr>
        <w:sectPr>
          <w:pgSz w:w="11900" w:h="16838" w:orient="portrait"/>
          <w:cols w:equalWidth="0" w:num="2">
            <w:col w:w="7000" w:space="720"/>
            <w:col w:w="3520"/>
          </w:cols>
          <w:pgMar w:left="320" w:top="127"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3120" w:val="left"/>
          <w:tab w:leader="none" w:pos="4740" w:val="left"/>
          <w:tab w:leader="none" w:pos="6800" w:val="left"/>
          <w:tab w:leader="none" w:pos="7300" w:val="left"/>
          <w:tab w:leader="none" w:pos="8920" w:val="left"/>
          <w:tab w:leader="none" w:pos="10980" w:val="left"/>
        </w:tabs>
        <w:rPr>
          <w:sz w:val="20"/>
          <w:szCs w:val="20"/>
          <w:color w:val="auto"/>
        </w:rPr>
      </w:pPr>
      <w:r>
        <w:rPr>
          <w:rFonts w:ascii="Arial" w:cs="Arial" w:eastAsia="Arial" w:hAnsi="Arial"/>
          <w:sz w:val="17"/>
          <w:szCs w:val="17"/>
          <w:color w:val="auto"/>
        </w:rPr>
        <w:t>Buy USD, Sell EUR</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554 $</w:t>
      </w:r>
      <w:r>
        <w:rPr>
          <w:sz w:val="20"/>
          <w:szCs w:val="20"/>
          <w:color w:val="auto"/>
        </w:rPr>
        <w:tab/>
      </w:r>
      <w:r>
        <w:rPr>
          <w:rFonts w:ascii="Arial" w:cs="Arial" w:eastAsia="Arial" w:hAnsi="Arial"/>
          <w:sz w:val="17"/>
          <w:szCs w:val="17"/>
          <w:color w:val="auto"/>
        </w:rPr>
        <w:t>37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382 $</w:t>
      </w:r>
      <w:r>
        <w:rPr>
          <w:sz w:val="20"/>
          <w:szCs w:val="20"/>
          <w:color w:val="auto"/>
        </w:rPr>
        <w:tab/>
      </w:r>
      <w:r>
        <w:rPr>
          <w:rFonts w:ascii="Arial" w:cs="Arial" w:eastAsia="Arial" w:hAnsi="Arial"/>
          <w:sz w:val="16"/>
          <w:szCs w:val="16"/>
          <w:color w:val="auto"/>
        </w:rPr>
        <w:t>20</w:t>
      </w:r>
    </w:p>
    <w:p>
      <w:pPr>
        <w:spacing w:after="0" w:line="33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For the three and six months ended June 30, 2022 and 2021, pre-tax net realized gains (losses) associated with our Cash Flow Hedges that were reclassified out of “Accumulated other comprehensive income (loss)” and into earnings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Deferred Revenues</w:t>
      </w:r>
    </w:p>
    <w:p>
      <w:pPr>
        <w:spacing w:after="0" w:line="249" w:lineRule="exact"/>
        <w:rPr>
          <w:sz w:val="20"/>
          <w:szCs w:val="20"/>
          <w:color w:val="auto"/>
        </w:rPr>
      </w:pPr>
    </w:p>
    <w:p>
      <w:pPr>
        <w:ind w:right="60" w:firstLine="387"/>
        <w:spacing w:after="0" w:line="297" w:lineRule="auto"/>
        <w:rPr>
          <w:sz w:val="20"/>
          <w:szCs w:val="20"/>
          <w:color w:val="auto"/>
        </w:rPr>
      </w:pPr>
      <w:r>
        <w:rPr>
          <w:rFonts w:ascii="Arial" w:cs="Arial" w:eastAsia="Arial" w:hAnsi="Arial"/>
          <w:sz w:val="15"/>
          <w:szCs w:val="15"/>
          <w:color w:val="auto"/>
        </w:rPr>
        <w:t>We record deferred revenues when cash payments are received or due in advance of the fulfillment of our associated performance obligations. The aggregate of the current and non-current balances of deferred revenues as of June 30, 2022 and December 31, 2021, were $0.9 billion and $1.1 billion, respectively. For the six months ended June 30, 2022,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all of which were in the ordinary course of business. During the three and six months ended June 30, 2022, $0.3 billion and $1.0 billion, respectively, of revenues were recognized that were included in the deferred revenues balance at December 31, 2021. During the three and six months ended June 30, 2021, $0.5 billion and $1.6 billion, respectively, of revenues were recognized that were included in the deferred revenues balance at December 31, 2020.</w:t>
      </w:r>
    </w:p>
    <w:p>
      <w:pPr>
        <w:spacing w:after="0" w:line="182" w:lineRule="exact"/>
        <w:rPr>
          <w:sz w:val="20"/>
          <w:szCs w:val="20"/>
          <w:color w:val="auto"/>
        </w:rPr>
      </w:pPr>
    </w:p>
    <w:p>
      <w:pPr>
        <w:ind w:right="40" w:firstLine="387"/>
        <w:spacing w:after="0" w:line="259" w:lineRule="auto"/>
        <w:rPr>
          <w:sz w:val="20"/>
          <w:szCs w:val="20"/>
          <w:color w:val="auto"/>
        </w:rPr>
      </w:pPr>
      <w:r>
        <w:rPr>
          <w:rFonts w:ascii="Arial" w:cs="Arial" w:eastAsia="Arial" w:hAnsi="Arial"/>
          <w:sz w:val="17"/>
          <w:szCs w:val="17"/>
          <w:color w:val="auto"/>
        </w:rPr>
        <w:t>As of June 30, 2022, the aggregate amount of contracted revenues allocated to our unsatisfied performance obligations was $1.2 billion, which included our deferred revenues balances and amounts to be invoiced and recognized as revenue in future periods. We expect to recognize approximately $1.1 billion over the next 12 months and approximately $0.1 billion in the subsequent 12-month period. This balance did not include an estimate for variable consideration arising from sales-based royalty license revenue in excess of the contractual minimum guarantee or any estimated amounts of variable consideration that are subject to constraint in accordance with the revenue accounting standard.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43"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As of June 30, 2022 and December 31, 2021,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June 30, 2022.</w:t>
      </w:r>
    </w:p>
    <w:p>
      <w:pPr>
        <w:spacing w:after="0" w:line="201" w:lineRule="exact"/>
        <w:rPr>
          <w:sz w:val="20"/>
          <w:szCs w:val="20"/>
          <w:color w:val="auto"/>
        </w:rPr>
      </w:pPr>
    </w:p>
    <w:p>
      <w:pPr>
        <w:ind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39">
        <w:r>
          <w:rPr>
            <w:rFonts w:ascii="Arial" w:cs="Arial" w:eastAsia="Arial" w:hAnsi="Arial"/>
            <w:sz w:val="17"/>
            <w:szCs w:val="17"/>
            <w:u w:val="single" w:color="auto"/>
            <w:color w:val="0000FF"/>
          </w:rPr>
          <w:t>Note 13 contained in our 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the Credit Agreement and its key terms.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243" w:lineRule="exact"/>
        <w:rPr>
          <w:sz w:val="20"/>
          <w:szCs w:val="20"/>
          <w:color w:val="auto"/>
        </w:rPr>
      </w:pPr>
    </w:p>
    <w:p>
      <w:pPr>
        <w:ind w:right="400" w:firstLine="387"/>
        <w:spacing w:after="0" w:line="279" w:lineRule="auto"/>
        <w:rPr>
          <w:sz w:val="20"/>
          <w:szCs w:val="20"/>
          <w:color w:val="auto"/>
        </w:rPr>
      </w:pPr>
      <w:r>
        <w:rPr>
          <w:rFonts w:ascii="Arial" w:cs="Arial" w:eastAsia="Arial" w:hAnsi="Arial"/>
          <w:sz w:val="17"/>
          <w:szCs w:val="17"/>
          <w:color w:val="auto"/>
        </w:rPr>
        <w:t>As of June 30, 2022 and December 31, 2021, we had $3.7 billion of gross unsecured senior notes outstanding. A summary of our outstanding unsecured senior notes is as follows (amounts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ind w:left="380"/>
              <w:spacing w:after="0"/>
              <w:rPr>
                <w:sz w:val="20"/>
                <w:szCs w:val="20"/>
                <w:color w:val="auto"/>
              </w:rPr>
            </w:pPr>
            <w:r>
              <w:rPr>
                <w:rFonts w:ascii="Arial" w:cs="Arial" w:eastAsia="Arial" w:hAnsi="Arial"/>
                <w:sz w:val="14"/>
                <w:szCs w:val="14"/>
                <w:b w:val="1"/>
                <w:bCs w:val="1"/>
                <w:color w:val="auto"/>
              </w:rPr>
              <w:t>At June 30, 2022</w:t>
            </w:r>
          </w:p>
        </w:tc>
        <w:tc>
          <w:tcPr>
            <w:tcW w:w="160" w:type="dxa"/>
            <w:vAlign w:val="bottom"/>
          </w:tcPr>
          <w:p>
            <w:pPr>
              <w:spacing w:after="0"/>
              <w:rPr>
                <w:sz w:val="15"/>
                <w:szCs w:val="15"/>
                <w:color w:val="auto"/>
              </w:rPr>
            </w:pPr>
          </w:p>
        </w:tc>
        <w:tc>
          <w:tcPr>
            <w:tcW w:w="18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At December 31, 2021</w:t>
            </w:r>
          </w:p>
        </w:tc>
        <w:tc>
          <w:tcPr>
            <w:tcW w:w="0" w:type="dxa"/>
            <w:vAlign w:val="bottom"/>
          </w:tcPr>
          <w:p>
            <w:pPr>
              <w:spacing w:after="0"/>
              <w:rPr>
                <w:sz w:val="1"/>
                <w:szCs w:val="1"/>
                <w:color w:val="auto"/>
              </w:rPr>
            </w:pPr>
          </w:p>
        </w:tc>
      </w:tr>
      <w:tr>
        <w:trPr>
          <w:trHeight w:val="129"/>
        </w:trPr>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Unsecured Senior Notes</w:t>
            </w:r>
          </w:p>
        </w:tc>
        <w:tc>
          <w:tcPr>
            <w:tcW w:w="100" w:type="dxa"/>
            <w:vAlign w:val="bottom"/>
            <w:vMerge w:val="restart"/>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vMerge w:val="restart"/>
          </w:tcPr>
          <w:p>
            <w:pPr>
              <w:spacing w:after="0"/>
              <w:rPr>
                <w:sz w:val="11"/>
                <w:szCs w:val="11"/>
                <w:color w:val="auto"/>
              </w:rPr>
            </w:pPr>
          </w:p>
        </w:tc>
        <w:tc>
          <w:tcPr>
            <w:tcW w:w="2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Semi-Annual Interest Payments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8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8"/>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9"/>
        </w:trPr>
        <w:tc>
          <w:tcPr>
            <w:tcW w:w="2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Due On</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3"/>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2026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2027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 2027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2030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1.35%</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2030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18"/>
        </w:trPr>
        <w:tc>
          <w:tcPr>
            <w:tcW w:w="27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2047 Notes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4.50%</w:t>
            </w: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Jun. 15 &amp; Dec. 15</w:t>
            </w:r>
          </w:p>
        </w:tc>
        <w:tc>
          <w:tcPr>
            <w:tcW w:w="126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 2047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0"/>
        </w:trPr>
        <w:tc>
          <w:tcPr>
            <w:tcW w:w="2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2050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 15 &amp; Sept. 15</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Sept. 2050</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11"/>
        </w:trPr>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gross long-term debt</w:t>
            </w: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7"/>
              </w:rPr>
              <w:t>Unamortized discount and deferred financing costs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7"/>
                <w:szCs w:val="17"/>
                <w:color w:val="auto"/>
              </w:rPr>
              <w:t>Total net carrying amount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firstLine="387"/>
        <w:spacing w:after="0" w:line="250" w:lineRule="auto"/>
        <w:rPr>
          <w:sz w:val="20"/>
          <w:szCs w:val="20"/>
          <w:color w:val="auto"/>
        </w:rPr>
      </w:pPr>
      <w:r>
        <w:rPr>
          <w:rFonts w:ascii="Arial" w:cs="Arial" w:eastAsia="Arial" w:hAnsi="Arial"/>
          <w:sz w:val="17"/>
          <w:szCs w:val="17"/>
          <w:color w:val="auto"/>
        </w:rPr>
        <w:t>We were in compliance with the terms of the notes outstanding as of June 30, 2022. As of June 30, 2022, with the exception of our 2026 Notes and 2027 Notes, which are scheduled to mature in September 2026 and June 2027, respectively, no other contractual principal repayments of our long-term debt were due within the next five years.</w:t>
      </w:r>
    </w:p>
    <w:p>
      <w:pPr>
        <w:spacing w:after="0" w:line="201" w:lineRule="exact"/>
        <w:rPr>
          <w:sz w:val="20"/>
          <w:szCs w:val="20"/>
          <w:color w:val="auto"/>
        </w:rPr>
      </w:pPr>
    </w:p>
    <w:p>
      <w:pPr>
        <w:ind w:right="400" w:firstLine="387"/>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r:id="rId39">
        <w:r>
          <w:rPr>
            <w:rFonts w:ascii="Arial" w:cs="Arial" w:eastAsia="Arial" w:hAnsi="Arial"/>
            <w:sz w:val="17"/>
            <w:szCs w:val="17"/>
            <w:u w:val="single" w:color="auto"/>
            <w:color w:val="0000FF"/>
          </w:rPr>
          <w:t>Note 13 contained in our Annual Report on Form 10-K for the year ended December 31,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key terms under our indentures that govern our outstanding notes.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Income (Loss)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accumulated other comprehensive income (loss) were as follows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For the Six Months Ended June 30, 2022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Unrealized gain (loss)</w:t>
            </w:r>
          </w:p>
        </w:tc>
        <w:tc>
          <w:tcPr>
            <w:tcW w:w="15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translation</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center"/>
              <w:ind w:left="1000"/>
              <w:spacing w:after="0"/>
              <w:rPr>
                <w:sz w:val="20"/>
                <w:szCs w:val="20"/>
                <w:color w:val="auto"/>
              </w:rPr>
            </w:pPr>
            <w:r>
              <w:rPr>
                <w:rFonts w:ascii="Arial" w:cs="Arial" w:eastAsia="Arial" w:hAnsi="Arial"/>
                <w:sz w:val="17"/>
                <w:szCs w:val="17"/>
                <w:color w:val="auto"/>
                <w:w w:val="84"/>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1000"/>
              <w:spacing w:after="0"/>
              <w:rPr>
                <w:sz w:val="20"/>
                <w:szCs w:val="20"/>
                <w:color w:val="auto"/>
              </w:rPr>
            </w:pPr>
            <w:r>
              <w:rPr>
                <w:rFonts w:ascii="Arial" w:cs="Arial" w:eastAsia="Arial" w:hAnsi="Arial"/>
                <w:sz w:val="17"/>
                <w:szCs w:val="17"/>
                <w:color w:val="auto"/>
                <w:w w:val="84"/>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1000"/>
              <w:spacing w:after="0"/>
              <w:rPr>
                <w:sz w:val="20"/>
                <w:szCs w:val="20"/>
                <w:color w:val="auto"/>
              </w:rPr>
            </w:pPr>
            <w:r>
              <w:rPr>
                <w:rFonts w:ascii="Arial" w:cs="Arial" w:eastAsia="Arial" w:hAnsi="Arial"/>
                <w:sz w:val="17"/>
                <w:szCs w:val="17"/>
                <w:color w:val="auto"/>
                <w:w w:val="96"/>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into earnings</w:t>
            </w: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June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center"/>
              <w:ind w:left="1000"/>
              <w:spacing w:after="0"/>
              <w:rPr>
                <w:sz w:val="20"/>
                <w:szCs w:val="20"/>
                <w:color w:val="auto"/>
              </w:rPr>
            </w:pPr>
            <w:r>
              <w:rPr>
                <w:rFonts w:ascii="Arial" w:cs="Arial" w:eastAsia="Arial" w:hAnsi="Arial"/>
                <w:sz w:val="17"/>
                <w:szCs w:val="17"/>
                <w:color w:val="auto"/>
                <w:w w:val="84"/>
              </w:rPr>
              <w:t>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5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For the Six Months Ended June 30, 2021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Foreign currency</w:t>
            </w:r>
          </w:p>
        </w:tc>
        <w:tc>
          <w:tcPr>
            <w:tcW w:w="15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Unrealized gain (loss)</w:t>
            </w:r>
          </w:p>
        </w:tc>
        <w:tc>
          <w:tcPr>
            <w:tcW w:w="15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Unrealized gain (loss)</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translation</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on available-for-</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on forward</w:t>
            </w:r>
          </w:p>
        </w:tc>
        <w:tc>
          <w:tcPr>
            <w:tcW w:w="320" w:type="dxa"/>
            <w:vAlign w:val="bottom"/>
          </w:tcPr>
          <w:p>
            <w:pPr>
              <w:spacing w:after="0"/>
              <w:rPr>
                <w:sz w:val="11"/>
                <w:szCs w:val="11"/>
                <w:color w:val="auto"/>
              </w:rPr>
            </w:pPr>
          </w:p>
        </w:tc>
        <w:tc>
          <w:tcPr>
            <w:tcW w:w="110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sale securities</w:t>
            </w: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contracts</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center"/>
              <w:ind w:left="1000"/>
              <w:spacing w:after="0"/>
              <w:rPr>
                <w:sz w:val="20"/>
                <w:szCs w:val="20"/>
                <w:color w:val="auto"/>
              </w:rPr>
            </w:pPr>
            <w:r>
              <w:rPr>
                <w:rFonts w:ascii="Arial" w:cs="Arial" w:eastAsia="Arial" w:hAnsi="Arial"/>
                <w:sz w:val="17"/>
                <w:szCs w:val="17"/>
                <w:color w:val="auto"/>
                <w:w w:val="96"/>
              </w:rPr>
              <w:t>(5)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1000"/>
              <w:spacing w:after="0"/>
              <w:rPr>
                <w:sz w:val="20"/>
                <w:szCs w:val="20"/>
                <w:color w:val="auto"/>
              </w:rPr>
            </w:pPr>
            <w:r>
              <w:rPr>
                <w:rFonts w:ascii="Arial" w:cs="Arial" w:eastAsia="Arial" w:hAnsi="Arial"/>
                <w:sz w:val="17"/>
                <w:szCs w:val="17"/>
                <w:color w:val="auto"/>
                <w:w w:val="96"/>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w w:val="97"/>
              </w:rPr>
              <w:t>Amounts reclassified from accumulated other comprehensive income</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1000"/>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into earnings</w:t>
            </w: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color w:val="auto"/>
              </w:rPr>
              <w:t>Balance at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center"/>
              <w:ind w:left="1000"/>
              <w:spacing w:after="0"/>
              <w:rPr>
                <w:sz w:val="20"/>
                <w:szCs w:val="20"/>
                <w:color w:val="auto"/>
              </w:rPr>
            </w:pPr>
            <w:r>
              <w:rPr>
                <w:rFonts w:ascii="Arial" w:cs="Arial" w:eastAsia="Arial" w:hAnsi="Arial"/>
                <w:sz w:val="17"/>
                <w:szCs w:val="17"/>
                <w:color w:val="auto"/>
                <w:w w:val="96"/>
              </w:rPr>
              <w:t>(8)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Operating Segments and Geographic Regions</w:t>
      </w:r>
    </w:p>
    <w:p>
      <w:pPr>
        <w:spacing w:after="0" w:line="249" w:lineRule="exact"/>
        <w:rPr>
          <w:sz w:val="20"/>
          <w:szCs w:val="20"/>
          <w:color w:val="auto"/>
        </w:rPr>
      </w:pPr>
    </w:p>
    <w:p>
      <w:pPr>
        <w:ind w:right="120" w:firstLine="387"/>
        <w:spacing w:after="0" w:line="257" w:lineRule="auto"/>
        <w:rPr>
          <w:sz w:val="20"/>
          <w:szCs w:val="20"/>
          <w:color w:val="auto"/>
        </w:rPr>
      </w:pPr>
      <w:r>
        <w:rPr>
          <w:rFonts w:ascii="Arial" w:cs="Arial" w:eastAsia="Arial" w:hAnsi="Arial"/>
          <w:sz w:val="17"/>
          <w:szCs w:val="17"/>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11"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90"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Information on reportable segment net revenues and operating income for the three months ended June 30, 2022 and 2021, are presented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240"/>
              <w:spacing w:after="0"/>
              <w:rPr>
                <w:sz w:val="20"/>
                <w:szCs w:val="20"/>
                <w:color w:val="auto"/>
              </w:rPr>
            </w:pPr>
            <w:r>
              <w:rPr>
                <w:rFonts w:ascii="Arial" w:cs="Arial" w:eastAsia="Arial" w:hAnsi="Arial"/>
                <w:sz w:val="17"/>
                <w:szCs w:val="17"/>
                <w:b w:val="1"/>
                <w:bCs w:val="1"/>
                <w:color w:val="auto"/>
              </w:rPr>
              <w:t>Three Months Ended June 30, 2022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490</w:t>
            </w:r>
          </w:p>
        </w:tc>
        <w:tc>
          <w:tcPr>
            <w:tcW w:w="14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390</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684</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1,564</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490</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94</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271</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457</w:t>
            </w:r>
          </w:p>
        </w:tc>
      </w:tr>
      <w:tr>
        <w:trPr>
          <w:trHeight w:val="245"/>
        </w:trPr>
        <w:tc>
          <w:tcPr>
            <w:tcW w:w="49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spacing w:after="0"/>
              <w:rPr>
                <w:sz w:val="21"/>
                <w:szCs w:val="21"/>
                <w:color w:val="auto"/>
              </w:rPr>
            </w:pPr>
          </w:p>
        </w:tc>
        <w:tc>
          <w:tcPr>
            <w:tcW w:w="1620" w:type="dxa"/>
            <w:vAlign w:val="bottom"/>
            <w:gridSpan w:val="3"/>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9"/>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240"/>
              <w:spacing w:after="0"/>
              <w:rPr>
                <w:sz w:val="20"/>
                <w:szCs w:val="20"/>
                <w:color w:val="auto"/>
              </w:rPr>
            </w:pPr>
            <w:r>
              <w:rPr>
                <w:rFonts w:ascii="Arial" w:cs="Arial" w:eastAsia="Arial" w:hAnsi="Arial"/>
                <w:sz w:val="17"/>
                <w:szCs w:val="17"/>
                <w:b w:val="1"/>
                <w:bCs w:val="1"/>
                <w:color w:val="auto"/>
              </w:rPr>
              <w:t>Three Months Ended June 30, 2021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789</w:t>
            </w:r>
          </w:p>
        </w:tc>
        <w:tc>
          <w:tcPr>
            <w:tcW w:w="14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411</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635</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1,835</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789</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635</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1,857</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363</w:t>
            </w:r>
          </w:p>
        </w:tc>
        <w:tc>
          <w:tcPr>
            <w:tcW w:w="14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141</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Information on reportable segment net revenues and operating income for the six months ended June 30, 2022 and 2021, are presented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ind w:left="340"/>
              <w:spacing w:after="0"/>
              <w:rPr>
                <w:sz w:val="20"/>
                <w:szCs w:val="20"/>
                <w:color w:val="auto"/>
              </w:rPr>
            </w:pPr>
            <w:r>
              <w:rPr>
                <w:rFonts w:ascii="Arial" w:cs="Arial" w:eastAsia="Arial" w:hAnsi="Arial"/>
                <w:sz w:val="17"/>
                <w:szCs w:val="17"/>
                <w:b w:val="1"/>
                <w:bCs w:val="1"/>
                <w:color w:val="auto"/>
              </w:rPr>
              <w:t>Six Months Ended June 30, 2022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3"/>
        </w:trPr>
        <w:tc>
          <w:tcPr>
            <w:tcW w:w="4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Activision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Blizzard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943</w:t>
            </w:r>
          </w:p>
        </w:tc>
        <w:tc>
          <w:tcPr>
            <w:tcW w:w="14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655</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1,366</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2,964</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943</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2,984</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1"/>
              </w:rPr>
              <w:t>151</w:t>
            </w:r>
          </w:p>
        </w:tc>
        <w:tc>
          <w:tcPr>
            <w:tcW w:w="14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148</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514</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813</w:t>
            </w:r>
          </w:p>
        </w:tc>
      </w:tr>
      <w:tr>
        <w:trPr>
          <w:trHeight w:val="258"/>
        </w:trPr>
        <w:tc>
          <w:tcPr>
            <w:tcW w:w="49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b w:val="1"/>
                <w:bCs w:val="1"/>
                <w:color w:val="auto"/>
              </w:rPr>
              <w:t>Six Months Ended June 30, 2021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2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Arial" w:cs="Arial" w:eastAsia="Arial" w:hAnsi="Arial"/>
                <w:sz w:val="17"/>
                <w:szCs w:val="17"/>
                <w:b w:val="1"/>
                <w:bCs w:val="1"/>
                <w:color w:val="auto"/>
              </w:rPr>
              <w:t>Blizzard</w:t>
            </w: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7"/>
                <w:szCs w:val="17"/>
                <w:b w:val="1"/>
                <w:bCs w:val="1"/>
                <w:color w:val="auto"/>
              </w:rPr>
              <w:t>Total</w:t>
            </w:r>
          </w:p>
        </w:tc>
      </w:tr>
      <w:tr>
        <w:trPr>
          <w:trHeight w:val="19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1,680</w:t>
            </w:r>
          </w:p>
        </w:tc>
        <w:tc>
          <w:tcPr>
            <w:tcW w:w="14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869</w:t>
            </w:r>
          </w:p>
        </w:tc>
        <w:tc>
          <w:tcPr>
            <w:tcW w:w="16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1,244</w:t>
            </w:r>
          </w:p>
        </w:tc>
        <w:tc>
          <w:tcPr>
            <w:tcW w:w="14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3,793</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3"/>
        </w:trPr>
        <w:tc>
          <w:tcPr>
            <w:tcW w:w="49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1,680</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916</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3,840</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804</w:t>
            </w:r>
          </w:p>
        </w:tc>
        <w:tc>
          <w:tcPr>
            <w:tcW w:w="14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349</w:t>
            </w:r>
          </w:p>
        </w:tc>
        <w:tc>
          <w:tcPr>
            <w:tcW w:w="16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452</w:t>
            </w:r>
          </w:p>
        </w:tc>
        <w:tc>
          <w:tcPr>
            <w:tcW w:w="14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1,605</w:t>
            </w:r>
          </w:p>
        </w:tc>
      </w:tr>
    </w:tbl>
    <w:p>
      <w:pPr>
        <w:spacing w:after="0" w:line="306"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00" w:type="dxa"/>
            <w:vAlign w:val="bottom"/>
          </w:tcPr>
          <w:p>
            <w:pPr>
              <w:spacing w:after="0"/>
              <w:rPr>
                <w:sz w:val="19"/>
                <w:szCs w:val="19"/>
                <w:color w:val="auto"/>
              </w:rPr>
            </w:pPr>
          </w:p>
        </w:tc>
        <w:tc>
          <w:tcPr>
            <w:tcW w:w="3200" w:type="dxa"/>
            <w:vAlign w:val="bottom"/>
            <w:gridSpan w:val="6"/>
          </w:tcPr>
          <w:p>
            <w:pPr>
              <w:ind w:left="440"/>
              <w:spacing w:after="0"/>
              <w:rPr>
                <w:sz w:val="20"/>
                <w:szCs w:val="20"/>
                <w:color w:val="auto"/>
              </w:rPr>
            </w:pPr>
            <w:r>
              <w:rPr>
                <w:rFonts w:ascii="Arial" w:cs="Arial" w:eastAsia="Arial" w:hAnsi="Arial"/>
                <w:sz w:val="17"/>
                <w:szCs w:val="17"/>
                <w:b w:val="1"/>
                <w:bCs w:val="1"/>
                <w:color w:val="auto"/>
              </w:rPr>
              <w:t>Three Months Ended June 30,</w:t>
            </w:r>
          </w:p>
        </w:tc>
        <w:tc>
          <w:tcPr>
            <w:tcW w:w="340" w:type="dxa"/>
            <w:vAlign w:val="bottom"/>
          </w:tcPr>
          <w:p>
            <w:pPr>
              <w:spacing w:after="0"/>
              <w:rPr>
                <w:sz w:val="19"/>
                <w:szCs w:val="19"/>
                <w:color w:val="auto"/>
              </w:rPr>
            </w:pPr>
          </w:p>
        </w:tc>
        <w:tc>
          <w:tcPr>
            <w:tcW w:w="2800" w:type="dxa"/>
            <w:vAlign w:val="bottom"/>
            <w:gridSpan w:val="4"/>
          </w:tcPr>
          <w:p>
            <w:pPr>
              <w:jc w:val="right"/>
              <w:ind w:right="47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1,575</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1,857</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3,840</w:t>
            </w: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Arial" w:cs="Arial" w:eastAsia="Arial" w:hAnsi="Arial"/>
                <w:sz w:val="17"/>
                <w:szCs w:val="17"/>
                <w:color w:val="auto"/>
                <w:w w:val="99"/>
              </w:rPr>
              <w:t>Net effect from recognition (deferral) of deferred net revenues (2)</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1,644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line="167" w:lineRule="exact"/>
              <w:rPr>
                <w:sz w:val="20"/>
                <w:szCs w:val="20"/>
                <w:color w:val="auto"/>
              </w:rPr>
            </w:pPr>
            <w:r>
              <w:rPr>
                <w:rFonts w:ascii="Arial" w:cs="Arial" w:eastAsia="Arial" w:hAnsi="Arial"/>
                <w:sz w:val="17"/>
                <w:szCs w:val="17"/>
                <w:b w:val="1"/>
                <w:bCs w:val="1"/>
                <w:color w:val="auto"/>
              </w:rPr>
              <w:t>Reconciliation to consolidated income before income tax</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00" w:type="dxa"/>
            <w:vAlign w:val="bottom"/>
          </w:tcPr>
          <w:p>
            <w:pPr>
              <w:ind w:left="100"/>
              <w:spacing w:after="0"/>
              <w:rPr>
                <w:sz w:val="20"/>
                <w:szCs w:val="20"/>
                <w:color w:val="auto"/>
              </w:rPr>
            </w:pPr>
            <w:r>
              <w:rPr>
                <w:rFonts w:ascii="Arial" w:cs="Arial" w:eastAsia="Arial" w:hAnsi="Arial"/>
                <w:sz w:val="17"/>
                <w:szCs w:val="17"/>
                <w:b w:val="1"/>
                <w:bCs w:val="1"/>
                <w:color w:val="auto"/>
              </w:rPr>
              <w:t>expense:</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7"/>
              </w:rPr>
              <w:t>Net effect from recognition (deferral) of deferred net revenues and</w:t>
            </w:r>
          </w:p>
        </w:tc>
        <w:tc>
          <w:tcPr>
            <w:tcW w:w="10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related cost of revenues (2)</w:t>
            </w:r>
          </w:p>
        </w:tc>
        <w:tc>
          <w:tcPr>
            <w:tcW w:w="10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Arial" w:cs="Arial" w:eastAsia="Arial" w:hAnsi="Arial"/>
                <w:sz w:val="17"/>
                <w:szCs w:val="17"/>
                <w:color w:val="auto"/>
              </w:rPr>
              <w:t>Restructuring and related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and acquisition-related fees and other expenses (5)</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2" w:lineRule="exact"/>
        <w:rPr>
          <w:rFonts w:ascii="Arial" w:cs="Arial" w:eastAsia="Arial" w:hAnsi="Arial"/>
          <w:sz w:val="17"/>
          <w:szCs w:val="17"/>
          <w:color w:val="auto"/>
        </w:rPr>
      </w:pPr>
    </w:p>
    <w:p>
      <w:pPr>
        <w:ind w:left="320" w:right="160" w:hanging="317"/>
        <w:spacing w:after="0" w:line="279" w:lineRule="auto"/>
        <w:tabs>
          <w:tab w:leader="none" w:pos="314"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Expenses related to share-based compensation, including $14 million and $29 million for the three and six months ended June 30, 2022, respectively, related to liability awards accounted for under ASC 718.</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which primarily consist of legal and advisory fees.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Net revenues by distribution channel, including a reconciliation to each of our reportable segment’s revenues, for the three months ended June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8"/>
          </w:tcPr>
          <w:p>
            <w:pPr>
              <w:spacing w:after="0"/>
              <w:rPr>
                <w:sz w:val="20"/>
                <w:szCs w:val="20"/>
                <w:color w:val="auto"/>
              </w:rPr>
            </w:pPr>
            <w:r>
              <w:rPr>
                <w:rFonts w:ascii="Arial" w:cs="Arial" w:eastAsia="Arial" w:hAnsi="Arial"/>
                <w:sz w:val="17"/>
                <w:szCs w:val="17"/>
                <w:b w:val="1"/>
                <w:bCs w:val="1"/>
                <w:color w:val="auto"/>
              </w:rPr>
              <w:t>Three Months Ended June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12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(11)</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1,474</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center"/>
              <w:ind w:left="974"/>
              <w:spacing w:after="0"/>
              <w:rPr>
                <w:sz w:val="20"/>
                <w:szCs w:val="20"/>
                <w:color w:val="auto"/>
              </w:rPr>
            </w:pPr>
            <w:r>
              <w:rPr>
                <w:rFonts w:ascii="Arial" w:cs="Arial" w:eastAsia="Arial" w:hAnsi="Arial"/>
                <w:sz w:val="17"/>
                <w:szCs w:val="17"/>
                <w:color w:val="auto"/>
                <w:w w:val="92"/>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(11)</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1,518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center"/>
              <w:ind w:left="974"/>
              <w:spacing w:after="0"/>
              <w:rPr>
                <w:sz w:val="20"/>
                <w:szCs w:val="20"/>
                <w:color w:val="auto"/>
              </w:rPr>
            </w:pPr>
            <w:r>
              <w:rPr>
                <w:rFonts w:ascii="Arial" w:cs="Arial" w:eastAsia="Arial" w:hAnsi="Arial"/>
                <w:sz w:val="17"/>
                <w:szCs w:val="17"/>
                <w:color w:val="auto"/>
                <w:w w:val="92"/>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spacing w:after="0"/>
              <w:rPr>
                <w:sz w:val="20"/>
                <w:szCs w:val="20"/>
                <w:color w:val="auto"/>
              </w:rPr>
            </w:pPr>
            <w:r>
              <w:rPr>
                <w:rFonts w:ascii="Arial" w:cs="Arial" w:eastAsia="Arial" w:hAnsi="Arial"/>
                <w:sz w:val="17"/>
                <w:szCs w:val="17"/>
                <w:b w:val="1"/>
                <w:bCs w:val="1"/>
                <w:color w:val="auto"/>
              </w:rPr>
              <w:t>Three Months Ended June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12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(22)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center"/>
              <w:ind w:left="974"/>
              <w:spacing w:after="0"/>
              <w:rPr>
                <w:sz w:val="20"/>
                <w:szCs w:val="20"/>
                <w:color w:val="auto"/>
              </w:rPr>
            </w:pPr>
            <w:r>
              <w:rPr>
                <w:rFonts w:ascii="Arial" w:cs="Arial" w:eastAsia="Arial" w:hAnsi="Arial"/>
                <w:sz w:val="17"/>
                <w:szCs w:val="17"/>
                <w:color w:val="auto"/>
                <w:w w:val="92"/>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center"/>
              <w:ind w:left="974"/>
              <w:spacing w:after="0"/>
              <w:rPr>
                <w:sz w:val="20"/>
                <w:szCs w:val="20"/>
                <w:color w:val="auto"/>
              </w:rPr>
            </w:pPr>
            <w:r>
              <w:rPr>
                <w:rFonts w:ascii="Arial" w:cs="Arial" w:eastAsia="Arial" w:hAnsi="Arial"/>
                <w:sz w:val="17"/>
                <w:szCs w:val="17"/>
                <w:color w:val="auto"/>
                <w:w w:val="92"/>
              </w:rPr>
              <w:t>(22)</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1,741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left="89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center"/>
              <w:ind w:left="974"/>
              <w:spacing w:after="0"/>
              <w:rPr>
                <w:sz w:val="20"/>
                <w:szCs w:val="20"/>
                <w:color w:val="auto"/>
              </w:rPr>
            </w:pPr>
            <w:r>
              <w:rPr>
                <w:rFonts w:ascii="Arial" w:cs="Arial" w:eastAsia="Arial" w:hAnsi="Arial"/>
                <w:sz w:val="17"/>
                <w:szCs w:val="17"/>
                <w:color w:val="auto"/>
                <w:w w:val="92"/>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14"/>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Net revenues by distribution channel, including a reconciliation to each of our reportable segment’s revenues, for the six months ended June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2"/>
              </w:rPr>
              <w:t>Six Months Ended June 30, 2022</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22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2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center"/>
              <w:ind w:left="934"/>
              <w:spacing w:after="0"/>
              <w:rPr>
                <w:sz w:val="20"/>
                <w:szCs w:val="20"/>
                <w:color w:val="auto"/>
              </w:rPr>
            </w:pPr>
            <w:r>
              <w:rPr>
                <w:rFonts w:ascii="Arial" w:cs="Arial" w:eastAsia="Arial" w:hAnsi="Arial"/>
                <w:sz w:val="17"/>
                <w:szCs w:val="17"/>
                <w:color w:val="auto"/>
                <w:w w:val="92"/>
              </w:rPr>
              <w:t>(20)</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3,063</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center"/>
              <w:ind w:left="934"/>
              <w:spacing w:after="0"/>
              <w:rPr>
                <w:sz w:val="20"/>
                <w:szCs w:val="20"/>
                <w:color w:val="auto"/>
              </w:rPr>
            </w:pPr>
            <w:r>
              <w:rPr>
                <w:rFonts w:ascii="Arial" w:cs="Arial" w:eastAsia="Arial" w:hAnsi="Arial"/>
                <w:sz w:val="17"/>
                <w:szCs w:val="17"/>
                <w:color w:val="auto"/>
                <w:w w:val="92"/>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95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center"/>
              <w:ind w:left="934"/>
              <w:spacing w:after="0"/>
              <w:rPr>
                <w:sz w:val="20"/>
                <w:szCs w:val="20"/>
                <w:color w:val="auto"/>
              </w:rPr>
            </w:pPr>
            <w:r>
              <w:rPr>
                <w:rFonts w:ascii="Arial" w:cs="Arial" w:eastAsia="Arial" w:hAnsi="Arial"/>
                <w:sz w:val="17"/>
                <w:szCs w:val="17"/>
                <w:color w:val="auto"/>
                <w:w w:val="92"/>
              </w:rPr>
              <w:t>(20)</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2,885</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center"/>
              <w:ind w:left="934"/>
              <w:spacing w:after="0"/>
              <w:rPr>
                <w:sz w:val="20"/>
                <w:szCs w:val="20"/>
                <w:color w:val="auto"/>
              </w:rPr>
            </w:pPr>
            <w:r>
              <w:rPr>
                <w:rFonts w:ascii="Arial" w:cs="Arial" w:eastAsia="Arial" w:hAnsi="Arial"/>
                <w:sz w:val="17"/>
                <w:szCs w:val="17"/>
                <w:color w:val="auto"/>
                <w:w w:val="92"/>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2"/>
              </w:rPr>
              <w:t>Six Months Ended June 30, 2021</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22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King</w:t>
            </w: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20"/>
              <w:spacing w:after="0" w:line="167" w:lineRule="exact"/>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center"/>
              <w:ind w:left="934"/>
              <w:spacing w:after="0"/>
              <w:rPr>
                <w:sz w:val="20"/>
                <w:szCs w:val="20"/>
                <w:color w:val="auto"/>
              </w:rPr>
            </w:pPr>
            <w:r>
              <w:rPr>
                <w:rFonts w:ascii="Arial" w:cs="Arial" w:eastAsia="Arial" w:hAnsi="Arial"/>
                <w:sz w:val="17"/>
                <w:szCs w:val="17"/>
                <w:color w:val="auto"/>
                <w:w w:val="92"/>
              </w:rPr>
              <w:t>(47)</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4,031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center"/>
              <w:ind w:left="934"/>
              <w:spacing w:after="0"/>
              <w:rPr>
                <w:sz w:val="20"/>
                <w:szCs w:val="20"/>
                <w:color w:val="auto"/>
              </w:rPr>
            </w:pPr>
            <w:r>
              <w:rPr>
                <w:rFonts w:ascii="Arial" w:cs="Arial" w:eastAsia="Arial" w:hAnsi="Arial"/>
                <w:sz w:val="17"/>
                <w:szCs w:val="17"/>
                <w:color w:val="auto"/>
                <w:w w:val="92"/>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95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Digital online channels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center"/>
              <w:ind w:left="934"/>
              <w:spacing w:after="0"/>
              <w:rPr>
                <w:sz w:val="20"/>
                <w:szCs w:val="20"/>
                <w:color w:val="auto"/>
              </w:rPr>
            </w:pPr>
            <w:r>
              <w:rPr>
                <w:rFonts w:ascii="Arial" w:cs="Arial" w:eastAsia="Arial" w:hAnsi="Arial"/>
                <w:sz w:val="17"/>
                <w:szCs w:val="17"/>
                <w:color w:val="auto"/>
                <w:w w:val="92"/>
              </w:rPr>
              <w:t>(47)</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3,606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Retail channels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left="85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center"/>
              <w:ind w:left="934"/>
              <w:spacing w:after="0"/>
              <w:rPr>
                <w:sz w:val="20"/>
                <w:szCs w:val="20"/>
                <w:color w:val="auto"/>
              </w:rPr>
            </w:pPr>
            <w:r>
              <w:rPr>
                <w:rFonts w:ascii="Arial" w:cs="Arial" w:eastAsia="Arial" w:hAnsi="Arial"/>
                <w:sz w:val="17"/>
                <w:szCs w:val="17"/>
                <w:color w:val="auto"/>
                <w:w w:val="92"/>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right="20" w:hanging="317"/>
        <w:spacing w:after="0" w:line="279" w:lineRule="auto"/>
        <w:tabs>
          <w:tab w:leader="none" w:pos="3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3" w:lineRule="exact"/>
        <w:rPr>
          <w:sz w:val="20"/>
          <w:szCs w:val="20"/>
          <w:color w:val="auto"/>
        </w:rPr>
      </w:pPr>
    </w:p>
    <w:p>
      <w:pPr>
        <w:ind w:right="260" w:firstLine="387"/>
        <w:spacing w:after="0" w:line="349" w:lineRule="auto"/>
        <w:rPr>
          <w:sz w:val="20"/>
          <w:szCs w:val="20"/>
          <w:color w:val="auto"/>
        </w:rPr>
      </w:pPr>
      <w:r>
        <w:rPr>
          <w:rFonts w:ascii="Arial" w:cs="Arial" w:eastAsia="Arial" w:hAnsi="Arial"/>
          <w:sz w:val="15"/>
          <w:szCs w:val="15"/>
          <w:color w:val="auto"/>
        </w:rPr>
        <w:t>Geographic information presented below is based on the location of the paying customer. Net revenues by geographic region, including a reconciliation to each of our reportable segment’s net revenues, for the three months ended June 30, 2022 and 2021, were as follows (amounts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8"/>
          </w:tcPr>
          <w:p>
            <w:pPr>
              <w:ind w:left="20"/>
              <w:spacing w:after="0"/>
              <w:rPr>
                <w:sz w:val="20"/>
                <w:szCs w:val="20"/>
                <w:color w:val="auto"/>
              </w:rPr>
            </w:pPr>
            <w:r>
              <w:rPr>
                <w:rFonts w:ascii="Arial" w:cs="Arial" w:eastAsia="Arial" w:hAnsi="Arial"/>
                <w:sz w:val="17"/>
                <w:szCs w:val="17"/>
                <w:b w:val="1"/>
                <w:bCs w:val="1"/>
                <w:color w:val="auto"/>
              </w:rPr>
              <w:t>Three Months Ended June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2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8"/>
          </w:tcPr>
          <w:p>
            <w:pPr>
              <w:ind w:left="20"/>
              <w:spacing w:after="0"/>
              <w:rPr>
                <w:sz w:val="20"/>
                <w:szCs w:val="20"/>
                <w:color w:val="auto"/>
              </w:rPr>
            </w:pPr>
            <w:r>
              <w:rPr>
                <w:rFonts w:ascii="Arial" w:cs="Arial" w:eastAsia="Arial" w:hAnsi="Arial"/>
                <w:sz w:val="17"/>
                <w:szCs w:val="17"/>
                <w:b w:val="1"/>
                <w:bCs w:val="1"/>
                <w:color w:val="auto"/>
              </w:rPr>
              <w:t>Three Months Ended June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2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1,128</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4"/>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Net revenues by geographic region, including a reconciliation to each of our reportable segment’s net revenues, for the six months ended June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3"/>
              </w:rPr>
              <w:t>Six Months Ended June 30, 2022</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6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1,999</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3"/>
              </w:rPr>
              <w:t>Six Months Ended June 30, 2021</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Non-reportable</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6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King</w:t>
            </w:r>
          </w:p>
        </w:tc>
        <w:tc>
          <w:tcPr>
            <w:tcW w:w="13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segments</w:t>
            </w: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revenues (2)</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798</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2,653</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2,313</w:t>
            </w:r>
          </w:p>
        </w:tc>
        <w:tc>
          <w:tcPr>
            <w:tcW w:w="0" w:type="dxa"/>
            <w:vAlign w:val="bottom"/>
          </w:tcPr>
          <w:p>
            <w:pPr>
              <w:spacing w:after="0"/>
              <w:rPr>
                <w:sz w:val="1"/>
                <w:szCs w:val="1"/>
                <w:color w:val="auto"/>
              </w:rPr>
            </w:pPr>
          </w:p>
        </w:tc>
      </w:tr>
      <w:tr>
        <w:trPr>
          <w:trHeight w:val="220"/>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EMEA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Arial" w:cs="Arial" w:eastAsia="Arial" w:hAnsi="Arial"/>
                <w:sz w:val="17"/>
                <w:szCs w:val="17"/>
                <w:color w:val="auto"/>
              </w:rPr>
              <w:t>Asia Pacific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hanging="377"/>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“EMEA” consists of the Europe, Middle East, and Africa geographic regions.</w:t>
      </w:r>
    </w:p>
    <w:p>
      <w:pPr>
        <w:spacing w:after="0" w:line="152" w:lineRule="exact"/>
        <w:rPr>
          <w:rFonts w:ascii="Arial" w:cs="Arial" w:eastAsia="Arial" w:hAnsi="Arial"/>
          <w:sz w:val="17"/>
          <w:szCs w:val="17"/>
          <w:color w:val="auto"/>
        </w:rPr>
      </w:pPr>
    </w:p>
    <w:p>
      <w:pPr>
        <w:ind w:left="380" w:hanging="377"/>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firstLine="387"/>
        <w:spacing w:after="0" w:line="290" w:lineRule="auto"/>
        <w:rPr>
          <w:sz w:val="20"/>
          <w:szCs w:val="20"/>
          <w:color w:val="auto"/>
        </w:rPr>
      </w:pPr>
      <w:r>
        <w:rPr>
          <w:rFonts w:ascii="Arial" w:cs="Arial" w:eastAsia="Arial" w:hAnsi="Arial"/>
          <w:sz w:val="16"/>
          <w:szCs w:val="16"/>
          <w:color w:val="auto"/>
        </w:rPr>
        <w:t>The Company’s net revenues in the U.S. were 52% and 51% of consolidated net revenues for the three months ended June 30, 2022 and 2021, respectively. The Company’s net revenues in the United Kingdom (“U.K.”) were 10% of consolidated net revenues for both the three months ended June 30, 2022 and 2021. No other country’s net revenues exceeded 10% of consolidated net revenues for the three months ended June 30, 2022 or 2021.</w:t>
      </w:r>
    </w:p>
    <w:p>
      <w:pPr>
        <w:spacing w:after="0" w:line="184" w:lineRule="exact"/>
        <w:rPr>
          <w:sz w:val="20"/>
          <w:szCs w:val="20"/>
          <w:color w:val="auto"/>
        </w:rPr>
      </w:pPr>
    </w:p>
    <w:p>
      <w:pPr>
        <w:ind w:right="140" w:firstLine="387"/>
        <w:spacing w:after="0" w:line="266" w:lineRule="auto"/>
        <w:rPr>
          <w:sz w:val="20"/>
          <w:szCs w:val="20"/>
          <w:color w:val="auto"/>
        </w:rPr>
      </w:pPr>
      <w:r>
        <w:rPr>
          <w:rFonts w:ascii="Arial" w:cs="Arial" w:eastAsia="Arial" w:hAnsi="Arial"/>
          <w:sz w:val="17"/>
          <w:szCs w:val="17"/>
          <w:color w:val="auto"/>
        </w:rPr>
        <w:t>The Company’s net revenues in the U.S. were 51% of consolidated net revenues for both the six months ended June 30, 2022 and 2021. The Company’s net revenues in the U.K. were 10% of consolidated net revenues for both the six months ended June 30, 2022 and 2021. No other country’s net revenues exceeded 10% of consolidated net revenues for the six months ended June 30, 2022 or 2021.</w:t>
      </w:r>
    </w:p>
    <w:p>
      <w:pPr>
        <w:spacing w:after="0" w:line="201"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Net revenues by platform, including a reconciliation to each of our reportable segment’s net revenues, for the three months ended June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8"/>
          </w:tcPr>
          <w:p>
            <w:pPr>
              <w:ind w:left="20"/>
              <w:spacing w:after="0"/>
              <w:rPr>
                <w:sz w:val="20"/>
                <w:szCs w:val="20"/>
                <w:color w:val="auto"/>
              </w:rPr>
            </w:pPr>
            <w:r>
              <w:rPr>
                <w:rFonts w:ascii="Arial" w:cs="Arial" w:eastAsia="Arial" w:hAnsi="Arial"/>
                <w:sz w:val="17"/>
                <w:szCs w:val="17"/>
                <w:b w:val="1"/>
                <w:bCs w:val="1"/>
                <w:color w:val="auto"/>
              </w:rPr>
              <w:t>Three Months Ended June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831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center"/>
              <w:ind w:left="954"/>
              <w:spacing w:after="0"/>
              <w:rPr>
                <w:sz w:val="20"/>
                <w:szCs w:val="20"/>
                <w:color w:val="auto"/>
              </w:rPr>
            </w:pPr>
            <w:r>
              <w:rPr>
                <w:rFonts w:ascii="Arial" w:cs="Arial" w:eastAsia="Arial" w:hAnsi="Arial"/>
                <w:sz w:val="17"/>
                <w:szCs w:val="17"/>
                <w:color w:val="auto"/>
                <w:w w:val="92"/>
              </w:rPr>
              <w:t>(11)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1,644</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6"/>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6"/>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center"/>
              <w:ind w:left="954"/>
              <w:spacing w:after="0"/>
              <w:rPr>
                <w:sz w:val="20"/>
                <w:szCs w:val="20"/>
                <w:color w:val="auto"/>
              </w:rPr>
            </w:pPr>
            <w:r>
              <w:rPr>
                <w:rFonts w:ascii="Arial" w:cs="Arial" w:eastAsia="Arial" w:hAnsi="Arial"/>
                <w:sz w:val="17"/>
                <w:szCs w:val="17"/>
                <w:color w:val="auto"/>
                <w:w w:val="92"/>
              </w:rPr>
              <w:t>(11)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38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ind w:left="20"/>
              <w:spacing w:after="0"/>
              <w:rPr>
                <w:sz w:val="20"/>
                <w:szCs w:val="20"/>
                <w:color w:val="auto"/>
              </w:rPr>
            </w:pPr>
            <w:r>
              <w:rPr>
                <w:rFonts w:ascii="Arial" w:cs="Arial" w:eastAsia="Arial" w:hAnsi="Arial"/>
                <w:sz w:val="17"/>
                <w:szCs w:val="17"/>
                <w:b w:val="1"/>
                <w:bCs w:val="1"/>
                <w:color w:val="auto"/>
              </w:rPr>
              <w:t>Three Months Ended June 30,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Blizzard</w:t>
            </w:r>
          </w:p>
        </w:tc>
        <w:tc>
          <w:tcPr>
            <w:tcW w:w="10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740</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795</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center"/>
              <w:ind w:left="954"/>
              <w:spacing w:after="0"/>
              <w:rPr>
                <w:sz w:val="20"/>
                <w:szCs w:val="20"/>
                <w:color w:val="auto"/>
              </w:rPr>
            </w:pPr>
            <w:r>
              <w:rPr>
                <w:rFonts w:ascii="Arial" w:cs="Arial" w:eastAsia="Arial" w:hAnsi="Arial"/>
                <w:sz w:val="17"/>
                <w:szCs w:val="17"/>
                <w:color w:val="auto"/>
                <w:w w:val="92"/>
              </w:rPr>
              <w:t>(22)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2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99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2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7"/>
                <w:szCs w:val="17"/>
                <w:color w:val="auto"/>
                <w:w w:val="92"/>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8"/>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500" w:type="dxa"/>
            <w:vAlign w:val="bottom"/>
            <w:gridSpan w:val="2"/>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left="89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center"/>
              <w:ind w:left="954"/>
              <w:spacing w:after="0"/>
              <w:rPr>
                <w:sz w:val="20"/>
                <w:szCs w:val="20"/>
                <w:color w:val="auto"/>
              </w:rPr>
            </w:pPr>
            <w:r>
              <w:rPr>
                <w:rFonts w:ascii="Arial" w:cs="Arial" w:eastAsia="Arial" w:hAnsi="Arial"/>
                <w:sz w:val="17"/>
                <w:szCs w:val="17"/>
                <w:color w:val="auto"/>
                <w:w w:val="92"/>
              </w:rPr>
              <w:t>(22)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9"/>
        </w:trPr>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2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Net revenues by platform, including a reconciliation to each of our reportable segment’s net revenues, for the six months ended June 30, 2022 and 2021, were as follows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2"/>
              </w:rPr>
              <w:t>Six Months Ended June 30, 2022</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16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859</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94"/>
              <w:spacing w:after="0"/>
              <w:rPr>
                <w:sz w:val="20"/>
                <w:szCs w:val="20"/>
                <w:color w:val="auto"/>
              </w:rPr>
            </w:pPr>
            <w:r>
              <w:rPr>
                <w:rFonts w:ascii="Arial" w:cs="Arial" w:eastAsia="Arial" w:hAnsi="Arial"/>
                <w:sz w:val="17"/>
                <w:szCs w:val="17"/>
                <w:color w:val="auto"/>
                <w:w w:val="92"/>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1,639</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894"/>
              <w:spacing w:after="0"/>
              <w:rPr>
                <w:sz w:val="20"/>
                <w:szCs w:val="20"/>
                <w:color w:val="auto"/>
              </w:rPr>
            </w:pPr>
            <w:r>
              <w:rPr>
                <w:rFonts w:ascii="Arial" w:cs="Arial" w:eastAsia="Arial" w:hAnsi="Arial"/>
                <w:sz w:val="17"/>
                <w:szCs w:val="17"/>
                <w:color w:val="auto"/>
                <w:w w:val="92"/>
              </w:rPr>
              <w:t>(20)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3,412</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PC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93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94"/>
              <w:spacing w:after="0"/>
              <w:rPr>
                <w:sz w:val="20"/>
                <w:szCs w:val="20"/>
                <w:color w:val="auto"/>
              </w:rPr>
            </w:pPr>
            <w:r>
              <w:rPr>
                <w:rFonts w:ascii="Arial" w:cs="Arial" w:eastAsia="Arial" w:hAnsi="Arial"/>
                <w:sz w:val="17"/>
                <w:szCs w:val="17"/>
                <w:color w:val="auto"/>
                <w:w w:val="92"/>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1,718</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894"/>
              <w:spacing w:after="0"/>
              <w:rPr>
                <w:sz w:val="20"/>
                <w:szCs w:val="20"/>
                <w:color w:val="auto"/>
              </w:rPr>
            </w:pPr>
            <w:r>
              <w:rPr>
                <w:rFonts w:ascii="Arial" w:cs="Arial" w:eastAsia="Arial" w:hAnsi="Arial"/>
                <w:sz w:val="17"/>
                <w:szCs w:val="17"/>
                <w:color w:val="auto"/>
                <w:w w:val="92"/>
              </w:rPr>
              <w:t>(20)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38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6"/>
        </w:trPr>
        <w:tc>
          <w:tcPr>
            <w:tcW w:w="122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2"/>
              </w:rPr>
              <w:t>Six Months Ended June 30, 2021</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7"/>
                <w:szCs w:val="17"/>
                <w:b w:val="1"/>
                <w:bCs w:val="1"/>
                <w:color w:val="auto"/>
                <w:w w:val="98"/>
              </w:rPr>
              <w:t>Non-</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2" w:lineRule="exact"/>
              <w:rPr>
                <w:sz w:val="20"/>
                <w:szCs w:val="20"/>
                <w:color w:val="auto"/>
              </w:rPr>
            </w:pPr>
            <w:r>
              <w:rPr>
                <w:rFonts w:ascii="Arial" w:cs="Arial" w:eastAsia="Arial" w:hAnsi="Arial"/>
                <w:sz w:val="17"/>
                <w:szCs w:val="17"/>
                <w:b w:val="1"/>
                <w:bCs w:val="1"/>
                <w:color w:val="auto"/>
                <w:w w:val="94"/>
              </w:rPr>
              <w:t>Elimination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Activision</w:t>
            </w: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Blizzard</w:t>
            </w:r>
          </w:p>
        </w:tc>
        <w:tc>
          <w:tcPr>
            <w:tcW w:w="16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reportable</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7" w:lineRule="exact"/>
              <w:rPr>
                <w:sz w:val="20"/>
                <w:szCs w:val="20"/>
                <w:color w:val="auto"/>
              </w:rPr>
            </w:pPr>
            <w:r>
              <w:rPr>
                <w:rFonts w:ascii="Arial" w:cs="Arial" w:eastAsia="Arial" w:hAnsi="Arial"/>
                <w:sz w:val="17"/>
                <w:szCs w:val="17"/>
                <w:b w:val="1"/>
                <w:bCs w:val="1"/>
                <w:color w:val="auto"/>
                <w:w w:val="88"/>
              </w:rPr>
              <w:t>intersegment</w:t>
            </w:r>
          </w:p>
        </w:tc>
        <w:tc>
          <w:tcPr>
            <w:tcW w:w="220" w:type="dxa"/>
            <w:vAlign w:val="bottom"/>
          </w:tcPr>
          <w:p>
            <w:pPr>
              <w:spacing w:after="0"/>
              <w:rPr>
                <w:sz w:val="14"/>
                <w:szCs w:val="14"/>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3"/>
              </w:rPr>
              <w:t>segments</w:t>
            </w:r>
          </w:p>
        </w:tc>
        <w:tc>
          <w:tcPr>
            <w:tcW w:w="22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revenues (3)</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1,538</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94"/>
              <w:spacing w:after="0"/>
              <w:rPr>
                <w:sz w:val="20"/>
                <w:szCs w:val="20"/>
                <w:color w:val="auto"/>
              </w:rPr>
            </w:pPr>
            <w:r>
              <w:rPr>
                <w:rFonts w:ascii="Arial" w:cs="Arial" w:eastAsia="Arial" w:hAnsi="Arial"/>
                <w:sz w:val="17"/>
                <w:szCs w:val="17"/>
                <w:color w:val="auto"/>
                <w:w w:val="92"/>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1,531</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consolidated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894"/>
              <w:spacing w:after="0"/>
              <w:rPr>
                <w:sz w:val="20"/>
                <w:szCs w:val="20"/>
                <w:color w:val="auto"/>
              </w:rPr>
            </w:pPr>
            <w:r>
              <w:rPr>
                <w:rFonts w:ascii="Arial" w:cs="Arial" w:eastAsia="Arial" w:hAnsi="Arial"/>
                <w:sz w:val="17"/>
                <w:szCs w:val="17"/>
                <w:color w:val="auto"/>
                <w:w w:val="92"/>
              </w:rPr>
              <w:t>(47)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4,571</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Change in deferred revenues: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PC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8"/>
        </w:trPr>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934"/>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3"/>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change in deferred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Console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2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94"/>
              <w:spacing w:after="0"/>
              <w:rPr>
                <w:sz w:val="20"/>
                <w:szCs w:val="20"/>
                <w:color w:val="auto"/>
              </w:rPr>
            </w:pPr>
            <w:r>
              <w:rPr>
                <w:rFonts w:ascii="Arial" w:cs="Arial" w:eastAsia="Arial" w:hAnsi="Arial"/>
                <w:sz w:val="17"/>
                <w:szCs w:val="17"/>
                <w:color w:val="auto"/>
                <w:w w:val="92"/>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18"/>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Mobile and ancillary (1)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40" w:type="dxa"/>
            <w:vAlign w:val="bottom"/>
            <w:gridSpan w:val="2"/>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1,528</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834"/>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7"/>
                <w:szCs w:val="17"/>
                <w:color w:val="auto"/>
              </w:rPr>
              <w:t>Total 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center"/>
              <w:ind w:left="894"/>
              <w:spacing w:after="0"/>
              <w:rPr>
                <w:sz w:val="20"/>
                <w:szCs w:val="20"/>
                <w:color w:val="auto"/>
              </w:rPr>
            </w:pPr>
            <w:r>
              <w:rPr>
                <w:rFonts w:ascii="Arial" w:cs="Arial" w:eastAsia="Arial" w:hAnsi="Arial"/>
                <w:sz w:val="17"/>
                <w:szCs w:val="17"/>
                <w:color w:val="auto"/>
                <w:w w:val="92"/>
              </w:rPr>
              <w:t>(47)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3,987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ind w:left="380"/>
              <w:spacing w:after="0"/>
              <w:rPr>
                <w:sz w:val="20"/>
                <w:szCs w:val="20"/>
                <w:color w:val="auto"/>
              </w:rPr>
            </w:pPr>
            <w:r>
              <w:rPr>
                <w:rFonts w:ascii="Arial" w:cs="Arial" w:eastAsia="Arial" w:hAnsi="Arial"/>
                <w:sz w:val="17"/>
                <w:szCs w:val="17"/>
                <w:color w:val="auto"/>
                <w:w w:val="98"/>
              </w:rPr>
              <w:t>Long-lived assets by geographic region were as follows (amounts in millions):</w:t>
            </w: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78"/>
        </w:trPr>
        <w:tc>
          <w:tcPr>
            <w:tcW w:w="614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At June 30, 2022</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At December 31, 2021</w:t>
            </w:r>
          </w:p>
        </w:tc>
      </w:tr>
      <w:tr>
        <w:trPr>
          <w:trHeight w:val="20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 by geographic region:</w:t>
            </w:r>
          </w:p>
        </w:tc>
        <w:tc>
          <w:tcPr>
            <w:tcW w:w="2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8"/>
        </w:trPr>
        <w:tc>
          <w:tcPr>
            <w:tcW w:w="6140" w:type="dxa"/>
            <w:vAlign w:val="bottom"/>
          </w:tcPr>
          <w:p>
            <w:pPr>
              <w:ind w:left="140"/>
              <w:spacing w:after="0"/>
              <w:rPr>
                <w:sz w:val="20"/>
                <w:szCs w:val="20"/>
                <w:color w:val="auto"/>
              </w:rPr>
            </w:pPr>
            <w:r>
              <w:rPr>
                <w:rFonts w:ascii="Arial" w:cs="Arial" w:eastAsia="Arial" w:hAnsi="Arial"/>
                <w:sz w:val="17"/>
                <w:szCs w:val="17"/>
                <w:color w:val="auto"/>
              </w:rPr>
              <w:t>Americas</w:t>
            </w:r>
          </w:p>
        </w:tc>
        <w:tc>
          <w:tcPr>
            <w:tcW w:w="2020" w:type="dxa"/>
            <w:vAlign w:val="bottom"/>
          </w:tcPr>
          <w:p>
            <w:pPr>
              <w:jc w:val="right"/>
              <w:ind w:right="1834"/>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Pr>
          <w:p>
            <w:pPr>
              <w:jc w:val="right"/>
              <w:spacing w:after="0"/>
              <w:rPr>
                <w:sz w:val="20"/>
                <w:szCs w:val="20"/>
                <w:color w:val="auto"/>
              </w:rPr>
            </w:pPr>
            <w:r>
              <w:rPr>
                <w:rFonts w:ascii="Arial" w:cs="Arial" w:eastAsia="Arial" w:hAnsi="Arial"/>
                <w:sz w:val="17"/>
                <w:szCs w:val="17"/>
                <w:color w:val="auto"/>
              </w:rPr>
              <w:t>264</w:t>
            </w:r>
          </w:p>
        </w:tc>
      </w:tr>
      <w:tr>
        <w:trPr>
          <w:trHeight w:val="220"/>
        </w:trPr>
        <w:tc>
          <w:tcPr>
            <w:tcW w:w="6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EMEA</w:t>
            </w:r>
          </w:p>
        </w:tc>
        <w:tc>
          <w:tcPr>
            <w:tcW w:w="2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18"/>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Asia Pacific</w:t>
            </w:r>
          </w:p>
        </w:tc>
        <w:tc>
          <w:tcPr>
            <w:tcW w:w="2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3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long-lived assets by geographic region</w:t>
            </w:r>
          </w:p>
        </w:tc>
        <w:tc>
          <w:tcPr>
            <w:tcW w:w="2020" w:type="dxa"/>
            <w:vAlign w:val="bottom"/>
            <w:tcBorders>
              <w:bottom w:val="single" w:sz="8" w:color="auto"/>
            </w:tcBorders>
            <w:shd w:val="clear" w:color="auto" w:fill="CCEEFF"/>
          </w:tcPr>
          <w:p>
            <w:pPr>
              <w:jc w:val="right"/>
              <w:ind w:right="183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0" w:right="200" w:hanging="317"/>
        <w:spacing w:after="0" w:line="279"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only long-lived assets that we classify by region are our long-term tangible fixed assets, which consist of property, plant, and equipment assets and lease right-of-use assets. All other long-term assets are not allocated by location.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Share-Based Payments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option activity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Weighted-average</w:t>
            </w:r>
          </w:p>
        </w:tc>
        <w:tc>
          <w:tcPr>
            <w:tcW w:w="120" w:type="dxa"/>
            <w:vAlign w:val="bottom"/>
          </w:tcPr>
          <w:p>
            <w:pPr>
              <w:spacing w:after="0"/>
              <w:rPr>
                <w:sz w:val="14"/>
                <w:szCs w:val="14"/>
                <w:color w:val="auto"/>
              </w:rPr>
            </w:pPr>
          </w:p>
        </w:tc>
        <w:tc>
          <w:tcPr>
            <w:tcW w:w="1260" w:type="dxa"/>
            <w:vAlign w:val="bottom"/>
            <w:vMerge w:val="restart"/>
          </w:tcPr>
          <w:p>
            <w:pPr>
              <w:jc w:val="center"/>
              <w:ind w:right="18"/>
              <w:spacing w:after="0"/>
              <w:rPr>
                <w:sz w:val="20"/>
                <w:szCs w:val="20"/>
                <w:color w:val="auto"/>
              </w:rPr>
            </w:pPr>
            <w:r>
              <w:rPr>
                <w:rFonts w:ascii="Arial" w:cs="Arial" w:eastAsia="Arial" w:hAnsi="Arial"/>
                <w:sz w:val="15"/>
                <w:szCs w:val="15"/>
                <w:b w:val="1"/>
                <w:bCs w:val="1"/>
                <w:color w:val="auto"/>
                <w:w w:val="91"/>
              </w:rPr>
              <w:t>Aggregate</w:t>
            </w: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restart"/>
          </w:tcPr>
          <w:p>
            <w:pPr>
              <w:jc w:val="right"/>
              <w:ind w:right="16"/>
              <w:spacing w:after="0"/>
              <w:rPr>
                <w:sz w:val="20"/>
                <w:szCs w:val="20"/>
                <w:color w:val="auto"/>
              </w:rPr>
            </w:pPr>
            <w:r>
              <w:rPr>
                <w:rFonts w:ascii="Arial" w:cs="Arial" w:eastAsia="Arial" w:hAnsi="Arial"/>
                <w:sz w:val="15"/>
                <w:szCs w:val="15"/>
                <w:b w:val="1"/>
                <w:bCs w:val="1"/>
                <w:color w:val="auto"/>
                <w:w w:val="98"/>
              </w:rPr>
              <w:t>Number of shares</w:t>
            </w: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5"/>
                <w:szCs w:val="15"/>
                <w:b w:val="1"/>
                <w:bCs w:val="1"/>
                <w:color w:val="auto"/>
                <w:w w:val="94"/>
              </w:rPr>
              <w:t>remaining</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5" w:lineRule="exact"/>
              <w:rPr>
                <w:sz w:val="20"/>
                <w:szCs w:val="20"/>
                <w:color w:val="auto"/>
              </w:rPr>
            </w:pPr>
            <w:r>
              <w:rPr>
                <w:rFonts w:ascii="Arial" w:cs="Arial" w:eastAsia="Arial" w:hAnsi="Arial"/>
                <w:sz w:val="15"/>
                <w:szCs w:val="15"/>
                <w:b w:val="1"/>
                <w:bCs w:val="1"/>
                <w:color w:val="auto"/>
                <w:w w:val="89"/>
              </w:rPr>
              <w:t>exercise price per</w:t>
            </w:r>
          </w:p>
        </w:tc>
        <w:tc>
          <w:tcPr>
            <w:tcW w:w="1480" w:type="dxa"/>
            <w:vAlign w:val="bottom"/>
            <w:gridSpan w:val="2"/>
          </w:tcPr>
          <w:p>
            <w:pPr>
              <w:jc w:val="right"/>
              <w:ind w:right="120"/>
              <w:spacing w:after="0" w:line="155" w:lineRule="exact"/>
              <w:rPr>
                <w:sz w:val="20"/>
                <w:szCs w:val="20"/>
                <w:color w:val="auto"/>
              </w:rPr>
            </w:pPr>
            <w:r>
              <w:rPr>
                <w:rFonts w:ascii="Arial" w:cs="Arial" w:eastAsia="Arial" w:hAnsi="Arial"/>
                <w:sz w:val="15"/>
                <w:szCs w:val="15"/>
                <w:b w:val="1"/>
                <w:bCs w:val="1"/>
                <w:color w:val="auto"/>
                <w:w w:val="95"/>
              </w:rPr>
              <w:t>contractual term (in</w:t>
            </w:r>
          </w:p>
        </w:tc>
        <w:tc>
          <w:tcPr>
            <w:tcW w:w="120" w:type="dxa"/>
            <w:vAlign w:val="bottom"/>
          </w:tcPr>
          <w:p>
            <w:pPr>
              <w:spacing w:after="0"/>
              <w:rPr>
                <w:sz w:val="13"/>
                <w:szCs w:val="13"/>
                <w:color w:val="auto"/>
              </w:rPr>
            </w:pPr>
          </w:p>
        </w:tc>
        <w:tc>
          <w:tcPr>
            <w:tcW w:w="1260" w:type="dxa"/>
            <w:vAlign w:val="bottom"/>
          </w:tcPr>
          <w:p>
            <w:pPr>
              <w:jc w:val="center"/>
              <w:ind w:right="18"/>
              <w:spacing w:after="0" w:line="155" w:lineRule="exact"/>
              <w:rPr>
                <w:sz w:val="20"/>
                <w:szCs w:val="20"/>
                <w:color w:val="auto"/>
              </w:rPr>
            </w:pPr>
            <w:r>
              <w:rPr>
                <w:rFonts w:ascii="Arial" w:cs="Arial" w:eastAsia="Arial" w:hAnsi="Arial"/>
                <w:sz w:val="15"/>
                <w:szCs w:val="15"/>
                <w:b w:val="1"/>
                <w:bCs w:val="1"/>
                <w:color w:val="auto"/>
                <w:w w:val="93"/>
              </w:rPr>
              <w:t>intrinsic value (in</w:t>
            </w:r>
          </w:p>
        </w:tc>
        <w:tc>
          <w:tcPr>
            <w:tcW w:w="0" w:type="dxa"/>
            <w:vAlign w:val="bottom"/>
          </w:tcPr>
          <w:p>
            <w:pPr>
              <w:spacing w:after="0"/>
              <w:rPr>
                <w:sz w:val="1"/>
                <w:szCs w:val="1"/>
                <w:color w:val="auto"/>
              </w:rPr>
            </w:pPr>
          </w:p>
        </w:tc>
      </w:tr>
      <w:tr>
        <w:trPr>
          <w:trHeight w:val="204"/>
        </w:trPr>
        <w:tc>
          <w:tcPr>
            <w:tcW w:w="54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1"/>
              </w:rPr>
              <w:t>stock option</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3"/>
              </w:rPr>
              <w:t>millions)</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69.65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7"/>
                <w:szCs w:val="17"/>
                <w:color w:val="auto"/>
              </w:rPr>
              <w:t>Outstanding stock options at June 30,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58.58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expected to vest at June 30, 2022</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7"/>
                <w:szCs w:val="17"/>
                <w:color w:val="auto"/>
              </w:rPr>
              <w:t>Exercisable at June 30, 2022</w:t>
            </w:r>
          </w:p>
        </w:tc>
        <w:tc>
          <w:tcPr>
            <w:tcW w:w="1380" w:type="dxa"/>
            <w:vAlign w:val="bottom"/>
          </w:tcPr>
          <w:p>
            <w:pPr>
              <w:jc w:val="right"/>
              <w:spacing w:after="0"/>
              <w:rPr>
                <w:sz w:val="20"/>
                <w:szCs w:val="20"/>
                <w:color w:val="auto"/>
              </w:rPr>
            </w:pPr>
            <w:r>
              <w:rPr>
                <w:rFonts w:ascii="Arial" w:cs="Arial" w:eastAsia="Arial" w:hAnsi="Arial"/>
                <w:sz w:val="17"/>
                <w:szCs w:val="17"/>
                <w:color w:val="auto"/>
              </w:rPr>
              <w:t>5,822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50.77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firstLine="387"/>
        <w:spacing w:after="0" w:line="318" w:lineRule="auto"/>
        <w:rPr>
          <w:sz w:val="20"/>
          <w:szCs w:val="20"/>
          <w:color w:val="auto"/>
        </w:rPr>
      </w:pPr>
      <w:r>
        <w:rPr>
          <w:rFonts w:ascii="Arial" w:cs="Arial" w:eastAsia="Arial" w:hAnsi="Arial"/>
          <w:sz w:val="15"/>
          <w:szCs w:val="15"/>
          <w:color w:val="auto"/>
        </w:rPr>
        <w:t>The aggregate intrinsic value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w:t>
      </w:r>
    </w:p>
    <w:p>
      <w:pPr>
        <w:spacing w:after="0" w:line="165"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At June 30, 2022, $20 million of total unrecognized compensation cost related to stock options is expected to be recognized over a weighted-average period of 0.98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(“RSUs”) Activity</w:t>
      </w:r>
    </w:p>
    <w:p>
      <w:pPr>
        <w:spacing w:after="0" w:line="24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grant RSUs, which represent the right to receive shares of our common stock. Vesting for RSUs is generally contingent upon the holder’s continued employment with us and may be subject to other conditions (which may include the satisfaction of a performance measure). Also, certain of our performance-based RSUs, including those that are market-based, include a range of shares that may be released at vesting, which are above or below the targeted number of RSUs based on actual performance relative to the performance measure. If the vesting conditions are not met, unvested RSUs will be forfeited. Upon vesting of the RSUs, we may withhold shares otherwise deliverable to satisfy tax withholding requirements.</w:t>
      </w:r>
    </w:p>
    <w:p>
      <w:pPr>
        <w:spacing w:after="0" w:line="20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summarizes our RSU activity with performance-based RSUs, including those with market conditions, presented at 100% of the target level shares that may potentially vest (amounts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377"/>
              <w:spacing w:after="0"/>
              <w:rPr>
                <w:sz w:val="20"/>
                <w:szCs w:val="20"/>
                <w:color w:val="auto"/>
              </w:rPr>
            </w:pPr>
            <w:r>
              <w:rPr>
                <w:rFonts w:ascii="Arial" w:cs="Arial" w:eastAsia="Arial" w:hAnsi="Arial"/>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162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Number of 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257"/>
              <w:spacing w:after="0" w:line="155" w:lineRule="exact"/>
              <w:rPr>
                <w:sz w:val="20"/>
                <w:szCs w:val="20"/>
                <w:color w:val="auto"/>
              </w:rPr>
            </w:pPr>
            <w:r>
              <w:rPr>
                <w:rFonts w:ascii="Arial" w:cs="Arial" w:eastAsia="Arial" w:hAnsi="Arial"/>
                <w:sz w:val="15"/>
                <w:szCs w:val="15"/>
                <w:b w:val="1"/>
                <w:bCs w:val="1"/>
                <w:color w:val="auto"/>
              </w:rPr>
              <w:t>average grant</w:t>
            </w:r>
          </w:p>
        </w:tc>
        <w:tc>
          <w:tcPr>
            <w:tcW w:w="0" w:type="dxa"/>
            <w:vAlign w:val="bottom"/>
          </w:tcPr>
          <w:p>
            <w:pPr>
              <w:spacing w:after="0"/>
              <w:rPr>
                <w:sz w:val="1"/>
                <w:szCs w:val="1"/>
                <w:color w:val="auto"/>
              </w:rPr>
            </w:pPr>
          </w:p>
        </w:tc>
      </w:tr>
      <w:tr>
        <w:trPr>
          <w:trHeight w:val="204"/>
        </w:trPr>
        <w:tc>
          <w:tcPr>
            <w:tcW w:w="7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4"/>
              </w:rPr>
              <w:t>date fair value per RSU</w:t>
            </w:r>
          </w:p>
        </w:tc>
        <w:tc>
          <w:tcPr>
            <w:tcW w:w="0" w:type="dxa"/>
            <w:vAlign w:val="bottom"/>
          </w:tcPr>
          <w:p>
            <w:pPr>
              <w:spacing w:after="0"/>
              <w:rPr>
                <w:sz w:val="1"/>
                <w:szCs w:val="1"/>
                <w:color w:val="auto"/>
              </w:rPr>
            </w:pPr>
          </w:p>
        </w:tc>
      </w:tr>
      <w:tr>
        <w:trPr>
          <w:trHeight w:val="214"/>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0" w:type="dxa"/>
            <w:vAlign w:val="bottom"/>
          </w:tcPr>
          <w:p>
            <w:pPr>
              <w:spacing w:after="0"/>
              <w:rPr>
                <w:sz w:val="1"/>
                <w:szCs w:val="1"/>
                <w:color w:val="auto"/>
              </w:rPr>
            </w:pP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620" w:type="dxa"/>
            <w:vAlign w:val="bottom"/>
          </w:tcPr>
          <w:p>
            <w:pPr>
              <w:jc w:val="right"/>
              <w:spacing w:after="0"/>
              <w:rPr>
                <w:sz w:val="20"/>
                <w:szCs w:val="20"/>
                <w:color w:val="auto"/>
              </w:rPr>
            </w:pPr>
            <w:r>
              <w:rPr>
                <w:rFonts w:ascii="Arial" w:cs="Arial" w:eastAsia="Arial" w:hAnsi="Arial"/>
                <w:sz w:val="17"/>
                <w:szCs w:val="17"/>
                <w:color w:val="auto"/>
              </w:rPr>
              <w:t>5,037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80.25</w:t>
            </w:r>
          </w:p>
        </w:tc>
        <w:tc>
          <w:tcPr>
            <w:tcW w:w="0" w:type="dxa"/>
            <w:vAlign w:val="bottom"/>
          </w:tcPr>
          <w:p>
            <w:pPr>
              <w:spacing w:after="0"/>
              <w:rPr>
                <w:sz w:val="1"/>
                <w:szCs w:val="1"/>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76.99</w:t>
            </w:r>
          </w:p>
        </w:tc>
        <w:tc>
          <w:tcPr>
            <w:tcW w:w="0" w:type="dxa"/>
            <w:vAlign w:val="bottom"/>
          </w:tcPr>
          <w:p>
            <w:pPr>
              <w:spacing w:after="0"/>
              <w:rPr>
                <w:sz w:val="1"/>
                <w:szCs w:val="1"/>
                <w:color w:val="auto"/>
              </w:rPr>
            </w:pPr>
          </w:p>
        </w:tc>
      </w:tr>
      <w:tr>
        <w:trPr>
          <w:trHeight w:val="21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85.29</w:t>
            </w:r>
          </w:p>
        </w:tc>
        <w:tc>
          <w:tcPr>
            <w:tcW w:w="0" w:type="dxa"/>
            <w:vAlign w:val="bottom"/>
          </w:tcPr>
          <w:p>
            <w:pPr>
              <w:spacing w:after="0"/>
              <w:rPr>
                <w:sz w:val="1"/>
                <w:szCs w:val="1"/>
                <w:color w:val="auto"/>
              </w:rPr>
            </w:pP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June 30,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13,096</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firstLine="387"/>
        <w:spacing w:after="0" w:line="279" w:lineRule="auto"/>
        <w:rPr>
          <w:sz w:val="20"/>
          <w:szCs w:val="20"/>
          <w:color w:val="auto"/>
        </w:rPr>
      </w:pPr>
      <w:r>
        <w:rPr>
          <w:rFonts w:ascii="Arial" w:cs="Arial" w:eastAsia="Arial" w:hAnsi="Arial"/>
          <w:sz w:val="16"/>
          <w:szCs w:val="16"/>
          <w:color w:val="auto"/>
        </w:rPr>
        <w:t>As of December 31, 2021, we had recorded a share-based compensation liability related to compensation payments under our annual performance plans for 2021 which the Company determined to settle amounts not yet paid in stock as opposed to cash. During the six months ended June 30, 2022, we settled the share-based compensation liability by granting 2,777 thousand RSUs that vested during the first quarter shortly after grant. The number of shares issued was based on the Company’s closing stock price on the date of grant. The impact of this settlement was recorded in “Additional Paid-In-Capital” in our condensed consolidated statement of changes in shareholders’ equity for the six months ended June 30, 2022.</w:t>
      </w:r>
    </w:p>
    <w:p>
      <w:pPr>
        <w:spacing w:after="0" w:line="194"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At June 30, 2022, $506 million of total unrecognized compensation cost related to RSUs is expected to be recognized over a weighted-average period of 1.47 years. Of the total unrecognized compensation cost, $91 million was related to performance-based RSUs, which is expected to be recognized over a weighted-average period of 1.11 years.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49"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from certain parts of our business. We substantially completed all actions under our plan and accrued for these costs accordingly as of December 31, 2021. The remaining activity under the plan is primarily related to cash outlays to be made over time to impacted personnel.</w:t>
      </w:r>
    </w:p>
    <w:p>
      <w:pPr>
        <w:spacing w:after="0" w:line="201"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following table summarizes accrued restructuring and related costs included in “Accrued expenses and other liabilities” and “Other liabilities” in our condensed consolidated balance sheet and the cumulative charges incurred (amounts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Severance and employee</w:t>
            </w:r>
          </w:p>
        </w:tc>
        <w:tc>
          <w:tcPr>
            <w:tcW w:w="400" w:type="dxa"/>
            <w:vAlign w:val="bottom"/>
          </w:tcPr>
          <w:p>
            <w:pPr>
              <w:spacing w:after="0"/>
              <w:rPr>
                <w:sz w:val="16"/>
                <w:szCs w:val="16"/>
                <w:color w:val="auto"/>
              </w:rPr>
            </w:pPr>
          </w:p>
        </w:tc>
        <w:tc>
          <w:tcPr>
            <w:tcW w:w="1880" w:type="dxa"/>
            <w:vAlign w:val="bottom"/>
            <w:gridSpan w:val="2"/>
            <w:vMerge w:val="restart"/>
          </w:tcPr>
          <w:p>
            <w:pPr>
              <w:ind w:left="280"/>
              <w:spacing w:after="0"/>
              <w:rPr>
                <w:sz w:val="20"/>
                <w:szCs w:val="20"/>
                <w:color w:val="auto"/>
              </w:rPr>
            </w:pPr>
            <w:r>
              <w:rPr>
                <w:rFonts w:ascii="Arial" w:cs="Arial" w:eastAsia="Arial" w:hAnsi="Arial"/>
                <w:sz w:val="17"/>
                <w:szCs w:val="17"/>
                <w:b w:val="1"/>
                <w:bCs w:val="1"/>
                <w:color w:val="auto"/>
              </w:rPr>
              <w:t>Other costs</w:t>
            </w:r>
          </w:p>
        </w:tc>
        <w:tc>
          <w:tcPr>
            <w:tcW w:w="500" w:type="dxa"/>
            <w:vAlign w:val="bottom"/>
          </w:tcPr>
          <w:p>
            <w:pPr>
              <w:spacing w:after="0"/>
              <w:rPr>
                <w:sz w:val="16"/>
                <w:szCs w:val="16"/>
                <w:color w:val="auto"/>
              </w:rPr>
            </w:pPr>
          </w:p>
        </w:tc>
        <w:tc>
          <w:tcPr>
            <w:tcW w:w="1680" w:type="dxa"/>
            <w:vAlign w:val="bottom"/>
            <w:vMerge w:val="restart"/>
          </w:tcPr>
          <w:p>
            <w:pPr>
              <w:jc w:val="right"/>
              <w:ind w:right="81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related costs</w:t>
            </w:r>
          </w:p>
        </w:tc>
        <w:tc>
          <w:tcPr>
            <w:tcW w:w="40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Cash payments</w:t>
            </w:r>
          </w:p>
        </w:tc>
        <w:tc>
          <w:tcPr>
            <w:tcW w:w="1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charge and other adjustments</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at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Non-cash charge and other adjustments</w:t>
            </w: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Interest and Other Expense (Income), Net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and other expense (income), net is comprised of the following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Pr>
          <w:p>
            <w:pPr>
              <w:spacing w:after="0"/>
              <w:rPr>
                <w:sz w:val="19"/>
                <w:szCs w:val="19"/>
                <w:color w:val="auto"/>
              </w:rPr>
            </w:pPr>
          </w:p>
        </w:tc>
        <w:tc>
          <w:tcPr>
            <w:tcW w:w="33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Three Months Ended June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b w:val="1"/>
                <w:bCs w:val="1"/>
                <w:color w:val="auto"/>
                <w:w w:val="98"/>
              </w:rPr>
              <w:t>For the Six Months Ended June 30,</w:t>
            </w:r>
          </w:p>
        </w:tc>
        <w:tc>
          <w:tcPr>
            <w:tcW w:w="0" w:type="dxa"/>
            <w:vAlign w:val="bottom"/>
          </w:tcPr>
          <w:p>
            <w:pPr>
              <w:spacing w:after="0"/>
              <w:rPr>
                <w:sz w:val="1"/>
                <w:szCs w:val="1"/>
                <w:color w:val="auto"/>
              </w:rPr>
            </w:pPr>
          </w:p>
        </w:tc>
      </w:tr>
      <w:tr>
        <w:trPr>
          <w:trHeight w:val="213"/>
        </w:trPr>
        <w:tc>
          <w:tcPr>
            <w:tcW w:w="37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32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3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line="168" w:lineRule="exact"/>
              <w:rPr>
                <w:sz w:val="20"/>
                <w:szCs w:val="20"/>
                <w:color w:val="auto"/>
              </w:rPr>
            </w:pPr>
            <w:r>
              <w:rPr>
                <w:rFonts w:ascii="Arial" w:cs="Arial" w:eastAsia="Arial" w:hAnsi="Arial"/>
                <w:sz w:val="17"/>
                <w:szCs w:val="17"/>
                <w:color w:val="auto"/>
                <w:w w:val="94"/>
              </w:rPr>
              <w:t>Interest expense from debt and amortization of debt</w:t>
            </w:r>
          </w:p>
        </w:tc>
        <w:tc>
          <w:tcPr>
            <w:tcW w:w="13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rPr>
                <w:sz w:val="20"/>
                <w:szCs w:val="20"/>
                <w:color w:val="auto"/>
              </w:rPr>
            </w:pPr>
            <w:r>
              <w:rPr>
                <w:rFonts w:ascii="Arial" w:cs="Arial" w:eastAsia="Arial" w:hAnsi="Arial"/>
                <w:sz w:val="17"/>
                <w:szCs w:val="17"/>
                <w:color w:val="auto"/>
              </w:rPr>
              <w:t>discount and deferred financing costs</w:t>
            </w:r>
          </w:p>
        </w:tc>
        <w:tc>
          <w:tcPr>
            <w:tcW w:w="13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Realized and unrealized loss (gain) on equity</w:t>
            </w:r>
          </w:p>
        </w:tc>
        <w:tc>
          <w:tcPr>
            <w:tcW w:w="132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w:t>
            </w:r>
          </w:p>
        </w:tc>
        <w:tc>
          <w:tcPr>
            <w:tcW w:w="132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20" w:type="dxa"/>
            <w:vAlign w:val="bottom"/>
          </w:tcPr>
          <w:p>
            <w:pPr>
              <w:ind w:left="20"/>
              <w:spacing w:after="0"/>
              <w:rPr>
                <w:sz w:val="20"/>
                <w:szCs w:val="20"/>
                <w:color w:val="auto"/>
              </w:rPr>
            </w:pPr>
            <w:r>
              <w:rPr>
                <w:rFonts w:ascii="Arial" w:cs="Arial" w:eastAsia="Arial" w:hAnsi="Arial"/>
                <w:sz w:val="17"/>
                <w:szCs w:val="17"/>
                <w:color w:val="auto"/>
              </w:rPr>
              <w:t>Other expense (income), net</w:t>
            </w:r>
          </w:p>
        </w:tc>
        <w:tc>
          <w:tcPr>
            <w:tcW w:w="13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32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ind w:right="1234"/>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49"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 xml:space="preserve">We account for our provision for income taxes in accordance with Financial Accounting Standards Board (“FASB”) 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89" w:lineRule="exact"/>
        <w:rPr>
          <w:sz w:val="20"/>
          <w:szCs w:val="20"/>
          <w:color w:val="auto"/>
        </w:rPr>
      </w:pPr>
    </w:p>
    <w:p>
      <w:pPr>
        <w:jc w:val="both"/>
        <w:ind w:right="160" w:firstLine="387"/>
        <w:spacing w:after="0" w:line="236" w:lineRule="auto"/>
        <w:rPr>
          <w:sz w:val="20"/>
          <w:szCs w:val="20"/>
          <w:color w:val="auto"/>
        </w:rPr>
      </w:pPr>
      <w:r>
        <w:rPr>
          <w:rFonts w:ascii="Arial" w:cs="Arial" w:eastAsia="Arial" w:hAnsi="Arial"/>
          <w:sz w:val="17"/>
          <w:szCs w:val="17"/>
          <w:color w:val="auto"/>
        </w:rPr>
        <w:t>The income tax expense of $41 million for the three months ended June 30, 2022, reflects an effective tax rate of 13%, which is comparable to the effective tax rate of 13% for the three months ended June 30, 2021. Our tax rate in the current quarter benefited from lower taxes on foreign earnings, whereas in 2021 the tax rate was reduced by a discrete tax benefit related to a deferred tax remeasurement.</w:t>
      </w:r>
    </w:p>
    <w:p>
      <w:pPr>
        <w:spacing w:after="0" w:line="210" w:lineRule="exact"/>
        <w:rPr>
          <w:sz w:val="20"/>
          <w:szCs w:val="20"/>
          <w:color w:val="auto"/>
        </w:rPr>
      </w:pPr>
    </w:p>
    <w:p>
      <w:pPr>
        <w:ind w:right="220" w:firstLine="387"/>
        <w:spacing w:after="0" w:line="349" w:lineRule="auto"/>
        <w:rPr>
          <w:sz w:val="20"/>
          <w:szCs w:val="20"/>
          <w:color w:val="auto"/>
        </w:rPr>
      </w:pPr>
      <w:r>
        <w:rPr>
          <w:rFonts w:ascii="Arial" w:cs="Arial" w:eastAsia="Arial" w:hAnsi="Arial"/>
          <w:sz w:val="15"/>
          <w:szCs w:val="15"/>
          <w:color w:val="auto"/>
        </w:rPr>
        <w:t>The income tax expense of $111 million for the six months ended June 30, 2022, reflects an effective tax rate of 14%, which is comparable to the effective tax rate of 15% for the six months ended June 30, 2021. Our tax rates were impacted by the same drivers as discussed for the quarter-to-date period above.</w:t>
      </w:r>
    </w:p>
    <w:p>
      <w:pPr>
        <w:spacing w:after="0" w:line="143" w:lineRule="exact"/>
        <w:rPr>
          <w:sz w:val="20"/>
          <w:szCs w:val="20"/>
          <w:color w:val="auto"/>
        </w:rPr>
      </w:pPr>
    </w:p>
    <w:p>
      <w:pPr>
        <w:ind w:right="660" w:firstLine="387"/>
        <w:spacing w:after="0" w:line="279" w:lineRule="auto"/>
        <w:rPr>
          <w:sz w:val="20"/>
          <w:szCs w:val="20"/>
          <w:color w:val="auto"/>
        </w:rPr>
      </w:pPr>
      <w:r>
        <w:rPr>
          <w:rFonts w:ascii="Arial" w:cs="Arial" w:eastAsia="Arial" w:hAnsi="Arial"/>
          <w:sz w:val="17"/>
          <w:szCs w:val="17"/>
          <w:color w:val="auto"/>
        </w:rPr>
        <w:t>The effective tax rate of 13% and 14% for the three and six months ended June 30, 2022, respectively, are lower than the U.S. statutory rate of 21%, primarily due to lower taxes on foreign earnings and U.S. research and development credits.</w:t>
      </w:r>
    </w:p>
    <w:p>
      <w:pPr>
        <w:spacing w:after="0" w:line="190"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Activision Blizzard’s tax years after 2008 remain open to examination by certain major taxing jurisdictions to which we are subject. The Internal Revenue Service is currently examining our federal tax returns for the 2012 through 2019 tax years. We also have several state and non-U.S. audits pending. In addition, King’s pre-acquisition tax returns remain open in various jurisdictions, primarily as a result of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211" w:lineRule="exact"/>
        <w:rPr>
          <w:sz w:val="20"/>
          <w:szCs w:val="20"/>
          <w:color w:val="auto"/>
        </w:rPr>
      </w:pPr>
    </w:p>
    <w:p>
      <w:pPr>
        <w:ind w:right="40" w:firstLine="387"/>
        <w:spacing w:after="0" w:line="302" w:lineRule="auto"/>
        <w:rPr>
          <w:sz w:val="20"/>
          <w:szCs w:val="20"/>
          <w:color w:val="auto"/>
        </w:rPr>
      </w:pPr>
      <w:r>
        <w:rPr>
          <w:rFonts w:ascii="Arial" w:cs="Arial" w:eastAsia="Arial" w:hAnsi="Arial"/>
          <w:sz w:val="15"/>
          <w:szCs w:val="15"/>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78"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Computation of Basic/Diluted Earnings Per Common Share</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19"/>
                <w:szCs w:val="19"/>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For the Three Months Ended June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b w:val="1"/>
                <w:bCs w:val="1"/>
                <w:color w:val="auto"/>
                <w:w w:val="99"/>
              </w:rPr>
              <w:t>For the Six Months Ended June 30,</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60" w:type="dxa"/>
            <w:vAlign w:val="bottom"/>
          </w:tcPr>
          <w:p>
            <w:pPr>
              <w:ind w:left="140"/>
              <w:spacing w:after="0"/>
              <w:rPr>
                <w:sz w:val="20"/>
                <w:szCs w:val="20"/>
                <w:color w:val="auto"/>
              </w:rPr>
            </w:pPr>
            <w:r>
              <w:rPr>
                <w:rFonts w:ascii="Arial" w:cs="Arial" w:eastAsia="Arial" w:hAnsi="Arial"/>
                <w:sz w:val="17"/>
                <w:szCs w:val="17"/>
                <w:color w:val="auto"/>
              </w:rPr>
              <w:t>Consolidated net income</w:t>
            </w:r>
          </w:p>
        </w:tc>
        <w:tc>
          <w:tcPr>
            <w:tcW w:w="1300" w:type="dxa"/>
            <w:vAlign w:val="bottom"/>
          </w:tcPr>
          <w:p>
            <w:pPr>
              <w:jc w:val="right"/>
              <w:ind w:right="111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8"/>
                <w:szCs w:val="18"/>
                <w:color w:val="auto"/>
              </w:rPr>
            </w:pPr>
          </w:p>
        </w:tc>
        <w:tc>
          <w:tcPr>
            <w:tcW w:w="1420" w:type="dxa"/>
            <w:vAlign w:val="bottom"/>
          </w:tcPr>
          <w:p>
            <w:pPr>
              <w:jc w:val="right"/>
              <w:ind w:right="123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59"/>
        </w:trPr>
        <w:tc>
          <w:tcPr>
            <w:tcW w:w="36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Denominator for basic earnings per common</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share—weighted-average common shares</w:t>
            </w:r>
          </w:p>
        </w:tc>
        <w:tc>
          <w:tcPr>
            <w:tcW w:w="13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outstanding</w:t>
            </w:r>
          </w:p>
        </w:tc>
        <w:tc>
          <w:tcPr>
            <w:tcW w:w="13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140"/>
              <w:spacing w:after="0" w:line="168" w:lineRule="exact"/>
              <w:rPr>
                <w:sz w:val="20"/>
                <w:szCs w:val="20"/>
                <w:color w:val="auto"/>
              </w:rPr>
            </w:pPr>
            <w:r>
              <w:rPr>
                <w:rFonts w:ascii="Arial" w:cs="Arial" w:eastAsia="Arial" w:hAnsi="Arial"/>
                <w:sz w:val="17"/>
                <w:szCs w:val="17"/>
                <w:color w:val="auto"/>
                <w:w w:val="95"/>
              </w:rPr>
              <w:t>Effect of dilutive stock options and awards under</w:t>
            </w:r>
          </w:p>
        </w:tc>
        <w:tc>
          <w:tcPr>
            <w:tcW w:w="13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the treasury stock method</w:t>
            </w: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Denominator for diluted earnings per common</w:t>
            </w: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6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share—weighted-average common shares</w:t>
            </w:r>
          </w:p>
        </w:tc>
        <w:tc>
          <w:tcPr>
            <w:tcW w:w="1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w w:val="99"/>
              </w:rPr>
              <w:t>outstanding plus dilutive common shares under</w:t>
            </w:r>
          </w:p>
        </w:tc>
        <w:tc>
          <w:tcPr>
            <w:tcW w:w="13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shd w:val="clear" w:color="auto" w:fill="CCEEFF"/>
          </w:tcPr>
          <w:p>
            <w:pPr>
              <w:ind w:left="100"/>
              <w:spacing w:after="0" w:line="193" w:lineRule="exact"/>
              <w:rPr>
                <w:sz w:val="20"/>
                <w:szCs w:val="20"/>
                <w:color w:val="auto"/>
              </w:rPr>
            </w:pPr>
            <w:r>
              <w:rPr>
                <w:rFonts w:ascii="Arial" w:cs="Arial" w:eastAsia="Arial" w:hAnsi="Arial"/>
                <w:sz w:val="17"/>
                <w:szCs w:val="17"/>
                <w:color w:val="auto"/>
              </w:rPr>
              <w:t>the treasury stock method</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130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Diluted earnings per common share</w:t>
            </w:r>
          </w:p>
        </w:tc>
        <w:tc>
          <w:tcPr>
            <w:tcW w:w="1300" w:type="dxa"/>
            <w:vAlign w:val="bottom"/>
          </w:tcPr>
          <w:p>
            <w:pPr>
              <w:jc w:val="right"/>
              <w:ind w:right="111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8"/>
                <w:szCs w:val="18"/>
                <w:color w:val="auto"/>
              </w:rPr>
            </w:pPr>
          </w:p>
        </w:tc>
        <w:tc>
          <w:tcPr>
            <w:tcW w:w="1420" w:type="dxa"/>
            <w:vAlign w:val="bottom"/>
          </w:tcPr>
          <w:p>
            <w:pPr>
              <w:jc w:val="right"/>
              <w:ind w:right="123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20" w:firstLine="387"/>
        <w:spacing w:after="0" w:line="262" w:lineRule="auto"/>
        <w:rPr>
          <w:sz w:val="20"/>
          <w:szCs w:val="20"/>
          <w:color w:val="auto"/>
        </w:rPr>
      </w:pPr>
      <w:r>
        <w:rPr>
          <w:rFonts w:ascii="Arial" w:cs="Arial" w:eastAsia="Arial" w:hAnsi="Arial"/>
          <w:sz w:val="17"/>
          <w:szCs w:val="17"/>
          <w:color w:val="auto"/>
        </w:rPr>
        <w:t>The vesting of certain of our employee-related restricted stock units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Weighted-average shares excluded from the computation of diluted earnings per share were as follows (amounts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19"/>
                <w:szCs w:val="19"/>
                <w:color w:val="auto"/>
              </w:rPr>
            </w:pPr>
          </w:p>
        </w:tc>
        <w:tc>
          <w:tcPr>
            <w:tcW w:w="3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7"/>
                <w:szCs w:val="17"/>
                <w:b w:val="1"/>
                <w:bCs w:val="1"/>
                <w:color w:val="auto"/>
              </w:rPr>
              <w:t>For the Three Months Ended June 30,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7"/>
                <w:szCs w:val="17"/>
                <w:b w:val="1"/>
                <w:bCs w:val="1"/>
                <w:color w:val="auto"/>
              </w:rPr>
              <w:t>For the Six Months Ended June 30,</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1420" w:type="dxa"/>
            <w:vAlign w:val="bottom"/>
          </w:tcPr>
          <w:p>
            <w:pPr>
              <w:jc w:val="right"/>
              <w:ind w:right="234"/>
              <w:spacing w:after="0"/>
              <w:rPr>
                <w:sz w:val="20"/>
                <w:szCs w:val="20"/>
                <w:color w:val="auto"/>
              </w:rPr>
            </w:pPr>
            <w:r>
              <w:rPr>
                <w:rFonts w:ascii="Arial" w:cs="Arial" w:eastAsia="Arial" w:hAnsi="Arial"/>
                <w:sz w:val="17"/>
                <w:szCs w:val="17"/>
                <w:b w:val="1"/>
                <w:bCs w:val="1"/>
                <w:color w:val="auto"/>
              </w:rPr>
              <w:t>2022</w:t>
            </w:r>
          </w:p>
        </w:tc>
        <w:tc>
          <w:tcPr>
            <w:tcW w:w="208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8"/>
                <w:szCs w:val="18"/>
                <w:color w:val="auto"/>
              </w:rPr>
            </w:pPr>
          </w:p>
        </w:tc>
        <w:tc>
          <w:tcPr>
            <w:tcW w:w="17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48"/>
        </w:trPr>
        <w:tc>
          <w:tcPr>
            <w:tcW w:w="3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7"/>
                <w:szCs w:val="17"/>
                <w:color w:val="auto"/>
                <w:w w:val="96"/>
              </w:rPr>
              <w:t>Restricted stock units with performance measures</w:t>
            </w:r>
          </w:p>
        </w:tc>
        <w:tc>
          <w:tcPr>
            <w:tcW w:w="1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 yet met</w:t>
            </w: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80" w:type="dxa"/>
            <w:vAlign w:val="bottom"/>
            <w:gridSpan w:val="2"/>
          </w:tcPr>
          <w:p>
            <w:pPr>
              <w:ind w:left="20"/>
              <w:spacing w:after="0"/>
              <w:rPr>
                <w:sz w:val="20"/>
                <w:szCs w:val="20"/>
                <w:color w:val="auto"/>
              </w:rPr>
            </w:pPr>
            <w:r>
              <w:rPr>
                <w:rFonts w:ascii="Arial" w:cs="Arial" w:eastAsia="Arial" w:hAnsi="Arial"/>
                <w:sz w:val="17"/>
                <w:szCs w:val="17"/>
                <w:color w:val="auto"/>
              </w:rPr>
              <w:t>Anti-dilutive employee stock options</w:t>
            </w:r>
          </w:p>
        </w:tc>
        <w:tc>
          <w:tcPr>
            <w:tcW w:w="4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Capital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Programs</w:t>
      </w:r>
    </w:p>
    <w:p>
      <w:pPr>
        <w:spacing w:after="0" w:line="243" w:lineRule="exact"/>
        <w:rPr>
          <w:sz w:val="20"/>
          <w:szCs w:val="20"/>
          <w:color w:val="auto"/>
        </w:rPr>
      </w:pPr>
    </w:p>
    <w:p>
      <w:pPr>
        <w:ind w:right="240" w:firstLine="387"/>
        <w:spacing w:after="0" w:line="259" w:lineRule="auto"/>
        <w:rPr>
          <w:sz w:val="20"/>
          <w:szCs w:val="20"/>
          <w:color w:val="auto"/>
        </w:rPr>
      </w:pPr>
      <w:r>
        <w:rPr>
          <w:rFonts w:ascii="Arial" w:cs="Arial" w:eastAsia="Arial" w:hAnsi="Arial"/>
          <w:sz w:val="17"/>
          <w:szCs w:val="17"/>
          <w:color w:val="auto"/>
        </w:rPr>
        <w:t>On January 27, 2021, our Board of Directors authorized a stock repurchase program under which we are authorized to repurchase up to $4 billion of our common stock during the two-year period from February 14, 2021 until the earlier of February 13, 2023 and a determination by the Board of Directors to discontinue the repurchase program. As of June 30, 2022, we had not repurchased any shares under this program and are restricted from making any such repurchases during the period between the execution of the Merger Agreement with Microsoft and the Effective Time without Microsoft’s approval (which may not be unreasonably withheld, conditioned, or delayed).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On February 3, 2022, our Board of Directors declared a cash dividend of $0.47 per common share. On May 6, 2022, we made an aggregate cash dividend payment of $367 million to shareholders of record at the close of business on April 15,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On February 4, 2021, our Board of Directors declared a cash dividend of $0.47 per common share. On May 6, 2021, we made an aggregate cash dividend payment of $365 million to shareholders of record at the close of business on April 15,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43" w:lineRule="exact"/>
        <w:rPr>
          <w:sz w:val="20"/>
          <w:szCs w:val="20"/>
          <w:color w:val="auto"/>
        </w:rPr>
      </w:pPr>
    </w:p>
    <w:p>
      <w:pPr>
        <w:ind w:right="180" w:firstLine="387"/>
        <w:spacing w:after="0" w:line="283"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such routine claims and lawsuits are not significant, and we do not expect them to have a material adverse effect on our business, financial condition, results of operations, or liquidity. We are also party to the proceedings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EEOC Settlement</w:t>
      </w:r>
    </w:p>
    <w:p>
      <w:pPr>
        <w:spacing w:after="0" w:line="243"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In September 2021, the Company entered into a proposed consent decree with the U.S. Equal Employment Opportunity Commission (the “EEOC”) to settle claims regarding certain employment practices. The consent decree was approved by the United States District Court, Central District of California on March 29, 2022. The consent decree, among other things, provides for the creation of an $18 million settlement fund for eligible claimants; upgrading Company policies, practices, and training to further prevent and eliminate harassment and discrimination in its workplaces, including implementing an expanded performance review system with a new equal opportunity focus; and providing ongoing oversight and review of the Company’s training programs, investigation policies, disciplinary framework and compliance by appointing a third-party equal opportunity consultant for the next three years whose findings will be regularly reported to the EEOC and shared with our Board of Directors.</w:t>
      </w:r>
    </w:p>
    <w:p>
      <w:pPr>
        <w:spacing w:after="0" w:line="211" w:lineRule="exact"/>
        <w:rPr>
          <w:sz w:val="20"/>
          <w:szCs w:val="20"/>
          <w:color w:val="auto"/>
        </w:rPr>
      </w:pPr>
    </w:p>
    <w:p>
      <w:pPr>
        <w:ind w:right="20" w:firstLine="387"/>
        <w:spacing w:after="0" w:line="275" w:lineRule="auto"/>
        <w:rPr>
          <w:sz w:val="20"/>
          <w:szCs w:val="20"/>
          <w:color w:val="auto"/>
        </w:rPr>
      </w:pPr>
      <w:r>
        <w:rPr>
          <w:rFonts w:ascii="Arial" w:cs="Arial" w:eastAsia="Arial" w:hAnsi="Arial"/>
          <w:sz w:val="16"/>
          <w:szCs w:val="16"/>
          <w:color w:val="auto"/>
        </w:rPr>
        <w:t>The California Department of Fair Employment and Housing (the “DFEH”) filed a motion to intervene in the matter, seeking to object to the consent decree, including the amount of the settlement fund; that motion was denied. The DFEH filed a notice of appeal of the order denying the DFEH’s motion to intervene. The DFEH filed its opening brief for its appeal of the Court’s order denying its motion to intervene with the United States Court of Appeals for the Ninth Circuit on May 18, 2022. On April 19, 2022, DFEH filed a second motion to intervene with the United States District Court. The DFEH’s second motion to intervene was denied on June 3, 2022. On June 7, 2022, DFEH filed a notice of appeal of the order denying the DFEH’s second motion to intervene with the United States Court of Appeals for the Ninth Circuit. The DFEH’s opening brief on its second appeal is due September 19, 2022. On March 4, 2022, Jessica Gonzalez, a former Blizzard Entertainment employee, filed a motion to intervene with the United States District Court; it was denied on March 22, 2022. On May 23, 2022, Gonzalez filed a notice of appeal of the order denying her motion to intervene with the United States Court of Appeals for the Ninth Circuit.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Pending Employment-Related Matters</w:t>
      </w:r>
    </w:p>
    <w:p>
      <w:pPr>
        <w:spacing w:after="0" w:line="243" w:lineRule="exact"/>
        <w:rPr>
          <w:sz w:val="20"/>
          <w:szCs w:val="20"/>
          <w:color w:val="auto"/>
        </w:rPr>
      </w:pPr>
    </w:p>
    <w:p>
      <w:pPr>
        <w:ind w:right="20" w:firstLine="387"/>
        <w:spacing w:after="0" w:line="295" w:lineRule="auto"/>
        <w:rPr>
          <w:sz w:val="20"/>
          <w:szCs w:val="20"/>
          <w:color w:val="auto"/>
        </w:rPr>
      </w:pPr>
      <w:r>
        <w:rPr>
          <w:rFonts w:ascii="Arial" w:cs="Arial" w:eastAsia="Arial" w:hAnsi="Arial"/>
          <w:sz w:val="15"/>
          <w:szCs w:val="15"/>
          <w:color w:val="auto"/>
        </w:rPr>
        <w:t>On July 20, 2021, the DFEH filed a complaint (the “DFEH Matter”) in California Superior Court, County of Los Angeles against Activision Blizzard, Blizzard Entertainment and Activision Publishing (together, the “Defendants”) alleging violations of the California Fair Employment and Housing Act and the California Equal Pay Act. The DFEH filed a First Amended Complaint in the DFEH Matter on August 23, 2021. The Defendants moved to dismiss the First Amended Complaint; the motion was heard on February 15, 2022. The Defendants’ motion was denied in part and granted in part, and the DFEH did not amend with respect to the granted portion. On May 6, 2022, Defendants moved for partial summary adjudication seeking to dismiss claims asserted under the Fair Employment &amp; Housing Act. On July 27 and 28, 2022, the Court held a hearing on Defendants’ motion for partial summary adjudication and tentatively denied Defendants’ motion. The Court indicated that it would issue a final ruling on Defendants’ motion the week of August 1, 2022. Trial is currently scheduled to begin February 27, 2023. In addition, in January 2022, the Company’s Board of Directors received notice of an investigation by the DFEH and investigatory subpoenas.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40" w:firstLine="387"/>
        <w:spacing w:after="0" w:line="277" w:lineRule="auto"/>
        <w:rPr>
          <w:sz w:val="20"/>
          <w:szCs w:val="20"/>
          <w:color w:val="auto"/>
        </w:rPr>
      </w:pPr>
      <w:r>
        <w:rPr>
          <w:rFonts w:ascii="Arial" w:cs="Arial" w:eastAsia="Arial" w:hAnsi="Arial"/>
          <w:sz w:val="16"/>
          <w:szCs w:val="16"/>
          <w:color w:val="auto"/>
        </w:rPr>
        <w:t xml:space="preserve">On August 3, 2021, a putative class action was filed in the United States District Court, Central District of California, entitled </w:t>
      </w:r>
      <w:r>
        <w:rPr>
          <w:rFonts w:ascii="Arial" w:cs="Arial" w:eastAsia="Arial" w:hAnsi="Arial"/>
          <w:sz w:val="16"/>
          <w:szCs w:val="16"/>
          <w:i w:val="1"/>
          <w:iCs w:val="1"/>
          <w:color w:val="auto"/>
        </w:rPr>
        <w:t>Gary Cheng v. Activision</w:t>
      </w:r>
      <w:r>
        <w:rPr>
          <w:rFonts w:ascii="Arial" w:cs="Arial" w:eastAsia="Arial" w:hAnsi="Arial"/>
          <w:sz w:val="16"/>
          <w:szCs w:val="16"/>
          <w:color w:val="auto"/>
        </w:rPr>
        <w:t xml:space="preserve"> </w:t>
      </w:r>
      <w:r>
        <w:rPr>
          <w:rFonts w:ascii="Arial" w:cs="Arial" w:eastAsia="Arial" w:hAnsi="Arial"/>
          <w:sz w:val="16"/>
          <w:szCs w:val="16"/>
          <w:i w:val="1"/>
          <w:iCs w:val="1"/>
          <w:color w:val="auto"/>
        </w:rPr>
        <w:t>Blizzard, Inc., et al.</w:t>
      </w:r>
      <w:r>
        <w:rPr>
          <w:rFonts w:ascii="Arial" w:cs="Arial" w:eastAsia="Arial" w:hAnsi="Arial"/>
          <w:sz w:val="16"/>
          <w:szCs w:val="16"/>
          <w:color w:val="auto"/>
        </w:rPr>
        <w:t>, Case No. 2:21-cv-06240-PA-JEM. Plaintiffs assert claims under Sections 10(b) and 20(a) of the Securities Exchange Act of 1934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against the Company and five current or former officers. An amended complaint was filed on December 3, 2021, purportedly on behalf of a class of Activision shareholders who purchased stock between February 28, 2017 and November 16, 2021. In an order dated April 18, 2022, the Court granted defendants’ motion to dismiss the amended complaint with leave to amend. Plaintiffs filed a second amended complaint on May 18, 2022, on behalf of shareholders who purchased stock between November 8, 2018 and November 16, 2021, which defendants moved to dismiss on June 16, 2022.</w:t>
      </w:r>
    </w:p>
    <w:p>
      <w:pPr>
        <w:spacing w:after="0" w:line="196" w:lineRule="exact"/>
        <w:rPr>
          <w:sz w:val="20"/>
          <w:szCs w:val="20"/>
          <w:color w:val="auto"/>
        </w:rPr>
      </w:pPr>
    </w:p>
    <w:p>
      <w:pPr>
        <w:ind w:right="120" w:firstLine="387"/>
        <w:spacing w:after="0" w:line="273" w:lineRule="auto"/>
        <w:rPr>
          <w:sz w:val="20"/>
          <w:szCs w:val="20"/>
          <w:color w:val="auto"/>
        </w:rPr>
      </w:pPr>
      <w:r>
        <w:rPr>
          <w:rFonts w:ascii="Arial" w:cs="Arial" w:eastAsia="Arial" w:hAnsi="Arial"/>
          <w:sz w:val="16"/>
          <w:szCs w:val="16"/>
          <w:color w:val="auto"/>
        </w:rPr>
        <w:t xml:space="preserve">Beginning on August 6, 2021, three putative shareholder derivative actions were filed in California Superior Court, County of Los Angeles, and those cases have now been consolidated in an action entitled </w:t>
      </w:r>
      <w:r>
        <w:rPr>
          <w:rFonts w:ascii="Arial" w:cs="Arial" w:eastAsia="Arial" w:hAnsi="Arial"/>
          <w:sz w:val="16"/>
          <w:szCs w:val="16"/>
          <w:i w:val="1"/>
          <w:iCs w:val="1"/>
          <w:color w:val="auto"/>
        </w:rPr>
        <w:t>York County on Behalf of County of York Retirement Fund v. Robert A. Kotick, et al.</w:t>
      </w:r>
      <w:r>
        <w:rPr>
          <w:rFonts w:ascii="Arial" w:cs="Arial" w:eastAsia="Arial" w:hAnsi="Arial"/>
          <w:sz w:val="16"/>
          <w:szCs w:val="16"/>
          <w:color w:val="auto"/>
        </w:rPr>
        <w:t xml:space="preserve">, Case No. 21STCV28949. Another related putative shareholder derivative action, entitled </w:t>
      </w:r>
      <w:r>
        <w:rPr>
          <w:rFonts w:ascii="Arial" w:cs="Arial" w:eastAsia="Arial" w:hAnsi="Arial"/>
          <w:sz w:val="16"/>
          <w:szCs w:val="16"/>
          <w:i w:val="1"/>
          <w:iCs w:val="1"/>
          <w:color w:val="auto"/>
        </w:rPr>
        <w:t>Lesley Warren Savage v. Robert A. Kotick, et al.</w:t>
      </w:r>
      <w:r>
        <w:rPr>
          <w:rFonts w:ascii="Arial" w:cs="Arial" w:eastAsia="Arial" w:hAnsi="Arial"/>
          <w:sz w:val="16"/>
          <w:szCs w:val="16"/>
          <w:color w:val="auto"/>
        </w:rPr>
        <w:t xml:space="preserve">, Case No. 22STCV17478, was filed in California Superior Court, County of Los Angeles on May 23, 2022. On November 15, 2021, a putative shareholder derivative action was filed in the United States District Court, Central District of California, entitled </w:t>
      </w:r>
      <w:r>
        <w:rPr>
          <w:rFonts w:ascii="Arial" w:cs="Arial" w:eastAsia="Arial" w:hAnsi="Arial"/>
          <w:sz w:val="16"/>
          <w:szCs w:val="16"/>
          <w:i w:val="1"/>
          <w:iCs w:val="1"/>
          <w:color w:val="auto"/>
        </w:rPr>
        <w:t>Luke Kahnert v. Robert A. Kotick, et al</w:t>
      </w:r>
      <w:r>
        <w:rPr>
          <w:rFonts w:ascii="Arial" w:cs="Arial" w:eastAsia="Arial" w:hAnsi="Arial"/>
          <w:sz w:val="16"/>
          <w:szCs w:val="16"/>
          <w:color w:val="auto"/>
        </w:rPr>
        <w:t>., Case No. 2:21-cv-08968-PA-JEM. The putative derivative actions collectively assert claims on the Company’s behalf against a number of current or former officers, employees and directors for breach of fiduciary duty, corporate waste, unjust enrichment, misappropriation, contribution, and alleged violation of Section 14(a) of the Exchange Act based on allegations similar to those in the DFEH Matter and in the securities class action. The Company is named as a nominal defendant. An amended complaint was filed on January 7, 2022 and, in an order dated May 20, 2022, the Court granted defendants’ motion to dismiss the amended complaint with leave to amend. Plaintiffs filed a second amended complaint on June 1, 2022, which defendants moved to dismiss on June 28, 2022.</w:t>
      </w:r>
    </w:p>
    <w:p>
      <w:pPr>
        <w:spacing w:after="0" w:line="202" w:lineRule="exact"/>
        <w:rPr>
          <w:sz w:val="20"/>
          <w:szCs w:val="20"/>
          <w:color w:val="auto"/>
        </w:rPr>
      </w:pPr>
    </w:p>
    <w:p>
      <w:pPr>
        <w:ind w:right="260" w:firstLine="387"/>
        <w:spacing w:after="0" w:line="349" w:lineRule="auto"/>
        <w:rPr>
          <w:sz w:val="20"/>
          <w:szCs w:val="20"/>
          <w:color w:val="auto"/>
        </w:rPr>
      </w:pPr>
      <w:r>
        <w:rPr>
          <w:rFonts w:ascii="Arial" w:cs="Arial" w:eastAsia="Arial" w:hAnsi="Arial"/>
          <w:sz w:val="15"/>
          <w:szCs w:val="15"/>
          <w:color w:val="auto"/>
        </w:rPr>
        <w:t>The Company is cooperating with an investigation by the SEC regarding disclosures on employment matters and related issues including responding to subpoenas from the SEC. The SEC has also issued subpoenas to a number of current and former executives and other employees in connection with this matter.</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unable to predict the impact of the above pending matters on our business, financial condition, results of operations, or liquidity at this time.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 Regarding the Merger</w:t>
      </w:r>
    </w:p>
    <w:p>
      <w:pPr>
        <w:spacing w:after="0" w:line="243" w:lineRule="exact"/>
        <w:rPr>
          <w:sz w:val="20"/>
          <w:szCs w:val="20"/>
          <w:color w:val="auto"/>
        </w:rPr>
      </w:pPr>
    </w:p>
    <w:p>
      <w:pPr>
        <w:ind w:firstLine="387"/>
        <w:spacing w:after="0" w:line="272" w:lineRule="auto"/>
        <w:rPr>
          <w:sz w:val="20"/>
          <w:szCs w:val="20"/>
          <w:color w:val="auto"/>
        </w:rPr>
      </w:pPr>
      <w:r>
        <w:rPr>
          <w:rFonts w:ascii="Arial" w:cs="Arial" w:eastAsia="Arial" w:hAnsi="Arial"/>
          <w:sz w:val="16"/>
          <w:szCs w:val="16"/>
          <w:color w:val="auto"/>
        </w:rPr>
        <w:t xml:space="preserve">Following the announcement of the proposed transaction with Microsoft, complaints were filed in the United States District Court for the Southern District of New York, the United States District Court for the Eastern District of New York, the United States District Court for the Central District of California, the United States District Court for the Eastern District of Pennsylvania and the United States District Court for the District of Delaware against the Company and its directors: </w:t>
      </w:r>
      <w:r>
        <w:rPr>
          <w:rFonts w:ascii="Arial" w:cs="Arial" w:eastAsia="Arial" w:hAnsi="Arial"/>
          <w:sz w:val="16"/>
          <w:szCs w:val="16"/>
          <w:i w:val="1"/>
          <w:iCs w:val="1"/>
          <w:color w:val="auto"/>
        </w:rPr>
        <w:t>Stein v. Activision Blizzard, Inc. et al</w:t>
      </w:r>
      <w:r>
        <w:rPr>
          <w:rFonts w:ascii="Arial" w:cs="Arial" w:eastAsia="Arial" w:hAnsi="Arial"/>
          <w:sz w:val="16"/>
          <w:szCs w:val="16"/>
          <w:color w:val="auto"/>
        </w:rPr>
        <w:t xml:space="preserve">., No. 1:22-cv-01560 (S.D.N.Y.); </w:t>
      </w:r>
      <w:r>
        <w:rPr>
          <w:rFonts w:ascii="Arial" w:cs="Arial" w:eastAsia="Arial" w:hAnsi="Arial"/>
          <w:sz w:val="16"/>
          <w:szCs w:val="16"/>
          <w:i w:val="1"/>
          <w:iCs w:val="1"/>
          <w:color w:val="auto"/>
        </w:rPr>
        <w:t>Perry v. Activision Blizzard, Inc. et al</w:t>
      </w:r>
      <w:r>
        <w:rPr>
          <w:rFonts w:ascii="Arial" w:cs="Arial" w:eastAsia="Arial" w:hAnsi="Arial"/>
          <w:sz w:val="16"/>
          <w:szCs w:val="16"/>
          <w:color w:val="auto"/>
        </w:rPr>
        <w:t xml:space="preserve">., No. 1:22-cv-02074 (S.D.N.Y.); </w:t>
      </w:r>
      <w:r>
        <w:rPr>
          <w:rFonts w:ascii="Arial" w:cs="Arial" w:eastAsia="Arial" w:hAnsi="Arial"/>
          <w:sz w:val="16"/>
          <w:szCs w:val="16"/>
          <w:i w:val="1"/>
          <w:iCs w:val="1"/>
          <w:color w:val="auto"/>
        </w:rPr>
        <w:t>Whitfield v.</w:t>
      </w:r>
      <w:r>
        <w:rPr>
          <w:rFonts w:ascii="Arial" w:cs="Arial" w:eastAsia="Arial" w:hAnsi="Arial"/>
          <w:sz w:val="16"/>
          <w:szCs w:val="16"/>
          <w:color w:val="auto"/>
        </w:rPr>
        <w:t xml:space="preserve"> </w:t>
      </w:r>
      <w:r>
        <w:rPr>
          <w:rFonts w:ascii="Arial" w:cs="Arial" w:eastAsia="Arial" w:hAnsi="Arial"/>
          <w:sz w:val="16"/>
          <w:szCs w:val="16"/>
          <w:i w:val="1"/>
          <w:iCs w:val="1"/>
          <w:color w:val="auto"/>
        </w:rPr>
        <w:t>Activision Blizzard, Inc. et al.</w:t>
      </w:r>
      <w:r>
        <w:rPr>
          <w:rFonts w:ascii="Arial" w:cs="Arial" w:eastAsia="Arial" w:hAnsi="Arial"/>
          <w:sz w:val="16"/>
          <w:szCs w:val="16"/>
          <w:color w:val="auto"/>
        </w:rPr>
        <w:t>, 2:22-cv-01182 (E.D.N.Y.);</w:t>
      </w:r>
      <w:r>
        <w:rPr>
          <w:rFonts w:ascii="Arial" w:cs="Arial" w:eastAsia="Arial" w:hAnsi="Arial"/>
          <w:sz w:val="16"/>
          <w:szCs w:val="16"/>
          <w:i w:val="1"/>
          <w:iCs w:val="1"/>
          <w:color w:val="auto"/>
        </w:rPr>
        <w:t xml:space="preserve"> Lande v. Activision Blizzard, Inc. et al</w:t>
      </w:r>
      <w:r>
        <w:rPr>
          <w:rFonts w:ascii="Arial" w:cs="Arial" w:eastAsia="Arial" w:hAnsi="Arial"/>
          <w:sz w:val="16"/>
          <w:szCs w:val="16"/>
          <w:color w:val="auto"/>
        </w:rPr>
        <w:t>., No. 1:22-cv-01267 (E.D.N.Y.);</w:t>
      </w:r>
      <w:r>
        <w:rPr>
          <w:rFonts w:ascii="Arial" w:cs="Arial" w:eastAsia="Arial" w:hAnsi="Arial"/>
          <w:sz w:val="16"/>
          <w:szCs w:val="16"/>
          <w:i w:val="1"/>
          <w:iCs w:val="1"/>
          <w:color w:val="auto"/>
        </w:rPr>
        <w:t xml:space="preserve"> Watson v. Activision Blizzard, Inc. et al., </w:t>
      </w:r>
      <w:r>
        <w:rPr>
          <w:rFonts w:ascii="Arial" w:cs="Arial" w:eastAsia="Arial" w:hAnsi="Arial"/>
          <w:sz w:val="16"/>
          <w:szCs w:val="16"/>
          <w:color w:val="auto"/>
        </w:rPr>
        <w:t>No. 2:22-cv-01268 (C.D. Cal.);</w:t>
      </w:r>
      <w:r>
        <w:rPr>
          <w:rFonts w:ascii="Arial" w:cs="Arial" w:eastAsia="Arial" w:hAnsi="Arial"/>
          <w:sz w:val="16"/>
          <w:szCs w:val="16"/>
          <w:i w:val="1"/>
          <w:iCs w:val="1"/>
          <w:color w:val="auto"/>
        </w:rPr>
        <w:t xml:space="preserve"> Rubin v. Activision Blizzard, Inc. et al.</w:t>
      </w:r>
      <w:r>
        <w:rPr>
          <w:rFonts w:ascii="Arial" w:cs="Arial" w:eastAsia="Arial" w:hAnsi="Arial"/>
          <w:sz w:val="16"/>
          <w:szCs w:val="16"/>
          <w:color w:val="auto"/>
        </w:rPr>
        <w:t>, No. 2:22-cv-01343 (C.D. Cal.);</w:t>
      </w:r>
      <w:r>
        <w:rPr>
          <w:rFonts w:ascii="Arial" w:cs="Arial" w:eastAsia="Arial" w:hAnsi="Arial"/>
          <w:sz w:val="16"/>
          <w:szCs w:val="16"/>
          <w:i w:val="1"/>
          <w:iCs w:val="1"/>
          <w:color w:val="auto"/>
        </w:rPr>
        <w:t xml:space="preserve"> Baker v. Activision Blizzard, Inc. et al</w:t>
      </w:r>
      <w:r>
        <w:rPr>
          <w:rFonts w:ascii="Arial" w:cs="Arial" w:eastAsia="Arial" w:hAnsi="Arial"/>
          <w:sz w:val="16"/>
          <w:szCs w:val="16"/>
          <w:color w:val="auto"/>
        </w:rPr>
        <w:t>.,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2:22-cv00875 (E.D. Pa.); and </w:t>
      </w:r>
      <w:r>
        <w:rPr>
          <w:rFonts w:ascii="Arial" w:cs="Arial" w:eastAsia="Arial" w:hAnsi="Arial"/>
          <w:sz w:val="16"/>
          <w:szCs w:val="16"/>
          <w:i w:val="1"/>
          <w:iCs w:val="1"/>
          <w:color w:val="auto"/>
        </w:rPr>
        <w:t>David v. Activision Blizzard, Inc. et al.</w:t>
      </w:r>
      <w:r>
        <w:rPr>
          <w:rFonts w:ascii="Arial" w:cs="Arial" w:eastAsia="Arial" w:hAnsi="Arial"/>
          <w:sz w:val="16"/>
          <w:szCs w:val="16"/>
          <w:color w:val="auto"/>
        </w:rPr>
        <w:t>, No. 1:22-cv-00339 (D. Del.). The complaints each assert violations of Section 14(a) and Section 20(a) of the Exchange Act and allege that the preliminary proxy statement filed in connection with the proposed transaction between the Company and Microsoft omitted certain purportedly material information which rendered the preliminary proxy statement incomplete and misleading. Specifically, the complaints allege that the preliminary proxy statement failed to disclose material information regarding the sales process, the Company’s projections and the financial analyses of the Company’s financial advisor. The complaints sought, among other things, an order to enjoin the transaction unless additional disclosures were issued; and, if the transaction closes, damages. The Watson complaint also alleges that the Company’s directors entered into the transaction for self-interested reasons, including receipt of personal benefits in the transaction. All of the complaints have been voluntarily dismissed.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87"/>
        <w:spacing w:after="0" w:line="274" w:lineRule="auto"/>
        <w:rPr>
          <w:sz w:val="20"/>
          <w:szCs w:val="20"/>
          <w:color w:val="auto"/>
        </w:rPr>
      </w:pPr>
      <w:r>
        <w:rPr>
          <w:rFonts w:ascii="Arial" w:cs="Arial" w:eastAsia="Arial" w:hAnsi="Arial"/>
          <w:sz w:val="16"/>
          <w:szCs w:val="16"/>
          <w:color w:val="auto"/>
        </w:rPr>
        <w:t xml:space="preserve">Following the announcement of the proposed transaction with Microsoft, the Company also received several demand letters from purported stockholders and two lawsuits, </w:t>
      </w:r>
      <w:r>
        <w:rPr>
          <w:rFonts w:ascii="Arial" w:cs="Arial" w:eastAsia="Arial" w:hAnsi="Arial"/>
          <w:sz w:val="16"/>
          <w:szCs w:val="16"/>
          <w:i w:val="1"/>
          <w:iCs w:val="1"/>
          <w:color w:val="auto"/>
        </w:rPr>
        <w:t>Sjunde AP-Fonden v. Activision Blizzard, Inc.</w:t>
      </w:r>
      <w:r>
        <w:rPr>
          <w:rFonts w:ascii="Arial" w:cs="Arial" w:eastAsia="Arial" w:hAnsi="Arial"/>
          <w:sz w:val="16"/>
          <w:szCs w:val="16"/>
          <w:color w:val="auto"/>
        </w:rPr>
        <w:t xml:space="preserve">, No. 2022-0281-KSJM (Del. Ch.) and </w:t>
      </w:r>
      <w:r>
        <w:rPr>
          <w:rFonts w:ascii="Arial" w:cs="Arial" w:eastAsia="Arial" w:hAnsi="Arial"/>
          <w:sz w:val="16"/>
          <w:szCs w:val="16"/>
          <w:i w:val="1"/>
          <w:iCs w:val="1"/>
          <w:color w:val="auto"/>
        </w:rPr>
        <w:t>New York City Employees’ Retirement System et. al. v. Activision</w:t>
      </w:r>
      <w:r>
        <w:rPr>
          <w:rFonts w:ascii="Arial" w:cs="Arial" w:eastAsia="Arial" w:hAnsi="Arial"/>
          <w:sz w:val="16"/>
          <w:szCs w:val="16"/>
          <w:color w:val="auto"/>
        </w:rPr>
        <w:t xml:space="preserve"> </w:t>
      </w:r>
      <w:r>
        <w:rPr>
          <w:rFonts w:ascii="Arial" w:cs="Arial" w:eastAsia="Arial" w:hAnsi="Arial"/>
          <w:sz w:val="16"/>
          <w:szCs w:val="16"/>
          <w:i w:val="1"/>
          <w:iCs w:val="1"/>
          <w:color w:val="auto"/>
        </w:rPr>
        <w:t>Blizzard, Inc.</w:t>
      </w:r>
      <w:r>
        <w:rPr>
          <w:rFonts w:ascii="Arial" w:cs="Arial" w:eastAsia="Arial" w:hAnsi="Arial"/>
          <w:sz w:val="16"/>
          <w:szCs w:val="16"/>
          <w:color w:val="auto"/>
        </w:rPr>
        <w:t>, No. 2022-0365-KSJM (Del. Ch.) (together the “220 Complaints”), for books and records pursuant to 8 Del. C. § 220. Among other things, the</w:t>
      </w:r>
      <w:r>
        <w:rPr>
          <w:rFonts w:ascii="Arial" w:cs="Arial" w:eastAsia="Arial" w:hAnsi="Arial"/>
          <w:sz w:val="16"/>
          <w:szCs w:val="16"/>
          <w:i w:val="1"/>
          <w:iCs w:val="1"/>
          <w:color w:val="auto"/>
        </w:rPr>
        <w:t xml:space="preserve"> </w:t>
      </w:r>
      <w:r>
        <w:rPr>
          <w:rFonts w:ascii="Arial" w:cs="Arial" w:eastAsia="Arial" w:hAnsi="Arial"/>
          <w:sz w:val="16"/>
          <w:szCs w:val="16"/>
          <w:color w:val="auto"/>
        </w:rPr>
        <w:t>demand letters and the 220 Complaints seek to investigate purported breaches of fiduciary duty related to the proposed transaction. Specifically, the demands seek to investigate Mr. Kotick’s role in the proposed transaction with one of the demands alleging that Mr. Kotick’s position at the Company was at risk given workplace issues and he chose to pursue a transaction rather than resign. Such demand further alleges that Mr. Kotick agreed to a price range without authorization from our Board of Directors and that our Board of Directors allowed Mr. Kotick to control the transaction process. Such demand also alleges that the transaction price is inadequate because Microsoft’s opportunistic offer took advantage of the Company’s purportedly depressed stock price and that management may have attempted to validate the consideration through downward adjustments to the Company’s long-range plan.</w:t>
      </w:r>
    </w:p>
    <w:p>
      <w:pPr>
        <w:spacing w:after="0" w:line="198"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The Company has received voluntary requests for information from the SEC and a grand jury subpoena from the United States Department of Justice related to their respective investigations into trading by third parties – including persons known to the Company’s CEO – in securities prior to the announcement of the proposed transaction with Microsoft. The Company is fully cooperating with these investigations.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49"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some of our content. The terms “Activision Blizzard,” the “Company,” “we,” “us,” and “our” are used to refer collectively to Activision Blizzard, Inc. and its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 Agreement</w:t>
      </w:r>
    </w:p>
    <w:p>
      <w:pPr>
        <w:spacing w:after="0" w:line="243"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On January 18, 2022, we entered into an Agreement and Plan of Merger (the “Merger Agreement”) with Microsoft Corporation (“Microsoft”) and Anchorage Merger Sub Inc. (“Merger Sub”), a wholly owned subsidiary of Microsoft. Subject to the terms and conditions of the Merger Agreement, Microsoft agreed to acquire the Company for $95.00 per issued and outstanding share of our common stock, par value $0.000001 per share, in an all-cash transaction. Pursuant to the Merger Agreement, following consummation of the merger of Merger Sub with and into the Company (the “Merger”), the Company will be a wholly-owned subsidiary of Microsoft. As a result of the Merger, we will cease to be a publicly traded company. We have agreed to various customary covenants and agreements, including, among others, agreements to conduct our business in the ordinary course during the period between the execution of the Merger Agreement and the effective time of the Merger. We do not believe these restrictions will prevent us from meeting our debt service obligations, ongoing costs of operations, working capital needs or capital expenditure requirements. The consummation of the Merger remains subject to customary closing conditions, including satisfaction of certain regulatory approvals. On April 28, 2022, the Company’s stockholders adopted the Merger Agreement at a special meeting of stockholders. The Merger is currently expected to close in Microsoft’s fiscal year ending June 30, 2023.</w:t>
      </w:r>
    </w:p>
    <w:p>
      <w:pPr>
        <w:spacing w:after="0" w:line="202" w:lineRule="exact"/>
        <w:rPr>
          <w:sz w:val="20"/>
          <w:szCs w:val="20"/>
          <w:color w:val="auto"/>
        </w:rPr>
      </w:pPr>
    </w:p>
    <w:p>
      <w:pPr>
        <w:ind w:right="80" w:firstLine="387"/>
        <w:spacing w:after="0" w:line="283" w:lineRule="auto"/>
        <w:rPr>
          <w:rFonts w:ascii="Arial" w:cs="Arial" w:eastAsia="Arial" w:hAnsi="Arial"/>
          <w:sz w:val="16"/>
          <w:szCs w:val="16"/>
          <w:color w:val="0000FF"/>
        </w:rPr>
      </w:pPr>
      <w:r>
        <w:rPr>
          <w:rFonts w:ascii="Arial" w:cs="Arial" w:eastAsia="Arial" w:hAnsi="Arial"/>
          <w:sz w:val="16"/>
          <w:szCs w:val="16"/>
          <w:color w:val="auto"/>
        </w:rPr>
        <w:t xml:space="preserve">For additional information related to the Merger Agreement, please refer to the Definitive Proxy Statement on Schedule 14A filed with the U.S. Securities and Exchange Commission (the “SEC”) on March 21, 2022, as supplemented by the Current Report on Form 8-K filed with the SEC on April 15, 2022, as well as </w:t>
      </w:r>
      <w:hyperlink r:id="rId24">
        <w:r>
          <w:rPr>
            <w:rFonts w:ascii="Arial" w:cs="Arial" w:eastAsia="Arial" w:hAnsi="Arial"/>
            <w:sz w:val="16"/>
            <w:szCs w:val="16"/>
            <w:u w:val="single" w:color="auto"/>
            <w:color w:val="0000FF"/>
          </w:rPr>
          <w:t>Part I Item 1 “Business” of our Annual Report on Form 10-K for the year ended December 31, 2021</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and other relevant materials in connection with the proposed</w:t>
      </w:r>
      <w:r>
        <w:rPr>
          <w:rFonts w:ascii="Arial" w:cs="Arial" w:eastAsia="Arial" w:hAnsi="Arial"/>
          <w:sz w:val="16"/>
          <w:szCs w:val="16"/>
          <w:color w:val="0000FF"/>
        </w:rPr>
        <w:t xml:space="preserve"> </w:t>
      </w:r>
      <w:r>
        <w:rPr>
          <w:rFonts w:ascii="Arial" w:cs="Arial" w:eastAsia="Arial" w:hAnsi="Arial"/>
          <w:sz w:val="16"/>
          <w:szCs w:val="16"/>
          <w:color w:val="000000"/>
        </w:rPr>
        <w:t>transaction with Microsoft that we will file with the SEC and that will contain important information about the Company and the Merger.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Matters</w:t>
      </w:r>
    </w:p>
    <w:p>
      <w:pPr>
        <w:spacing w:after="0" w:line="243" w:lineRule="exact"/>
        <w:rPr>
          <w:sz w:val="20"/>
          <w:szCs w:val="20"/>
          <w:color w:val="auto"/>
        </w:rPr>
      </w:pPr>
    </w:p>
    <w:p>
      <w:pPr>
        <w:ind w:right="180" w:firstLine="387"/>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We are subject to legal proceedings regarding our workplace and are experiencing adverse effects related to these proceedings and to concerns raised about our workplace. For information about these matters, see </w:t>
      </w:r>
      <w:hyperlink w:anchor="page32">
        <w:r>
          <w:rPr>
            <w:rFonts w:ascii="Arial" w:cs="Arial" w:eastAsia="Arial" w:hAnsi="Arial"/>
            <w:sz w:val="16"/>
            <w:szCs w:val="16"/>
            <w:u w:val="single" w:color="auto"/>
            <w:color w:val="0000FF"/>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the notes to the condensed consolidated financial statements included in Item 1 of this Quarterly Report on Form 10-Q and </w:t>
      </w:r>
      <w:hyperlink r:id="rId16">
        <w:r>
          <w:rPr>
            <w:rFonts w:ascii="Arial" w:cs="Arial" w:eastAsia="Arial" w:hAnsi="Arial"/>
            <w:sz w:val="16"/>
            <w:szCs w:val="16"/>
            <w:u w:val="single" w:color="auto"/>
            <w:color w:val="0000FF"/>
          </w:rPr>
          <w:t>Part I, Item 1A “Risk Factors” of our Annual Report on Form 10-K for the year ended December 31, 2021</w:t>
        </w:r>
      </w:hyperlink>
      <w:r>
        <w:rPr>
          <w:rFonts w:ascii="Arial" w:cs="Arial" w:eastAsia="Arial" w:hAnsi="Arial"/>
          <w:sz w:val="16"/>
          <w:szCs w:val="16"/>
          <w:color w:val="auto"/>
        </w:rPr>
        <w:t>.</w:t>
      </w:r>
    </w:p>
    <w:p>
      <w:pPr>
        <w:spacing w:after="0" w:line="184" w:lineRule="exact"/>
        <w:rPr>
          <w:sz w:val="20"/>
          <w:szCs w:val="20"/>
          <w:color w:val="auto"/>
        </w:rPr>
      </w:pPr>
    </w:p>
    <w:p>
      <w:pPr>
        <w:jc w:val="both"/>
        <w:ind w:right="260" w:firstLine="387"/>
        <w:spacing w:after="0" w:line="266" w:lineRule="auto"/>
        <w:rPr>
          <w:sz w:val="20"/>
          <w:szCs w:val="20"/>
          <w:color w:val="auto"/>
        </w:rPr>
      </w:pPr>
      <w:r>
        <w:rPr>
          <w:rFonts w:ascii="Arial" w:cs="Arial" w:eastAsia="Arial" w:hAnsi="Arial"/>
          <w:sz w:val="17"/>
          <w:szCs w:val="17"/>
          <w:color w:val="auto"/>
        </w:rPr>
        <w:t>In May 2022, a group of quality assurance workers at our Raven Software studio in Wisconsin voted in favor of forming a union with the Communication Workers of America. In July 2022, a group of quality assurance workers for Blizzard in New York announced the formation of a union and have filed for union representation with the U.S. National Labor Relations Board.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internally-developed intellectual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43"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Activision Publishing, Inc. (“Activision”) delivers content through both premium and free-to-play offerings and primarily generates revenue from full-game and in-game sales, as well as by licensing software to third-party or related-party companies that distribute Activision products. Activision’s key product franchise is Call of Duty, a first-person action franchise. Activision also includes the activities of the Call of Duty League, a global professional esports league with city-based teams.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43" w:lineRule="exact"/>
        <w:rPr>
          <w:sz w:val="20"/>
          <w:szCs w:val="20"/>
          <w:color w:val="auto"/>
        </w:rPr>
      </w:pPr>
    </w:p>
    <w:p>
      <w:pPr>
        <w:ind w:right="20" w:firstLine="387"/>
        <w:spacing w:after="0" w:line="257" w:lineRule="auto"/>
        <w:rPr>
          <w:sz w:val="20"/>
          <w:szCs w:val="20"/>
          <w:color w:val="auto"/>
        </w:rPr>
      </w:pPr>
      <w:r>
        <w:rPr>
          <w:rFonts w:ascii="Arial" w:cs="Arial" w:eastAsia="Arial" w:hAnsi="Arial"/>
          <w:sz w:val="17"/>
          <w:szCs w:val="17"/>
          <w:color w:val="auto"/>
        </w:rPr>
        <w:t>Blizzard Entertainment, Inc. (“Blizzard”) delivers content through both premium and free-to-play offerings and primarily generates revenue from full-game and in-game sales, subscriptions, and by licensing software to third-party or related-party companies that distribute Blizzard products. Blizzard also maintains a proprietary online gaming platform, Battle.net, which facilitates digital distribution of Blizzard content and selected Activision content, online social connectivity, and the creation of user-generated content. Blizzard’s key product franchises include: Warcraft, which includes World of Warcraft, a subscription-based massive multi-player online role-playing game, and Hearthstone, an online collectible card game based in the Warcraft universe; Diablo, an action role-playing franchise; and Overwatch, a team-based first-person action franchise. Blizzard also includes the activities of the Overwatch League, a global professional esports league with city-based teams.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43" w:lineRule="exact"/>
        <w:rPr>
          <w:sz w:val="20"/>
          <w:szCs w:val="20"/>
          <w:color w:val="auto"/>
        </w:rPr>
      </w:pPr>
    </w:p>
    <w:p>
      <w:pPr>
        <w:ind w:right="560" w:firstLine="387"/>
        <w:spacing w:after="0" w:line="279" w:lineRule="auto"/>
        <w:rPr>
          <w:sz w:val="20"/>
          <w:szCs w:val="20"/>
          <w:color w:val="auto"/>
        </w:rPr>
      </w:pPr>
      <w:r>
        <w:rPr>
          <w:rFonts w:ascii="Arial" w:cs="Arial" w:eastAsia="Arial" w:hAnsi="Arial"/>
          <w:sz w:val="17"/>
          <w:szCs w:val="17"/>
          <w:color w:val="auto"/>
        </w:rPr>
        <w:t>King Digital Entertainment (“King”) delivers content through free-to-play offerings and primarily generates revenue from in-game sales and in-game advertising on mobile platforms. King’s key product franchise is Candy Crush™, a “match three”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43"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We also engage in other businesses that do not represent reportable segments, including our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Results and Highlights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months ended June 30, 2022:</w:t>
      </w:r>
    </w:p>
    <w:p>
      <w:pPr>
        <w:spacing w:after="0" w:line="243" w:lineRule="exact"/>
        <w:rPr>
          <w:sz w:val="20"/>
          <w:szCs w:val="20"/>
          <w:color w:val="auto"/>
        </w:rPr>
      </w:pPr>
    </w:p>
    <w:p>
      <w:pPr>
        <w:ind w:left="940" w:right="680" w:hanging="318"/>
        <w:spacing w:after="0" w:line="279" w:lineRule="auto"/>
        <w:tabs>
          <w:tab w:leader="none" w:pos="9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net revenues decreased 28% to $1.6 billion and consolidated operating income decreased 65% to $338 million, as compared to consolidated net revenues of $2.3 billion and consolidated operating income of $959 million in 2021; and</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diluted earnings per common share decreased 68% to $0.36, as compared to $1.12 in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six months ended June 30, 2022:</w:t>
      </w:r>
    </w:p>
    <w:p>
      <w:pPr>
        <w:spacing w:after="0" w:line="243" w:lineRule="exact"/>
        <w:rPr>
          <w:sz w:val="20"/>
          <w:szCs w:val="20"/>
          <w:color w:val="auto"/>
        </w:rPr>
      </w:pPr>
    </w:p>
    <w:p>
      <w:pPr>
        <w:ind w:left="940" w:right="680" w:hanging="318"/>
        <w:spacing w:after="0" w:line="279" w:lineRule="auto"/>
        <w:tabs>
          <w:tab w:leader="none" w:pos="9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consolidated net revenues decreased 25% to $3.4 billion and consolidated operating income decreased 53% to $817 million, as compared to consolidated net revenues of $4.6 billion and consolidated operating income of $1.8 billion in 2021;</w:t>
      </w:r>
    </w:p>
    <w:p>
      <w:pPr>
        <w:spacing w:after="0" w:line="190"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diluted earnings per common share decreased 55% to $0.86, as compared to $1.91 in 2021;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cash flows from operating activities were approximately $840 million, a decrease of 32%, as compared to $1.2 billion in 2021.</w:t>
      </w:r>
    </w:p>
    <w:p>
      <w:pPr>
        <w:spacing w:after="0" w:line="243" w:lineRule="exact"/>
        <w:rPr>
          <w:sz w:val="20"/>
          <w:szCs w:val="20"/>
          <w:color w:val="auto"/>
        </w:rPr>
      </w:pPr>
    </w:p>
    <w:p>
      <w:pPr>
        <w:ind w:right="160" w:firstLine="387"/>
        <w:spacing w:after="0" w:line="302" w:lineRule="auto"/>
        <w:rPr>
          <w:sz w:val="20"/>
          <w:szCs w:val="20"/>
          <w:color w:val="auto"/>
        </w:rPr>
      </w:pPr>
      <w:r>
        <w:rPr>
          <w:rFonts w:ascii="Arial" w:cs="Arial" w:eastAsia="Arial" w:hAnsi="Arial"/>
          <w:sz w:val="15"/>
          <w:szCs w:val="15"/>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three months ended June 30, 2022, include a net effect of $7 million and $1 million, respectively, from the recognition of deferred net revenues and related cost of revenues. Net revenues and operating income for the six months ended June 30, 2022, include a net effect of $293 million and $236 million, respectively, from the recognition of deferred net revenues and related cost of revenues.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The percentages of our consolidated net revenues from revenue sources that are recognized at a “point-in-time” and from sources that are recognized “over-time and other”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20" w:type="dxa"/>
            <w:vAlign w:val="bottom"/>
          </w:tcPr>
          <w:p>
            <w:pPr>
              <w:spacing w:after="0"/>
              <w:rPr>
                <w:sz w:val="19"/>
                <w:szCs w:val="19"/>
                <w:color w:val="auto"/>
              </w:rPr>
            </w:pPr>
          </w:p>
        </w:tc>
        <w:tc>
          <w:tcPr>
            <w:tcW w:w="358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rPr>
              <w:t>For the Three Months Ended June 30,</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10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7"/>
                <w:szCs w:val="17"/>
                <w:b w:val="1"/>
                <w:bCs w:val="1"/>
                <w:color w:val="auto"/>
              </w:rPr>
              <w:t>For the Six Months Ended June 30,</w:t>
            </w:r>
          </w:p>
        </w:tc>
      </w:tr>
      <w:tr>
        <w:trPr>
          <w:trHeight w:val="213"/>
        </w:trPr>
        <w:tc>
          <w:tcPr>
            <w:tcW w:w="29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2021</w:t>
            </w:r>
          </w:p>
        </w:tc>
      </w:tr>
      <w:tr>
        <w:trPr>
          <w:trHeight w:val="212"/>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Point-in-time (1)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18"/>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Over-time and other (2)</w:t>
            </w:r>
          </w:p>
        </w:tc>
        <w:tc>
          <w:tcPr>
            <w:tcW w:w="600" w:type="dxa"/>
            <w:vAlign w:val="bottom"/>
          </w:tcPr>
          <w:p>
            <w:pPr>
              <w:jc w:val="right"/>
              <w:spacing w:after="0"/>
              <w:rPr>
                <w:sz w:val="20"/>
                <w:szCs w:val="20"/>
                <w:color w:val="auto"/>
              </w:rPr>
            </w:pPr>
            <w:r>
              <w:rPr>
                <w:rFonts w:ascii="Arial" w:cs="Arial" w:eastAsia="Arial" w:hAnsi="Arial"/>
                <w:sz w:val="17"/>
                <w:szCs w:val="17"/>
                <w:color w:val="auto"/>
              </w:rPr>
              <w:t>92 %</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91 %</w:t>
            </w:r>
          </w:p>
        </w:tc>
        <w:tc>
          <w:tcPr>
            <w:tcW w:w="1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91 %</w:t>
            </w: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90 %</w:t>
            </w:r>
          </w:p>
        </w:tc>
      </w:tr>
    </w:tbl>
    <w:p>
      <w:pPr>
        <w:spacing w:after="0" w:line="311" w:lineRule="exact"/>
        <w:rPr>
          <w:sz w:val="20"/>
          <w:szCs w:val="20"/>
          <w:color w:val="auto"/>
        </w:rPr>
      </w:pPr>
    </w:p>
    <w:p>
      <w:pPr>
        <w:ind w:left="320" w:right="240" w:hanging="317"/>
        <w:spacing w:after="0" w:line="279"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Revenues recognized at a “point-in-time” are primarily comprised of the portion of revenues from software products that are recognized when the customer takes control of the product (i.e., upon delivery of the software product) and revenues from our Distribution business.</w:t>
      </w:r>
    </w:p>
    <w:p>
      <w:pPr>
        <w:spacing w:after="0" w:line="190" w:lineRule="exact"/>
        <w:rPr>
          <w:rFonts w:ascii="Arial" w:cs="Arial" w:eastAsia="Arial" w:hAnsi="Arial"/>
          <w:sz w:val="17"/>
          <w:szCs w:val="17"/>
          <w:color w:val="auto"/>
        </w:rPr>
      </w:pPr>
    </w:p>
    <w:p>
      <w:pPr>
        <w:ind w:left="320" w:right="460" w:hanging="317"/>
        <w:spacing w:after="0" w:line="279"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Revenues recognized “over-time and other revenue” are primarily comprised of revenues associated with the online functionality of our games, in-game purchases, and subscriptions.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Title Release Dates</w:t>
      </w:r>
    </w:p>
    <w:p>
      <w:pPr>
        <w:spacing w:after="0" w:line="230" w:lineRule="exact"/>
        <w:rPr>
          <w:sz w:val="20"/>
          <w:szCs w:val="20"/>
          <w:color w:val="auto"/>
        </w:rPr>
      </w:pPr>
    </w:p>
    <w:p>
      <w:pPr>
        <w:ind w:right="300" w:firstLine="387"/>
        <w:spacing w:after="0" w:line="248" w:lineRule="auto"/>
        <w:rPr>
          <w:sz w:val="20"/>
          <w:szCs w:val="20"/>
          <w:color w:val="auto"/>
        </w:rPr>
      </w:pPr>
      <w:r>
        <w:rPr>
          <w:rFonts w:ascii="Arial" w:cs="Arial" w:eastAsia="Arial" w:hAnsi="Arial"/>
          <w:sz w:val="17"/>
          <w:szCs w:val="17"/>
          <w:color w:val="auto"/>
        </w:rPr>
        <w:t>Below is a summary of release dates for titles that are discussed throughout our analysis for our operating metrics, our consolidated results, and operating segment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Title</w:t>
            </w:r>
          </w:p>
        </w:tc>
        <w:tc>
          <w:tcPr>
            <w:tcW w:w="140" w:type="dxa"/>
            <w:vAlign w:val="bottom"/>
            <w:tcBorders>
              <w:bottom w:val="single" w:sz="8" w:color="CCEEFF"/>
            </w:tcBorders>
          </w:tcPr>
          <w:p>
            <w:pPr>
              <w:spacing w:after="0"/>
              <w:rPr>
                <w:sz w:val="19"/>
                <w:szCs w:val="19"/>
                <w:color w:val="auto"/>
              </w:rPr>
            </w:pPr>
          </w:p>
        </w:tc>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Release Date</w:t>
            </w:r>
          </w:p>
        </w:tc>
      </w:tr>
      <w:tr>
        <w:trPr>
          <w:trHeight w:val="166"/>
        </w:trPr>
        <w:tc>
          <w:tcPr>
            <w:tcW w:w="39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i w:val="1"/>
                <w:iCs w:val="1"/>
                <w:color w:val="auto"/>
              </w:rPr>
              <w:t>Call of Duty: Vanguard</w:t>
            </w:r>
          </w:p>
        </w:tc>
        <w:tc>
          <w:tcPr>
            <w:tcW w:w="7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w w:val="95"/>
              </w:rPr>
              <w:t xml:space="preserve">November 2021, and when referred to herein, is inclusive of </w:t>
            </w:r>
            <w:r>
              <w:rPr>
                <w:rFonts w:ascii="Arial" w:cs="Arial" w:eastAsia="Arial" w:hAnsi="Arial"/>
                <w:sz w:val="15"/>
                <w:szCs w:val="15"/>
                <w:i w:val="1"/>
                <w:iCs w:val="1"/>
                <w:color w:val="auto"/>
                <w:w w:val="95"/>
              </w:rPr>
              <w:t>Call of Duty: Warzone</w:t>
            </w:r>
            <w:r>
              <w:rPr>
                <w:rFonts w:ascii="Arial" w:cs="Arial" w:eastAsia="Arial" w:hAnsi="Arial"/>
                <w:sz w:val="15"/>
                <w:szCs w:val="15"/>
                <w:color w:val="auto"/>
                <w:w w:val="95"/>
              </w:rPr>
              <w:t xml:space="preserve"> from the release of </w:t>
            </w:r>
            <w:r>
              <w:rPr>
                <w:rFonts w:ascii="Arial" w:cs="Arial" w:eastAsia="Arial" w:hAnsi="Arial"/>
                <w:sz w:val="15"/>
                <w:szCs w:val="15"/>
                <w:i w:val="1"/>
                <w:iCs w:val="1"/>
                <w:color w:val="auto"/>
                <w:w w:val="95"/>
              </w:rPr>
              <w:t>Call of Duty:</w:t>
            </w:r>
          </w:p>
        </w:tc>
      </w:tr>
      <w:tr>
        <w:trPr>
          <w:trHeight w:val="214"/>
        </w:trPr>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xml:space="preserve">Vanguard </w:t>
            </w:r>
            <w:r>
              <w:rPr>
                <w:rFonts w:ascii="Arial" w:cs="Arial" w:eastAsia="Arial" w:hAnsi="Arial"/>
                <w:sz w:val="15"/>
                <w:szCs w:val="15"/>
                <w:color w:val="auto"/>
              </w:rPr>
              <w:t>Season 1 content and</w:t>
            </w:r>
            <w:r>
              <w:rPr>
                <w:rFonts w:ascii="Arial" w:cs="Arial" w:eastAsia="Arial" w:hAnsi="Arial"/>
                <w:sz w:val="15"/>
                <w:szCs w:val="15"/>
                <w:i w:val="1"/>
                <w:iCs w:val="1"/>
                <w:color w:val="auto"/>
              </w:rPr>
              <w:t xml:space="preserve"> Call of Duty: Warzone Pacific </w:t>
            </w:r>
            <w:r>
              <w:rPr>
                <w:rFonts w:ascii="Arial" w:cs="Arial" w:eastAsia="Arial" w:hAnsi="Arial"/>
                <w:sz w:val="15"/>
                <w:szCs w:val="15"/>
                <w:color w:val="auto"/>
              </w:rPr>
              <w:t>on December 8, 2021</w:t>
            </w:r>
          </w:p>
        </w:tc>
      </w:tr>
      <w:tr>
        <w:trPr>
          <w:trHeight w:val="172"/>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Call of Duty: Black Ops Cold War</w:t>
            </w:r>
          </w:p>
        </w:tc>
        <w:tc>
          <w:tcPr>
            <w:tcW w:w="7340" w:type="dxa"/>
            <w:vAlign w:val="bottom"/>
          </w:tcPr>
          <w:p>
            <w:pPr>
              <w:ind w:left="20"/>
              <w:spacing w:after="0"/>
              <w:rPr>
                <w:sz w:val="20"/>
                <w:szCs w:val="20"/>
                <w:color w:val="auto"/>
              </w:rPr>
            </w:pPr>
            <w:r>
              <w:rPr>
                <w:rFonts w:ascii="Arial" w:cs="Arial" w:eastAsia="Arial" w:hAnsi="Arial"/>
                <w:sz w:val="15"/>
                <w:szCs w:val="15"/>
                <w:color w:val="auto"/>
                <w:w w:val="95"/>
              </w:rPr>
              <w:t xml:space="preserve">November 2020, and when referred to herein, is inclusive of </w:t>
            </w:r>
            <w:r>
              <w:rPr>
                <w:rFonts w:ascii="Arial" w:cs="Arial" w:eastAsia="Arial" w:hAnsi="Arial"/>
                <w:sz w:val="15"/>
                <w:szCs w:val="15"/>
                <w:i w:val="1"/>
                <w:iCs w:val="1"/>
                <w:color w:val="auto"/>
                <w:w w:val="95"/>
              </w:rPr>
              <w:t>Call of Duty: Warzone</w:t>
            </w:r>
            <w:r>
              <w:rPr>
                <w:rFonts w:ascii="Arial" w:cs="Arial" w:eastAsia="Arial" w:hAnsi="Arial"/>
                <w:sz w:val="15"/>
                <w:szCs w:val="15"/>
                <w:color w:val="auto"/>
                <w:w w:val="95"/>
              </w:rPr>
              <w:t xml:space="preserve"> from the release of </w:t>
            </w:r>
            <w:r>
              <w:rPr>
                <w:rFonts w:ascii="Arial" w:cs="Arial" w:eastAsia="Arial" w:hAnsi="Arial"/>
                <w:sz w:val="15"/>
                <w:szCs w:val="15"/>
                <w:i w:val="1"/>
                <w:iCs w:val="1"/>
                <w:color w:val="auto"/>
                <w:w w:val="95"/>
              </w:rPr>
              <w:t>Call of Duty:</w:t>
            </w:r>
          </w:p>
        </w:tc>
      </w:tr>
      <w:tr>
        <w:trPr>
          <w:trHeight w:val="205"/>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40" w:type="dxa"/>
            <w:vAlign w:val="bottom"/>
          </w:tcPr>
          <w:p>
            <w:pPr>
              <w:ind w:left="20"/>
              <w:spacing w:after="0"/>
              <w:rPr>
                <w:sz w:val="20"/>
                <w:szCs w:val="20"/>
                <w:color w:val="auto"/>
              </w:rPr>
            </w:pPr>
            <w:r>
              <w:rPr>
                <w:rFonts w:ascii="Arial" w:cs="Arial" w:eastAsia="Arial" w:hAnsi="Arial"/>
                <w:sz w:val="15"/>
                <w:szCs w:val="15"/>
                <w:i w:val="1"/>
                <w:iCs w:val="1"/>
                <w:color w:val="auto"/>
              </w:rPr>
              <w:t xml:space="preserve">Black Ops Cold War </w:t>
            </w:r>
            <w:r>
              <w:rPr>
                <w:rFonts w:ascii="Arial" w:cs="Arial" w:eastAsia="Arial" w:hAnsi="Arial"/>
                <w:sz w:val="15"/>
                <w:szCs w:val="15"/>
                <w:color w:val="auto"/>
              </w:rPr>
              <w:t>Season 1 content on December 16, 2020 through December 8, 2021</w:t>
            </w:r>
          </w:p>
        </w:tc>
      </w:tr>
      <w:tr>
        <w:trPr>
          <w:trHeight w:val="169"/>
        </w:trPr>
        <w:tc>
          <w:tcPr>
            <w:tcW w:w="39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5"/>
                <w:szCs w:val="15"/>
                <w:i w:val="1"/>
                <w:iCs w:val="1"/>
                <w:color w:val="auto"/>
              </w:rPr>
              <w:t>Call of Duty: Modern Warfare</w:t>
            </w:r>
          </w:p>
        </w:tc>
        <w:tc>
          <w:tcPr>
            <w:tcW w:w="734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w w:val="99"/>
              </w:rPr>
              <w:t xml:space="preserve">October 2019, and when referred to herein, is inclusive of </w:t>
            </w:r>
            <w:r>
              <w:rPr>
                <w:rFonts w:ascii="Arial" w:cs="Arial" w:eastAsia="Arial" w:hAnsi="Arial"/>
                <w:sz w:val="15"/>
                <w:szCs w:val="15"/>
                <w:i w:val="1"/>
                <w:iCs w:val="1"/>
                <w:color w:val="auto"/>
                <w:w w:val="99"/>
              </w:rPr>
              <w:t>Call of Duty: Warzone</w:t>
            </w:r>
            <w:r>
              <w:rPr>
                <w:rFonts w:ascii="Arial" w:cs="Arial" w:eastAsia="Arial" w:hAnsi="Arial"/>
                <w:sz w:val="15"/>
                <w:szCs w:val="15"/>
                <w:color w:val="auto"/>
                <w:w w:val="99"/>
              </w:rPr>
              <w:t xml:space="preserve"> from its release in March 2020</w:t>
            </w:r>
          </w:p>
        </w:tc>
      </w:tr>
      <w:tr>
        <w:trPr>
          <w:trHeight w:val="201"/>
        </w:trPr>
        <w:tc>
          <w:tcPr>
            <w:tcW w:w="3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through December 16, 2020</w:t>
            </w:r>
          </w:p>
        </w:tc>
      </w:tr>
      <w:tr>
        <w:trPr>
          <w:trHeight w:val="210"/>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Diablo Immortal</w:t>
            </w:r>
          </w:p>
        </w:tc>
        <w:tc>
          <w:tcPr>
            <w:tcW w:w="7340" w:type="dxa"/>
            <w:vAlign w:val="bottom"/>
          </w:tcPr>
          <w:p>
            <w:pPr>
              <w:ind w:left="20"/>
              <w:spacing w:after="0"/>
              <w:rPr>
                <w:sz w:val="20"/>
                <w:szCs w:val="20"/>
                <w:color w:val="auto"/>
              </w:rPr>
            </w:pPr>
            <w:r>
              <w:rPr>
                <w:rFonts w:ascii="Arial" w:cs="Arial" w:eastAsia="Arial" w:hAnsi="Arial"/>
                <w:sz w:val="15"/>
                <w:szCs w:val="15"/>
                <w:color w:val="auto"/>
              </w:rPr>
              <w:t>June 2022</w:t>
            </w:r>
          </w:p>
        </w:tc>
      </w:tr>
      <w:tr>
        <w:trPr>
          <w:trHeight w:val="228"/>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5"/>
                <w:szCs w:val="15"/>
                <w:i w:val="1"/>
                <w:iCs w:val="1"/>
                <w:color w:val="auto"/>
              </w:rPr>
              <w:t>World of Warcraft: Burning Crusade Classic</w:t>
            </w: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2021</w:t>
            </w:r>
          </w:p>
        </w:tc>
      </w:tr>
      <w:tr>
        <w:trPr>
          <w:trHeight w:val="210"/>
        </w:trPr>
        <w:tc>
          <w:tcPr>
            <w:tcW w:w="3900" w:type="dxa"/>
            <w:vAlign w:val="bottom"/>
            <w:gridSpan w:val="2"/>
          </w:tcPr>
          <w:p>
            <w:pPr>
              <w:ind w:left="20"/>
              <w:spacing w:after="0"/>
              <w:rPr>
                <w:sz w:val="20"/>
                <w:szCs w:val="20"/>
                <w:color w:val="auto"/>
              </w:rPr>
            </w:pPr>
            <w:r>
              <w:rPr>
                <w:rFonts w:ascii="Arial" w:cs="Arial" w:eastAsia="Arial" w:hAnsi="Arial"/>
                <w:sz w:val="15"/>
                <w:szCs w:val="15"/>
                <w:i w:val="1"/>
                <w:iCs w:val="1"/>
                <w:color w:val="auto"/>
              </w:rPr>
              <w:t>World of Warcraft: Shadowlands</w:t>
            </w:r>
          </w:p>
        </w:tc>
        <w:tc>
          <w:tcPr>
            <w:tcW w:w="7340" w:type="dxa"/>
            <w:vAlign w:val="bottom"/>
          </w:tcPr>
          <w:p>
            <w:pPr>
              <w:ind w:left="20"/>
              <w:spacing w:after="0"/>
              <w:rPr>
                <w:sz w:val="20"/>
                <w:szCs w:val="20"/>
                <w:color w:val="auto"/>
              </w:rPr>
            </w:pPr>
            <w:r>
              <w:rPr>
                <w:rFonts w:ascii="Arial" w:cs="Arial" w:eastAsia="Arial" w:hAnsi="Arial"/>
                <w:sz w:val="15"/>
                <w:szCs w:val="15"/>
                <w:color w:val="auto"/>
              </w:rPr>
              <w:t>November 2020</w:t>
            </w:r>
          </w:p>
        </w:tc>
      </w:tr>
      <w:tr>
        <w:trPr>
          <w:trHeight w:val="228"/>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5"/>
                <w:szCs w:val="15"/>
                <w:i w:val="1"/>
                <w:iCs w:val="1"/>
                <w:color w:val="auto"/>
              </w:rPr>
              <w:t>Crash Bandicoot: On the Run!</w:t>
            </w:r>
          </w:p>
        </w:tc>
        <w:tc>
          <w:tcPr>
            <w:tcW w:w="7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2021</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Metrics</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following operating metrics are key performance indicators that we use to evaluate our business. The key drivers of changes in our operating metrics are presented in the order of significance.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 and in-game net bookings</w:t>
      </w:r>
    </w:p>
    <w:p>
      <w:pPr>
        <w:spacing w:after="0" w:line="243" w:lineRule="exact"/>
        <w:rPr>
          <w:sz w:val="20"/>
          <w:szCs w:val="20"/>
          <w:color w:val="auto"/>
        </w:rPr>
      </w:pPr>
    </w:p>
    <w:p>
      <w:pPr>
        <w:ind w:right="20" w:firstLine="387"/>
        <w:spacing w:after="0" w:line="279" w:lineRule="auto"/>
        <w:rPr>
          <w:sz w:val="20"/>
          <w:szCs w:val="20"/>
          <w:color w:val="auto"/>
        </w:rPr>
      </w:pPr>
      <w:r>
        <w:rPr>
          <w:rFonts w:ascii="Arial" w:cs="Arial" w:eastAsia="Arial" w:hAnsi="Arial"/>
          <w:sz w:val="16"/>
          <w:szCs w:val="16"/>
          <w:color w:val="auto"/>
        </w:rPr>
        <w:t>We monitor net bookings and in-game net bookings as key operating metrics in evaluating the performance of our business because they enable an analysis of performance based on the timing of actual transactions with our customers and provide a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microtransactions and downloadable content sold during the period and is equal to in-game net revenues excluding the impact from deferrals.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bookings and in-game net bookings were as follows (amounts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80" w:type="dxa"/>
            <w:vAlign w:val="bottom"/>
            <w:gridSpan w:val="8"/>
          </w:tcPr>
          <w:p>
            <w:pPr>
              <w:ind w:left="520"/>
              <w:spacing w:after="0"/>
              <w:rPr>
                <w:sz w:val="20"/>
                <w:szCs w:val="20"/>
                <w:color w:val="auto"/>
              </w:rPr>
            </w:pPr>
            <w:r>
              <w:rPr>
                <w:rFonts w:ascii="Arial" w:cs="Arial" w:eastAsia="Arial" w:hAnsi="Arial"/>
                <w:sz w:val="17"/>
                <w:szCs w:val="17"/>
                <w:b w:val="1"/>
                <w:bCs w:val="1"/>
                <w:color w:val="auto"/>
              </w:rPr>
              <w:t>For the Three Months Ended June 30,</w:t>
            </w:r>
          </w:p>
        </w:tc>
        <w:tc>
          <w:tcPr>
            <w:tcW w:w="320" w:type="dxa"/>
            <w:vAlign w:val="bottom"/>
          </w:tcPr>
          <w:p>
            <w:pPr>
              <w:spacing w:after="0"/>
              <w:rPr>
                <w:sz w:val="19"/>
                <w:szCs w:val="19"/>
                <w:color w:val="auto"/>
              </w:rPr>
            </w:pPr>
          </w:p>
        </w:tc>
        <w:tc>
          <w:tcPr>
            <w:tcW w:w="4200" w:type="dxa"/>
            <w:vAlign w:val="bottom"/>
            <w:gridSpan w:val="7"/>
          </w:tcPr>
          <w:p>
            <w:pPr>
              <w:jc w:val="right"/>
              <w:ind w:right="874"/>
              <w:spacing w:after="0"/>
              <w:rPr>
                <w:sz w:val="20"/>
                <w:szCs w:val="20"/>
                <w:color w:val="auto"/>
              </w:rPr>
            </w:pPr>
            <w:r>
              <w:rPr>
                <w:rFonts w:ascii="Arial" w:cs="Arial" w:eastAsia="Arial" w:hAnsi="Arial"/>
                <w:sz w:val="17"/>
                <w:szCs w:val="17"/>
                <w:b w:val="1"/>
                <w:bCs w:val="1"/>
                <w:color w:val="auto"/>
              </w:rPr>
              <w:t>For the Six Months Ended June 30,</w:t>
            </w: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134"/>
              <w:spacing w:after="0" w:line="162" w:lineRule="exact"/>
              <w:rPr>
                <w:sz w:val="20"/>
                <w:szCs w:val="20"/>
                <w:color w:val="auto"/>
              </w:rPr>
            </w:pPr>
            <w:r>
              <w:rPr>
                <w:rFonts w:ascii="Arial" w:cs="Arial" w:eastAsia="Arial" w:hAnsi="Arial"/>
                <w:sz w:val="17"/>
                <w:szCs w:val="17"/>
                <w:b w:val="1"/>
                <w:bCs w:val="1"/>
                <w:color w:val="auto"/>
                <w:w w:val="86"/>
              </w:rPr>
              <w:t>Increase</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4"/>
              <w:spacing w:after="0" w:line="162" w:lineRule="exact"/>
              <w:rPr>
                <w:sz w:val="20"/>
                <w:szCs w:val="20"/>
                <w:color w:val="auto"/>
              </w:rPr>
            </w:pPr>
            <w:r>
              <w:rPr>
                <w:rFonts w:ascii="Arial" w:cs="Arial" w:eastAsia="Arial" w:hAnsi="Arial"/>
                <w:sz w:val="17"/>
                <w:szCs w:val="17"/>
                <w:b w:val="1"/>
                <w:bCs w:val="1"/>
                <w:color w:val="auto"/>
              </w:rPr>
              <w:t>Increase</w:t>
            </w: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(Decrease)</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54"/>
              <w:spacing w:after="0"/>
              <w:rPr>
                <w:sz w:val="20"/>
                <w:szCs w:val="20"/>
                <w:color w:val="auto"/>
              </w:rPr>
            </w:pPr>
            <w:r>
              <w:rPr>
                <w:rFonts w:ascii="Arial" w:cs="Arial" w:eastAsia="Arial" w:hAnsi="Arial"/>
                <w:sz w:val="17"/>
                <w:szCs w:val="17"/>
                <w:b w:val="1"/>
                <w:bCs w:val="1"/>
                <w:color w:val="auto"/>
                <w:w w:val="98"/>
              </w:rPr>
              <w:t>(Decrease)</w:t>
            </w:r>
          </w:p>
        </w:tc>
        <w:tc>
          <w:tcPr>
            <w:tcW w:w="0" w:type="dxa"/>
            <w:vAlign w:val="bottom"/>
          </w:tcPr>
          <w:p>
            <w:pPr>
              <w:spacing w:after="0"/>
              <w:rPr>
                <w:sz w:val="1"/>
                <w:szCs w:val="1"/>
                <w:color w:val="auto"/>
              </w:rPr>
            </w:pPr>
          </w:p>
        </w:tc>
      </w:tr>
      <w:tr>
        <w:trPr>
          <w:trHeight w:val="212"/>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bookings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18"/>
        </w:trPr>
        <w:tc>
          <w:tcPr>
            <w:tcW w:w="2100" w:type="dxa"/>
            <w:vAlign w:val="bottom"/>
          </w:tcPr>
          <w:p>
            <w:pPr>
              <w:ind w:left="20"/>
              <w:spacing w:after="0"/>
              <w:rPr>
                <w:sz w:val="20"/>
                <w:szCs w:val="20"/>
                <w:color w:val="auto"/>
              </w:rPr>
            </w:pPr>
            <w:r>
              <w:rPr>
                <w:rFonts w:ascii="Arial" w:cs="Arial" w:eastAsia="Arial" w:hAnsi="Arial"/>
                <w:sz w:val="17"/>
                <w:szCs w:val="17"/>
                <w:color w:val="auto"/>
              </w:rPr>
              <w:t>In-game net bookings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1,197</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2,208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2,661</w:t>
            </w: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825"/>
        </w:trPr>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4"/>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bookings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decrease in net bookings for the three months ended June 30, 2022, as compared to the three months ended June 30, 2021, was primarily due to:</w:t>
      </w:r>
    </w:p>
    <w:p>
      <w:pPr>
        <w:spacing w:after="0" w:line="254" w:lineRule="exact"/>
        <w:rPr>
          <w:sz w:val="20"/>
          <w:szCs w:val="20"/>
          <w:color w:val="auto"/>
        </w:rPr>
      </w:pPr>
    </w:p>
    <w:p>
      <w:pPr>
        <w:ind w:left="920" w:hanging="298"/>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 $299 million decrease in Activision net bookings, driven by lower net bookings from (1) </w:t>
      </w:r>
      <w:r>
        <w:rPr>
          <w:rFonts w:ascii="Arial" w:cs="Arial" w:eastAsia="Arial" w:hAnsi="Arial"/>
          <w:sz w:val="16"/>
          <w:szCs w:val="16"/>
          <w:i w:val="1"/>
          <w:iCs w:val="1"/>
          <w:color w:val="auto"/>
        </w:rPr>
        <w:t>Call of Duty: Vanguard</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w:t>
      </w:r>
    </w:p>
    <w:p>
      <w:pPr>
        <w:spacing w:after="0" w:line="3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i w:val="1"/>
          <w:iCs w:val="1"/>
          <w:color w:val="auto"/>
        </w:rPr>
        <w:t>Black Ops Cold War</w:t>
      </w:r>
      <w:r>
        <w:rPr>
          <w:rFonts w:ascii="Arial" w:cs="Arial" w:eastAsia="Arial" w:hAnsi="Arial"/>
          <w:sz w:val="17"/>
          <w:szCs w:val="17"/>
          <w:color w:val="auto"/>
        </w:rPr>
        <w:t>, and (2)</w:t>
      </w:r>
      <w:r>
        <w:rPr>
          <w:rFonts w:ascii="Arial" w:cs="Arial" w:eastAsia="Arial" w:hAnsi="Arial"/>
          <w:sz w:val="17"/>
          <w:szCs w:val="17"/>
          <w:i w:val="1"/>
          <w:iCs w:val="1"/>
          <w:color w:val="auto"/>
        </w:rPr>
        <w:t xml:space="preserve"> 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and</w:t>
      </w:r>
    </w:p>
    <w:p>
      <w:pPr>
        <w:spacing w:after="0" w:line="232" w:lineRule="exact"/>
        <w:rPr>
          <w:rFonts w:ascii="Arial" w:cs="Arial" w:eastAsia="Arial" w:hAnsi="Arial"/>
          <w:sz w:val="16"/>
          <w:szCs w:val="16"/>
          <w:color w:val="auto"/>
        </w:rPr>
      </w:pPr>
    </w:p>
    <w:p>
      <w:pPr>
        <w:ind w:left="940" w:right="200" w:hanging="318"/>
        <w:spacing w:after="0" w:line="279" w:lineRule="auto"/>
        <w:tabs>
          <w:tab w:leader="none" w:pos="9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 $32 million decrease in Blizzard net bookings, driven by lower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partially offset by higher net bookings from </w:t>
      </w:r>
      <w:r>
        <w:rPr>
          <w:rFonts w:ascii="Arial" w:cs="Arial" w:eastAsia="Arial" w:hAnsi="Arial"/>
          <w:sz w:val="17"/>
          <w:szCs w:val="17"/>
          <w:i w:val="1"/>
          <w:iCs w:val="1"/>
          <w:color w:val="auto"/>
        </w:rPr>
        <w:t xml:space="preserve">Diablo Immortal, </w:t>
      </w:r>
      <w:r>
        <w:rPr>
          <w:rFonts w:ascii="Arial" w:cs="Arial" w:eastAsia="Arial" w:hAnsi="Arial"/>
          <w:sz w:val="17"/>
          <w:szCs w:val="17"/>
          <w:color w:val="auto"/>
        </w:rPr>
        <w:t>a new free-to-play title released on mobile and PC.</w:t>
      </w:r>
    </w:p>
    <w:p>
      <w:pPr>
        <w:spacing w:after="0" w:line="190" w:lineRule="exact"/>
        <w:rPr>
          <w:sz w:val="20"/>
          <w:szCs w:val="20"/>
          <w:color w:val="auto"/>
        </w:rPr>
      </w:pPr>
    </w:p>
    <w:p>
      <w:pPr>
        <w:ind w:right="620" w:firstLine="387"/>
        <w:spacing w:after="0" w:line="279" w:lineRule="auto"/>
        <w:rPr>
          <w:sz w:val="20"/>
          <w:szCs w:val="20"/>
          <w:color w:val="auto"/>
        </w:rPr>
      </w:pPr>
      <w:r>
        <w:rPr>
          <w:rFonts w:ascii="Arial" w:cs="Arial" w:eastAsia="Arial" w:hAnsi="Arial"/>
          <w:sz w:val="17"/>
          <w:szCs w:val="17"/>
          <w:color w:val="auto"/>
        </w:rPr>
        <w:t>The decrease in net bookings was partially offset by a $49 million increase in King net bookings, driven by higher net bookings from in-game player purchases in the Candy Crush franchise.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bookings</w:t>
      </w:r>
    </w:p>
    <w:p>
      <w:pPr>
        <w:spacing w:after="0" w:line="243"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 xml:space="preserve">The decrease in in-game net bookings for the three months ended June 30, 2022, as compared to the three months ended June 30, 2021, was primarily due to a $206 million decrease in Activision in-game net bookings, driven by lower in-game net bookings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w:t>
      </w:r>
      <w:r>
        <w:rPr>
          <w:rFonts w:ascii="Arial" w:cs="Arial" w:eastAsia="Arial" w:hAnsi="Arial"/>
          <w:sz w:val="17"/>
          <w:szCs w:val="17"/>
          <w:i w:val="1"/>
          <w:iCs w:val="1"/>
          <w:color w:val="auto"/>
        </w:rPr>
        <w:t>Black Ops Cold War</w:t>
      </w:r>
      <w:r>
        <w:rPr>
          <w:rFonts w:ascii="Arial" w:cs="Arial" w:eastAsia="Arial" w:hAnsi="Arial"/>
          <w:sz w:val="17"/>
          <w:szCs w:val="17"/>
          <w:color w:val="auto"/>
        </w:rPr>
        <w:t>.</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in-game net bookings was partially offset by:</w:t>
      </w:r>
    </w:p>
    <w:p>
      <w:pPr>
        <w:spacing w:after="0" w:line="243" w:lineRule="exact"/>
        <w:rPr>
          <w:sz w:val="20"/>
          <w:szCs w:val="20"/>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$53 million increase in Blizzard in-game net bookings, driven by </w:t>
      </w:r>
      <w:r>
        <w:rPr>
          <w:rFonts w:ascii="Arial" w:cs="Arial" w:eastAsia="Arial" w:hAnsi="Arial"/>
          <w:sz w:val="17"/>
          <w:szCs w:val="17"/>
          <w:i w:val="1"/>
          <w:iCs w:val="1"/>
          <w:color w:val="auto"/>
        </w:rPr>
        <w:t>Diablo Immortal</w:t>
      </w:r>
      <w:r>
        <w:rPr>
          <w:rFonts w:ascii="Arial" w:cs="Arial" w:eastAsia="Arial" w:hAnsi="Arial"/>
          <w:sz w:val="17"/>
          <w:szCs w:val="17"/>
          <w:color w:val="auto"/>
        </w:rPr>
        <w:t>; and</w:t>
      </w:r>
    </w:p>
    <w:p>
      <w:pPr>
        <w:spacing w:after="0" w:line="242" w:lineRule="exact"/>
        <w:rPr>
          <w:rFonts w:ascii="Arial" w:cs="Arial" w:eastAsia="Arial" w:hAnsi="Arial"/>
          <w:sz w:val="17"/>
          <w:szCs w:val="17"/>
          <w:color w:val="auto"/>
        </w:rPr>
      </w:pPr>
    </w:p>
    <w:p>
      <w:pPr>
        <w:ind w:left="380" w:right="4040" w:firstLine="242"/>
        <w:spacing w:after="0" w:line="538" w:lineRule="auto"/>
        <w:tabs>
          <w:tab w:leader="none" w:pos="917"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$31 million increase in King in-game net bookings, driven by the Candy Crush franchise. </w:t>
      </w:r>
      <w:r>
        <w:rPr>
          <w:rFonts w:ascii="Arial" w:cs="Arial" w:eastAsia="Arial" w:hAnsi="Arial"/>
          <w:sz w:val="17"/>
          <w:szCs w:val="17"/>
          <w:u w:val="single" w:color="auto"/>
          <w:color w:val="auto"/>
        </w:rPr>
        <w:t>YTD Q2 2022 vs. YTD Q2 2021</w:t>
      </w:r>
    </w:p>
    <w:p>
      <w:pPr>
        <w:ind w:left="380"/>
        <w:spacing w:after="0"/>
        <w:rPr>
          <w:rFonts w:ascii="Arial" w:cs="Arial" w:eastAsia="Arial" w:hAnsi="Arial"/>
          <w:sz w:val="17"/>
          <w:szCs w:val="17"/>
          <w:color w:val="auto"/>
        </w:rPr>
      </w:pPr>
      <w:r>
        <w:rPr>
          <w:rFonts w:ascii="Arial" w:cs="Arial" w:eastAsia="Arial" w:hAnsi="Arial"/>
          <w:sz w:val="16"/>
          <w:szCs w:val="16"/>
          <w:color w:val="auto"/>
        </w:rPr>
        <w:t>The decrease in net bookings for the six months ended June 30, 2022, as compared to the six months ended June 30, 2021, was primarily due to:</w:t>
      </w:r>
    </w:p>
    <w:p>
      <w:pPr>
        <w:spacing w:after="0" w:line="254" w:lineRule="exact"/>
        <w:rPr>
          <w:rFonts w:ascii="Arial" w:cs="Arial" w:eastAsia="Arial" w:hAnsi="Arial"/>
          <w:sz w:val="17"/>
          <w:szCs w:val="17"/>
          <w:color w:val="auto"/>
        </w:rPr>
      </w:pPr>
    </w:p>
    <w:p>
      <w:pPr>
        <w:ind w:left="920" w:hanging="298"/>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 $737 million decrease in Activision net bookings, driven by lower net bookings from (1) </w:t>
      </w:r>
      <w:r>
        <w:rPr>
          <w:rFonts w:ascii="Arial" w:cs="Arial" w:eastAsia="Arial" w:hAnsi="Arial"/>
          <w:sz w:val="16"/>
          <w:szCs w:val="16"/>
          <w:i w:val="1"/>
          <w:iCs w:val="1"/>
          <w:color w:val="auto"/>
        </w:rPr>
        <w:t>Call of Duty: Vanguard</w:t>
      </w:r>
      <w:r>
        <w:rPr>
          <w:rFonts w:ascii="Arial" w:cs="Arial" w:eastAsia="Arial" w:hAnsi="Arial"/>
          <w:sz w:val="16"/>
          <w:szCs w:val="16"/>
          <w:color w:val="auto"/>
        </w:rPr>
        <w:t xml:space="preserve"> as compared to </w:t>
      </w:r>
      <w:r>
        <w:rPr>
          <w:rFonts w:ascii="Arial" w:cs="Arial" w:eastAsia="Arial" w:hAnsi="Arial"/>
          <w:sz w:val="16"/>
          <w:szCs w:val="16"/>
          <w:i w:val="1"/>
          <w:iCs w:val="1"/>
          <w:color w:val="auto"/>
        </w:rPr>
        <w:t>Call of Duty:</w:t>
      </w:r>
    </w:p>
    <w:p>
      <w:pPr>
        <w:spacing w:after="0" w:line="3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7"/>
          <w:szCs w:val="17"/>
          <w:i w:val="1"/>
          <w:iCs w:val="1"/>
          <w:color w:val="auto"/>
        </w:rPr>
        <w:t>Black Ops Cold War</w:t>
      </w:r>
      <w:r>
        <w:rPr>
          <w:rFonts w:ascii="Arial" w:cs="Arial" w:eastAsia="Arial" w:hAnsi="Arial"/>
          <w:sz w:val="17"/>
          <w:szCs w:val="17"/>
          <w:color w:val="auto"/>
        </w:rPr>
        <w:t>, and (2)</w:t>
      </w:r>
      <w:r>
        <w:rPr>
          <w:rFonts w:ascii="Arial" w:cs="Arial" w:eastAsia="Arial" w:hAnsi="Arial"/>
          <w:sz w:val="17"/>
          <w:szCs w:val="17"/>
          <w:i w:val="1"/>
          <w:iCs w:val="1"/>
          <w:color w:val="auto"/>
        </w:rPr>
        <w:t xml:space="preserve"> 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and</w:t>
      </w:r>
    </w:p>
    <w:p>
      <w:pPr>
        <w:spacing w:after="0" w:line="232" w:lineRule="exact"/>
        <w:rPr>
          <w:rFonts w:ascii="Arial" w:cs="Arial" w:eastAsia="Arial" w:hAnsi="Arial"/>
          <w:sz w:val="16"/>
          <w:szCs w:val="16"/>
          <w:color w:val="auto"/>
        </w:rPr>
      </w:pPr>
    </w:p>
    <w:p>
      <w:pPr>
        <w:ind w:left="920" w:hanging="298"/>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$241 million decrease in Blizzard net bookings, driven by lower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3" w:lineRule="exact"/>
        <w:rPr>
          <w:sz w:val="20"/>
          <w:szCs w:val="20"/>
          <w:color w:val="auto"/>
        </w:rPr>
      </w:pPr>
    </w:p>
    <w:p>
      <w:pPr>
        <w:ind w:right="540" w:firstLine="387"/>
        <w:spacing w:after="0" w:line="279" w:lineRule="auto"/>
        <w:rPr>
          <w:sz w:val="20"/>
          <w:szCs w:val="20"/>
          <w:color w:val="auto"/>
        </w:rPr>
      </w:pPr>
      <w:r>
        <w:rPr>
          <w:rFonts w:ascii="Arial" w:cs="Arial" w:eastAsia="Arial" w:hAnsi="Arial"/>
          <w:sz w:val="17"/>
          <w:szCs w:val="17"/>
          <w:color w:val="auto"/>
        </w:rPr>
        <w:t>The decrease in net bookings was partially offset by a $122 million increase in King net bookings, driven by higher net bookings from in-game player purchases in the Candy Crush franchise.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bookings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in-game net bookings for the six months ended June 30, 2022, as compared to the six months ended June 30, 2021, was primarily due to:</w:t>
      </w:r>
    </w:p>
    <w:p>
      <w:pPr>
        <w:spacing w:after="0" w:line="266" w:lineRule="exact"/>
        <w:rPr>
          <w:sz w:val="20"/>
          <w:szCs w:val="20"/>
          <w:color w:val="auto"/>
        </w:rPr>
      </w:pPr>
    </w:p>
    <w:p>
      <w:pPr>
        <w:ind w:left="920" w:hanging="298"/>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a $466 million decrease in Activision in-game net bookings, driven by lower in-game net bookings from </w:t>
      </w:r>
      <w:r>
        <w:rPr>
          <w:rFonts w:ascii="Arial" w:cs="Arial" w:eastAsia="Arial" w:hAnsi="Arial"/>
          <w:sz w:val="15"/>
          <w:szCs w:val="15"/>
          <w:i w:val="1"/>
          <w:iCs w:val="1"/>
          <w:color w:val="auto"/>
        </w:rPr>
        <w:t>Call of Duty: Vanguard</w:t>
      </w:r>
      <w:r>
        <w:rPr>
          <w:rFonts w:ascii="Arial" w:cs="Arial" w:eastAsia="Arial" w:hAnsi="Arial"/>
          <w:sz w:val="15"/>
          <w:szCs w:val="15"/>
          <w:color w:val="auto"/>
        </w:rPr>
        <w:t xml:space="preserve">, as compared to </w:t>
      </w:r>
      <w:r>
        <w:rPr>
          <w:rFonts w:ascii="Arial" w:cs="Arial" w:eastAsia="Arial" w:hAnsi="Arial"/>
          <w:sz w:val="15"/>
          <w:szCs w:val="15"/>
          <w:i w:val="1"/>
          <w:iCs w:val="1"/>
          <w:color w:val="auto"/>
        </w:rPr>
        <w:t>Call</w:t>
      </w:r>
    </w:p>
    <w:p>
      <w:pPr>
        <w:spacing w:after="0" w:line="44"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7"/>
          <w:szCs w:val="17"/>
          <w:i w:val="1"/>
          <w:iCs w:val="1"/>
          <w:color w:val="auto"/>
        </w:rPr>
        <w:t>of Duty: Black Ops Cold War</w:t>
      </w:r>
      <w:r>
        <w:rPr>
          <w:rFonts w:ascii="Arial" w:cs="Arial" w:eastAsia="Arial" w:hAnsi="Arial"/>
          <w:sz w:val="17"/>
          <w:szCs w:val="17"/>
          <w:color w:val="auto"/>
        </w:rPr>
        <w:t>; and</w:t>
      </w:r>
    </w:p>
    <w:p>
      <w:pPr>
        <w:spacing w:after="0" w:line="232" w:lineRule="exact"/>
        <w:rPr>
          <w:rFonts w:ascii="Arial" w:cs="Arial" w:eastAsia="Arial" w:hAnsi="Arial"/>
          <w:sz w:val="15"/>
          <w:szCs w:val="15"/>
          <w:color w:val="auto"/>
        </w:rPr>
      </w:pPr>
    </w:p>
    <w:p>
      <w:pPr>
        <w:ind w:left="920" w:hanging="298"/>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 $58 million decrease in Blizzard in-game net bookings, driven by lower in-game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decrease in in-game net bookings was partially offset by a $72 million increase in King in-game net bookings, driven by the Candy Crush franchise.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Monthly Active Users</w:t>
      </w:r>
    </w:p>
    <w:p>
      <w:pPr>
        <w:spacing w:after="0" w:line="243" w:lineRule="exact"/>
        <w:rPr>
          <w:sz w:val="20"/>
          <w:szCs w:val="20"/>
          <w:color w:val="auto"/>
        </w:rPr>
      </w:pPr>
    </w:p>
    <w:p>
      <w:pPr>
        <w:ind w:right="80" w:firstLine="387"/>
        <w:spacing w:after="0" w:line="276"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95" w:lineRule="exact"/>
        <w:rPr>
          <w:sz w:val="20"/>
          <w:szCs w:val="20"/>
          <w:color w:val="auto"/>
        </w:rPr>
      </w:pPr>
    </w:p>
    <w:p>
      <w:pPr>
        <w:ind w:right="180" w:firstLine="387"/>
        <w:spacing w:after="0" w:line="262" w:lineRule="auto"/>
        <w:rPr>
          <w:sz w:val="20"/>
          <w:szCs w:val="20"/>
          <w:color w:val="auto"/>
        </w:rPr>
      </w:pPr>
      <w:r>
        <w:rPr>
          <w:rFonts w:ascii="Arial" w:cs="Arial" w:eastAsia="Arial" w:hAnsi="Arial"/>
          <w:sz w:val="17"/>
          <w:szCs w:val="17"/>
          <w:color w:val="auto"/>
        </w:rPr>
        <w:t>The number of MAUs for a given period can be significantly impacted by the timing of new content releases, since new releases may cause a temporary surge in MAUs. Accordingly, although we believe that overall trends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w w:val="92"/>
              </w:rPr>
              <w:t>June 30, 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December 31, 2021</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w w:val="89"/>
              </w:rPr>
              <w:t>September 30, 2021</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June 30, 2021</w:t>
            </w:r>
          </w:p>
        </w:tc>
      </w:tr>
      <w:tr>
        <w:trPr>
          <w:trHeight w:val="215"/>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119</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18"/>
        </w:trPr>
        <w:tc>
          <w:tcPr>
            <w:tcW w:w="3260" w:type="dxa"/>
            <w:vAlign w:val="bottom"/>
            <w:gridSpan w:val="2"/>
          </w:tcPr>
          <w:p>
            <w:pPr>
              <w:ind w:left="20"/>
              <w:spacing w:after="0"/>
              <w:rPr>
                <w:sz w:val="20"/>
                <w:szCs w:val="20"/>
                <w:color w:val="auto"/>
              </w:rPr>
            </w:pPr>
            <w:r>
              <w:rPr>
                <w:rFonts w:ascii="Arial" w:cs="Arial" w:eastAsia="Arial" w:hAnsi="Arial"/>
                <w:sz w:val="17"/>
                <w:szCs w:val="17"/>
                <w:color w:val="auto"/>
              </w:rPr>
              <w:t>Blizzard</w:t>
            </w:r>
          </w:p>
        </w:tc>
        <w:tc>
          <w:tcPr>
            <w:tcW w:w="3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3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240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245</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Pr>
          <w:p>
            <w:pPr>
              <w:jc w:val="right"/>
              <w:spacing w:after="0"/>
              <w:rPr>
                <w:sz w:val="20"/>
                <w:szCs w:val="20"/>
                <w:color w:val="auto"/>
              </w:rPr>
            </w:pPr>
            <w:r>
              <w:rPr>
                <w:rFonts w:ascii="Arial" w:cs="Arial" w:eastAsia="Arial" w:hAnsi="Arial"/>
                <w:sz w:val="17"/>
                <w:szCs w:val="17"/>
                <w:color w:val="auto"/>
                <w:w w:val="98"/>
              </w:rPr>
              <w:t>361</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84"/>
              </w:rPr>
              <w:t>390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408</w:t>
            </w:r>
          </w:p>
        </w:tc>
      </w:tr>
      <w:tr>
        <w:trPr>
          <w:trHeight w:val="20"/>
        </w:trPr>
        <w:tc>
          <w:tcPr>
            <w:tcW w:w="19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 xml:space="preserve">Average MAUs decreased by 11 million or 3% for the three months ended June 30, 2022, as compared to the three months ended March 31, 2022. The decrease was primarily due to lower average MAUs for King, driven by the Candy Crush franchise, and Activision, driven by the Call of Duty franchise. This was partially offset by higher average MAUs for Blizzard, driven by the launch of </w:t>
      </w:r>
      <w:r>
        <w:rPr>
          <w:rFonts w:ascii="Arial" w:cs="Arial" w:eastAsia="Arial" w:hAnsi="Arial"/>
          <w:sz w:val="17"/>
          <w:szCs w:val="17"/>
          <w:i w:val="1"/>
          <w:iCs w:val="1"/>
          <w:color w:val="auto"/>
        </w:rPr>
        <w:t>Diablo Immortal</w:t>
      </w:r>
      <w:r>
        <w:rPr>
          <w:rFonts w:ascii="Arial" w:cs="Arial" w:eastAsia="Arial" w:hAnsi="Arial"/>
          <w:sz w:val="17"/>
          <w:szCs w:val="17"/>
          <w:color w:val="auto"/>
        </w:rPr>
        <w:t>.</w:t>
      </w:r>
    </w:p>
    <w:p>
      <w:pPr>
        <w:spacing w:after="0" w:line="201" w:lineRule="exact"/>
        <w:rPr>
          <w:sz w:val="20"/>
          <w:szCs w:val="20"/>
          <w:color w:val="auto"/>
        </w:rPr>
      </w:pPr>
    </w:p>
    <w:p>
      <w:pPr>
        <w:jc w:val="both"/>
        <w:ind w:right="520" w:firstLine="387"/>
        <w:spacing w:after="0" w:line="349" w:lineRule="auto"/>
        <w:rPr>
          <w:sz w:val="20"/>
          <w:szCs w:val="20"/>
          <w:color w:val="auto"/>
        </w:rPr>
      </w:pPr>
      <w:r>
        <w:rPr>
          <w:rFonts w:ascii="Arial" w:cs="Arial" w:eastAsia="Arial" w:hAnsi="Arial"/>
          <w:sz w:val="15"/>
          <w:szCs w:val="15"/>
          <w:color w:val="auto"/>
        </w:rPr>
        <w:t xml:space="preserve">Average MAUs decreased by 47 million or 12% for the three months ended June 30, 2022, as compared to the three months ended June 30, 2021. The decrease was primarily due to lower average MAUs for Activision, driven by the Call of Duty franchise and King, driven by </w:t>
      </w:r>
      <w:r>
        <w:rPr>
          <w:rFonts w:ascii="Arial" w:cs="Arial" w:eastAsia="Arial" w:hAnsi="Arial"/>
          <w:sz w:val="15"/>
          <w:szCs w:val="15"/>
          <w:i w:val="1"/>
          <w:iCs w:val="1"/>
          <w:color w:val="auto"/>
        </w:rPr>
        <w:t>Crash Bandicoot: On the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Overview of Business Trends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Competition for Talent</w:t>
      </w:r>
    </w:p>
    <w:p>
      <w:pPr>
        <w:spacing w:after="0" w:line="243"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We believe that our continued success and growth is directly related to our ability to attract, retain, and develop top talent. We have seen increased competition in the market for talent and expect the competitive environment to continue at least in the short term. We have experienced challenges in both the retention of our existing talent and attraction of new talent. If this competition, voluntary turnover, and recruiting difficulty persists, it could continue to negatively impact our ability to deliver content in a cadence that will be optimal for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Upcoming Content Releases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recently announced that several new titles and expansions will be released in the second half of 2022:</w:t>
      </w:r>
    </w:p>
    <w:p>
      <w:pPr>
        <w:spacing w:after="0" w:line="243" w:lineRule="exact"/>
        <w:rPr>
          <w:sz w:val="20"/>
          <w:szCs w:val="20"/>
          <w:color w:val="auto"/>
        </w:rPr>
      </w:pPr>
    </w:p>
    <w:p>
      <w:pPr>
        <w:ind w:left="920" w:hanging="298"/>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Call of Duty: Modern Warfare II</w:t>
      </w:r>
      <w:r>
        <w:rPr>
          <w:rFonts w:ascii="Arial" w:cs="Arial" w:eastAsia="Arial" w:hAnsi="Arial"/>
          <w:sz w:val="17"/>
          <w:szCs w:val="17"/>
          <w:color w:val="auto"/>
        </w:rPr>
        <w:t>, the sequel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is expected to launch on October 28, 2022;</w:t>
      </w:r>
    </w:p>
    <w:p>
      <w:pPr>
        <w:spacing w:after="0" w:line="242" w:lineRule="exact"/>
        <w:rPr>
          <w:rFonts w:ascii="Arial" w:cs="Arial" w:eastAsia="Arial" w:hAnsi="Arial"/>
          <w:sz w:val="17"/>
          <w:szCs w:val="17"/>
          <w:color w:val="auto"/>
        </w:rPr>
      </w:pPr>
    </w:p>
    <w:p>
      <w:pPr>
        <w:ind w:left="940" w:right="180" w:hanging="318"/>
        <w:spacing w:after="0" w:line="279" w:lineRule="auto"/>
        <w:tabs>
          <w:tab w:leader="none" w:pos="936"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 Wrath of the Lich King Classic</w:t>
      </w:r>
      <w:r>
        <w:rPr>
          <w:rFonts w:ascii="Arial" w:cs="Arial" w:eastAsia="Arial" w:hAnsi="Arial"/>
          <w:sz w:val="17"/>
          <w:szCs w:val="17"/>
          <w:color w:val="auto"/>
        </w:rPr>
        <w:t>, a re-creation of the second expansion to</w:t>
      </w:r>
      <w:r>
        <w:rPr>
          <w:rFonts w:ascii="Arial" w:cs="Arial" w:eastAsia="Arial" w:hAnsi="Arial"/>
          <w:sz w:val="17"/>
          <w:szCs w:val="17"/>
          <w:i w:val="1"/>
          <w:iCs w:val="1"/>
          <w:color w:val="auto"/>
        </w:rPr>
        <w:t xml:space="preserve"> World of Warcraft</w:t>
      </w:r>
      <w:r>
        <w:rPr>
          <w:rFonts w:ascii="Arial" w:cs="Arial" w:eastAsia="Arial" w:hAnsi="Arial"/>
          <w:sz w:val="17"/>
          <w:szCs w:val="17"/>
          <w:color w:val="auto"/>
        </w:rPr>
        <w:t>, is expected to launch on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26, 2022;</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Overwatch 2</w:t>
      </w:r>
      <w:r>
        <w:rPr>
          <w:rFonts w:ascii="Arial" w:cs="Arial" w:eastAsia="Arial" w:hAnsi="Arial"/>
          <w:sz w:val="16"/>
          <w:szCs w:val="16"/>
          <w:color w:val="auto"/>
        </w:rPr>
        <w:t>, a new free-to-play live experience within the world of</w:t>
      </w:r>
      <w:r>
        <w:rPr>
          <w:rFonts w:ascii="Arial" w:cs="Arial" w:eastAsia="Arial" w:hAnsi="Arial"/>
          <w:sz w:val="16"/>
          <w:szCs w:val="16"/>
          <w:i w:val="1"/>
          <w:iCs w:val="1"/>
          <w:color w:val="auto"/>
        </w:rPr>
        <w:t xml:space="preserve"> Overwatch</w:t>
      </w:r>
      <w:r>
        <w:rPr>
          <w:rFonts w:ascii="Arial" w:cs="Arial" w:eastAsia="Arial" w:hAnsi="Arial"/>
          <w:sz w:val="16"/>
          <w:szCs w:val="16"/>
          <w:color w:val="auto"/>
        </w:rPr>
        <w:t>, is expected to launch in early access on October 4, 2022; and</w:t>
      </w:r>
    </w:p>
    <w:p>
      <w:pPr>
        <w:spacing w:after="0" w:line="254" w:lineRule="exact"/>
        <w:rPr>
          <w:rFonts w:ascii="Arial" w:cs="Arial" w:eastAsia="Arial" w:hAnsi="Arial"/>
          <w:sz w:val="16"/>
          <w:szCs w:val="16"/>
          <w:i w:val="1"/>
          <w:iCs w:val="1"/>
          <w:color w:val="auto"/>
        </w:rPr>
      </w:pPr>
    </w:p>
    <w:p>
      <w:pPr>
        <w:ind w:left="920" w:hanging="298"/>
        <w:spacing w:after="0"/>
        <w:tabs>
          <w:tab w:leader="none" w:pos="9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 Dragonflight</w:t>
      </w:r>
      <w:r>
        <w:rPr>
          <w:rFonts w:ascii="Arial" w:cs="Arial" w:eastAsia="Arial" w:hAnsi="Arial"/>
          <w:sz w:val="17"/>
          <w:szCs w:val="17"/>
          <w:color w:val="auto"/>
        </w:rPr>
        <w:t>, the next expansion to</w:t>
      </w:r>
      <w:r>
        <w:rPr>
          <w:rFonts w:ascii="Arial" w:cs="Arial" w:eastAsia="Arial" w:hAnsi="Arial"/>
          <w:sz w:val="17"/>
          <w:szCs w:val="17"/>
          <w:i w:val="1"/>
          <w:iCs w:val="1"/>
          <w:color w:val="auto"/>
        </w:rPr>
        <w:t xml:space="preserve"> World of Warcraft</w:t>
      </w:r>
      <w:r>
        <w:rPr>
          <w:rFonts w:ascii="Arial" w:cs="Arial" w:eastAsia="Arial" w:hAnsi="Arial"/>
          <w:sz w:val="17"/>
          <w:szCs w:val="17"/>
          <w:color w:val="auto"/>
        </w:rPr>
        <w:t>, is expected to launch later this year.</w:t>
      </w:r>
    </w:p>
    <w:p>
      <w:pPr>
        <w:spacing w:after="0" w:line="243" w:lineRule="exact"/>
        <w:rPr>
          <w:sz w:val="20"/>
          <w:szCs w:val="20"/>
          <w:color w:val="auto"/>
        </w:rPr>
      </w:pPr>
    </w:p>
    <w:p>
      <w:pPr>
        <w:ind w:right="200" w:firstLine="387"/>
        <w:spacing w:after="0" w:line="312" w:lineRule="auto"/>
        <w:rPr>
          <w:sz w:val="20"/>
          <w:szCs w:val="20"/>
          <w:color w:val="auto"/>
        </w:rPr>
      </w:pPr>
      <w:r>
        <w:rPr>
          <w:rFonts w:ascii="Arial" w:cs="Arial" w:eastAsia="Arial" w:hAnsi="Arial"/>
          <w:sz w:val="16"/>
          <w:szCs w:val="16"/>
          <w:color w:val="auto"/>
        </w:rPr>
        <w:t>In addition, we expect to continue to deliver ongoing content for various of our franchises. We will also continue to invest in opportunities that we believe have the potential to drive our growth over the long-term, including continuing to build on our advertising initiatives and investments in mobile titles.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Data</w:t>
      </w:r>
    </w:p>
    <w:p>
      <w:pPr>
        <w:spacing w:after="0" w:line="249"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7"/>
                <w:szCs w:val="17"/>
                <w:b w:val="1"/>
                <w:bCs w:val="1"/>
                <w:color w:val="auto"/>
              </w:rPr>
              <w:t>For the Three Months Ended 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7"/>
                <w:szCs w:val="17"/>
                <w:b w:val="1"/>
                <w:bCs w:val="1"/>
                <w:color w:val="auto"/>
              </w:rPr>
              <w:t>For the Six Months Ended June 30,</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tcPr>
          <w:p>
            <w:pPr>
              <w:ind w:left="140"/>
              <w:spacing w:after="0"/>
              <w:rPr>
                <w:sz w:val="20"/>
                <w:szCs w:val="20"/>
                <w:color w:val="auto"/>
              </w:rPr>
            </w:pPr>
            <w:r>
              <w:rPr>
                <w:rFonts w:ascii="Arial" w:cs="Arial" w:eastAsia="Arial" w:hAnsi="Arial"/>
                <w:sz w:val="17"/>
                <w:szCs w:val="17"/>
                <w:color w:val="auto"/>
              </w:rPr>
              <w:t>Product sales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20 %</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In-game, subscription, and other</w:t>
            </w: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revenues</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net revenues</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39"/>
        </w:trPr>
        <w:tc>
          <w:tcPr>
            <w:tcW w:w="2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4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Cost of revenues—product sales:</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40" w:type="dxa"/>
            <w:vAlign w:val="bottom"/>
          </w:tcPr>
          <w:p>
            <w:pPr>
              <w:ind w:left="220"/>
              <w:spacing w:after="0"/>
              <w:rPr>
                <w:sz w:val="20"/>
                <w:szCs w:val="20"/>
                <w:color w:val="auto"/>
              </w:rPr>
            </w:pPr>
            <w:r>
              <w:rPr>
                <w:rFonts w:ascii="Arial" w:cs="Arial" w:eastAsia="Arial" w:hAnsi="Arial"/>
                <w:sz w:val="17"/>
                <w:szCs w:val="17"/>
                <w:color w:val="auto"/>
              </w:rPr>
              <w:t>Product costs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4"/>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Software royalties and</w:t>
            </w: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140"/>
              <w:spacing w:after="0" w:line="168" w:lineRule="exact"/>
              <w:rPr>
                <w:sz w:val="20"/>
                <w:szCs w:val="20"/>
                <w:color w:val="auto"/>
              </w:rPr>
            </w:pPr>
            <w:r>
              <w:rPr>
                <w:rFonts w:ascii="Arial" w:cs="Arial" w:eastAsia="Arial" w:hAnsi="Arial"/>
                <w:sz w:val="17"/>
                <w:szCs w:val="17"/>
                <w:color w:val="auto"/>
              </w:rPr>
              <w:t>Cost of revenues—in-game,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640" w:type="dxa"/>
            <w:vAlign w:val="bottom"/>
          </w:tcPr>
          <w:p>
            <w:pPr>
              <w:ind w:left="140"/>
              <w:spacing w:after="0"/>
              <w:rPr>
                <w:sz w:val="20"/>
                <w:szCs w:val="20"/>
                <w:color w:val="auto"/>
              </w:rPr>
            </w:pPr>
            <w:r>
              <w:rPr>
                <w:rFonts w:ascii="Arial" w:cs="Arial" w:eastAsia="Arial" w:hAnsi="Arial"/>
                <w:sz w:val="17"/>
                <w:szCs w:val="17"/>
                <w:color w:val="auto"/>
              </w:rPr>
              <w:t>subscription, and other:</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5"/>
              </w:rPr>
              <w:t>Game operations and distribution</w:t>
            </w: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costs</w:t>
            </w: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20"/>
              <w:spacing w:after="0" w:line="168" w:lineRule="exact"/>
              <w:rPr>
                <w:sz w:val="20"/>
                <w:szCs w:val="20"/>
                <w:color w:val="auto"/>
              </w:rPr>
            </w:pPr>
            <w:r>
              <w:rPr>
                <w:rFonts w:ascii="Arial" w:cs="Arial" w:eastAsia="Arial" w:hAnsi="Arial"/>
                <w:sz w:val="17"/>
                <w:szCs w:val="17"/>
                <w:color w:val="auto"/>
              </w:rPr>
              <w:t>Software royalties and</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vMerge w:val="restart"/>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vMerge w:val="restart"/>
          </w:tcPr>
          <w:p>
            <w:pPr>
              <w:jc w:val="right"/>
              <w:ind w:right="11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8"/>
        </w:trPr>
        <w:tc>
          <w:tcPr>
            <w:tcW w:w="2640" w:type="dxa"/>
            <w:vAlign w:val="bottom"/>
          </w:tcPr>
          <w:p>
            <w:pPr>
              <w:ind w:left="220"/>
              <w:spacing w:after="0"/>
              <w:rPr>
                <w:sz w:val="20"/>
                <w:szCs w:val="20"/>
                <w:color w:val="auto"/>
              </w:rPr>
            </w:pPr>
            <w:r>
              <w:rPr>
                <w:rFonts w:ascii="Arial" w:cs="Arial" w:eastAsia="Arial" w:hAnsi="Arial"/>
                <w:sz w:val="17"/>
                <w:szCs w:val="17"/>
                <w:color w:val="auto"/>
              </w:rPr>
              <w:t>amortization</w:t>
            </w: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264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ind w:right="11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0"/>
        </w:trPr>
        <w:tc>
          <w:tcPr>
            <w:tcW w:w="2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8"/>
        </w:trPr>
        <w:tc>
          <w:tcPr>
            <w:tcW w:w="2640" w:type="dxa"/>
            <w:vAlign w:val="bottom"/>
          </w:tcPr>
          <w:p>
            <w:pPr>
              <w:ind w:left="140"/>
              <w:spacing w:after="0"/>
              <w:rPr>
                <w:sz w:val="20"/>
                <w:szCs w:val="20"/>
                <w:color w:val="auto"/>
              </w:rPr>
            </w:pPr>
            <w:r>
              <w:rPr>
                <w:rFonts w:ascii="Arial" w:cs="Arial" w:eastAsia="Arial" w:hAnsi="Arial"/>
                <w:sz w:val="17"/>
                <w:szCs w:val="17"/>
                <w:color w:val="auto"/>
              </w:rPr>
              <w:t>Restructuring and related costs</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39"/>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line="168" w:lineRule="exact"/>
              <w:rPr>
                <w:sz w:val="20"/>
                <w:szCs w:val="20"/>
                <w:color w:val="auto"/>
              </w:rPr>
            </w:pPr>
            <w:r>
              <w:rPr>
                <w:rFonts w:ascii="Arial" w:cs="Arial" w:eastAsia="Arial" w:hAnsi="Arial"/>
                <w:sz w:val="17"/>
                <w:szCs w:val="17"/>
                <w:color w:val="auto"/>
                <w:w w:val="93"/>
              </w:rPr>
              <w:t>Interest and other expense (income),</w:t>
            </w: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vMerge w:val="restart"/>
          </w:tcPr>
          <w:p>
            <w:pPr>
              <w:jc w:val="right"/>
              <w:ind w:right="11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vMerge w:val="restart"/>
          </w:tcPr>
          <w:p>
            <w:pPr>
              <w:jc w:val="right"/>
              <w:ind w:right="7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ind w:right="13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Income before income tax expense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8"/>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Revenues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key drivers of changes in our consolidated results, operating segment results, and sources of liquidity are presented in the order of significance.</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consolidated net revenues and in-game net revenues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9"/>
          </w:tcPr>
          <w:p>
            <w:pPr>
              <w:jc w:val="center"/>
              <w:spacing w:after="0"/>
              <w:rPr>
                <w:sz w:val="20"/>
                <w:szCs w:val="20"/>
                <w:color w:val="auto"/>
              </w:rPr>
            </w:pPr>
            <w:r>
              <w:rPr>
                <w:rFonts w:ascii="Arial" w:cs="Arial" w:eastAsia="Arial" w:hAnsi="Arial"/>
                <w:sz w:val="15"/>
                <w:szCs w:val="15"/>
                <w:b w:val="1"/>
                <w:bCs w:val="1"/>
                <w:color w:val="auto"/>
                <w:w w:val="94"/>
              </w:rPr>
              <w:t>For the Three Months Ended June 30,</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8"/>
          </w:tcPr>
          <w:p>
            <w:pPr>
              <w:ind w:left="40"/>
              <w:spacing w:after="0"/>
              <w:rPr>
                <w:sz w:val="20"/>
                <w:szCs w:val="20"/>
                <w:color w:val="auto"/>
              </w:rPr>
            </w:pPr>
            <w:r>
              <w:rPr>
                <w:rFonts w:ascii="Arial" w:cs="Arial" w:eastAsia="Arial" w:hAnsi="Arial"/>
                <w:sz w:val="15"/>
                <w:szCs w:val="15"/>
                <w:b w:val="1"/>
                <w:bCs w:val="1"/>
                <w:color w:val="auto"/>
                <w:w w:val="94"/>
              </w:rPr>
              <w:t>For the Six Months Ended 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197"/>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7"/>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100"/>
              <w:spacing w:after="0" w:line="151" w:lineRule="exact"/>
              <w:rPr>
                <w:sz w:val="20"/>
                <w:szCs w:val="20"/>
                <w:color w:val="auto"/>
              </w:rPr>
            </w:pPr>
            <w:r>
              <w:rPr>
                <w:rFonts w:ascii="Arial" w:cs="Arial" w:eastAsia="Arial" w:hAnsi="Arial"/>
                <w:sz w:val="15"/>
                <w:szCs w:val="15"/>
                <w:b w:val="1"/>
                <w:bCs w:val="1"/>
                <w:color w:val="auto"/>
              </w:rPr>
              <w:t>Increase</w:t>
            </w:r>
          </w:p>
        </w:tc>
        <w:tc>
          <w:tcPr>
            <w:tcW w:w="920" w:type="dxa"/>
            <w:vAlign w:val="bottom"/>
            <w:vMerge w:val="restart"/>
          </w:tcPr>
          <w:p>
            <w:pPr>
              <w:jc w:val="right"/>
              <w:ind w:right="137"/>
              <w:spacing w:after="0"/>
              <w:rPr>
                <w:sz w:val="20"/>
                <w:szCs w:val="20"/>
                <w:color w:val="auto"/>
              </w:rPr>
            </w:pPr>
            <w:r>
              <w:rPr>
                <w:rFonts w:ascii="Arial" w:cs="Arial" w:eastAsia="Arial" w:hAnsi="Arial"/>
                <w:sz w:val="15"/>
                <w:szCs w:val="15"/>
                <w:b w:val="1"/>
                <w:bCs w:val="1"/>
                <w:color w:val="auto"/>
                <w:w w:val="93"/>
              </w:rPr>
              <w:t>% Change</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37"/>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ind w:left="100"/>
              <w:spacing w:after="0" w:line="151" w:lineRule="exact"/>
              <w:rPr>
                <w:sz w:val="20"/>
                <w:szCs w:val="20"/>
                <w:color w:val="auto"/>
              </w:rPr>
            </w:pPr>
            <w:r>
              <w:rPr>
                <w:rFonts w:ascii="Arial" w:cs="Arial" w:eastAsia="Arial" w:hAnsi="Arial"/>
                <w:sz w:val="15"/>
                <w:szCs w:val="15"/>
                <w:b w:val="1"/>
                <w:bCs w:val="1"/>
                <w:color w:val="auto"/>
              </w:rPr>
              <w:t>Increase</w:t>
            </w:r>
          </w:p>
        </w:tc>
        <w:tc>
          <w:tcPr>
            <w:tcW w:w="96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4"/>
        </w:trPr>
        <w:tc>
          <w:tcPr>
            <w:tcW w:w="2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1"/>
              </w:rPr>
              <w:t>(Decrease)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15"/>
                <w:szCs w:val="15"/>
                <w:b w:val="1"/>
                <w:bCs w:val="1"/>
                <w:color w:val="auto"/>
                <w:w w:val="91"/>
              </w:rPr>
              <w:t>(Decrease)</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1,644</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Arial" w:cs="Arial" w:eastAsia="Arial" w:hAnsi="Arial"/>
                <w:sz w:val="17"/>
                <w:szCs w:val="17"/>
                <w:color w:val="auto"/>
              </w:rPr>
              <w:t>In-game net revenues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1,090</w:t>
            </w:r>
          </w:p>
        </w:tc>
        <w:tc>
          <w:tcPr>
            <w:tcW w:w="3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1,419</w:t>
            </w:r>
          </w:p>
        </w:tc>
        <w:tc>
          <w:tcPr>
            <w:tcW w:w="1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2,224</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2,742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right="760" w:hanging="377"/>
        <w:spacing w:after="0" w:line="538" w:lineRule="auto"/>
        <w:tabs>
          <w:tab w:leader="none" w:pos="3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In-game net revenues primarily includes the net amount of revenues recognized for microtransactions and downloadable content during the period. </w:t>
      </w:r>
      <w:r>
        <w:rPr>
          <w:rFonts w:ascii="Arial" w:cs="Arial" w:eastAsia="Arial" w:hAnsi="Arial"/>
          <w:sz w:val="17"/>
          <w:szCs w:val="17"/>
          <w:u w:val="single" w:color="auto"/>
          <w:color w:val="auto"/>
        </w:rPr>
        <w:t>Q2 2022 vs. Q2 2021</w:t>
      </w:r>
    </w:p>
    <w:p>
      <w:pPr>
        <w:ind w:left="380"/>
        <w:spacing w:after="0"/>
        <w:rPr>
          <w:rFonts w:ascii="Arial" w:cs="Arial" w:eastAsia="Arial" w:hAnsi="Arial"/>
          <w:sz w:val="17"/>
          <w:szCs w:val="17"/>
          <w:color w:val="auto"/>
        </w:rPr>
      </w:pPr>
      <w:r>
        <w:rPr>
          <w:rFonts w:ascii="Arial" w:cs="Arial" w:eastAsia="Arial" w:hAnsi="Arial"/>
          <w:sz w:val="17"/>
          <w:szCs w:val="17"/>
          <w:i w:val="1"/>
          <w:iCs w:val="1"/>
          <w:color w:val="auto"/>
        </w:rPr>
        <w:t>Consolidated net revenues</w:t>
      </w:r>
    </w:p>
    <w:p>
      <w:pPr>
        <w:spacing w:after="0" w:line="243"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The decrease in consolidated net revenues for the three months ended June 30, 2022, as compared to the three months ended June 30, 2021, was primarily driven by a decrease in revenues of $627 million due to lower revenues from:</w:t>
      </w:r>
    </w:p>
    <w:p>
      <w:pPr>
        <w:spacing w:after="0" w:line="190" w:lineRule="exact"/>
        <w:rPr>
          <w:sz w:val="20"/>
          <w:szCs w:val="20"/>
          <w:color w:val="auto"/>
        </w:rPr>
      </w:pPr>
    </w:p>
    <w:p>
      <w:pPr>
        <w:ind w:left="920" w:hanging="298"/>
        <w:spacing w:after="0"/>
        <w:tabs>
          <w:tab w:leader="none" w:pos="92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revenues of $71 million due to higher revenues from 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revenues of $96 million was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revenues</w:t>
      </w:r>
    </w:p>
    <w:p>
      <w:pPr>
        <w:spacing w:after="0" w:line="243"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The decrease in in-game net revenues for the three months ended June 30, 2022, as compared to the three months ended June 30, 2021, was primarily driven by a decrease in in-game net revenues of $315 million due to lower in-game net revenues from:</w:t>
      </w:r>
    </w:p>
    <w:p>
      <w:pPr>
        <w:spacing w:after="0" w:line="190" w:lineRule="exact"/>
        <w:rPr>
          <w:sz w:val="20"/>
          <w:szCs w:val="20"/>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decrease was partially offset by an increase in in-game net revenues of $50 million due to higher in-game net revenues from the Candy Crush franchise</w:t>
      </w:r>
      <w:r>
        <w:rPr>
          <w:rFonts w:ascii="Arial" w:cs="Arial" w:eastAsia="Arial" w:hAnsi="Arial"/>
          <w:sz w:val="15"/>
          <w:szCs w:val="15"/>
          <w:i w:val="1"/>
          <w:iCs w:val="1"/>
          <w:color w:val="auto"/>
        </w:rPr>
        <w:t>.</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in-game net revenues of $64 million was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Consolidated net revenues</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decrease in consolidated net revenues for the six months ended June 30, 2022, as compared to the six months ended June 30, 2021, was primarily driven by a decrease in revenues of $1.2 billion due to lower revenues from:</w:t>
      </w:r>
    </w:p>
    <w:p>
      <w:pPr>
        <w:spacing w:after="0" w:line="190" w:lineRule="exact"/>
        <w:rPr>
          <w:sz w:val="20"/>
          <w:szCs w:val="20"/>
          <w:color w:val="auto"/>
        </w:rPr>
      </w:pPr>
    </w:p>
    <w:p>
      <w:pPr>
        <w:ind w:left="920" w:hanging="298"/>
        <w:spacing w:after="0"/>
        <w:tabs>
          <w:tab w:leader="none" w:pos="9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20" w:hanging="298"/>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 and</w:t>
      </w:r>
    </w:p>
    <w:p>
      <w:pPr>
        <w:spacing w:after="0" w:line="242" w:lineRule="exact"/>
        <w:rPr>
          <w:rFonts w:ascii="Arial" w:cs="Arial" w:eastAsia="Arial" w:hAnsi="Arial"/>
          <w:sz w:val="17"/>
          <w:szCs w:val="17"/>
          <w:color w:val="auto"/>
        </w:rPr>
      </w:pPr>
    </w:p>
    <w:p>
      <w:pPr>
        <w:ind w:left="920" w:hanging="298"/>
        <w:spacing w:after="0"/>
        <w:tabs>
          <w:tab w:leader="none" w:pos="920"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our Distribution business</w:t>
      </w:r>
      <w:r>
        <w:rPr>
          <w:rFonts w:ascii="Arial" w:cs="Arial" w:eastAsia="Arial" w:hAnsi="Arial"/>
          <w:sz w:val="17"/>
          <w:szCs w:val="17"/>
          <w:i w:val="1"/>
          <w:iCs w:val="1"/>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an increase in revenues of $162 million due to higher revenues from 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revenues of $74 million was driven by various other franchises and titles.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In-game net revenues</w:t>
      </w:r>
    </w:p>
    <w:p>
      <w:pPr>
        <w:spacing w:after="0" w:line="24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 decrease in in-game net revenues for the six months ended June 30, 2022, as compared to the six months ended June 30, 2021, was primarily driven by a decrease in in-game net revenues of $582 million due to lower in-game net revenues from:</w:t>
      </w:r>
    </w:p>
    <w:p>
      <w:pPr>
        <w:spacing w:after="0" w:line="190" w:lineRule="exact"/>
        <w:rPr>
          <w:sz w:val="20"/>
          <w:szCs w:val="20"/>
          <w:color w:val="auto"/>
        </w:rPr>
      </w:pPr>
    </w:p>
    <w:p>
      <w:pPr>
        <w:ind w:left="920" w:hanging="298"/>
        <w:spacing w:after="0"/>
        <w:tabs>
          <w:tab w:leader="none" w:pos="9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right="660" w:firstLine="387"/>
        <w:spacing w:after="0" w:line="279" w:lineRule="auto"/>
        <w:rPr>
          <w:sz w:val="20"/>
          <w:szCs w:val="20"/>
          <w:color w:val="auto"/>
        </w:rPr>
      </w:pPr>
      <w:r>
        <w:rPr>
          <w:rFonts w:ascii="Arial" w:cs="Arial" w:eastAsia="Arial" w:hAnsi="Arial"/>
          <w:sz w:val="17"/>
          <w:szCs w:val="17"/>
          <w:color w:val="auto"/>
        </w:rPr>
        <w:t>This decrease was partially offset by an increase in in-game net revenues of $111 million due to higher in-game net revenues from the Candy Crush franchise</w:t>
      </w:r>
      <w:r>
        <w:rPr>
          <w:rFonts w:ascii="Arial" w:cs="Arial" w:eastAsia="Arial" w:hAnsi="Arial"/>
          <w:sz w:val="17"/>
          <w:szCs w:val="17"/>
          <w:i w:val="1"/>
          <w:iCs w:val="1"/>
          <w:color w:val="auto"/>
        </w:rPr>
        <w: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in in-game net revenues of $47 million was driven by various other franchises and titles.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43" w:lineRule="exact"/>
        <w:rPr>
          <w:sz w:val="20"/>
          <w:szCs w:val="20"/>
          <w:color w:val="auto"/>
        </w:rPr>
      </w:pPr>
    </w:p>
    <w:p>
      <w:pPr>
        <w:jc w:val="both"/>
        <w:ind w:right="140"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approximately $63 million and $102 million on our consolidated net revenues for the three and six months ended June 30, 2022, respectively, as compared to the same periods in the previous year. The changes are primarily due to changes in the value of the U.S. dollar relative to the euro and the British pound.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 Results</w:t>
      </w:r>
    </w:p>
    <w:p>
      <w:pPr>
        <w:spacing w:after="0" w:line="249" w:lineRule="exact"/>
        <w:rPr>
          <w:sz w:val="20"/>
          <w:szCs w:val="20"/>
          <w:color w:val="auto"/>
        </w:rPr>
      </w:pPr>
    </w:p>
    <w:p>
      <w:pPr>
        <w:ind w:right="80" w:firstLine="387"/>
        <w:spacing w:after="0" w:line="257" w:lineRule="auto"/>
        <w:rPr>
          <w:sz w:val="20"/>
          <w:szCs w:val="20"/>
          <w:color w:val="auto"/>
        </w:rPr>
      </w:pPr>
      <w:r>
        <w:rPr>
          <w:rFonts w:ascii="Arial" w:cs="Arial" w:eastAsia="Arial" w:hAnsi="Arial"/>
          <w:sz w:val="17"/>
          <w:szCs w:val="17"/>
          <w:color w:val="auto"/>
        </w:rPr>
        <w:t>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211"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on the reportable segment net revenues and segment operating income is presented below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For the Three Months Ended June 30, 2022</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5"/>
                <w:szCs w:val="15"/>
                <w:b w:val="1"/>
                <w:bCs w:val="1"/>
                <w:color w:val="auto"/>
                <w:w w:val="95"/>
              </w:rPr>
              <w:t>Increase / (decrease)</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00"/>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Blizzard</w:t>
            </w: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340" w:type="dxa"/>
            <w:vAlign w:val="bottom"/>
          </w:tcPr>
          <w:p>
            <w:pPr>
              <w:spacing w:after="0"/>
              <w:rPr>
                <w:sz w:val="17"/>
                <w:szCs w:val="17"/>
                <w:color w:val="auto"/>
              </w:rPr>
            </w:pPr>
          </w:p>
        </w:tc>
        <w:tc>
          <w:tcPr>
            <w:tcW w:w="760" w:type="dxa"/>
            <w:vAlign w:val="bottom"/>
          </w:tcPr>
          <w:p>
            <w:pPr>
              <w:jc w:val="right"/>
              <w:ind w:right="303"/>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5"/>
                <w:szCs w:val="15"/>
                <w:b w:val="1"/>
                <w:bCs w:val="1"/>
                <w:color w:val="auto"/>
              </w:rPr>
              <w:t>Blizzard</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rPr>
              <w:t>King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390</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684</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1,564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49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(271)</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401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49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(282)</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95"/>
              </w:rPr>
              <w:t>23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(295)</w:t>
            </w:r>
          </w:p>
        </w:tc>
      </w:tr>
      <w:tr>
        <w:trPr>
          <w:trHeight w:val="196"/>
        </w:trPr>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For the Three Months Ended June 30, 2021</w:t>
            </w:r>
          </w:p>
        </w:tc>
        <w:tc>
          <w:tcPr>
            <w:tcW w:w="760" w:type="dxa"/>
            <w:vAlign w:val="bottom"/>
            <w:tcBorders>
              <w:bottom w:val="single" w:sz="8" w:color="auto"/>
            </w:tcBorders>
          </w:tcPr>
          <w:p>
            <w:pPr>
              <w:spacing w:after="0"/>
              <w:rPr>
                <w:sz w:val="17"/>
                <w:szCs w:val="17"/>
                <w:color w:val="auto"/>
              </w:rPr>
            </w:pPr>
          </w:p>
        </w:tc>
      </w:tr>
      <w:tr>
        <w:trPr>
          <w:trHeight w:val="199"/>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Blizzard</w:t>
            </w: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340" w:type="dxa"/>
            <w:vAlign w:val="bottom"/>
          </w:tcPr>
          <w:p>
            <w:pPr>
              <w:spacing w:after="0"/>
              <w:rPr>
                <w:sz w:val="17"/>
                <w:szCs w:val="17"/>
                <w:color w:val="auto"/>
              </w:rPr>
            </w:pPr>
          </w:p>
        </w:tc>
        <w:tc>
          <w:tcPr>
            <w:tcW w:w="760" w:type="dxa"/>
            <w:vAlign w:val="bottom"/>
          </w:tcPr>
          <w:p>
            <w:pPr>
              <w:jc w:val="right"/>
              <w:ind w:right="30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635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1,835</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1,857</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752</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9"/>
          </w:tcPr>
          <w:p>
            <w:pPr>
              <w:jc w:val="right"/>
              <w:ind w:right="23"/>
              <w:spacing w:after="0"/>
              <w:rPr>
                <w:sz w:val="20"/>
                <w:szCs w:val="20"/>
                <w:color w:val="auto"/>
              </w:rPr>
            </w:pPr>
            <w:r>
              <w:rPr>
                <w:rFonts w:ascii="Arial" w:cs="Arial" w:eastAsia="Arial" w:hAnsi="Arial"/>
                <w:sz w:val="15"/>
                <w:szCs w:val="15"/>
                <w:b w:val="1"/>
                <w:bCs w:val="1"/>
                <w:color w:val="auto"/>
              </w:rPr>
              <w:t>For the Six Months Ended June 30, 2022</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5"/>
                <w:szCs w:val="15"/>
                <w:b w:val="1"/>
                <w:bCs w:val="1"/>
                <w:color w:val="auto"/>
              </w:rPr>
              <w:t>Increase / (decrease)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00"/>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80" w:type="dxa"/>
            <w:vAlign w:val="bottom"/>
          </w:tcPr>
          <w:p>
            <w:pPr>
              <w:spacing w:after="0"/>
              <w:rPr>
                <w:sz w:val="17"/>
                <w:szCs w:val="17"/>
                <w:color w:val="auto"/>
              </w:rPr>
            </w:pPr>
          </w:p>
        </w:tc>
        <w:tc>
          <w:tcPr>
            <w:tcW w:w="800" w:type="dxa"/>
            <w:vAlign w:val="bottom"/>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b w:val="1"/>
                <w:bCs w:val="1"/>
                <w:color w:val="auto"/>
              </w:rPr>
              <w:t>Activision</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18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Arial" w:cs="Arial" w:eastAsia="Arial" w:hAnsi="Arial"/>
                <w:sz w:val="15"/>
                <w:szCs w:val="15"/>
                <w:b w:val="1"/>
                <w:bCs w:val="1"/>
                <w:color w:val="auto"/>
              </w:rPr>
              <w:t>King</w:t>
            </w:r>
          </w:p>
        </w:tc>
        <w:tc>
          <w:tcPr>
            <w:tcW w:w="200" w:type="dxa"/>
            <w:vAlign w:val="bottom"/>
          </w:tcPr>
          <w:p>
            <w:pPr>
              <w:spacing w:after="0"/>
              <w:rPr>
                <w:sz w:val="17"/>
                <w:szCs w:val="17"/>
                <w:color w:val="auto"/>
              </w:rPr>
            </w:pP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943</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1,366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2,964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(737)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(214)</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(829)</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943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675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1,366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2,984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(856)</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r>
      <w:tr>
        <w:trPr>
          <w:trHeight w:val="204"/>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514</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813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(653)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(792)</w:t>
            </w:r>
          </w:p>
        </w:tc>
      </w:tr>
      <w:tr>
        <w:trPr>
          <w:trHeight w:val="196"/>
        </w:trPr>
        <w:tc>
          <w:tcPr>
            <w:tcW w:w="2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9"/>
          </w:tcPr>
          <w:p>
            <w:pPr>
              <w:jc w:val="right"/>
              <w:ind w:right="23"/>
              <w:spacing w:after="0"/>
              <w:rPr>
                <w:sz w:val="20"/>
                <w:szCs w:val="20"/>
                <w:color w:val="auto"/>
              </w:rPr>
            </w:pPr>
            <w:r>
              <w:rPr>
                <w:rFonts w:ascii="Arial" w:cs="Arial" w:eastAsia="Arial" w:hAnsi="Arial"/>
                <w:sz w:val="15"/>
                <w:szCs w:val="15"/>
                <w:b w:val="1"/>
                <w:bCs w:val="1"/>
                <w:color w:val="auto"/>
              </w:rPr>
              <w:t>For the Six Months Ended June 30, 2021</w:t>
            </w:r>
          </w:p>
        </w:tc>
        <w:tc>
          <w:tcPr>
            <w:tcW w:w="800" w:type="dxa"/>
            <w:vAlign w:val="bottom"/>
            <w:tcBorders>
              <w:bottom w:val="single" w:sz="8" w:color="auto"/>
            </w:tcBorders>
          </w:tcPr>
          <w:p>
            <w:pPr>
              <w:spacing w:after="0"/>
              <w:rPr>
                <w:sz w:val="17"/>
                <w:szCs w:val="17"/>
                <w:color w:val="auto"/>
              </w:rPr>
            </w:pPr>
          </w:p>
        </w:tc>
      </w:tr>
      <w:tr>
        <w:trPr>
          <w:trHeight w:val="199"/>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5"/>
                <w:szCs w:val="15"/>
                <w:b w:val="1"/>
                <w:bCs w:val="1"/>
                <w:color w:val="auto"/>
              </w:rPr>
              <w:t>Activision</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80" w:type="dxa"/>
            <w:vAlign w:val="bottom"/>
          </w:tcPr>
          <w:p>
            <w:pPr>
              <w:spacing w:after="0"/>
              <w:rPr>
                <w:sz w:val="17"/>
                <w:szCs w:val="17"/>
                <w:color w:val="auto"/>
              </w:rPr>
            </w:pPr>
          </w:p>
        </w:tc>
        <w:tc>
          <w:tcPr>
            <w:tcW w:w="800" w:type="dxa"/>
            <w:vAlign w:val="bottom"/>
          </w:tcPr>
          <w:p>
            <w:pPr>
              <w:jc w:val="right"/>
              <w:ind w:right="283"/>
              <w:spacing w:after="0"/>
              <w:rPr>
                <w:sz w:val="20"/>
                <w:szCs w:val="20"/>
                <w:color w:val="auto"/>
              </w:rPr>
            </w:pPr>
            <w:r>
              <w:rPr>
                <w:rFonts w:ascii="Arial" w:cs="Arial" w:eastAsia="Arial" w:hAnsi="Arial"/>
                <w:sz w:val="15"/>
                <w:szCs w:val="15"/>
                <w:b w:val="1"/>
                <w:bCs w:val="1"/>
                <w:color w:val="auto"/>
              </w:rPr>
              <w:t>Total</w:t>
            </w:r>
          </w:p>
        </w:tc>
      </w:tr>
      <w:tr>
        <w:trPr>
          <w:trHeight w:val="188"/>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203"/>
        </w:trPr>
        <w:tc>
          <w:tcPr>
            <w:tcW w:w="2640" w:type="dxa"/>
            <w:vAlign w:val="bottom"/>
          </w:tcPr>
          <w:p>
            <w:pPr>
              <w:ind w:left="140"/>
              <w:spacing w:after="0"/>
              <w:rPr>
                <w:sz w:val="20"/>
                <w:szCs w:val="20"/>
                <w:color w:val="auto"/>
              </w:rPr>
            </w:pPr>
            <w:r>
              <w:rPr>
                <w:rFonts w:ascii="Arial" w:cs="Arial" w:eastAsia="Arial" w:hAnsi="Arial"/>
                <w:sz w:val="15"/>
                <w:szCs w:val="15"/>
                <w:color w:val="auto"/>
                <w:w w:val="97"/>
              </w:rPr>
              <w:t>Net revenues from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1,680</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869</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1,244</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3,793</w:t>
            </w:r>
          </w:p>
        </w:tc>
      </w:tr>
      <w:tr>
        <w:trPr>
          <w:trHeight w:val="206"/>
        </w:trPr>
        <w:tc>
          <w:tcPr>
            <w:tcW w:w="2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Intersegment net revenues (1)</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202"/>
        </w:trPr>
        <w:tc>
          <w:tcPr>
            <w:tcW w:w="2640" w:type="dxa"/>
            <w:vAlign w:val="bottom"/>
          </w:tcPr>
          <w:p>
            <w:pPr>
              <w:ind w:left="14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1,680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916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3,840</w:t>
            </w: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9"/>
        </w:trPr>
        <w:tc>
          <w:tcPr>
            <w:tcW w:w="26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r>
      <w:tr>
        <w:trPr>
          <w:trHeight w:val="202"/>
        </w:trPr>
        <w:tc>
          <w:tcPr>
            <w:tcW w:w="264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804</w:t>
            </w:r>
          </w:p>
        </w:tc>
        <w:tc>
          <w:tcPr>
            <w:tcW w:w="1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452</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1,605</w:t>
            </w:r>
          </w:p>
        </w:tc>
      </w:tr>
    </w:tbl>
    <w:p>
      <w:pPr>
        <w:spacing w:after="0" w:line="301" w:lineRule="exact"/>
        <w:rPr>
          <w:sz w:val="20"/>
          <w:szCs w:val="20"/>
          <w:color w:val="auto"/>
        </w:rPr>
      </w:pPr>
    </w:p>
    <w:p>
      <w:pPr>
        <w:ind w:left="300" w:hanging="297"/>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spacing w:after="0"/>
              <w:rPr>
                <w:sz w:val="19"/>
                <w:szCs w:val="19"/>
                <w:color w:val="auto"/>
              </w:rPr>
            </w:pPr>
          </w:p>
        </w:tc>
        <w:tc>
          <w:tcPr>
            <w:tcW w:w="3780" w:type="dxa"/>
            <w:vAlign w:val="bottom"/>
            <w:gridSpan w:val="6"/>
          </w:tcPr>
          <w:p>
            <w:pPr>
              <w:ind w:left="460"/>
              <w:spacing w:after="0"/>
              <w:rPr>
                <w:sz w:val="20"/>
                <w:szCs w:val="20"/>
                <w:color w:val="auto"/>
              </w:rPr>
            </w:pPr>
            <w:r>
              <w:rPr>
                <w:rFonts w:ascii="Arial" w:cs="Arial" w:eastAsia="Arial" w:hAnsi="Arial"/>
                <w:sz w:val="17"/>
                <w:szCs w:val="17"/>
                <w:b w:val="1"/>
                <w:bCs w:val="1"/>
                <w:color w:val="auto"/>
              </w:rPr>
              <w:t>For the Three Months Ended June 30,</w:t>
            </w:r>
          </w:p>
        </w:tc>
        <w:tc>
          <w:tcPr>
            <w:tcW w:w="280" w:type="dxa"/>
            <w:vAlign w:val="bottom"/>
          </w:tcPr>
          <w:p>
            <w:pPr>
              <w:spacing w:after="0"/>
              <w:rPr>
                <w:sz w:val="19"/>
                <w:szCs w:val="19"/>
                <w:color w:val="auto"/>
              </w:rPr>
            </w:pPr>
          </w:p>
        </w:tc>
        <w:tc>
          <w:tcPr>
            <w:tcW w:w="318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w w:val="96"/>
              </w:rPr>
              <w:t>For the Six Months Ended June 30,</w:t>
            </w:r>
          </w:p>
        </w:tc>
        <w:tc>
          <w:tcPr>
            <w:tcW w:w="0" w:type="dxa"/>
            <w:vAlign w:val="bottom"/>
          </w:tcPr>
          <w:p>
            <w:pPr>
              <w:spacing w:after="0"/>
              <w:rPr>
                <w:sz w:val="1"/>
                <w:szCs w:val="1"/>
                <w:color w:val="auto"/>
              </w:rPr>
            </w:pPr>
          </w:p>
        </w:tc>
      </w:tr>
      <w:tr>
        <w:trPr>
          <w:trHeight w:val="213"/>
        </w:trPr>
        <w:tc>
          <w:tcPr>
            <w:tcW w:w="40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220" w:type="dxa"/>
            <w:vAlign w:val="bottom"/>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1,575</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1,857</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3,840</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line="168" w:lineRule="exact"/>
              <w:rPr>
                <w:sz w:val="20"/>
                <w:szCs w:val="20"/>
                <w:color w:val="auto"/>
              </w:rPr>
            </w:pPr>
            <w:r>
              <w:rPr>
                <w:rFonts w:ascii="Arial" w:cs="Arial" w:eastAsia="Arial" w:hAnsi="Arial"/>
                <w:sz w:val="17"/>
                <w:szCs w:val="17"/>
                <w:color w:val="auto"/>
              </w:rPr>
              <w:t>Net effect from recognition (deferral) of deferred net</w:t>
            </w:r>
          </w:p>
        </w:tc>
        <w:tc>
          <w:tcPr>
            <w:tcW w:w="1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375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18"/>
        </w:trPr>
        <w:tc>
          <w:tcPr>
            <w:tcW w:w="4000" w:type="dxa"/>
            <w:vAlign w:val="bottom"/>
          </w:tcPr>
          <w:p>
            <w:pPr>
              <w:ind w:left="100"/>
              <w:spacing w:after="0"/>
              <w:rPr>
                <w:sz w:val="20"/>
                <w:szCs w:val="20"/>
                <w:color w:val="auto"/>
              </w:rPr>
            </w:pPr>
            <w:r>
              <w:rPr>
                <w:rFonts w:ascii="Arial" w:cs="Arial" w:eastAsia="Arial" w:hAnsi="Arial"/>
                <w:sz w:val="17"/>
                <w:szCs w:val="17"/>
                <w:color w:val="auto"/>
              </w:rPr>
              <w:t>revenues (2)</w:t>
            </w:r>
          </w:p>
        </w:tc>
        <w:tc>
          <w:tcPr>
            <w:tcW w:w="1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7"/>
                <w:szCs w:val="17"/>
                <w:color w:val="auto"/>
              </w:rPr>
              <w:t>Consolidated net revenues</w:t>
            </w:r>
          </w:p>
        </w:tc>
        <w:tc>
          <w:tcPr>
            <w:tcW w:w="122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line="167" w:lineRule="exact"/>
              <w:rPr>
                <w:sz w:val="20"/>
                <w:szCs w:val="20"/>
                <w:color w:val="auto"/>
              </w:rPr>
            </w:pPr>
            <w:r>
              <w:rPr>
                <w:rFonts w:ascii="Arial" w:cs="Arial" w:eastAsia="Arial" w:hAnsi="Arial"/>
                <w:sz w:val="17"/>
                <w:szCs w:val="17"/>
                <w:b w:val="1"/>
                <w:bCs w:val="1"/>
                <w:color w:val="auto"/>
                <w:w w:val="91"/>
              </w:rPr>
              <w:t>Reconciliation to consolidated income before income</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00" w:type="dxa"/>
            <w:vAlign w:val="bottom"/>
          </w:tcPr>
          <w:p>
            <w:pPr>
              <w:ind w:left="100"/>
              <w:spacing w:after="0"/>
              <w:rPr>
                <w:sz w:val="20"/>
                <w:szCs w:val="20"/>
                <w:color w:val="auto"/>
              </w:rPr>
            </w:pPr>
            <w:r>
              <w:rPr>
                <w:rFonts w:ascii="Arial" w:cs="Arial" w:eastAsia="Arial" w:hAnsi="Arial"/>
                <w:sz w:val="17"/>
                <w:szCs w:val="17"/>
                <w:b w:val="1"/>
                <w:bCs w:val="1"/>
                <w:color w:val="auto"/>
              </w:rPr>
              <w:t>tax expense:</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line="168" w:lineRule="exact"/>
              <w:rPr>
                <w:sz w:val="20"/>
                <w:szCs w:val="20"/>
                <w:color w:val="auto"/>
              </w:rPr>
            </w:pPr>
            <w:r>
              <w:rPr>
                <w:rFonts w:ascii="Arial" w:cs="Arial" w:eastAsia="Arial" w:hAnsi="Arial"/>
                <w:sz w:val="17"/>
                <w:szCs w:val="17"/>
                <w:color w:val="auto"/>
                <w:w w:val="95"/>
              </w:rPr>
              <w:t>Operating income (loss) from non-reportable segments</w:t>
            </w:r>
          </w:p>
        </w:tc>
        <w:tc>
          <w:tcPr>
            <w:tcW w:w="1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4000" w:type="dxa"/>
            <w:vAlign w:val="bottom"/>
          </w:tcPr>
          <w:p>
            <w:pPr>
              <w:ind w:left="100"/>
              <w:spacing w:after="0"/>
              <w:rPr>
                <w:sz w:val="20"/>
                <w:szCs w:val="20"/>
                <w:color w:val="auto"/>
              </w:rPr>
            </w:pPr>
            <w:r>
              <w:rPr>
                <w:rFonts w:ascii="Arial" w:cs="Arial" w:eastAsia="Arial" w:hAnsi="Arial"/>
                <w:sz w:val="17"/>
                <w:szCs w:val="17"/>
                <w:color w:val="auto"/>
              </w:rPr>
              <w:t>(1)</w:t>
            </w:r>
          </w:p>
        </w:tc>
        <w:tc>
          <w:tcPr>
            <w:tcW w:w="1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Net effect from recognition (deferral) of deferred net</w:t>
            </w:r>
          </w:p>
        </w:tc>
        <w:tc>
          <w:tcPr>
            <w:tcW w:w="1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revenues and related cost of revenues (2)</w:t>
            </w:r>
          </w:p>
        </w:tc>
        <w:tc>
          <w:tcPr>
            <w:tcW w:w="122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Arial" w:cs="Arial" w:eastAsia="Arial" w:hAnsi="Arial"/>
                <w:sz w:val="17"/>
                <w:szCs w:val="17"/>
                <w:color w:val="auto"/>
              </w:rPr>
              <w:t>Share-based compensation expense (4)</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line="168" w:lineRule="exact"/>
              <w:rPr>
                <w:sz w:val="20"/>
                <w:szCs w:val="20"/>
                <w:color w:val="auto"/>
              </w:rPr>
            </w:pPr>
            <w:r>
              <w:rPr>
                <w:rFonts w:ascii="Arial" w:cs="Arial" w:eastAsia="Arial" w:hAnsi="Arial"/>
                <w:sz w:val="17"/>
                <w:szCs w:val="17"/>
                <w:color w:val="auto"/>
                <w:w w:val="94"/>
              </w:rPr>
              <w:t>Merger and acquisition-related fees and other expenses</w:t>
            </w:r>
          </w:p>
        </w:tc>
        <w:tc>
          <w:tcPr>
            <w:tcW w:w="12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00" w:type="dxa"/>
            <w:vAlign w:val="bottom"/>
          </w:tcPr>
          <w:p>
            <w:pPr>
              <w:ind w:left="100"/>
              <w:spacing w:after="0"/>
              <w:rPr>
                <w:sz w:val="20"/>
                <w:szCs w:val="20"/>
                <w:color w:val="auto"/>
              </w:rPr>
            </w:pPr>
            <w:r>
              <w:rPr>
                <w:rFonts w:ascii="Arial" w:cs="Arial" w:eastAsia="Arial" w:hAnsi="Arial"/>
                <w:sz w:val="17"/>
                <w:szCs w:val="17"/>
                <w:color w:val="auto"/>
              </w:rPr>
              <w:t>(5)</w:t>
            </w:r>
          </w:p>
        </w:tc>
        <w:tc>
          <w:tcPr>
            <w:tcW w:w="12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and related costs</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1"/>
        </w:trPr>
        <w:tc>
          <w:tcPr>
            <w:tcW w:w="400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1,754</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220" w:type="dxa"/>
            <w:vAlign w:val="bottom"/>
            <w:tcBorders>
              <w:bottom w:val="single" w:sz="8" w:color="auto"/>
            </w:tcBorders>
          </w:tcPr>
          <w:p>
            <w:pPr>
              <w:jc w:val="right"/>
              <w:ind w:right="103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other income and expenses outside of our reportable segments, including our Distribution business and unallocated corporate income and expenses.</w:t>
      </w:r>
    </w:p>
    <w:p>
      <w:pPr>
        <w:spacing w:after="0" w:line="265" w:lineRule="exact"/>
        <w:rPr>
          <w:rFonts w:ascii="Arial" w:cs="Arial" w:eastAsia="Arial" w:hAnsi="Arial"/>
          <w:sz w:val="15"/>
          <w:szCs w:val="15"/>
          <w:color w:val="auto"/>
        </w:rPr>
      </w:pPr>
    </w:p>
    <w:p>
      <w:pPr>
        <w:ind w:left="300" w:hanging="297"/>
        <w:spacing w:after="0"/>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54" w:lineRule="exact"/>
        <w:rPr>
          <w:rFonts w:ascii="Arial" w:cs="Arial" w:eastAsia="Arial" w:hAnsi="Arial"/>
          <w:sz w:val="16"/>
          <w:szCs w:val="16"/>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42" w:lineRule="exact"/>
        <w:rPr>
          <w:rFonts w:ascii="Arial" w:cs="Arial" w:eastAsia="Arial" w:hAnsi="Arial"/>
          <w:sz w:val="17"/>
          <w:szCs w:val="17"/>
          <w:color w:val="auto"/>
        </w:rPr>
      </w:pPr>
    </w:p>
    <w:p>
      <w:pPr>
        <w:ind w:left="320" w:right="160" w:hanging="317"/>
        <w:spacing w:after="0" w:line="279" w:lineRule="auto"/>
        <w:tabs>
          <w:tab w:leader="none" w:pos="314"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Expenses related to share-based compensation, including $14 million and $29 million for the three and six months ended June 30, 2022, respectively, related to liability awards accounted for under ASC 718.</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Reflects fees and other expenses related to our proposed transaction with Microsoft, which primarily consist of legal and advisory fees.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Activision</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Activision’s segment net revenues and operating income for the three months ended June 30, 2022, as compared to the three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June 30, 2021, was primarily due to lower revenues from:</w:t>
      </w:r>
    </w:p>
    <w:p>
      <w:pPr>
        <w:spacing w:after="0" w:line="232" w:lineRule="exact"/>
        <w:rPr>
          <w:sz w:val="20"/>
          <w:szCs w:val="20"/>
          <w:color w:val="auto"/>
        </w:rPr>
      </w:pPr>
    </w:p>
    <w:p>
      <w:pPr>
        <w:ind w:left="920" w:hanging="298"/>
        <w:spacing w:after="0"/>
        <w:tabs>
          <w:tab w:leader="none" w:pos="92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right="100" w:firstLine="387"/>
        <w:spacing w:after="0" w:line="266" w:lineRule="auto"/>
        <w:rPr>
          <w:sz w:val="20"/>
          <w:szCs w:val="20"/>
          <w:color w:val="auto"/>
        </w:rPr>
      </w:pPr>
      <w:r>
        <w:rPr>
          <w:rFonts w:ascii="Arial" w:cs="Arial" w:eastAsia="Arial" w:hAnsi="Arial"/>
          <w:sz w:val="17"/>
          <w:szCs w:val="17"/>
          <w:color w:val="auto"/>
        </w:rPr>
        <w:t>This decrease in Activision’s segment operating income was partially offset by lower product development costs, primarily driven by (1) lower bonuses as a result of lower business performance and (2) higher capitalization of development costs. These were partially offset by increased costs from expanded development personnel.</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Cost of revenues for Activision were comparable with the prior year, as higher software amortization costs for </w:t>
      </w:r>
      <w:r>
        <w:rPr>
          <w:rFonts w:ascii="Arial" w:cs="Arial" w:eastAsia="Arial" w:hAnsi="Arial"/>
          <w:sz w:val="15"/>
          <w:szCs w:val="15"/>
          <w:i w:val="1"/>
          <w:iCs w:val="1"/>
          <w:color w:val="auto"/>
        </w:rPr>
        <w:t>Call of Duty: Vanguard</w:t>
      </w:r>
      <w:r>
        <w:rPr>
          <w:rFonts w:ascii="Arial" w:cs="Arial" w:eastAsia="Arial" w:hAnsi="Arial"/>
          <w:sz w:val="15"/>
          <w:szCs w:val="15"/>
          <w:color w:val="auto"/>
        </w:rPr>
        <w:t xml:space="preserve"> as compared to </w:t>
      </w:r>
      <w:r>
        <w:rPr>
          <w:rFonts w:ascii="Arial" w:cs="Arial" w:eastAsia="Arial" w:hAnsi="Arial"/>
          <w:sz w:val="15"/>
          <w:szCs w:val="15"/>
          <w:i w:val="1"/>
          <w:iCs w:val="1"/>
          <w:color w:val="auto"/>
        </w:rPr>
        <w:t>Call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Duty: Black Ops Cold War </w:t>
      </w:r>
      <w:r>
        <w:rPr>
          <w:rFonts w:ascii="Arial" w:cs="Arial" w:eastAsia="Arial" w:hAnsi="Arial"/>
          <w:sz w:val="17"/>
          <w:szCs w:val="17"/>
          <w:color w:val="auto"/>
        </w:rPr>
        <w:t>were largely offset by lower cost of revenues from various other titles as a result of lower revenues</w:t>
      </w:r>
      <w:r>
        <w:rPr>
          <w:rFonts w:ascii="Arial" w:cs="Arial" w:eastAsia="Arial" w:hAnsi="Arial"/>
          <w:sz w:val="17"/>
          <w:szCs w:val="17"/>
          <w:i w:val="1"/>
          <w:iCs w:val="1"/>
          <w:color w:val="auto"/>
        </w:rPr>
        <w:t>.</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Blizzard</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Blizzard’s segment net revenues and operating income for the three months ended June 30, 2022, as compared to the three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June 30, 2021, was primarily due to lower revenues from </w:t>
      </w:r>
      <w:r>
        <w:rPr>
          <w:rFonts w:ascii="Arial" w:cs="Arial" w:eastAsia="Arial" w:hAnsi="Arial"/>
          <w:sz w:val="17"/>
          <w:szCs w:val="17"/>
          <w:i w:val="1"/>
          <w:iCs w:val="1"/>
          <w:color w:val="auto"/>
        </w:rPr>
        <w:t>World of Warcraft</w:t>
      </w:r>
      <w:r>
        <w:rPr>
          <w:rFonts w:ascii="Arial" w:cs="Arial" w:eastAsia="Arial" w:hAnsi="Arial"/>
          <w:sz w:val="17"/>
          <w:szCs w:val="17"/>
          <w:color w:val="auto"/>
        </w:rPr>
        <w:t>, partially offset by:</w:t>
      </w:r>
    </w:p>
    <w:p>
      <w:pPr>
        <w:spacing w:after="0" w:line="232" w:lineRule="exact"/>
        <w:rPr>
          <w:sz w:val="20"/>
          <w:szCs w:val="20"/>
          <w:color w:val="auto"/>
        </w:rPr>
      </w:pPr>
    </w:p>
    <w:p>
      <w:pPr>
        <w:ind w:left="940" w:right="60" w:hanging="318"/>
        <w:spacing w:after="0" w:line="279" w:lineRule="auto"/>
        <w:tabs>
          <w:tab w:leader="none" w:pos="936" w:val="left"/>
        </w:tabs>
        <w:numPr>
          <w:ilvl w:val="0"/>
          <w:numId w:val="31"/>
        </w:numPr>
        <w:rPr>
          <w:rFonts w:ascii="Arial" w:cs="Arial" w:eastAsia="Arial" w:hAnsi="Arial"/>
          <w:sz w:val="17"/>
          <w:szCs w:val="17"/>
          <w:i w:val="1"/>
          <w:iCs w:val="1"/>
          <w:color w:val="auto"/>
        </w:rPr>
      </w:pPr>
      <w:r>
        <w:rPr>
          <w:rFonts w:ascii="Arial" w:cs="Arial" w:eastAsia="Arial" w:hAnsi="Arial"/>
          <w:sz w:val="17"/>
          <w:szCs w:val="17"/>
          <w:color w:val="auto"/>
        </w:rPr>
        <w:t xml:space="preserve">higher revenues from </w:t>
      </w:r>
      <w:r>
        <w:rPr>
          <w:rFonts w:ascii="Arial" w:cs="Arial" w:eastAsia="Arial" w:hAnsi="Arial"/>
          <w:sz w:val="17"/>
          <w:szCs w:val="17"/>
          <w:i w:val="1"/>
          <w:iCs w:val="1"/>
          <w:color w:val="auto"/>
        </w:rPr>
        <w:t>Diablo Immortal</w:t>
      </w:r>
      <w:r>
        <w:rPr>
          <w:rFonts w:ascii="Arial" w:cs="Arial" w:eastAsia="Arial" w:hAnsi="Arial"/>
          <w:sz w:val="17"/>
          <w:szCs w:val="17"/>
          <w:color w:val="auto"/>
        </w:rPr>
        <w:t>, however, the benefit to segment operating income from these revenue is partially offset by associated cost of sales and operating expenses;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31"/>
        </w:numPr>
        <w:rPr>
          <w:rFonts w:ascii="Arial" w:cs="Arial" w:eastAsia="Arial" w:hAnsi="Arial"/>
          <w:sz w:val="17"/>
          <w:szCs w:val="17"/>
          <w:i w:val="1"/>
          <w:iCs w:val="1"/>
          <w:color w:val="auto"/>
        </w:rPr>
      </w:pPr>
      <w:r>
        <w:rPr>
          <w:rFonts w:ascii="Arial" w:cs="Arial" w:eastAsia="Arial" w:hAnsi="Arial"/>
          <w:sz w:val="17"/>
          <w:szCs w:val="17"/>
          <w:color w:val="auto"/>
        </w:rPr>
        <w:t xml:space="preserve">lower marketing costs for </w:t>
      </w:r>
      <w:r>
        <w:rPr>
          <w:rFonts w:ascii="Arial" w:cs="Arial" w:eastAsia="Arial" w:hAnsi="Arial"/>
          <w:sz w:val="17"/>
          <w:szCs w:val="17"/>
          <w:i w:val="1"/>
          <w:iCs w:val="1"/>
          <w:color w:val="auto"/>
        </w:rPr>
        <w:t>World of Warcraft.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King</w:t>
      </w:r>
    </w:p>
    <w:p>
      <w:pPr>
        <w:spacing w:after="0" w:line="243" w:lineRule="exact"/>
        <w:rPr>
          <w:sz w:val="20"/>
          <w:szCs w:val="20"/>
          <w:color w:val="auto"/>
        </w:rPr>
      </w:pPr>
    </w:p>
    <w:p>
      <w:pPr>
        <w:ind w:right="580" w:firstLine="387"/>
        <w:spacing w:after="0" w:line="279" w:lineRule="auto"/>
        <w:rPr>
          <w:sz w:val="20"/>
          <w:szCs w:val="20"/>
          <w:color w:val="auto"/>
        </w:rPr>
      </w:pPr>
      <w:r>
        <w:rPr>
          <w:rFonts w:ascii="Arial" w:cs="Arial" w:eastAsia="Arial" w:hAnsi="Arial"/>
          <w:sz w:val="17"/>
          <w:szCs w:val="17"/>
          <w:color w:val="auto"/>
        </w:rPr>
        <w:t>The increase in King’s segment net revenues and operating income for the three months ended June 30, 2022, as compared to the three months ended June 30, 2021, was primarily due to higher revenues from in-game player purchases in the Candy Crush franchise.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resulting increase in King’s segment operating income was partially offset by higher sales and marketing costs, primarily for the Candy Crush franchise.</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Activision</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decrease in Activision’s segment net revenues and operating income for the six months ended June 30, 2022, as compared to the six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June 30, 2021, was primarily due to lower revenues from:</w:t>
      </w:r>
    </w:p>
    <w:p>
      <w:pPr>
        <w:spacing w:after="0" w:line="232" w:lineRule="exact"/>
        <w:rPr>
          <w:sz w:val="20"/>
          <w:szCs w:val="20"/>
          <w:color w:val="auto"/>
        </w:rPr>
      </w:pPr>
    </w:p>
    <w:p>
      <w:pPr>
        <w:ind w:left="920" w:hanging="298"/>
        <w:spacing w:after="0"/>
        <w:tabs>
          <w:tab w:leader="none" w:pos="92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in Activision’s segment operating income was partially offset by:</w:t>
      </w:r>
    </w:p>
    <w:p>
      <w:pPr>
        <w:spacing w:after="0" w:line="243" w:lineRule="exact"/>
        <w:rPr>
          <w:sz w:val="20"/>
          <w:szCs w:val="20"/>
          <w:color w:val="auto"/>
        </w:rPr>
      </w:pPr>
    </w:p>
    <w:p>
      <w:pPr>
        <w:ind w:left="940" w:right="300" w:hanging="318"/>
        <w:spacing w:after="0" w:line="279" w:lineRule="auto"/>
        <w:tabs>
          <w:tab w:leader="none" w:pos="936" w:val="left"/>
        </w:tabs>
        <w:numPr>
          <w:ilvl w:val="0"/>
          <w:numId w:val="33"/>
        </w:numPr>
        <w:rPr>
          <w:rFonts w:ascii="Arial" w:cs="Arial" w:eastAsia="Arial" w:hAnsi="Arial"/>
          <w:sz w:val="17"/>
          <w:szCs w:val="17"/>
          <w:i w:val="1"/>
          <w:iCs w:val="1"/>
          <w:color w:val="auto"/>
        </w:rPr>
      </w:pPr>
      <w:r>
        <w:rPr>
          <w:rFonts w:ascii="Arial" w:cs="Arial" w:eastAsia="Arial" w:hAnsi="Arial"/>
          <w:sz w:val="17"/>
          <w:szCs w:val="17"/>
          <w:color w:val="auto"/>
        </w:rPr>
        <w:t>lower product development costs primarily driven by (1) lower bonuses as a result of lower business performance and (2) higher capitalization of development costs, partially offset by increased costs from expanded development personnel;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lower cost of sales driven by the lower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Blizzard</w:t>
      </w:r>
    </w:p>
    <w:p>
      <w:pPr>
        <w:spacing w:after="0" w:line="243"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 xml:space="preserve">The decrease in Blizzard’s segment net revenues for the six months ended June 30, 2022, as compared to the six months ended June 30, 2021, was primarily due to lower revenues from </w:t>
      </w:r>
      <w:r>
        <w:rPr>
          <w:rFonts w:ascii="Arial" w:cs="Arial" w:eastAsia="Arial" w:hAnsi="Arial"/>
          <w:sz w:val="17"/>
          <w:szCs w:val="17"/>
          <w:i w:val="1"/>
          <w:iCs w:val="1"/>
          <w:color w:val="auto"/>
        </w:rPr>
        <w:t>World of Warcraft.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resulting decrease in Blizzard’s segment operating income was partially offset by:</w:t>
      </w:r>
    </w:p>
    <w:p>
      <w:pPr>
        <w:spacing w:after="0" w:line="243" w:lineRule="exact"/>
        <w:rPr>
          <w:sz w:val="20"/>
          <w:szCs w:val="20"/>
          <w:color w:val="auto"/>
        </w:rPr>
      </w:pPr>
    </w:p>
    <w:p>
      <w:pPr>
        <w:ind w:left="940" w:right="260" w:hanging="318"/>
        <w:spacing w:after="0" w:line="279" w:lineRule="auto"/>
        <w:tabs>
          <w:tab w:leader="none" w:pos="936" w:val="left"/>
        </w:tabs>
        <w:numPr>
          <w:ilvl w:val="0"/>
          <w:numId w:val="34"/>
        </w:numPr>
        <w:rPr>
          <w:rFonts w:ascii="Arial" w:cs="Arial" w:eastAsia="Arial" w:hAnsi="Arial"/>
          <w:sz w:val="17"/>
          <w:szCs w:val="17"/>
          <w:i w:val="1"/>
          <w:iCs w:val="1"/>
          <w:color w:val="auto"/>
        </w:rPr>
      </w:pPr>
      <w:r>
        <w:rPr>
          <w:rFonts w:ascii="Arial" w:cs="Arial" w:eastAsia="Arial" w:hAnsi="Arial"/>
          <w:sz w:val="17"/>
          <w:szCs w:val="17"/>
          <w:color w:val="auto"/>
        </w:rPr>
        <w:t>lower product development costs, driven by higher capitalized development costs due to product development cycles, partially offset by increased costs from expanded development personnel;</w:t>
      </w:r>
    </w:p>
    <w:p>
      <w:pPr>
        <w:spacing w:after="0" w:line="190" w:lineRule="exact"/>
        <w:rPr>
          <w:rFonts w:ascii="Arial" w:cs="Arial" w:eastAsia="Arial" w:hAnsi="Arial"/>
          <w:sz w:val="17"/>
          <w:szCs w:val="17"/>
          <w:i w:val="1"/>
          <w:iCs w:val="1"/>
          <w:color w:val="auto"/>
        </w:rPr>
      </w:pPr>
    </w:p>
    <w:p>
      <w:pPr>
        <w:ind w:left="940" w:hanging="318"/>
        <w:spacing w:after="0" w:line="279" w:lineRule="auto"/>
        <w:tabs>
          <w:tab w:leader="none" w:pos="936" w:val="left"/>
        </w:tabs>
        <w:numPr>
          <w:ilvl w:val="0"/>
          <w:numId w:val="34"/>
        </w:numPr>
        <w:rPr>
          <w:rFonts w:ascii="Arial" w:cs="Arial" w:eastAsia="Arial" w:hAnsi="Arial"/>
          <w:sz w:val="17"/>
          <w:szCs w:val="17"/>
          <w:i w:val="1"/>
          <w:iCs w:val="1"/>
          <w:color w:val="auto"/>
        </w:rPr>
      </w:pPr>
      <w:r>
        <w:rPr>
          <w:rFonts w:ascii="Arial" w:cs="Arial" w:eastAsia="Arial" w:hAnsi="Arial"/>
          <w:sz w:val="17"/>
          <w:szCs w:val="17"/>
          <w:color w:val="auto"/>
        </w:rPr>
        <w:t xml:space="preserve">higher revenues from </w:t>
      </w:r>
      <w:r>
        <w:rPr>
          <w:rFonts w:ascii="Arial" w:cs="Arial" w:eastAsia="Arial" w:hAnsi="Arial"/>
          <w:sz w:val="17"/>
          <w:szCs w:val="17"/>
          <w:i w:val="1"/>
          <w:iCs w:val="1"/>
          <w:color w:val="auto"/>
        </w:rPr>
        <w:t>Diablo Immortal</w:t>
      </w:r>
      <w:r>
        <w:rPr>
          <w:rFonts w:ascii="Arial" w:cs="Arial" w:eastAsia="Arial" w:hAnsi="Arial"/>
          <w:sz w:val="17"/>
          <w:szCs w:val="17"/>
          <w:color w:val="auto"/>
        </w:rPr>
        <w:t>, however, the benefit to segment operating income from these revenues is partially offset by associated cost of sales and operating expenses; and</w:t>
      </w:r>
    </w:p>
    <w:p>
      <w:pPr>
        <w:spacing w:after="0" w:line="190" w:lineRule="exact"/>
        <w:rPr>
          <w:rFonts w:ascii="Arial" w:cs="Arial" w:eastAsia="Arial" w:hAnsi="Arial"/>
          <w:sz w:val="17"/>
          <w:szCs w:val="17"/>
          <w:i w:val="1"/>
          <w:iCs w:val="1"/>
          <w:color w:val="auto"/>
        </w:rPr>
      </w:pPr>
    </w:p>
    <w:p>
      <w:pPr>
        <w:ind w:left="920" w:hanging="298"/>
        <w:spacing w:after="0"/>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lower marketing costs for </w:t>
      </w: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King</w:t>
      </w:r>
    </w:p>
    <w:p>
      <w:pPr>
        <w:spacing w:after="0" w:line="243"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The increase in King’s segment net revenues and operating income for the six months ended June 30, 2022, as compared to the six months ended June 30, 2021, was primarily due to higher revenues from in-game player purchases in the Candy Crush franchise.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resulting increase in King’s segment operating income was partially offset by higher sales and marketing costs, primarily for the Candy Crush franchise.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17"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Changes in foreign exchange rates had a negative impact of $55 million and $81 million on Activision Blizzard’s segment net revenues for the three and six months ended June 30, 2022, respectively, as compared to the same period in the previous year. The changes are primarily due to changes in the value of the U.S. dollar relative to the euro and the British pound.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Distribution Channel</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details our consolidated net revenues by distribution channel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4000" w:type="dxa"/>
            <w:vAlign w:val="bottom"/>
            <w:gridSpan w:val="9"/>
          </w:tcPr>
          <w:p>
            <w:pPr>
              <w:ind w:left="700"/>
              <w:spacing w:after="0"/>
              <w:rPr>
                <w:sz w:val="20"/>
                <w:szCs w:val="20"/>
                <w:color w:val="auto"/>
              </w:rPr>
            </w:pPr>
            <w:r>
              <w:rPr>
                <w:rFonts w:ascii="Arial" w:cs="Arial" w:eastAsia="Arial" w:hAnsi="Arial"/>
                <w:sz w:val="15"/>
                <w:szCs w:val="15"/>
                <w:b w:val="1"/>
                <w:bCs w:val="1"/>
                <w:color w:val="auto"/>
              </w:rPr>
              <w:t>For the Three Months Ended June 30,</w:t>
            </w:r>
          </w:p>
        </w:tc>
        <w:tc>
          <w:tcPr>
            <w:tcW w:w="280" w:type="dxa"/>
            <w:vAlign w:val="bottom"/>
          </w:tcPr>
          <w:p>
            <w:pPr>
              <w:spacing w:after="0"/>
              <w:rPr>
                <w:sz w:val="17"/>
                <w:szCs w:val="17"/>
                <w:color w:val="auto"/>
              </w:rPr>
            </w:pPr>
          </w:p>
        </w:tc>
        <w:tc>
          <w:tcPr>
            <w:tcW w:w="3620" w:type="dxa"/>
            <w:vAlign w:val="bottom"/>
            <w:gridSpan w:val="7"/>
          </w:tcPr>
          <w:p>
            <w:pPr>
              <w:jc w:val="right"/>
              <w:ind w:right="697"/>
              <w:spacing w:after="0"/>
              <w:rPr>
                <w:sz w:val="20"/>
                <w:szCs w:val="20"/>
                <w:color w:val="auto"/>
              </w:rPr>
            </w:pPr>
            <w:r>
              <w:rPr>
                <w:rFonts w:ascii="Arial" w:cs="Arial" w:eastAsia="Arial" w:hAnsi="Arial"/>
                <w:sz w:val="15"/>
                <w:szCs w:val="15"/>
                <w:b w:val="1"/>
                <w:bCs w:val="1"/>
                <w:color w:val="auto"/>
              </w:rPr>
              <w:t>For the Six Months Ended June 30,</w:t>
            </w: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17"/>
              <w:spacing w:after="0" w:line="151" w:lineRule="exact"/>
              <w:rPr>
                <w:sz w:val="20"/>
                <w:szCs w:val="20"/>
                <w:color w:val="auto"/>
              </w:rPr>
            </w:pPr>
            <w:r>
              <w:rPr>
                <w:rFonts w:ascii="Arial" w:cs="Arial" w:eastAsia="Arial" w:hAnsi="Arial"/>
                <w:sz w:val="15"/>
                <w:szCs w:val="15"/>
                <w:b w:val="1"/>
                <w:bCs w:val="1"/>
                <w:color w:val="auto"/>
                <w:w w:val="92"/>
              </w:rPr>
              <w:t>Increase/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3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(decrease)</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7"/>
              <w:spacing w:after="0"/>
              <w:rPr>
                <w:sz w:val="20"/>
                <w:szCs w:val="20"/>
                <w:color w:val="auto"/>
              </w:rPr>
            </w:pPr>
            <w:r>
              <w:rPr>
                <w:rFonts w:ascii="Arial" w:cs="Arial" w:eastAsia="Arial" w:hAnsi="Arial"/>
                <w:sz w:val="15"/>
                <w:szCs w:val="15"/>
                <w:b w:val="1"/>
                <w:bCs w:val="1"/>
                <w:color w:val="auto"/>
                <w:w w:val="98"/>
              </w:rPr>
              <w:t>(decrease)</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distribution channel:</w:t>
            </w: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Digital online channels (1)</w:t>
            </w:r>
          </w:p>
        </w:tc>
        <w:tc>
          <w:tcPr>
            <w:tcW w:w="780" w:type="dxa"/>
            <w:vAlign w:val="bottom"/>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1,474</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3,063</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4,031</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Retail channels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(2)</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consolidated net revenues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1,644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right="20" w:hanging="317"/>
        <w:spacing w:after="0" w:line="279" w:lineRule="auto"/>
        <w:tabs>
          <w:tab w:leader="none" w:pos="314"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downloadable content, microtransactions, subscriptions, and products, as well as licensing royalties.</w:t>
      </w:r>
    </w:p>
    <w:p>
      <w:pPr>
        <w:spacing w:after="0" w:line="190" w:lineRule="exact"/>
        <w:rPr>
          <w:rFonts w:ascii="Arial" w:cs="Arial" w:eastAsia="Arial" w:hAnsi="Arial"/>
          <w:sz w:val="17"/>
          <w:szCs w:val="17"/>
          <w:color w:val="auto"/>
        </w:rPr>
      </w:pPr>
    </w:p>
    <w:p>
      <w:pPr>
        <w:ind w:left="300" w:hanging="297"/>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7" w:lineRule="exact"/>
        <w:rPr>
          <w:sz w:val="20"/>
          <w:szCs w:val="20"/>
          <w:color w:val="auto"/>
        </w:rPr>
      </w:pPr>
    </w:p>
    <w:p>
      <w:pPr>
        <w:ind w:left="380"/>
        <w:spacing w:after="0"/>
        <w:rPr>
          <w:sz w:val="20"/>
          <w:szCs w:val="20"/>
          <w:color w:val="auto"/>
        </w:rPr>
      </w:pPr>
      <w:r>
        <w:rPr>
          <w:rFonts w:ascii="Arial" w:cs="Arial" w:eastAsia="Arial" w:hAnsi="Arial"/>
          <w:sz w:val="15"/>
          <w:szCs w:val="15"/>
          <w:u w:val="single" w:color="auto"/>
          <w:color w:val="auto"/>
        </w:rPr>
        <w:t>Q2 2022 vs. Q2 2021</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43"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The decrease in net revenues from digital online channels for the three months ended June 30, 2022, as compared to the three months ended June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6"/>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higher revenues from in-game player purchases in the Candy Crush franchise.</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Retail Channel Net Revenues</w:t>
      </w:r>
    </w:p>
    <w:p>
      <w:pPr>
        <w:spacing w:after="0" w:line="243"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 xml:space="preserve">The decrease in net revenues from retail channels for the three months ended June 30, 2022, as compared to the three months ended June 30,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Digital Online Channel Net Revenues</w:t>
      </w:r>
    </w:p>
    <w:p>
      <w:pPr>
        <w:spacing w:after="0" w:line="24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decrease in net revenues from digital online channels for the six months ended June 30, 2022, as compared to the six months ended June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decrease was partially offset by higher revenues from in-game player purchases in the Candy Crush franchise.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Retail Channel Net Revenues</w:t>
      </w:r>
    </w:p>
    <w:p>
      <w:pPr>
        <w:spacing w:after="0" w:line="243"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 xml:space="preserve">The decrease in net revenues from retail channels for the six months ended June 30, 2022, as compared to the six months ended June 30, 2021, was primarily due to lower revenues from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Platform</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our net revenues by platform (amounts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4000" w:type="dxa"/>
            <w:vAlign w:val="bottom"/>
            <w:gridSpan w:val="9"/>
          </w:tcPr>
          <w:p>
            <w:pPr>
              <w:ind w:left="700"/>
              <w:spacing w:after="0"/>
              <w:rPr>
                <w:sz w:val="20"/>
                <w:szCs w:val="20"/>
                <w:color w:val="auto"/>
              </w:rPr>
            </w:pPr>
            <w:r>
              <w:rPr>
                <w:rFonts w:ascii="Arial" w:cs="Arial" w:eastAsia="Arial" w:hAnsi="Arial"/>
                <w:sz w:val="15"/>
                <w:szCs w:val="15"/>
                <w:b w:val="1"/>
                <w:bCs w:val="1"/>
                <w:color w:val="auto"/>
              </w:rPr>
              <w:t>For the Three Months Ended June 30,</w:t>
            </w:r>
          </w:p>
        </w:tc>
        <w:tc>
          <w:tcPr>
            <w:tcW w:w="280" w:type="dxa"/>
            <w:vAlign w:val="bottom"/>
          </w:tcPr>
          <w:p>
            <w:pPr>
              <w:spacing w:after="0"/>
              <w:rPr>
                <w:sz w:val="17"/>
                <w:szCs w:val="17"/>
                <w:color w:val="auto"/>
              </w:rPr>
            </w:pPr>
          </w:p>
        </w:tc>
        <w:tc>
          <w:tcPr>
            <w:tcW w:w="3620" w:type="dxa"/>
            <w:vAlign w:val="bottom"/>
            <w:gridSpan w:val="7"/>
          </w:tcPr>
          <w:p>
            <w:pPr>
              <w:jc w:val="right"/>
              <w:ind w:right="697"/>
              <w:spacing w:after="0"/>
              <w:rPr>
                <w:sz w:val="20"/>
                <w:szCs w:val="20"/>
                <w:color w:val="auto"/>
              </w:rPr>
            </w:pPr>
            <w:r>
              <w:rPr>
                <w:rFonts w:ascii="Arial" w:cs="Arial" w:eastAsia="Arial" w:hAnsi="Arial"/>
                <w:sz w:val="15"/>
                <w:szCs w:val="15"/>
                <w:b w:val="1"/>
                <w:bCs w:val="1"/>
                <w:color w:val="auto"/>
              </w:rPr>
              <w:t>For the Six Months Ended June 30,</w:t>
            </w: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17"/>
              <w:spacing w:after="0" w:line="151" w:lineRule="exact"/>
              <w:rPr>
                <w:sz w:val="20"/>
                <w:szCs w:val="20"/>
                <w:color w:val="auto"/>
              </w:rPr>
            </w:pPr>
            <w:r>
              <w:rPr>
                <w:rFonts w:ascii="Arial" w:cs="Arial" w:eastAsia="Arial" w:hAnsi="Arial"/>
                <w:sz w:val="15"/>
                <w:szCs w:val="15"/>
                <w:b w:val="1"/>
                <w:bCs w:val="1"/>
                <w:color w:val="auto"/>
                <w:w w:val="92"/>
              </w:rPr>
              <w:t>Increase/</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37"/>
              <w:spacing w:after="0" w:line="151" w:lineRule="exact"/>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(decrease)</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97"/>
              <w:spacing w:after="0"/>
              <w:rPr>
                <w:sz w:val="20"/>
                <w:szCs w:val="20"/>
                <w:color w:val="auto"/>
              </w:rPr>
            </w:pPr>
            <w:r>
              <w:rPr>
                <w:rFonts w:ascii="Arial" w:cs="Arial" w:eastAsia="Arial" w:hAnsi="Arial"/>
                <w:sz w:val="15"/>
                <w:szCs w:val="15"/>
                <w:b w:val="1"/>
                <w:bCs w:val="1"/>
                <w:color w:val="auto"/>
                <w:w w:val="98"/>
              </w:rPr>
              <w:t>(decrease)</w:t>
            </w:r>
          </w:p>
        </w:tc>
        <w:tc>
          <w:tcPr>
            <w:tcW w:w="0" w:type="dxa"/>
            <w:vAlign w:val="bottom"/>
          </w:tcPr>
          <w:p>
            <w:pPr>
              <w:spacing w:after="0"/>
              <w:rPr>
                <w:sz w:val="1"/>
                <w:szCs w:val="1"/>
                <w:color w:val="auto"/>
              </w:rPr>
            </w:pPr>
          </w:p>
        </w:tc>
      </w:tr>
      <w:tr>
        <w:trPr>
          <w:trHeight w:val="201"/>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platform:</w:t>
            </w: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Console</w:t>
            </w:r>
          </w:p>
        </w:tc>
        <w:tc>
          <w:tcPr>
            <w:tcW w:w="780" w:type="dxa"/>
            <w:vAlign w:val="bottom"/>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376</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859</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1,538</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7"/>
                <w:szCs w:val="17"/>
                <w:color w:val="auto"/>
              </w:rPr>
              <w:t>Mobile and ancillary (1)</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(2)</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780" w:type="dxa"/>
            <w:vAlign w:val="bottom"/>
            <w:tcBorders>
              <w:bottom w:val="single" w:sz="8" w:color="auto"/>
            </w:tcBorders>
          </w:tcPr>
          <w:p>
            <w:pPr>
              <w:jc w:val="right"/>
              <w:ind w:right="598"/>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1,644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Net revenues from “Mobile and ancillary” primarily include revenues from mobile devices.</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Net revenues from “Other” primarily include revenues from our Distribution business, the Overwatch League, and the Call of Duty League.</w:t>
      </w:r>
    </w:p>
    <w:p>
      <w:pPr>
        <w:spacing w:after="0" w:line="247"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5"/>
          <w:szCs w:val="15"/>
          <w:u w:val="single" w:color="auto"/>
          <w:color w:val="auto"/>
        </w:rPr>
        <w:t>Q2 2022 vs. Q2 2021</w:t>
      </w:r>
    </w:p>
    <w:p>
      <w:pPr>
        <w:spacing w:after="0" w:line="235"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i w:val="1"/>
          <w:iCs w:val="1"/>
          <w:color w:val="auto"/>
        </w:rPr>
        <w:t>Console</w:t>
      </w:r>
    </w:p>
    <w:p>
      <w:pPr>
        <w:spacing w:after="0" w:line="243"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The decrease in net revenues from the console platform for the three months ended June 30, 2022, as compared to the three months ended June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PC</w:t>
      </w:r>
    </w:p>
    <w:p>
      <w:pPr>
        <w:spacing w:after="0" w:line="243" w:lineRule="exact"/>
        <w:rPr>
          <w:sz w:val="20"/>
          <w:szCs w:val="20"/>
          <w:color w:val="auto"/>
        </w:rPr>
      </w:pPr>
    </w:p>
    <w:p>
      <w:pPr>
        <w:ind w:right="340" w:firstLine="387"/>
        <w:spacing w:after="0" w:line="279" w:lineRule="auto"/>
        <w:rPr>
          <w:sz w:val="20"/>
          <w:szCs w:val="20"/>
          <w:color w:val="auto"/>
        </w:rPr>
      </w:pPr>
      <w:r>
        <w:rPr>
          <w:rFonts w:ascii="Arial" w:cs="Arial" w:eastAsia="Arial" w:hAnsi="Arial"/>
          <w:sz w:val="17"/>
          <w:szCs w:val="17"/>
          <w:color w:val="auto"/>
        </w:rPr>
        <w:t>The decrease in net revenues from the PC platform for the three months ended June 30, 2022, as compared to the three months ended June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Mobile and Ancillary</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increase in net revenues from mobile and ancillary for the three months ended June 30, 2022, as compared to the three months ended June 30, 2021, was primarily due to higher revenues from in-game player purchases in the Candy Crush franchise.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Console</w:t>
      </w:r>
    </w:p>
    <w:p>
      <w:pPr>
        <w:spacing w:after="0" w:line="243"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The decrease in net revenues from the console platform for the six months ended June 30, 2022, as compared to the six months ended June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920" w:hanging="298"/>
        <w:spacing w:after="0"/>
        <w:tabs>
          <w:tab w:leader="none" w:pos="920"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Black Ops Cold War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Modern Warfare</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PC</w:t>
      </w:r>
    </w:p>
    <w:p>
      <w:pPr>
        <w:spacing w:after="0" w:line="243" w:lineRule="exact"/>
        <w:rPr>
          <w:sz w:val="20"/>
          <w:szCs w:val="20"/>
          <w:color w:val="auto"/>
        </w:rPr>
      </w:pPr>
    </w:p>
    <w:p>
      <w:pPr>
        <w:ind w:right="620" w:firstLine="387"/>
        <w:spacing w:after="0" w:line="279" w:lineRule="auto"/>
        <w:rPr>
          <w:sz w:val="20"/>
          <w:szCs w:val="20"/>
          <w:color w:val="auto"/>
        </w:rPr>
      </w:pPr>
      <w:r>
        <w:rPr>
          <w:rFonts w:ascii="Arial" w:cs="Arial" w:eastAsia="Arial" w:hAnsi="Arial"/>
          <w:sz w:val="17"/>
          <w:szCs w:val="17"/>
          <w:color w:val="auto"/>
        </w:rPr>
        <w:t>The decrease in net revenues from the PC platform for the six months ended June 30, 2022, as compared to the six months ended June 30, 2021, was primarily due to lower revenues from:</w:t>
      </w:r>
    </w:p>
    <w:p>
      <w:pPr>
        <w:spacing w:after="0" w:line="190" w:lineRule="exact"/>
        <w:rPr>
          <w:sz w:val="20"/>
          <w:szCs w:val="20"/>
          <w:color w:val="auto"/>
        </w:rPr>
      </w:pPr>
    </w:p>
    <w:p>
      <w:pPr>
        <w:ind w:left="920" w:hanging="298"/>
        <w:spacing w:after="0"/>
        <w:tabs>
          <w:tab w:leader="none" w:pos="92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42" w:lineRule="exact"/>
        <w:rPr>
          <w:rFonts w:ascii="Arial" w:cs="Arial" w:eastAsia="Arial" w:hAnsi="Arial"/>
          <w:sz w:val="17"/>
          <w:szCs w:val="17"/>
          <w:i w:val="1"/>
          <w:iCs w:val="1"/>
          <w:color w:val="auto"/>
        </w:rPr>
      </w:pPr>
    </w:p>
    <w:p>
      <w:pPr>
        <w:ind w:left="380" w:right="5200" w:firstLine="242"/>
        <w:spacing w:after="0" w:line="538" w:lineRule="auto"/>
        <w:tabs>
          <w:tab w:leader="none" w:pos="917"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Call of Duty: Vanguard </w:t>
      </w:r>
      <w:r>
        <w:rPr>
          <w:rFonts w:ascii="Arial" w:cs="Arial" w:eastAsia="Arial" w:hAnsi="Arial"/>
          <w:sz w:val="17"/>
          <w:szCs w:val="17"/>
          <w:color w:val="auto"/>
        </w:rPr>
        <w:t>as compared to</w:t>
      </w:r>
      <w:r>
        <w:rPr>
          <w:rFonts w:ascii="Arial" w:cs="Arial" w:eastAsia="Arial" w:hAnsi="Arial"/>
          <w:sz w:val="17"/>
          <w:szCs w:val="17"/>
          <w:i w:val="1"/>
          <w:iCs w:val="1"/>
          <w:color w:val="auto"/>
        </w:rPr>
        <w:t xml:space="preserve"> Call of Duty: Black Ops Cold War. Mobile and Ancillary</w:t>
      </w:r>
    </w:p>
    <w:p>
      <w:pPr>
        <w:ind w:right="340" w:firstLine="387"/>
        <w:spacing w:after="0" w:line="279" w:lineRule="auto"/>
        <w:rPr>
          <w:sz w:val="20"/>
          <w:szCs w:val="20"/>
          <w:color w:val="auto"/>
        </w:rPr>
      </w:pPr>
      <w:r>
        <w:rPr>
          <w:rFonts w:ascii="Arial" w:cs="Arial" w:eastAsia="Arial" w:hAnsi="Arial"/>
          <w:sz w:val="17"/>
          <w:szCs w:val="17"/>
          <w:color w:val="auto"/>
        </w:rPr>
        <w:t>The increase in net revenues from mobile and ancillary for the six months ended June 30, 2022, as compared to the six months ended June 30, 2021, was primarily due to higher revenues from in-game player purchases in the Candy Crush franchise.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revenues—product sales: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Product costs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Software royalties and amortization</w:t>
      </w:r>
    </w:p>
    <w:p>
      <w:pPr>
        <w:spacing w:after="0" w:line="24" w:lineRule="exact"/>
        <w:rPr>
          <w:sz w:val="20"/>
          <w:szCs w:val="20"/>
          <w:color w:val="auto"/>
        </w:rPr>
      </w:pPr>
    </w:p>
    <w:p>
      <w:pPr>
        <w:ind w:left="100" w:hanging="76"/>
        <w:spacing w:after="0" w:line="236" w:lineRule="auto"/>
        <w:rPr>
          <w:sz w:val="20"/>
          <w:szCs w:val="20"/>
          <w:color w:val="auto"/>
        </w:rPr>
      </w:pPr>
      <w:r>
        <w:rPr>
          <w:rFonts w:ascii="Arial" w:cs="Arial" w:eastAsia="Arial" w:hAnsi="Arial"/>
          <w:sz w:val="17"/>
          <w:szCs w:val="17"/>
          <w:color w:val="auto"/>
        </w:rPr>
        <w:t>Cost of revenues—in-game, subscription, and other:</w:t>
      </w:r>
    </w:p>
    <w:p>
      <w:pPr>
        <w:spacing w:after="0" w:line="2" w:lineRule="exact"/>
        <w:rPr>
          <w:sz w:val="20"/>
          <w:szCs w:val="20"/>
          <w:color w:val="auto"/>
        </w:rPr>
      </w:pPr>
    </w:p>
    <w:p>
      <w:pPr>
        <w:ind w:left="140" w:right="60"/>
        <w:spacing w:after="0" w:line="331" w:lineRule="auto"/>
        <w:rPr>
          <w:sz w:val="20"/>
          <w:szCs w:val="20"/>
          <w:color w:val="auto"/>
        </w:rPr>
      </w:pPr>
      <w:r>
        <w:rPr>
          <w:rFonts w:ascii="Arial" w:cs="Arial" w:eastAsia="Arial" w:hAnsi="Arial"/>
          <w:sz w:val="15"/>
          <w:szCs w:val="15"/>
          <w:color w:val="auto"/>
        </w:rPr>
        <w:t>Game operations and distribution costs Software royalties and amortization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cost of revenues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Three Months Ended June</w:t>
            </w: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Three Months Ended June</w:t>
            </w: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311"/>
              <w:spacing w:after="0" w:line="129" w:lineRule="exact"/>
              <w:rPr>
                <w:sz w:val="20"/>
                <w:szCs w:val="20"/>
                <w:color w:val="auto"/>
              </w:rPr>
            </w:pPr>
            <w:r>
              <w:rPr>
                <w:rFonts w:ascii="Arial" w:cs="Arial" w:eastAsia="Arial" w:hAnsi="Arial"/>
                <w:sz w:val="14"/>
                <w:szCs w:val="14"/>
                <w:b w:val="1"/>
                <w:bCs w:val="1"/>
                <w:color w:val="auto"/>
                <w:w w:val="82"/>
              </w:rPr>
              <w:t>associated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30, 2022</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83"/>
              </w:rPr>
              <w:t>net revenues</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418"/>
        </w:trPr>
        <w:tc>
          <w:tcPr>
            <w:tcW w:w="1200" w:type="dxa"/>
            <w:vAlign w:val="bottom"/>
          </w:tcPr>
          <w:p>
            <w:pPr>
              <w:jc w:val="right"/>
              <w:ind w:right="1023"/>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7"/>
              </w:rPr>
              <w:t>26 %</w:t>
            </w:r>
          </w:p>
        </w:tc>
        <w:tc>
          <w:tcPr>
            <w:tcW w:w="100" w:type="dxa"/>
            <w:vAlign w:val="bottom"/>
          </w:tcPr>
          <w:p>
            <w:pPr>
              <w:spacing w:after="0"/>
              <w:rPr>
                <w:sz w:val="24"/>
                <w:szCs w:val="24"/>
                <w:color w:val="auto"/>
              </w:rPr>
            </w:pPr>
          </w:p>
        </w:tc>
        <w:tc>
          <w:tcPr>
            <w:tcW w:w="360" w:type="dxa"/>
            <w:vAlign w:val="bottom"/>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116</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20 %</w:t>
            </w:r>
          </w:p>
        </w:tc>
        <w:tc>
          <w:tcPr>
            <w:tcW w:w="12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9"/>
        </w:trPr>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ind w:right="114"/>
              <w:spacing w:after="0"/>
              <w:rPr>
                <w:sz w:val="20"/>
                <w:szCs w:val="20"/>
                <w:color w:val="auto"/>
              </w:rPr>
            </w:pPr>
            <w:r>
              <w:rPr>
                <w:rFonts w:ascii="Arial" w:cs="Arial" w:eastAsia="Arial" w:hAnsi="Arial"/>
                <w:sz w:val="17"/>
                <w:szCs w:val="17"/>
                <w:color w:val="auto"/>
                <w:w w:val="84"/>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88</w:t>
            </w:r>
          </w:p>
        </w:tc>
        <w:tc>
          <w:tcPr>
            <w:tcW w:w="1620" w:type="dxa"/>
            <w:vAlign w:val="bottom"/>
            <w:gridSpan w:val="2"/>
          </w:tcPr>
          <w:p>
            <w:pPr>
              <w:jc w:val="right"/>
              <w:ind w:right="131"/>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606"/>
        </w:trPr>
        <w:tc>
          <w:tcPr>
            <w:tcW w:w="1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jc w:val="right"/>
              <w:ind w:right="114"/>
              <w:spacing w:after="0"/>
              <w:rPr>
                <w:sz w:val="20"/>
                <w:szCs w:val="20"/>
                <w:color w:val="auto"/>
              </w:rPr>
            </w:pPr>
            <w:r>
              <w:rPr>
                <w:rFonts w:ascii="Arial" w:cs="Arial" w:eastAsia="Arial" w:hAnsi="Arial"/>
                <w:sz w:val="17"/>
                <w:szCs w:val="17"/>
                <w:color w:val="auto"/>
                <w:w w:val="84"/>
              </w:rPr>
              <w:t>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322</w:t>
            </w:r>
          </w:p>
        </w:tc>
        <w:tc>
          <w:tcPr>
            <w:tcW w:w="1620" w:type="dxa"/>
            <w:vAlign w:val="bottom"/>
            <w:gridSpan w:val="2"/>
          </w:tcPr>
          <w:p>
            <w:pPr>
              <w:jc w:val="right"/>
              <w:ind w:right="131"/>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1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620" w:type="dxa"/>
            <w:vAlign w:val="bottom"/>
            <w:gridSpan w:val="2"/>
          </w:tcPr>
          <w:p>
            <w:pPr>
              <w:jc w:val="right"/>
              <w:ind w:right="131"/>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1200" w:type="dxa"/>
            <w:vAlign w:val="bottom"/>
            <w:tcBorders>
              <w:bottom w:val="single" w:sz="8" w:color="auto"/>
            </w:tcBorders>
          </w:tcPr>
          <w:p>
            <w:pPr>
              <w:jc w:val="right"/>
              <w:ind w:right="1023"/>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7"/>
              </w:rPr>
              <w:t>30 %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24 %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-1120775</wp:posOffset>
            </wp:positionV>
            <wp:extent cx="7138670" cy="139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-842645</wp:posOffset>
            </wp:positionV>
            <wp:extent cx="7138670" cy="139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-457835</wp:posOffset>
            </wp:positionV>
            <wp:extent cx="7138670" cy="139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-179705</wp:posOffset>
            </wp:positionV>
            <wp:extent cx="7138670" cy="163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160"/>
            <w:col w:w="820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Six Months Ended June 30,</w:t>
            </w:r>
          </w:p>
        </w:tc>
        <w:tc>
          <w:tcPr>
            <w:tcW w:w="12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Six Months Ended June 30,</w:t>
            </w: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2"/>
              </w:rPr>
              <w:t>associated</w:t>
            </w:r>
          </w:p>
        </w:tc>
        <w:tc>
          <w:tcPr>
            <w:tcW w:w="1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2"/>
              </w:rPr>
              <w:t>associated</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net revenues</w:t>
            </w:r>
          </w:p>
        </w:tc>
        <w:tc>
          <w:tcPr>
            <w:tcW w:w="400" w:type="dxa"/>
            <w:vAlign w:val="bottom"/>
          </w:tcPr>
          <w:p>
            <w:pPr>
              <w:spacing w:after="0"/>
              <w:rPr>
                <w:sz w:val="15"/>
                <w:szCs w:val="15"/>
                <w:color w:val="auto"/>
              </w:rPr>
            </w:pPr>
          </w:p>
        </w:tc>
        <w:tc>
          <w:tcPr>
            <w:tcW w:w="1280" w:type="dxa"/>
            <w:vAlign w:val="bottom"/>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5"/>
                <w:szCs w:val="15"/>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4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40"/>
              <w:spacing w:after="0"/>
              <w:rPr>
                <w:sz w:val="20"/>
                <w:szCs w:val="20"/>
                <w:color w:val="auto"/>
              </w:rPr>
            </w:pPr>
            <w:r>
              <w:rPr>
                <w:rFonts w:ascii="Arial" w:cs="Arial" w:eastAsia="Arial" w:hAnsi="Arial"/>
                <w:sz w:val="17"/>
                <w:szCs w:val="17"/>
                <w:color w:val="auto"/>
              </w:rPr>
              <w:t>Product costs</w:t>
            </w:r>
          </w:p>
        </w:tc>
        <w:tc>
          <w:tcPr>
            <w:tcW w:w="40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255</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21 %</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royalties and amortization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6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line="168" w:lineRule="exact"/>
              <w:rPr>
                <w:sz w:val="20"/>
                <w:szCs w:val="20"/>
                <w:color w:val="auto"/>
              </w:rPr>
            </w:pPr>
            <w:r>
              <w:rPr>
                <w:rFonts w:ascii="Arial" w:cs="Arial" w:eastAsia="Arial" w:hAnsi="Arial"/>
                <w:sz w:val="17"/>
                <w:szCs w:val="17"/>
                <w:color w:val="auto"/>
                <w:w w:val="96"/>
              </w:rPr>
              <w:t>Cost of revenues—in-game, subscription,</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040" w:type="dxa"/>
            <w:vAlign w:val="bottom"/>
          </w:tcPr>
          <w:p>
            <w:pPr>
              <w:ind w:left="100"/>
              <w:spacing w:after="0"/>
              <w:rPr>
                <w:sz w:val="20"/>
                <w:szCs w:val="20"/>
                <w:color w:val="auto"/>
              </w:rPr>
            </w:pPr>
            <w:r>
              <w:rPr>
                <w:rFonts w:ascii="Arial" w:cs="Arial" w:eastAsia="Arial" w:hAnsi="Arial"/>
                <w:sz w:val="17"/>
                <w:szCs w:val="17"/>
                <w:color w:val="auto"/>
              </w:rPr>
              <w:t>and other:</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7"/>
              </w:rPr>
              <w:t>Game operations and distribution costs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6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62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3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Software royalties and amortization</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640" w:type="dxa"/>
            <w:vAlign w:val="bottom"/>
            <w:tcBorders>
              <w:bottom w:val="single" w:sz="8" w:color="CCEEFF"/>
            </w:tcBorders>
            <w:gridSpan w:val="2"/>
          </w:tcPr>
          <w:p>
            <w:pPr>
              <w:jc w:val="right"/>
              <w:ind w:right="131"/>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620" w:type="dxa"/>
            <w:vAlign w:val="bottom"/>
            <w:tcBorders>
              <w:bottom w:val="single" w:sz="8" w:color="CCEEFF"/>
            </w:tcBorders>
            <w:gridSpan w:val="2"/>
          </w:tcPr>
          <w:p>
            <w:pPr>
              <w:jc w:val="right"/>
              <w:ind w:right="131"/>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Revenues—Product Sales</w:t>
      </w:r>
      <w:r>
        <w:rPr>
          <w:rFonts w:ascii="Arial" w:cs="Arial" w:eastAsia="Arial" w:hAnsi="Arial"/>
          <w:sz w:val="17"/>
          <w:szCs w:val="17"/>
          <w:color w:val="auto"/>
        </w:rPr>
        <w:t>:</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decrease in product costs for the three months ended June 30, 2022, as compared to the three months ended June 30, 2021, was driven by a $23 million decrease in product costs for our Distribution business due to lower revenues.</w:t>
      </w:r>
    </w:p>
    <w:p>
      <w:pPr>
        <w:spacing w:after="0" w:line="190"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 xml:space="preserve">The decrease in software royalties and amortization related to product sales for the three months ended June 30, 2022, as compared to the three months ended June 30, 2021, was primarily due to a $29 million decrease in software amortization and royalties from Blizzard, driven by lower software amortization and royalties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as the prior year included amortization associated with the release of </w:t>
      </w:r>
      <w:r>
        <w:rPr>
          <w:rFonts w:ascii="Arial" w:cs="Arial" w:eastAsia="Arial" w:hAnsi="Arial"/>
          <w:sz w:val="17"/>
          <w:szCs w:val="17"/>
          <w:i w:val="1"/>
          <w:iCs w:val="1"/>
          <w:color w:val="auto"/>
        </w:rPr>
        <w:t>World of Warcraft: Shadowlands</w:t>
      </w:r>
      <w:r>
        <w:rPr>
          <w:rFonts w:ascii="Arial" w:cs="Arial" w:eastAsia="Arial" w:hAnsi="Arial"/>
          <w:sz w:val="17"/>
          <w:szCs w:val="17"/>
          <w:color w:val="auto"/>
        </w:rPr>
        <w:t xml:space="preserve"> with no comparable amortization in the current period.</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 xml:space="preserve">The decrease in product costs for the six months ended June 30, 2022, as compared to the six months ended June 30, 2021, was driven by a $63 million decrease in product costs for our Distribution business due to lower revenues and a $40 million decrease in product costs from Activision, driven by lower product costs for </w:t>
      </w:r>
      <w:r>
        <w:rPr>
          <w:rFonts w:ascii="Arial" w:cs="Arial" w:eastAsia="Arial" w:hAnsi="Arial"/>
          <w:sz w:val="17"/>
          <w:szCs w:val="17"/>
          <w:i w:val="1"/>
          <w:iCs w:val="1"/>
          <w:color w:val="auto"/>
        </w:rPr>
        <w:t>Call of Duty: Vanguard</w:t>
      </w:r>
      <w:r>
        <w:rPr>
          <w:rFonts w:ascii="Arial" w:cs="Arial" w:eastAsia="Arial" w:hAnsi="Arial"/>
          <w:sz w:val="17"/>
          <w:szCs w:val="17"/>
          <w:color w:val="auto"/>
        </w:rPr>
        <w:t xml:space="preserve"> as compared to </w:t>
      </w:r>
      <w:r>
        <w:rPr>
          <w:rFonts w:ascii="Arial" w:cs="Arial" w:eastAsia="Arial" w:hAnsi="Arial"/>
          <w:sz w:val="17"/>
          <w:szCs w:val="17"/>
          <w:i w:val="1"/>
          <w:iCs w:val="1"/>
          <w:color w:val="auto"/>
        </w:rPr>
        <w:t>Call of Duty: Black Ops Cold War</w:t>
      </w:r>
      <w:r>
        <w:rPr>
          <w:rFonts w:ascii="Arial" w:cs="Arial" w:eastAsia="Arial" w:hAnsi="Arial"/>
          <w:sz w:val="17"/>
          <w:szCs w:val="17"/>
          <w:color w:val="auto"/>
        </w:rPr>
        <w:t xml:space="preserve"> due to lower retail revenues.</w:t>
      </w:r>
    </w:p>
    <w:p>
      <w:pPr>
        <w:spacing w:after="0" w:line="201" w:lineRule="exact"/>
        <w:rPr>
          <w:sz w:val="20"/>
          <w:szCs w:val="20"/>
          <w:color w:val="auto"/>
        </w:rPr>
      </w:pPr>
    </w:p>
    <w:p>
      <w:pPr>
        <w:ind w:right="300" w:firstLine="387"/>
        <w:spacing w:after="0" w:line="262" w:lineRule="auto"/>
        <w:rPr>
          <w:sz w:val="20"/>
          <w:szCs w:val="20"/>
          <w:color w:val="auto"/>
        </w:rPr>
      </w:pPr>
      <w:r>
        <w:rPr>
          <w:rFonts w:ascii="Arial" w:cs="Arial" w:eastAsia="Arial" w:hAnsi="Arial"/>
          <w:sz w:val="17"/>
          <w:szCs w:val="17"/>
          <w:color w:val="auto"/>
        </w:rPr>
        <w:t xml:space="preserve">The decrease in software royalties and amortization related to product sales for the six months ended June 30, 2022, as compared to the six months ended June 30, 2021, was primarily due to a $45 million decrease in software amortization and royalties from Blizzard, driven by lower software amortization and royalties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as the prior year included amortization associated with the release of </w:t>
      </w:r>
      <w:r>
        <w:rPr>
          <w:rFonts w:ascii="Arial" w:cs="Arial" w:eastAsia="Arial" w:hAnsi="Arial"/>
          <w:sz w:val="17"/>
          <w:szCs w:val="17"/>
          <w:i w:val="1"/>
          <w:iCs w:val="1"/>
          <w:color w:val="auto"/>
        </w:rPr>
        <w:t>World of Warcraft: Shadowlands</w:t>
      </w:r>
      <w:r>
        <w:rPr>
          <w:rFonts w:ascii="Arial" w:cs="Arial" w:eastAsia="Arial" w:hAnsi="Arial"/>
          <w:sz w:val="17"/>
          <w:szCs w:val="17"/>
          <w:color w:val="auto"/>
        </w:rPr>
        <w:t xml:space="preserve"> with no comparable amortization in the current period.</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Revenues—In-game, Subscription, and Other Revenues:</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Game operations and distribution costs for the three months ended June 30, 2022 were comparable to the three months ended June 30, 2021.</w:t>
      </w:r>
    </w:p>
    <w:p>
      <w:pPr>
        <w:spacing w:after="0" w:line="243" w:lineRule="exact"/>
        <w:rPr>
          <w:sz w:val="20"/>
          <w:szCs w:val="20"/>
          <w:color w:val="auto"/>
        </w:rPr>
      </w:pPr>
    </w:p>
    <w:p>
      <w:pPr>
        <w:ind w:right="260" w:firstLine="387"/>
        <w:spacing w:after="0" w:line="279" w:lineRule="auto"/>
        <w:rPr>
          <w:sz w:val="20"/>
          <w:szCs w:val="20"/>
          <w:color w:val="auto"/>
        </w:rPr>
      </w:pPr>
      <w:r>
        <w:rPr>
          <w:rFonts w:ascii="Arial" w:cs="Arial" w:eastAsia="Arial" w:hAnsi="Arial"/>
          <w:sz w:val="17"/>
          <w:szCs w:val="17"/>
          <w:color w:val="auto"/>
        </w:rPr>
        <w:t>Software royalties and amortization related to in-game, subscription, and other revenues for the three months ended June 30, 2022 were comparable to the three months ended June 30, 2021.</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Game operations and distribution costs for the six months ended June 30, 2022 were comparable to the six months ended June 30, 2021.</w:t>
      </w:r>
    </w:p>
    <w:p>
      <w:pPr>
        <w:spacing w:after="0" w:line="24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Software royalties and amortization related to in-game, subscription, and other revenues for the six months ended June 30, 2022 were comparable to the six months ended June 30,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31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2022</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5"/>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3"/>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280" w:type="dxa"/>
            <w:vAlign w:val="bottom"/>
            <w:shd w:val="clear" w:color="auto" w:fill="CCEEFF"/>
          </w:tcPr>
          <w:p>
            <w:pPr>
              <w:jc w:val="right"/>
              <w:ind w:right="1100"/>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19 %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Six Months Ended</w:t>
            </w:r>
          </w:p>
        </w:tc>
        <w:tc>
          <w:tcPr>
            <w:tcW w:w="1280" w:type="dxa"/>
            <w:vAlign w:val="bottom"/>
          </w:tcPr>
          <w:p>
            <w:pPr>
              <w:jc w:val="right"/>
              <w:ind w:right="1100"/>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8"/>
              </w:rPr>
              <w:t>658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2"/>
              </w:rPr>
              <w:t>19 %</w:t>
            </w:r>
          </w:p>
        </w:tc>
        <w:tc>
          <w:tcPr>
            <w:tcW w:w="100" w:type="dxa"/>
            <w:vAlign w:val="bottom"/>
          </w:tcPr>
          <w:p>
            <w:pPr>
              <w:spacing w:after="0"/>
              <w:rPr>
                <w:sz w:val="18"/>
                <w:szCs w:val="18"/>
                <w:color w:val="auto"/>
              </w:rPr>
            </w:pPr>
          </w:p>
        </w:tc>
        <w:tc>
          <w:tcPr>
            <w:tcW w:w="1280" w:type="dxa"/>
            <w:vAlign w:val="bottom"/>
          </w:tcPr>
          <w:p>
            <w:pPr>
              <w:jc w:val="right"/>
              <w:ind w:right="110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2"/>
              </w:rPr>
              <w:t>15 %</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The decrease in product development costs for the three months ended June 30, 2022, as compared to the three months ended June 30, 2021, was driven by a $119 million increase in capitalization of development costs resulting from the timing of our game development cycles and higher development spending. This was partially offset by higher development spending of $95 million, primarily as a result of increased development personnel and share-based compensation, but partially offset by lower bonuses as a result of lower business performance.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decrease in product development costs for the six months ended June 30, 2022, as compared to the six months ended June 30, 2021, was driven by a</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$189 million increase in capitalization of development costs, partially offset by higher development spending of $159 million, in both cases due to the same factors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as discussed for the quarter-to-date period above.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2022</w:t>
            </w:r>
          </w:p>
        </w:tc>
        <w:tc>
          <w:tcPr>
            <w:tcW w:w="1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280" w:type="dxa"/>
            <w:vAlign w:val="bottom"/>
          </w:tcPr>
          <w:p>
            <w:pPr>
              <w:spacing w:after="0"/>
              <w:rPr>
                <w:sz w:val="11"/>
                <w:szCs w:val="11"/>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2021</w:t>
            </w:r>
          </w:p>
        </w:tc>
        <w:tc>
          <w:tcPr>
            <w:tcW w:w="16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2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5"/>
                <w:szCs w:val="15"/>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Six Months Ended</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514</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 xml:space="preserve">The increase in sales and marketing expenses for the three months ended June 30, 2022, as compared to the three months ended June 30, 2021, was primarily due to higher marketing spending for the Candy Crush franchise and higher marketing personnel costs as a result of higher share-based compensation, partially offset by lower marketing spending for </w:t>
      </w:r>
      <w:r>
        <w:rPr>
          <w:rFonts w:ascii="Arial" w:cs="Arial" w:eastAsia="Arial" w:hAnsi="Arial"/>
          <w:sz w:val="17"/>
          <w:szCs w:val="17"/>
          <w:i w:val="1"/>
          <w:iCs w:val="1"/>
          <w:color w:val="auto"/>
        </w:rPr>
        <w:t>World of Warcraft</w:t>
      </w:r>
      <w:r>
        <w:rPr>
          <w:rFonts w:ascii="Arial" w:cs="Arial" w:eastAsia="Arial" w:hAnsi="Arial"/>
          <w:sz w:val="17"/>
          <w:szCs w:val="17"/>
          <w:color w:val="auto"/>
        </w:rPr>
        <w:t>.</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The increase in sales and marketing expenses for the six months ended June 30, 2022, as compared to the six months ended June 30, 2021, was due to the same factors as discussed for the quarter-to-date period above.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6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2022</w:t>
            </w:r>
          </w:p>
        </w:tc>
        <w:tc>
          <w:tcPr>
            <w:tcW w:w="1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280" w:type="dxa"/>
            <w:vAlign w:val="bottom"/>
          </w:tcPr>
          <w:p>
            <w:pPr>
              <w:spacing w:after="0"/>
              <w:rPr>
                <w:sz w:val="11"/>
                <w:szCs w:val="11"/>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2021</w:t>
            </w:r>
          </w:p>
        </w:tc>
        <w:tc>
          <w:tcPr>
            <w:tcW w:w="16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net revenues</w:t>
            </w:r>
          </w:p>
        </w:tc>
        <w:tc>
          <w:tcPr>
            <w:tcW w:w="2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net revenues</w:t>
            </w:r>
          </w:p>
        </w:tc>
        <w:tc>
          <w:tcPr>
            <w:tcW w:w="240" w:type="dxa"/>
            <w:vAlign w:val="bottom"/>
          </w:tcPr>
          <w:p>
            <w:pPr>
              <w:spacing w:after="0"/>
              <w:rPr>
                <w:sz w:val="15"/>
                <w:szCs w:val="15"/>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Six Months Ended</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10 %</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ind w:left="940"/>
              <w:spacing w:after="0"/>
              <w:rPr>
                <w:sz w:val="20"/>
                <w:szCs w:val="20"/>
                <w:color w:val="auto"/>
              </w:rPr>
            </w:pPr>
            <w:r>
              <w:rPr>
                <w:rFonts w:ascii="Arial" w:cs="Arial" w:eastAsia="Arial" w:hAnsi="Arial"/>
                <w:sz w:val="17"/>
                <w:szCs w:val="17"/>
                <w:color w:val="auto"/>
                <w:w w:val="96"/>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jc w:val="both"/>
        <w:ind w:right="260" w:firstLine="387"/>
        <w:spacing w:after="0" w:line="290" w:lineRule="auto"/>
        <w:rPr>
          <w:sz w:val="20"/>
          <w:szCs w:val="20"/>
          <w:color w:val="auto"/>
        </w:rPr>
      </w:pPr>
      <w:r>
        <w:rPr>
          <w:rFonts w:ascii="Arial" w:cs="Arial" w:eastAsia="Arial" w:hAnsi="Arial"/>
          <w:sz w:val="16"/>
          <w:szCs w:val="16"/>
          <w:color w:val="auto"/>
        </w:rPr>
        <w:t>The increase in general and administrative expenses for the three months ended June 30, 2022, as compared to the three months ended June 30, 2021, was primarily due to a $29 million increase in personnel costs as a result of higher share-based compensation expense, as well as a $36 million increase in legal and other professional fees, primarily driven by our employment-related matters and the proposed transaction with Microsoft.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right="100" w:firstLine="387"/>
        <w:spacing w:after="0" w:line="266" w:lineRule="auto"/>
        <w:rPr>
          <w:sz w:val="20"/>
          <w:szCs w:val="20"/>
          <w:color w:val="auto"/>
        </w:rPr>
      </w:pPr>
      <w:r>
        <w:rPr>
          <w:rFonts w:ascii="Arial" w:cs="Arial" w:eastAsia="Arial" w:hAnsi="Arial"/>
          <w:sz w:val="17"/>
          <w:szCs w:val="17"/>
          <w:color w:val="auto"/>
        </w:rPr>
        <w:t>General and administrative expenses for the six months ended June 30, 2022, were comparable to the six months ended June 30, 2021, as the $80 million increase in legal and other professional fees, primarily driven by our proposed transaction with Microsoft and employment-related matters, was largely offset by a $76 million decrease in personnel costs as a result of lower share-based compensation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Related Costs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w:t>
            </w:r>
          </w:p>
        </w:tc>
        <w:tc>
          <w:tcPr>
            <w:tcW w:w="240" w:type="dxa"/>
            <w:vAlign w:val="bottom"/>
          </w:tcPr>
          <w:p>
            <w:pPr>
              <w:spacing w:after="0"/>
              <w:rPr>
                <w:sz w:val="14"/>
                <w:szCs w:val="14"/>
                <w:color w:val="auto"/>
              </w:rPr>
            </w:pPr>
          </w:p>
        </w:tc>
        <w:tc>
          <w:tcPr>
            <w:tcW w:w="11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vMerge w:val="restart"/>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280" w:type="dxa"/>
            <w:vAlign w:val="bottom"/>
          </w:tcPr>
          <w:p>
            <w:pPr>
              <w:spacing w:after="0"/>
              <w:rPr>
                <w:sz w:val="11"/>
                <w:szCs w:val="11"/>
                <w:color w:val="auto"/>
              </w:rPr>
            </w:pPr>
          </w:p>
        </w:tc>
        <w:tc>
          <w:tcPr>
            <w:tcW w:w="13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 %</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Six Months Ended</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640" w:type="dxa"/>
            <w:vAlign w:val="bottom"/>
            <w:gridSpan w:val="2"/>
          </w:tcPr>
          <w:p>
            <w:pPr>
              <w:ind w:left="1160"/>
              <w:spacing w:after="0"/>
              <w:rPr>
                <w:sz w:val="20"/>
                <w:szCs w:val="20"/>
                <w:color w:val="auto"/>
              </w:rPr>
            </w:pPr>
            <w:r>
              <w:rPr>
                <w:rFonts w:ascii="Arial" w:cs="Arial" w:eastAsia="Arial" w:hAnsi="Arial"/>
                <w:sz w:val="17"/>
                <w:szCs w:val="17"/>
                <w:color w:val="auto"/>
              </w:rPr>
              <w:t>— %</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During 2019, we began implementing a plan aimed at refocusing our resources on our largest opportunities and removing unnecessary levels of complexity and duplication from certain parts of our business. We substantially completed all actions under our plan and accrued for these costs accordingly in 2021. The remaining activity under the plan is primarily related to cash outlays to be made over time to impacted personnel.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 (Income), Net (amounts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271"/>
              <w:spacing w:after="0"/>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331"/>
              <w:spacing w:after="0"/>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291"/>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331"/>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ind w:left="291"/>
              <w:spacing w:after="0"/>
              <w:rPr>
                <w:sz w:val="20"/>
                <w:szCs w:val="20"/>
                <w:color w:val="auto"/>
              </w:rPr>
            </w:pPr>
            <w:r>
              <w:rPr>
                <w:rFonts w:ascii="Arial" w:cs="Arial" w:eastAsia="Arial" w:hAnsi="Arial"/>
                <w:sz w:val="14"/>
                <w:szCs w:val="14"/>
                <w:b w:val="1"/>
                <w:bCs w:val="1"/>
                <w:color w:val="auto"/>
                <w:w w:val="85"/>
              </w:rPr>
              <w:t>net revenues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w w:val="83"/>
              </w:rPr>
              <w:t>net revenues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320" w:type="dxa"/>
            <w:vAlign w:val="bottom"/>
            <w:shd w:val="clear" w:color="auto" w:fill="CCEEFF"/>
          </w:tcPr>
          <w:p>
            <w:pPr>
              <w:jc w:val="right"/>
              <w:ind w:right="114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0"/>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Arial" w:cs="Arial" w:eastAsia="Arial" w:hAnsi="Arial"/>
                <w:sz w:val="17"/>
                <w:szCs w:val="17"/>
                <w:color w:val="auto"/>
              </w:rPr>
              <w:t>Six Months Ended</w:t>
            </w:r>
          </w:p>
        </w:tc>
        <w:tc>
          <w:tcPr>
            <w:tcW w:w="1320" w:type="dxa"/>
            <w:vAlign w:val="bottom"/>
          </w:tcPr>
          <w:p>
            <w:pPr>
              <w:jc w:val="right"/>
              <w:ind w:right="114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8"/>
                <w:szCs w:val="18"/>
                <w:color w:val="auto"/>
              </w:rPr>
            </w:pPr>
          </w:p>
        </w:tc>
        <w:tc>
          <w:tcPr>
            <w:tcW w:w="1300" w:type="dxa"/>
            <w:vAlign w:val="bottom"/>
          </w:tcPr>
          <w:p>
            <w:pPr>
              <w:jc w:val="right"/>
              <w:ind w:right="1120"/>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 %</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Q2 2022 vs. Q2 2021</w:t>
      </w:r>
    </w:p>
    <w:p>
      <w:pPr>
        <w:spacing w:after="0" w:line="243"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The increase in interest and other expense (income), net, for the three months ended June 30, 2022, as compared to the three months ended June 30, 2021, was primarily due to unrealized losses of $7 million on our equity investments in the current quarter as compared to realized and unrealized gains of $72 million in the same period in the prior year.</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YTD Q2 2022 vs. YTD Q2 2021</w:t>
      </w:r>
    </w:p>
    <w:p>
      <w:pPr>
        <w:spacing w:after="0" w:line="243"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The increase in interest and other expense (income), net, for the six months ended June 30, 2022, as compared to the six months ended June 30, 2021, was primarily due to unrealized gains of $4 million on our equity investments in the current year to date as compared to realized and unrealized gains of $72 million in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(amounts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391"/>
              <w:spacing w:after="0"/>
              <w:rPr>
                <w:sz w:val="20"/>
                <w:szCs w:val="20"/>
                <w:color w:val="auto"/>
              </w:rPr>
            </w:pPr>
            <w:r>
              <w:rPr>
                <w:rFonts w:ascii="Arial" w:cs="Arial" w:eastAsia="Arial" w:hAnsi="Arial"/>
                <w:sz w:val="14"/>
                <w:szCs w:val="14"/>
                <w:b w:val="1"/>
                <w:bCs w:val="1"/>
                <w:color w:val="auto"/>
                <w:w w:val="94"/>
              </w:rPr>
              <w:t>%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411"/>
              <w:spacing w:after="0"/>
              <w:rPr>
                <w:sz w:val="20"/>
                <w:szCs w:val="20"/>
                <w:color w:val="auto"/>
              </w:rPr>
            </w:pPr>
            <w:r>
              <w:rPr>
                <w:rFonts w:ascii="Arial" w:cs="Arial" w:eastAsia="Arial" w:hAnsi="Arial"/>
                <w:sz w:val="14"/>
                <w:szCs w:val="14"/>
                <w:b w:val="1"/>
                <w:bCs w:val="1"/>
                <w:color w:val="auto"/>
              </w:rPr>
              <w:t>%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411"/>
              <w:spacing w:after="0" w:line="129" w:lineRule="exact"/>
              <w:rPr>
                <w:sz w:val="20"/>
                <w:szCs w:val="20"/>
                <w:color w:val="auto"/>
              </w:rPr>
            </w:pPr>
            <w:r>
              <w:rPr>
                <w:rFonts w:ascii="Arial" w:cs="Arial" w:eastAsia="Arial" w:hAnsi="Arial"/>
                <w:sz w:val="14"/>
                <w:szCs w:val="14"/>
                <w:b w:val="1"/>
                <w:bCs w:val="1"/>
                <w:color w:val="auto"/>
                <w:w w:val="88"/>
              </w:rPr>
              <w:t>Pretax</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411"/>
              <w:spacing w:after="0" w:line="129" w:lineRule="exact"/>
              <w:rPr>
                <w:sz w:val="20"/>
                <w:szCs w:val="20"/>
                <w:color w:val="auto"/>
              </w:rPr>
            </w:pPr>
            <w:r>
              <w:rPr>
                <w:rFonts w:ascii="Arial" w:cs="Arial" w:eastAsia="Arial" w:hAnsi="Arial"/>
                <w:sz w:val="14"/>
                <w:szCs w:val="14"/>
                <w:b w:val="1"/>
                <w:bCs w:val="1"/>
                <w:color w:val="auto"/>
                <w:w w:val="88"/>
              </w:rPr>
              <w:t>Pretax</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0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b w:val="1"/>
                <w:bCs w:val="1"/>
                <w:color w:val="auto"/>
                <w:w w:val="85"/>
              </w:rPr>
              <w:t>income</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ind w:left="411"/>
              <w:spacing w:after="0"/>
              <w:rPr>
                <w:sz w:val="20"/>
                <w:szCs w:val="20"/>
                <w:color w:val="auto"/>
              </w:rPr>
            </w:pPr>
            <w:r>
              <w:rPr>
                <w:rFonts w:ascii="Arial" w:cs="Arial" w:eastAsia="Arial" w:hAnsi="Arial"/>
                <w:sz w:val="14"/>
                <w:szCs w:val="14"/>
                <w:b w:val="1"/>
                <w:bCs w:val="1"/>
                <w:color w:val="auto"/>
                <w:w w:val="85"/>
              </w:rPr>
              <w:t>income</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Ended</w:t>
            </w:r>
          </w:p>
        </w:tc>
        <w:tc>
          <w:tcPr>
            <w:tcW w:w="1280" w:type="dxa"/>
            <w:vAlign w:val="bottom"/>
            <w:shd w:val="clear" w:color="auto" w:fill="CCEEFF"/>
          </w:tcPr>
          <w:p>
            <w:pPr>
              <w:jc w:val="right"/>
              <w:ind w:right="110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3040" w:type="dxa"/>
            <w:vAlign w:val="bottom"/>
          </w:tcPr>
          <w:p>
            <w:pPr>
              <w:ind w:left="20"/>
              <w:spacing w:after="0"/>
              <w:rPr>
                <w:sz w:val="20"/>
                <w:szCs w:val="20"/>
                <w:color w:val="auto"/>
              </w:rPr>
            </w:pPr>
            <w:r>
              <w:rPr>
                <w:rFonts w:ascii="Arial" w:cs="Arial" w:eastAsia="Arial" w:hAnsi="Arial"/>
                <w:sz w:val="17"/>
                <w:szCs w:val="17"/>
                <w:color w:val="auto"/>
              </w:rPr>
              <w:t>Six Months Ended</w:t>
            </w:r>
          </w:p>
        </w:tc>
        <w:tc>
          <w:tcPr>
            <w:tcW w:w="1280" w:type="dxa"/>
            <w:vAlign w:val="bottom"/>
          </w:tcPr>
          <w:p>
            <w:pPr>
              <w:jc w:val="right"/>
              <w:ind w:right="110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98"/>
              </w:rPr>
              <w:t>111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8"/>
                <w:szCs w:val="18"/>
                <w:color w:val="auto"/>
              </w:rPr>
            </w:pPr>
          </w:p>
        </w:tc>
        <w:tc>
          <w:tcPr>
            <w:tcW w:w="1280" w:type="dxa"/>
            <w:vAlign w:val="bottom"/>
          </w:tcPr>
          <w:p>
            <w:pPr>
              <w:jc w:val="right"/>
              <w:ind w:right="110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right="160" w:firstLine="387"/>
        <w:spacing w:after="0" w:line="236" w:lineRule="auto"/>
        <w:rPr>
          <w:sz w:val="20"/>
          <w:szCs w:val="20"/>
          <w:color w:val="auto"/>
        </w:rPr>
      </w:pPr>
      <w:r>
        <w:rPr>
          <w:rFonts w:ascii="Arial" w:cs="Arial" w:eastAsia="Arial" w:hAnsi="Arial"/>
          <w:sz w:val="17"/>
          <w:szCs w:val="17"/>
          <w:color w:val="auto"/>
        </w:rPr>
        <w:t>The income tax expense of $41 million for the three months ended June 30, 2022 reflects an effective tax rate of 13%, which is comparable to the effective tax rate of 13% for the three months ended June 30, 2021. Our tax rate in the current quarter benefited from lower taxes on foreign earnings, whereas in 2021 the tax rate was reduced by a discrete tax benefit related to a deferred tax remeasurement.</w:t>
      </w:r>
    </w:p>
    <w:p>
      <w:pPr>
        <w:spacing w:after="0" w:line="210" w:lineRule="exact"/>
        <w:rPr>
          <w:sz w:val="20"/>
          <w:szCs w:val="20"/>
          <w:color w:val="auto"/>
        </w:rPr>
      </w:pPr>
    </w:p>
    <w:p>
      <w:pPr>
        <w:ind w:right="20" w:firstLine="387"/>
        <w:spacing w:after="0" w:line="349" w:lineRule="auto"/>
        <w:rPr>
          <w:sz w:val="20"/>
          <w:szCs w:val="20"/>
          <w:color w:val="auto"/>
        </w:rPr>
      </w:pPr>
      <w:r>
        <w:rPr>
          <w:rFonts w:ascii="Arial" w:cs="Arial" w:eastAsia="Arial" w:hAnsi="Arial"/>
          <w:sz w:val="15"/>
          <w:szCs w:val="15"/>
          <w:color w:val="auto"/>
        </w:rPr>
        <w:t>The income tax expense of $111 million for the six months ended June 30, 2022 reflects an effective tax rate of 14%, which is comparable to the effective tax rate of 15% for the six months ended June 30, 2021. Our tax rates were impacted by the same drivers as discussed for the quarter-to-date period above.</w:t>
      </w:r>
    </w:p>
    <w:p>
      <w:pPr>
        <w:spacing w:after="0" w:line="143" w:lineRule="exact"/>
        <w:rPr>
          <w:sz w:val="20"/>
          <w:szCs w:val="20"/>
          <w:color w:val="auto"/>
        </w:rPr>
      </w:pPr>
    </w:p>
    <w:p>
      <w:pPr>
        <w:ind w:right="80" w:firstLine="387"/>
        <w:spacing w:after="0" w:line="264" w:lineRule="auto"/>
        <w:rPr>
          <w:sz w:val="20"/>
          <w:szCs w:val="20"/>
          <w:color w:val="auto"/>
        </w:rPr>
      </w:pPr>
      <w:r>
        <w:rPr>
          <w:rFonts w:ascii="Arial" w:cs="Arial" w:eastAsia="Arial" w:hAnsi="Arial"/>
          <w:sz w:val="17"/>
          <w:szCs w:val="17"/>
          <w:color w:val="auto"/>
        </w:rPr>
        <w:t>The effective tax rate of 13% and 14% for the three and six months ended June 30, 2022, respectively, is lower than the U.S. statutory rate of 21%, primarily due to lower taxes on foreign earnings and U.S. research and development credits.</w:t>
      </w:r>
    </w:p>
    <w:p>
      <w:pPr>
        <w:spacing w:after="0" w:line="189" w:lineRule="exact"/>
        <w:rPr>
          <w:sz w:val="20"/>
          <w:szCs w:val="20"/>
          <w:color w:val="auto"/>
        </w:rPr>
      </w:pPr>
    </w:p>
    <w:p>
      <w:pPr>
        <w:jc w:val="both"/>
        <w:ind w:right="660" w:firstLine="387"/>
        <w:spacing w:after="0" w:line="250" w:lineRule="auto"/>
        <w:rPr>
          <w:sz w:val="20"/>
          <w:szCs w:val="20"/>
          <w:color w:val="auto"/>
        </w:rPr>
      </w:pPr>
      <w:r>
        <w:rPr>
          <w:rFonts w:ascii="Arial" w:cs="Arial" w:eastAsia="Arial" w:hAnsi="Arial"/>
          <w:sz w:val="17"/>
          <w:szCs w:val="17"/>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201" w:lineRule="exact"/>
        <w:rPr>
          <w:sz w:val="20"/>
          <w:szCs w:val="20"/>
          <w:color w:val="auto"/>
        </w:rPr>
      </w:pPr>
    </w:p>
    <w:p>
      <w:pPr>
        <w:ind w:right="8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Other information about our income taxes is provided in </w:t>
      </w:r>
      <w:hyperlink w:anchor="page29">
        <w:r>
          <w:rPr>
            <w:rFonts w:ascii="Arial" w:cs="Arial" w:eastAsia="Arial" w:hAnsi="Arial"/>
            <w:sz w:val="17"/>
            <w:szCs w:val="17"/>
            <w:u w:val="single" w:color="auto"/>
            <w:color w:val="0000FF"/>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right="60" w:firstLine="387"/>
        <w:spacing w:after="0" w:line="299" w:lineRule="auto"/>
        <w:rPr>
          <w:sz w:val="20"/>
          <w:szCs w:val="20"/>
          <w:color w:val="auto"/>
        </w:rPr>
      </w:pPr>
      <w:r>
        <w:rPr>
          <w:rFonts w:ascii="Arial" w:cs="Arial" w:eastAsia="Arial" w:hAnsi="Arial"/>
          <w:sz w:val="15"/>
          <w:szCs w:val="15"/>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$10.8 billion, and the availability of our $1.5 billion revolving credit facility, will be sufficient to finance our operational and financing requirements for the next 12 months and beyond. Our primary sources of liquidity include our cash and cash equivalents, short-term investments, and cash flows provided by operating activities. Our material cash requirements include operating expenses, potential dividend payments and share repurchases, scheduled debt maturities (the next of which is in 2026), capital expenditures and other commitments, as discussed below.</w:t>
      </w:r>
    </w:p>
    <w:p>
      <w:pPr>
        <w:spacing w:after="0" w:line="180" w:lineRule="exact"/>
        <w:rPr>
          <w:sz w:val="20"/>
          <w:szCs w:val="20"/>
          <w:color w:val="auto"/>
        </w:rPr>
      </w:pPr>
    </w:p>
    <w:p>
      <w:pPr>
        <w:ind w:right="460" w:firstLine="387"/>
        <w:spacing w:after="0" w:line="312" w:lineRule="auto"/>
        <w:rPr>
          <w:sz w:val="20"/>
          <w:szCs w:val="20"/>
          <w:color w:val="auto"/>
        </w:rPr>
      </w:pPr>
      <w:r>
        <w:rPr>
          <w:rFonts w:ascii="Arial" w:cs="Arial" w:eastAsia="Arial" w:hAnsi="Arial"/>
          <w:sz w:val="16"/>
          <w:szCs w:val="16"/>
          <w:color w:val="auto"/>
        </w:rPr>
        <w:t>As of June 30, 2022, the amount of cash and cash equivalents held outside of the U.S. by our foreign subsidiaries was $4.2 billion, as compared to $3.9 billion as of December 31, 2021. These cash balances are generally available for use in the U.S., subject in some cases to certain restrictions.</w:t>
      </w:r>
    </w:p>
    <w:p>
      <w:pPr>
        <w:spacing w:after="0" w:line="166" w:lineRule="exact"/>
        <w:rPr>
          <w:sz w:val="20"/>
          <w:szCs w:val="20"/>
          <w:color w:val="auto"/>
        </w:rPr>
      </w:pPr>
    </w:p>
    <w:p>
      <w:pPr>
        <w:ind w:right="120" w:firstLine="387"/>
        <w:spacing w:after="0" w:line="279" w:lineRule="auto"/>
        <w:rPr>
          <w:sz w:val="20"/>
          <w:szCs w:val="20"/>
          <w:color w:val="auto"/>
        </w:rPr>
      </w:pPr>
      <w:r>
        <w:rPr>
          <w:rFonts w:ascii="Arial" w:cs="Arial" w:eastAsia="Arial" w:hAnsi="Arial"/>
          <w:sz w:val="16"/>
          <w:szCs w:val="16"/>
          <w:color w:val="auto"/>
        </w:rPr>
        <w:t>Our cash provided from operating activities is somewhat impacted by seasonality. Working capital needs are impacted by sales, which are generally highest in the fourth quarter due to seasonal and holiday-related sales patterns. We consider, on a continuing basis, various transactions to increase shareholder value and enhance our business results, including acquisitions, divestitures, joint ventures, dividends, share repurchases, and other structural changes, with certain of the foregoing actions, if we were to move forward with them, requiring Microsoft's approval under the Merger Agreement (which may not be unreasonably withheld, conditioned, or delayed), subject to certain exceptions. These transactions may result in future cash proceeds or payments.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 (amounts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vMerge w:val="restart"/>
          </w:tcPr>
          <w:p>
            <w:pPr>
              <w:jc w:val="right"/>
              <w:ind w:right="496"/>
              <w:spacing w:after="0"/>
              <w:rPr>
                <w:sz w:val="20"/>
                <w:szCs w:val="20"/>
                <w:color w:val="auto"/>
              </w:rPr>
            </w:pPr>
            <w:r>
              <w:rPr>
                <w:rFonts w:ascii="Arial" w:cs="Arial" w:eastAsia="Arial" w:hAnsi="Arial"/>
                <w:sz w:val="15"/>
                <w:szCs w:val="15"/>
                <w:b w:val="1"/>
                <w:bCs w:val="1"/>
                <w:color w:val="auto"/>
              </w:rPr>
              <w:t>June 30, 2022</w:t>
            </w:r>
          </w:p>
        </w:tc>
        <w:tc>
          <w:tcPr>
            <w:tcW w:w="100" w:type="dxa"/>
            <w:vAlign w:val="bottom"/>
            <w:gridSpan w:val="2"/>
            <w:vMerge w:val="restart"/>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December 31, 2021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Increase</w:t>
            </w: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5"/>
                <w:szCs w:val="15"/>
                <w:b w:val="1"/>
                <w:bCs w:val="1"/>
                <w:color w:val="auto"/>
                <w:w w:val="88"/>
              </w:rPr>
              <w:t>(Decrease)</w:t>
            </w: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10,483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10,423</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investments</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195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10,756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10,618</w:t>
            </w:r>
          </w:p>
        </w:tc>
        <w:tc>
          <w:tcPr>
            <w:tcW w:w="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Percentage of total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spacing w:after="0" w:line="190" w:lineRule="exact"/>
              <w:rPr>
                <w:sz w:val="20"/>
                <w:szCs w:val="20"/>
                <w:color w:val="auto"/>
              </w:rPr>
            </w:pPr>
            <w:r>
              <w:rPr>
                <w:rFonts w:ascii="Arial" w:cs="Arial" w:eastAsia="Arial" w:hAnsi="Arial"/>
                <w:sz w:val="17"/>
                <w:szCs w:val="17"/>
                <w:color w:val="auto"/>
              </w:rPr>
              <w:t>43 %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42 %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center"/>
              <w:ind w:left="1216"/>
              <w:spacing w:after="0"/>
              <w:rPr>
                <w:sz w:val="20"/>
                <w:szCs w:val="20"/>
                <w:color w:val="auto"/>
              </w:rPr>
            </w:pPr>
            <w:r>
              <w:rPr>
                <w:rFonts w:ascii="Arial" w:cs="Arial" w:eastAsia="Arial" w:hAnsi="Arial"/>
                <w:sz w:val="15"/>
                <w:szCs w:val="15"/>
                <w:b w:val="1"/>
                <w:bCs w:val="1"/>
                <w:color w:val="auto"/>
                <w:w w:val="93"/>
              </w:rPr>
              <w:t>For the Six Months Ended June 30,</w:t>
            </w:r>
          </w:p>
        </w:tc>
        <w:tc>
          <w:tcPr>
            <w:tcW w:w="1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vMerge w:val="restart"/>
          </w:tcPr>
          <w:p>
            <w:pPr>
              <w:jc w:val="right"/>
              <w:ind w:right="716"/>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vMerge w:val="restart"/>
          </w:tcPr>
          <w:p>
            <w:pPr>
              <w:jc w:val="center"/>
              <w:ind w:right="156"/>
              <w:spacing w:after="0"/>
              <w:rPr>
                <w:sz w:val="20"/>
                <w:szCs w:val="20"/>
                <w:color w:val="auto"/>
              </w:rPr>
            </w:pPr>
            <w:r>
              <w:rPr>
                <w:rFonts w:ascii="Arial" w:cs="Arial" w:eastAsia="Arial" w:hAnsi="Arial"/>
                <w:sz w:val="15"/>
                <w:szCs w:val="15"/>
                <w:b w:val="1"/>
                <w:bCs w:val="1"/>
                <w:color w:val="auto"/>
                <w:w w:val="95"/>
              </w:rPr>
              <w:t>2021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ind w:right="617"/>
              <w:spacing w:after="0" w:line="151" w:lineRule="exact"/>
              <w:rPr>
                <w:sz w:val="20"/>
                <w:szCs w:val="20"/>
                <w:color w:val="auto"/>
              </w:rPr>
            </w:pPr>
            <w:r>
              <w:rPr>
                <w:rFonts w:ascii="Arial" w:cs="Arial" w:eastAsia="Arial" w:hAnsi="Arial"/>
                <w:sz w:val="15"/>
                <w:szCs w:val="15"/>
                <w:b w:val="1"/>
                <w:bCs w:val="1"/>
                <w:color w:val="auto"/>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(Decrease)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foreign exchange rate changes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 and restricted cash</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43" w:lineRule="exact"/>
        <w:rPr>
          <w:sz w:val="20"/>
          <w:szCs w:val="20"/>
          <w:color w:val="auto"/>
        </w:rPr>
      </w:pPr>
    </w:p>
    <w:p>
      <w:pPr>
        <w:ind w:right="240" w:firstLine="387"/>
        <w:spacing w:after="0" w:line="266" w:lineRule="auto"/>
        <w:rPr>
          <w:sz w:val="20"/>
          <w:szCs w:val="20"/>
          <w:color w:val="auto"/>
        </w:rPr>
      </w:pPr>
      <w:r>
        <w:rPr>
          <w:rFonts w:ascii="Arial" w:cs="Arial" w:eastAsia="Arial" w:hAnsi="Arial"/>
          <w:sz w:val="17"/>
          <w:szCs w:val="17"/>
          <w:color w:val="auto"/>
        </w:rPr>
        <w:t>The primary driver of net cash flows associated with our operating activities is the income generated from the sale of our products and services. This is partially offset by: working capital requirements used in the development, sale, and support of our products; payments for interest on our debt; payments for tax liabilities; and payments to our workforce.</w:t>
      </w:r>
    </w:p>
    <w:p>
      <w:pPr>
        <w:spacing w:after="0" w:line="201"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Net cash provided by operating activities for the six months ended June 30, 2022, was $840 million, as compared to $1.2 billion for the six months ended June 30, 2021. The decrease was primarily due to lower net income from lower business performance as well as higher capitalized software development spending. These were partially offset by changes in our working capital, including the settling in equity of amounts otherwise payable in cash for 2021 under the Company’s annual incentive compensation plans and lower tax payments due to lower profitability.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43"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primary drivers of net cash flows associated with investing activities typically include capital expenditures, purchases and sales of investments, and cash used for acquisitions.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 for the six months ended June 30, 2022, was $253 million, as compared to $174 million for the six months ended</w:t>
      </w:r>
    </w:p>
    <w:p>
      <w:pPr>
        <w:spacing w:after="0" w:line="33"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June 30, 2021. The increase was primarily due to $135 million net cash used in business acquisitions during the six months ended June 30, 2022, partially offset by lower net purchases of available-for-sale investments of $67 million for the six months ended June 30, 2022, as compared to $159 million for the six months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43" w:lineRule="exact"/>
        <w:rPr>
          <w:sz w:val="20"/>
          <w:szCs w:val="20"/>
          <w:color w:val="auto"/>
        </w:rPr>
      </w:pPr>
    </w:p>
    <w:p>
      <w:pPr>
        <w:ind w:right="320" w:firstLine="387"/>
        <w:spacing w:after="0" w:line="266" w:lineRule="auto"/>
        <w:rPr>
          <w:sz w:val="20"/>
          <w:szCs w:val="20"/>
          <w:color w:val="auto"/>
        </w:rPr>
      </w:pPr>
      <w:r>
        <w:rPr>
          <w:rFonts w:ascii="Arial" w:cs="Arial" w:eastAsia="Arial" w:hAnsi="Arial"/>
          <w:sz w:val="17"/>
          <w:szCs w:val="17"/>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201"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Net cash used in financing activities for the six months ended June 30, 2022, of $467 million, was comparable to net cash used in financing activities of $471 million for the six months ended June 30, 2021, as lower proceeds of $30 million from the issuance of common stock to employees were offset by lower tax payments of $36 million relating to net share settlements on restricted stock units.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Foreign Exchange Rate Changes</w:t>
      </w:r>
    </w:p>
    <w:p>
      <w:pPr>
        <w:spacing w:after="0" w:line="243" w:lineRule="exact"/>
        <w:rPr>
          <w:sz w:val="20"/>
          <w:szCs w:val="20"/>
          <w:color w:val="auto"/>
        </w:rPr>
      </w:pPr>
    </w:p>
    <w:p>
      <w:pPr>
        <w:ind w:right="120" w:firstLine="387"/>
        <w:spacing w:after="0" w:line="349" w:lineRule="auto"/>
        <w:rPr>
          <w:sz w:val="20"/>
          <w:szCs w:val="20"/>
          <w:color w:val="auto"/>
        </w:rPr>
      </w:pPr>
      <w:r>
        <w:rPr>
          <w:rFonts w:ascii="Arial" w:cs="Arial" w:eastAsia="Arial" w:hAnsi="Arial"/>
          <w:sz w:val="15"/>
          <w:szCs w:val="15"/>
          <w:color w:val="auto"/>
        </w:rPr>
        <w:t>Changes in foreign exchange rates had a negative impact of $48 million and $16 million on our cash and cash equivalents for the six months ended June 30, 2022 and June 30, 2021, respectively. The change was primarily due to changes in the value of the U.S. dollar relative to the euro and the British pound.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43"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At both June 30, 2022 and December 31, 2021, our total gross unsecured senior notes outstanding was $3.7 billion, bearing interest at a weighted average rate of 2.87%.</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our outstanding debt is as follows (amounts in millions):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June 30, 2022</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9"/>
              </w:rPr>
              <w:t>At December 31, 2021</w:t>
            </w:r>
          </w:p>
        </w:tc>
      </w:tr>
      <w:tr>
        <w:trPr>
          <w:trHeight w:val="218"/>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660" w:type="dxa"/>
            <w:vAlign w:val="bottom"/>
            <w:shd w:val="clear" w:color="auto" w:fill="CCEEFF"/>
          </w:tcPr>
          <w:p>
            <w:pPr>
              <w:jc w:val="right"/>
              <w:ind w:right="147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 Notes</w:t>
            </w:r>
          </w:p>
        </w:tc>
        <w:tc>
          <w:tcPr>
            <w:tcW w:w="1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8"/>
        </w:trPr>
        <w:tc>
          <w:tcPr>
            <w:tcW w:w="6740" w:type="dxa"/>
            <w:vAlign w:val="bottom"/>
          </w:tcPr>
          <w:p>
            <w:pPr>
              <w:ind w:left="20"/>
              <w:spacing w:after="0"/>
              <w:rPr>
                <w:sz w:val="20"/>
                <w:szCs w:val="20"/>
                <w:color w:val="auto"/>
              </w:rPr>
            </w:pPr>
            <w:r>
              <w:rPr>
                <w:rFonts w:ascii="Arial" w:cs="Arial" w:eastAsia="Arial" w:hAnsi="Arial"/>
                <w:sz w:val="17"/>
                <w:szCs w:val="17"/>
                <w:color w:val="auto"/>
              </w:rPr>
              <w:t>2047 Notes</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2050 Notes</w:t>
            </w:r>
          </w:p>
        </w:tc>
        <w:tc>
          <w:tcPr>
            <w:tcW w:w="1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1"/>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gross long-term debt</w:t>
            </w:r>
          </w:p>
        </w:tc>
        <w:tc>
          <w:tcPr>
            <w:tcW w:w="1660" w:type="dxa"/>
            <w:vAlign w:val="bottom"/>
            <w:tcBorders>
              <w:bottom w:val="single" w:sz="8" w:color="auto"/>
            </w:tcBorders>
          </w:tcPr>
          <w:p>
            <w:pPr>
              <w:jc w:val="right"/>
              <w:ind w:right="147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discount and deferred financing costs</w:t>
            </w:r>
          </w:p>
        </w:tc>
        <w:tc>
          <w:tcPr>
            <w:tcW w:w="16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3"/>
        </w:trPr>
        <w:tc>
          <w:tcPr>
            <w:tcW w:w="6740" w:type="dxa"/>
            <w:vAlign w:val="bottom"/>
          </w:tcPr>
          <w:p>
            <w:pPr>
              <w:ind w:left="20"/>
              <w:spacing w:after="0"/>
              <w:rPr>
                <w:sz w:val="20"/>
                <w:szCs w:val="20"/>
                <w:color w:val="auto"/>
              </w:rPr>
            </w:pPr>
            <w:r>
              <w:rPr>
                <w:rFonts w:ascii="Arial" w:cs="Arial" w:eastAsia="Arial" w:hAnsi="Arial"/>
                <w:sz w:val="17"/>
                <w:szCs w:val="17"/>
                <w:color w:val="auto"/>
              </w:rPr>
              <w:t>Total net carrying amount</w:t>
            </w:r>
          </w:p>
        </w:tc>
        <w:tc>
          <w:tcPr>
            <w:tcW w:w="1660" w:type="dxa"/>
            <w:vAlign w:val="bottom"/>
            <w:tcBorders>
              <w:bottom w:val="single" w:sz="8" w:color="auto"/>
            </w:tcBorders>
          </w:tcPr>
          <w:p>
            <w:pPr>
              <w:jc w:val="right"/>
              <w:ind w:right="147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w:t>
            </w:r>
          </w:p>
        </w:tc>
      </w:tr>
      <w:tr>
        <w:trPr>
          <w:trHeight w:val="20"/>
        </w:trPr>
        <w:tc>
          <w:tcPr>
            <w:tcW w:w="6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5">
        <w:r>
          <w:rPr>
            <w:rFonts w:ascii="Arial" w:cs="Arial" w:eastAsia="Arial" w:hAnsi="Arial"/>
            <w:sz w:val="17"/>
            <w:szCs w:val="17"/>
            <w:u w:val="single" w:color="auto"/>
            <w:color w:val="0000FF"/>
          </w:rPr>
          <w:t>Note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 for further disclosures regarding our debt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ind w:right="280" w:firstLine="387"/>
        <w:spacing w:after="0" w:line="279" w:lineRule="auto"/>
        <w:rPr>
          <w:sz w:val="20"/>
          <w:szCs w:val="20"/>
          <w:color w:val="auto"/>
        </w:rPr>
      </w:pPr>
      <w:r>
        <w:rPr>
          <w:rFonts w:ascii="Arial" w:cs="Arial" w:eastAsia="Arial" w:hAnsi="Arial"/>
          <w:sz w:val="17"/>
          <w:szCs w:val="17"/>
          <w:color w:val="auto"/>
        </w:rPr>
        <w:t>On February 3, 2022, our Board of Directors declared a cash dividend of $0.47 per common share. On May 6, 2022, we made an aggregate cash dividend payment of $367 million to shareholders of record at the close of business on April 15, 2022.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43" w:lineRule="exact"/>
        <w:rPr>
          <w:sz w:val="20"/>
          <w:szCs w:val="20"/>
          <w:color w:val="auto"/>
        </w:rPr>
      </w:pPr>
    </w:p>
    <w:p>
      <w:pPr>
        <w:ind w:right="200" w:firstLine="387"/>
        <w:spacing w:after="0" w:line="266" w:lineRule="auto"/>
        <w:rPr>
          <w:sz w:val="20"/>
          <w:szCs w:val="20"/>
          <w:color w:val="auto"/>
        </w:rPr>
      </w:pPr>
      <w:r>
        <w:rPr>
          <w:rFonts w:ascii="Arial" w:cs="Arial" w:eastAsia="Arial" w:hAnsi="Arial"/>
          <w:sz w:val="17"/>
          <w:szCs w:val="17"/>
          <w:color w:val="auto"/>
        </w:rPr>
        <w:t>We made capital expenditures of $52 million during the six months ended June 30, 2022, as compared to $36 million during the six months ended June 30, 2021. In 2022, we anticipate total capital expenditures of approximately $100 million, primarily for computer hardware, leasehold improvements, and software purchases.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3"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5" w:lineRule="exact"/>
        <w:rPr>
          <w:sz w:val="20"/>
          <w:szCs w:val="20"/>
          <w:color w:val="auto"/>
        </w:rPr>
      </w:pPr>
    </w:p>
    <w:p>
      <w:pPr>
        <w:ind w:left="1240" w:hanging="618"/>
        <w:spacing w:after="0"/>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1" w:lineRule="exact"/>
        <w:rPr>
          <w:rFonts w:ascii="Arial" w:cs="Arial" w:eastAsia="Arial" w:hAnsi="Arial"/>
          <w:sz w:val="17"/>
          <w:szCs w:val="17"/>
          <w:color w:val="auto"/>
        </w:rPr>
      </w:pPr>
    </w:p>
    <w:p>
      <w:pPr>
        <w:ind w:left="1240" w:hanging="618"/>
        <w:spacing w:after="0"/>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Income Taxes; and</w:t>
      </w:r>
    </w:p>
    <w:p>
      <w:pPr>
        <w:spacing w:after="0" w:line="10" w:lineRule="exact"/>
        <w:rPr>
          <w:rFonts w:ascii="Arial" w:cs="Arial" w:eastAsia="Arial" w:hAnsi="Arial"/>
          <w:sz w:val="17"/>
          <w:szCs w:val="17"/>
          <w:color w:val="auto"/>
        </w:rPr>
      </w:pPr>
    </w:p>
    <w:p>
      <w:pPr>
        <w:ind w:left="1240" w:hanging="618"/>
        <w:spacing w:after="0"/>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Software Development Costs.</w:t>
      </w:r>
    </w:p>
    <w:p>
      <w:pPr>
        <w:spacing w:after="0" w:line="232" w:lineRule="exact"/>
        <w:rPr>
          <w:sz w:val="20"/>
          <w:szCs w:val="20"/>
          <w:color w:val="auto"/>
        </w:rPr>
      </w:pPr>
    </w:p>
    <w:p>
      <w:pPr>
        <w:ind w:right="160" w:firstLine="387"/>
        <w:spacing w:after="0" w:line="290" w:lineRule="auto"/>
        <w:rPr>
          <w:rFonts w:ascii="Arial" w:cs="Arial" w:eastAsia="Arial" w:hAnsi="Arial"/>
          <w:sz w:val="16"/>
          <w:szCs w:val="16"/>
          <w:color w:val="0000FF"/>
        </w:rPr>
      </w:pPr>
      <w:r>
        <w:rPr>
          <w:rFonts w:ascii="Arial" w:cs="Arial" w:eastAsia="Arial" w:hAnsi="Arial"/>
          <w:sz w:val="16"/>
          <w:szCs w:val="16"/>
          <w:color w:val="auto"/>
        </w:rPr>
        <w:t xml:space="preserve">During the three and six months ended June 30, 2022, there were no significant changes to the above critical accounting policies and estimates. Refer to </w:t>
      </w:r>
      <w:hyperlink r:id="rId90">
        <w:r>
          <w:rPr>
            <w:rFonts w:ascii="Arial" w:cs="Arial" w:eastAsia="Arial" w:hAnsi="Arial"/>
            <w:sz w:val="16"/>
            <w:szCs w:val="16"/>
            <w:u w:val="single" w:color="auto"/>
            <w:color w:val="0000FF"/>
          </w:rPr>
          <w:t>“Management’s Discussion and Analysis of Financial Condition and Results of Operations” contained in Part II, Item 7 of our Annual Report on Form 10-K for</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the year ended December 31, 2021</w:t>
        </w:r>
        <w:r>
          <w:rPr>
            <w:rFonts w:ascii="Arial" w:cs="Arial" w:eastAsia="Arial" w:hAnsi="Arial"/>
            <w:sz w:val="16"/>
            <w:szCs w:val="16"/>
            <w:color w:val="000000"/>
          </w:rPr>
          <w:t>, for a more complete discussion of our critical accounting policies and estimates.</w:t>
        </w:r>
      </w:hyperlink>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ind w:right="440" w:firstLine="387"/>
        <w:spacing w:after="0" w:line="279"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foreign currency exchange rates and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49"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U.S., the impact of foreign currency fluctuations, particularly the strengthening of the U.S. dollar, may have an asymmetric and disproportional impact on our business. We monitor currency volatility throughout the year.</w:t>
      </w:r>
    </w:p>
    <w:p>
      <w:pPr>
        <w:spacing w:after="0" w:line="208"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To mitigate our foreign currency risk resulting from our foreign currency-denominated monetary assets, liabilities, and earnings and our foreign currency risk related to functional currency-equivalent cash flows,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204"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fair values of our foreign currency contracts are estimated based on the prevailing exchange rates of the various hedged currencies as of the end of the period.</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 Designated as Hedges (“Cash Flow Hedges”)</w:t>
      </w:r>
    </w:p>
    <w:p>
      <w:pPr>
        <w:spacing w:after="0" w:line="243" w:lineRule="exact"/>
        <w:rPr>
          <w:sz w:val="20"/>
          <w:szCs w:val="20"/>
          <w:color w:val="auto"/>
        </w:rPr>
      </w:pPr>
    </w:p>
    <w:p>
      <w:pPr>
        <w:ind w:right="700"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3">
        <w:r>
          <w:rPr>
            <w:rFonts w:ascii="Arial" w:cs="Arial" w:eastAsia="Arial" w:hAnsi="Arial"/>
            <w:sz w:val="17"/>
            <w:szCs w:val="17"/>
            <w:u w:val="single" w:color="auto"/>
            <w:color w:val="0000FF"/>
          </w:rPr>
          <w:t>Note 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 for disclosures regarding our foreign currency forward contracts.</w:t>
      </w:r>
    </w:p>
    <w:p>
      <w:pPr>
        <w:spacing w:after="0" w:line="190"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In the absence of hedging activities for the six months ended June 30, 2022, a hypothetical adverse foreign currency exchange rate movement of 10% would have resulted in a theoretical decline of our net income of approximately $62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9" w:lineRule="exact"/>
        <w:rPr>
          <w:sz w:val="20"/>
          <w:szCs w:val="20"/>
          <w:color w:val="auto"/>
        </w:rPr>
      </w:pPr>
    </w:p>
    <w:p>
      <w:pPr>
        <w:ind w:firstLine="387"/>
        <w:spacing w:after="0" w:line="302" w:lineRule="auto"/>
        <w:rPr>
          <w:sz w:val="20"/>
          <w:szCs w:val="20"/>
          <w:color w:val="auto"/>
        </w:rPr>
      </w:pPr>
      <w:r>
        <w:rPr>
          <w:rFonts w:ascii="Arial" w:cs="Arial" w:eastAsia="Arial" w:hAnsi="Arial"/>
          <w:sz w:val="15"/>
          <w:szCs w:val="15"/>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June 30, 2022, our cash and cash equivalents were comprised primarily of money market funds.</w:t>
      </w:r>
    </w:p>
    <w:p>
      <w:pPr>
        <w:spacing w:after="0" w:line="178"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As of June 30, 2022, based on the composition of our investment portfolio, we anticipate investment yields will continue to increase if the U.S. Federal Reserve continues to raise short-term interest rates, which would positively impact our future interest income.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Disclosure Controls and Procedures</w:t>
      </w:r>
    </w:p>
    <w:p>
      <w:pPr>
        <w:spacing w:after="0" w:line="223" w:lineRule="exact"/>
        <w:rPr>
          <w:sz w:val="20"/>
          <w:szCs w:val="20"/>
          <w:color w:val="auto"/>
        </w:rPr>
      </w:pPr>
    </w:p>
    <w:p>
      <w:pPr>
        <w:ind w:right="20" w:firstLine="387"/>
        <w:spacing w:after="0" w:line="274"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right="100" w:firstLine="387"/>
        <w:spacing w:after="0" w:line="25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June 30, 2022, the end of the period covered by this report. Based on this evaluation, the principal executive officer and principal financial officer concluded that, at June 30, 2022, our disclosure controls and procedures were effective to provide reasonable assurance that information required to be disclosed by the Company in the reports that it files or submits under the Exchange Act is (1) recorded, processed, summarized, and reported on a timely basis and (2) accumulated and communicated to our management, including our principal executive officer and principal financial officer, as appropriate to allow timely decisions regarding required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firstLine="387"/>
        <w:spacing w:after="0" w:line="26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fiscal quarter ended June 30, 2022. Based on this evaluation, the principal executive officer and principal financial officer concluded that, at June 30, 2022,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9" w:lineRule="exact"/>
        <w:rPr>
          <w:sz w:val="20"/>
          <w:szCs w:val="20"/>
          <w:color w:val="auto"/>
        </w:rPr>
      </w:pPr>
    </w:p>
    <w:p>
      <w:pPr>
        <w:ind w:firstLine="387"/>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32">
        <w:r>
          <w:rPr>
            <w:rFonts w:ascii="Arial" w:cs="Arial" w:eastAsia="Arial" w:hAnsi="Arial"/>
            <w:sz w:val="17"/>
            <w:szCs w:val="17"/>
            <w:u w:val="single" w:color="auto"/>
            <w:color w:val="0000FF"/>
          </w:rPr>
          <w:t>Note 16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condensed consolidated financial statements included in Part I, Item 1 of this Quarterly Report on Form 10-Q for further disclosures regarding our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right="680" w:firstLine="387"/>
        <w:spacing w:after="0" w:line="279" w:lineRule="auto"/>
        <w:rPr>
          <w:sz w:val="20"/>
          <w:szCs w:val="20"/>
          <w:color w:val="auto"/>
        </w:rPr>
      </w:pPr>
      <w:r>
        <w:rPr>
          <w:rFonts w:ascii="Arial" w:cs="Arial" w:eastAsia="Arial" w:hAnsi="Arial"/>
          <w:sz w:val="17"/>
          <w:szCs w:val="17"/>
          <w:color w:val="auto"/>
        </w:rPr>
        <w:t>Various risks associated with our business are described in Part I, Item 1A, “Risk Factors,” of our Annual Report on Form 10-K for the year ended December 31, 2021 (the “2021 Form 10-K”).</w:t>
      </w:r>
    </w:p>
    <w:p>
      <w:pPr>
        <w:spacing w:after="0" w:line="190"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“Risk Factors” in the 2021 Form 10-K, any of which could materially affect our business, reputation, financial condition, results of operations, income, revenue, profitability, cash flows, liquidity, or stock price.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188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7"/>
        </w:trPr>
        <w:tc>
          <w:tcPr>
            <w:tcW w:w="1880" w:type="dxa"/>
            <w:vAlign w:val="bottom"/>
            <w:gridSpan w:val="3"/>
          </w:tcPr>
          <w:p>
            <w:pPr>
              <w:spacing w:after="0"/>
              <w:rPr>
                <w:sz w:val="20"/>
                <w:szCs w:val="20"/>
                <w:color w:val="auto"/>
              </w:rPr>
            </w:pPr>
            <w:r>
              <w:rPr>
                <w:rFonts w:ascii="Arial" w:cs="Arial" w:eastAsia="Arial" w:hAnsi="Arial"/>
                <w:sz w:val="17"/>
                <w:szCs w:val="17"/>
                <w:b w:val="1"/>
                <w:bCs w:val="1"/>
                <w:color w:val="auto"/>
              </w:rPr>
              <w:t>Item 6.  Exhibits</w:t>
            </w:r>
          </w:p>
        </w:tc>
        <w:tc>
          <w:tcPr>
            <w:tcW w:w="20" w:type="dxa"/>
            <w:vAlign w:val="bottom"/>
          </w:tcPr>
          <w:p>
            <w:pPr>
              <w:spacing w:after="0"/>
              <w:rPr>
                <w:sz w:val="24"/>
                <w:szCs w:val="24"/>
                <w:color w:val="auto"/>
              </w:rPr>
            </w:pPr>
          </w:p>
        </w:tc>
        <w:tc>
          <w:tcPr>
            <w:tcW w:w="9340" w:type="dxa"/>
            <w:vAlign w:val="bottom"/>
            <w:gridSpan w:val="10"/>
            <w:vMerge w:val="restart"/>
          </w:tcPr>
          <w:p>
            <w:pPr>
              <w:ind w:left="306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8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5"/>
              </w:rPr>
              <w:t>Exhibit Number</w:t>
            </w:r>
          </w:p>
        </w:tc>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60" w:type="dxa"/>
            <w:vAlign w:val="bottom"/>
            <w:gridSpan w:val="7"/>
          </w:tcPr>
          <w:p>
            <w:pPr>
              <w:ind w:left="220"/>
              <w:spacing w:after="0"/>
              <w:rPr>
                <w:sz w:val="20"/>
                <w:szCs w:val="20"/>
                <w:color w:val="auto"/>
              </w:rPr>
            </w:pPr>
            <w:r>
              <w:rPr>
                <w:rFonts w:ascii="Arial" w:cs="Arial" w:eastAsia="Arial" w:hAnsi="Arial"/>
                <w:sz w:val="17"/>
                <w:szCs w:val="17"/>
                <w:b w:val="1"/>
                <w:bCs w:val="1"/>
                <w:color w:val="auto"/>
              </w:rPr>
              <w:t>Exhibit</w:t>
            </w:r>
          </w:p>
        </w:tc>
        <w:tc>
          <w:tcPr>
            <w:tcW w:w="0" w:type="dxa"/>
            <w:vAlign w:val="bottom"/>
          </w:tcPr>
          <w:p>
            <w:pPr>
              <w:spacing w:after="0"/>
              <w:rPr>
                <w:sz w:val="1"/>
                <w:szCs w:val="1"/>
                <w:color w:val="auto"/>
              </w:rPr>
            </w:pPr>
          </w:p>
        </w:tc>
      </w:tr>
      <w:tr>
        <w:trPr>
          <w:trHeight w:val="393"/>
        </w:trPr>
        <w:tc>
          <w:tcPr>
            <w:tcW w:w="1220" w:type="dxa"/>
            <w:vAlign w:val="bottom"/>
            <w:tcBorders>
              <w:top w:val="single" w:sz="8" w:color="auto"/>
            </w:tcBorders>
          </w:tcPr>
          <w:p>
            <w:pPr>
              <w:jc w:val="center"/>
              <w:ind w:left="434"/>
              <w:spacing w:after="0"/>
              <w:rPr>
                <w:sz w:val="20"/>
                <w:szCs w:val="20"/>
                <w:color w:val="auto"/>
              </w:rPr>
            </w:pPr>
            <w:r>
              <w:rPr>
                <w:rFonts w:ascii="Arial" w:cs="Arial" w:eastAsia="Arial" w:hAnsi="Arial"/>
                <w:sz w:val="17"/>
                <w:szCs w:val="17"/>
                <w:color w:val="auto"/>
                <w:w w:val="92"/>
              </w:rPr>
              <w:t>3.1</w:t>
            </w: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40" w:type="dxa"/>
            <w:vAlign w:val="bottom"/>
            <w:tcBorders>
              <w:top w:val="single" w:sz="8" w:color="auto"/>
            </w:tcBorders>
            <w:gridSpan w:val="10"/>
          </w:tcPr>
          <w:p>
            <w:pPr>
              <w:spacing w:after="0"/>
              <w:rPr>
                <w:rFonts w:ascii="Arial" w:cs="Arial" w:eastAsia="Arial" w:hAnsi="Arial"/>
                <w:sz w:val="17"/>
                <w:szCs w:val="17"/>
                <w:color w:val="0000FF"/>
                <w:w w:val="93"/>
              </w:rPr>
            </w:pPr>
            <w:hyperlink r:id="rId95">
              <w:r>
                <w:rPr>
                  <w:rFonts w:ascii="Arial" w:cs="Arial" w:eastAsia="Arial" w:hAnsi="Arial"/>
                  <w:sz w:val="17"/>
                  <w:szCs w:val="17"/>
                  <w:color w:val="0000FF"/>
                  <w:w w:val="93"/>
                </w:rPr>
                <w:t>Third Amended and Restated Certificate of Incorporation of Activision Blizzard, Inc., dated June 5, 2014 (incorporated by reference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3"/>
              </w:rPr>
            </w:pPr>
            <w:hyperlink r:id="rId95">
              <w:r>
                <w:rPr>
                  <w:rFonts w:ascii="Arial" w:cs="Arial" w:eastAsia="Arial" w:hAnsi="Arial"/>
                  <w:sz w:val="17"/>
                  <w:szCs w:val="17"/>
                  <w:color w:val="0000FF"/>
                  <w:w w:val="93"/>
                </w:rPr>
                <w:t>Exhibit 3.1 of the Company’s Form 8-K, filed June 6, 2014).</w:t>
              </w:r>
            </w:hyperlink>
          </w:p>
        </w:tc>
        <w:tc>
          <w:tcPr>
            <w:tcW w:w="510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2"/>
              </w:rPr>
              <w:t>3.2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7"/>
                <w:szCs w:val="17"/>
                <w:color w:val="0000FF"/>
                <w:w w:val="93"/>
              </w:rPr>
            </w:pPr>
            <w:hyperlink r:id="rId96">
              <w:r>
                <w:rPr>
                  <w:rFonts w:ascii="Arial" w:cs="Arial" w:eastAsia="Arial" w:hAnsi="Arial"/>
                  <w:sz w:val="17"/>
                  <w:szCs w:val="17"/>
                  <w:color w:val="0000FF"/>
                  <w:w w:val="93"/>
                </w:rPr>
                <w:t>Fifth Amended and Restated Bylaws of Activision Blizzard, Inc., adopted as of January 17, 2022 (incorporated by reference to Exhibit</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2"/>
              </w:rPr>
            </w:pPr>
            <w:hyperlink r:id="rId96">
              <w:r>
                <w:rPr>
                  <w:rFonts w:ascii="Arial" w:cs="Arial" w:eastAsia="Arial" w:hAnsi="Arial"/>
                  <w:sz w:val="17"/>
                  <w:szCs w:val="17"/>
                  <w:color w:val="0000FF"/>
                  <w:w w:val="92"/>
                </w:rPr>
                <w:t>3.</w:t>
              </w:r>
              <w:r>
                <w:rPr>
                  <w:rFonts w:ascii="Arial" w:cs="Arial" w:eastAsia="Arial" w:hAnsi="Arial"/>
                  <w:sz w:val="17"/>
                  <w:szCs w:val="17"/>
                  <w:u w:val="single" w:color="auto"/>
                  <w:color w:val="0000FF"/>
                  <w:w w:val="92"/>
                </w:rPr>
                <w:t>1</w:t>
              </w:r>
              <w:r>
                <w:rPr>
                  <w:rFonts w:ascii="Arial" w:cs="Arial" w:eastAsia="Arial" w:hAnsi="Arial"/>
                  <w:sz w:val="17"/>
                  <w:szCs w:val="17"/>
                  <w:color w:val="0000FF"/>
                  <w:w w:val="92"/>
                </w:rPr>
                <w:t xml:space="preserve"> of the Company’s Form 8-K, filed January 19, 2022).</w:t>
              </w:r>
            </w:hyperlink>
          </w:p>
        </w:tc>
        <w:tc>
          <w:tcPr>
            <w:tcW w:w="5320" w:type="dxa"/>
            <w:vAlign w:val="bottom"/>
            <w:tcBorders>
              <w:top w:val="single" w:sz="8" w:color="0000FF"/>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7"/>
                <w:szCs w:val="17"/>
                <w:color w:val="0000FF"/>
                <w:w w:val="97"/>
              </w:rPr>
            </w:pPr>
            <w:hyperlink w:anchor="page63">
              <w:r>
                <w:rPr>
                  <w:rFonts w:ascii="Arial" w:cs="Arial" w:eastAsia="Arial" w:hAnsi="Arial"/>
                  <w:sz w:val="17"/>
                  <w:szCs w:val="17"/>
                  <w:color w:val="0000FF"/>
                  <w:w w:val="97"/>
                </w:rPr>
                <w:t>Certification of Robert A. Kotick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7"/>
          </w:tcPr>
          <w:p>
            <w:pPr>
              <w:spacing w:after="0" w:line="148" w:lineRule="exact"/>
              <w:rPr>
                <w:rFonts w:ascii="Arial" w:cs="Arial" w:eastAsia="Arial" w:hAnsi="Arial"/>
                <w:sz w:val="17"/>
                <w:szCs w:val="17"/>
                <w:color w:val="0000FF"/>
              </w:rPr>
            </w:pPr>
            <w:hyperlink w:anchor="page63">
              <w:r>
                <w:rPr>
                  <w:rFonts w:ascii="Arial" w:cs="Arial" w:eastAsia="Arial" w:hAnsi="Arial"/>
                  <w:sz w:val="17"/>
                  <w:szCs w:val="17"/>
                  <w:color w:val="0000FF"/>
                </w:rPr>
                <w:t>Section 302 of the Sarbanes-Oxley Act of 2002.</w:t>
              </w:r>
            </w:hyperlink>
          </w:p>
        </w:tc>
        <w:tc>
          <w:tcPr>
            <w:tcW w:w="5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31.2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Certification of Armin Zerza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tcBorders>
            <w:gridSpan w:val="6"/>
          </w:tcPr>
          <w:p>
            <w:pPr>
              <w:spacing w:after="0" w:line="148" w:lineRule="exact"/>
              <w:rPr>
                <w:rFonts w:ascii="Arial" w:cs="Arial" w:eastAsia="Arial" w:hAnsi="Arial"/>
                <w:sz w:val="17"/>
                <w:szCs w:val="17"/>
                <w:color w:val="0000FF"/>
              </w:rPr>
            </w:pPr>
            <w:hyperlink w:anchor="page64">
              <w:r>
                <w:rPr>
                  <w:rFonts w:ascii="Arial" w:cs="Arial" w:eastAsia="Arial" w:hAnsi="Arial"/>
                  <w:sz w:val="17"/>
                  <w:szCs w:val="17"/>
                  <w:color w:val="0000FF"/>
                </w:rPr>
                <w:t>Section 302 of the Sarbanes-Oxley Act of 2002.</w:t>
              </w:r>
            </w:hyperlink>
          </w:p>
        </w:tc>
        <w:tc>
          <w:tcPr>
            <w:tcW w:w="8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32.1</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10"/>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Certification of Robert A. Kotick pursuant to Section 906 of the Sarbanes-Oxley Act of 2002.</w:t>
              </w:r>
            </w:hyperlink>
          </w:p>
        </w:tc>
        <w:tc>
          <w:tcPr>
            <w:tcW w:w="0" w:type="dxa"/>
            <w:vAlign w:val="bottom"/>
          </w:tcPr>
          <w:p>
            <w:pPr>
              <w:spacing w:after="0"/>
              <w:rPr>
                <w:sz w:val="1"/>
                <w:szCs w:val="1"/>
                <w:color w:val="auto"/>
              </w:rPr>
            </w:pPr>
          </w:p>
        </w:tc>
      </w:tr>
      <w:tr>
        <w:trPr>
          <w:trHeight w:val="418"/>
        </w:trPr>
        <w:tc>
          <w:tcPr>
            <w:tcW w:w="1220" w:type="dxa"/>
            <w:vAlign w:val="bottom"/>
          </w:tcPr>
          <w:p>
            <w:pPr>
              <w:jc w:val="center"/>
              <w:ind w:left="434"/>
              <w:spacing w:after="0"/>
              <w:rPr>
                <w:sz w:val="20"/>
                <w:szCs w:val="20"/>
                <w:color w:val="auto"/>
              </w:rPr>
            </w:pPr>
            <w:r>
              <w:rPr>
                <w:rFonts w:ascii="Arial" w:cs="Arial" w:eastAsia="Arial" w:hAnsi="Arial"/>
                <w:sz w:val="17"/>
                <w:szCs w:val="17"/>
                <w:color w:val="auto"/>
                <w:w w:val="90"/>
              </w:rPr>
              <w:t>32.2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2"/>
              </w:rPr>
            </w:pPr>
            <w:hyperlink w:anchor="page66">
              <w:r>
                <w:rPr>
                  <w:rFonts w:ascii="Arial" w:cs="Arial" w:eastAsia="Arial" w:hAnsi="Arial"/>
                  <w:sz w:val="17"/>
                  <w:szCs w:val="17"/>
                  <w:color w:val="0000FF"/>
                  <w:w w:val="92"/>
                </w:rPr>
                <w:t>Certification of Armin Zerza pursuant to Section 906 of the Sarbanes-Oxley Act of 2002.</w:t>
              </w:r>
            </w:hyperlink>
          </w:p>
        </w:tc>
        <w:tc>
          <w:tcPr>
            <w:tcW w:w="300" w:type="dxa"/>
            <w:vAlign w:val="bottom"/>
            <w:tcBorders>
              <w:top w:val="single" w:sz="8" w:color="0000FF"/>
            </w:tcBorders>
          </w:tcPr>
          <w:p>
            <w:pPr>
              <w:spacing w:after="0"/>
              <w:rPr>
                <w:sz w:val="24"/>
                <w:szCs w:val="24"/>
                <w:color w:val="auto"/>
              </w:rPr>
            </w:pPr>
          </w:p>
        </w:tc>
        <w:tc>
          <w:tcPr>
            <w:tcW w:w="2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2"/>
              </w:rPr>
              <w:t>101.SCH</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6"/>
              </w:rPr>
              <w:t>101.CAL</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20"/>
              <w:spacing w:after="0"/>
              <w:rPr>
                <w:sz w:val="20"/>
                <w:szCs w:val="20"/>
                <w:color w:val="auto"/>
              </w:rPr>
            </w:pPr>
            <w:r>
              <w:rPr>
                <w:rFonts w:ascii="Arial" w:cs="Arial" w:eastAsia="Arial" w:hAnsi="Arial"/>
                <w:sz w:val="17"/>
                <w:szCs w:val="17"/>
                <w:color w:val="auto"/>
                <w:w w:val="98"/>
              </w:rPr>
              <w:t>101.LAB</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1"/>
              </w:rPr>
              <w:t>101.PRE</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438"/>
        </w:trPr>
        <w:tc>
          <w:tcPr>
            <w:tcW w:w="1880" w:type="dxa"/>
            <w:vAlign w:val="bottom"/>
            <w:gridSpan w:val="3"/>
          </w:tcPr>
          <w:p>
            <w:pPr>
              <w:jc w:val="center"/>
              <w:ind w:right="140"/>
              <w:spacing w:after="0"/>
              <w:rPr>
                <w:sz w:val="20"/>
                <w:szCs w:val="20"/>
                <w:color w:val="auto"/>
              </w:rPr>
            </w:pPr>
            <w:r>
              <w:rPr>
                <w:rFonts w:ascii="Arial" w:cs="Arial" w:eastAsia="Arial" w:hAnsi="Arial"/>
                <w:sz w:val="17"/>
                <w:szCs w:val="17"/>
                <w:color w:val="auto"/>
                <w:w w:val="92"/>
              </w:rPr>
              <w:t>101.DEF</w:t>
            </w:r>
          </w:p>
        </w:tc>
        <w:tc>
          <w:tcPr>
            <w:tcW w:w="20" w:type="dxa"/>
            <w:vAlign w:val="bottom"/>
          </w:tcPr>
          <w:p>
            <w:pPr>
              <w:spacing w:after="0"/>
              <w:rPr>
                <w:sz w:val="24"/>
                <w:szCs w:val="24"/>
                <w:color w:val="auto"/>
              </w:rPr>
            </w:pPr>
          </w:p>
        </w:tc>
        <w:tc>
          <w:tcPr>
            <w:tcW w:w="9340" w:type="dxa"/>
            <w:vAlign w:val="bottom"/>
            <w:gridSpan w:val="10"/>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1900" w:hanging="1156"/>
        <w:spacing w:after="0"/>
        <w:tabs>
          <w:tab w:leader="none" w:pos="1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7"/>
                <w:szCs w:val="17"/>
                <w:color w:val="auto"/>
              </w:rPr>
              <w:t>Date: August 1, 2022</w:t>
            </w:r>
          </w:p>
        </w:tc>
        <w:tc>
          <w:tcPr>
            <w:tcW w:w="460" w:type="dxa"/>
            <w:vAlign w:val="bottom"/>
          </w:tcPr>
          <w:p>
            <w:pPr>
              <w:spacing w:after="0"/>
              <w:rPr>
                <w:sz w:val="18"/>
                <w:szCs w:val="18"/>
                <w:color w:val="auto"/>
              </w:rPr>
            </w:pPr>
          </w:p>
        </w:tc>
        <w:tc>
          <w:tcPr>
            <w:tcW w:w="5380" w:type="dxa"/>
            <w:vAlign w:val="bottom"/>
          </w:tcPr>
          <w:p>
            <w:pPr>
              <w:spacing w:after="0"/>
              <w:rPr>
                <w:sz w:val="18"/>
                <w:szCs w:val="18"/>
                <w:color w:val="auto"/>
              </w:rPr>
            </w:pPr>
          </w:p>
        </w:tc>
      </w:tr>
      <w:tr>
        <w:trPr>
          <w:trHeight w:val="438"/>
        </w:trPr>
        <w:tc>
          <w:tcPr>
            <w:tcW w:w="5400" w:type="dxa"/>
            <w:vAlign w:val="bottom"/>
          </w:tcPr>
          <w:p>
            <w:pPr>
              <w:spacing w:after="0"/>
              <w:rPr>
                <w:sz w:val="20"/>
                <w:szCs w:val="20"/>
                <w:color w:val="auto"/>
              </w:rPr>
            </w:pPr>
            <w:r>
              <w:rPr>
                <w:rFonts w:ascii="Arial" w:cs="Arial" w:eastAsia="Arial" w:hAnsi="Arial"/>
                <w:sz w:val="17"/>
                <w:szCs w:val="17"/>
                <w:color w:val="auto"/>
              </w:rPr>
              <w:t>ACTIVISION BLIZZARD, INC.</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45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ARMIN ZERZA</w:t>
            </w:r>
          </w:p>
        </w:tc>
        <w:tc>
          <w:tcPr>
            <w:tcW w:w="460" w:type="dxa"/>
            <w:vAlign w:val="bottom"/>
          </w:tcPr>
          <w:p>
            <w:pPr>
              <w:spacing w:after="0"/>
              <w:rPr>
                <w:sz w:val="24"/>
                <w:szCs w:val="24"/>
                <w:color w:val="auto"/>
              </w:rPr>
            </w:pP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JESSE YANG</w:t>
            </w:r>
          </w:p>
        </w:tc>
      </w:tr>
      <w:tr>
        <w:trPr>
          <w:trHeight w:val="211"/>
        </w:trPr>
        <w:tc>
          <w:tcPr>
            <w:tcW w:w="5400" w:type="dxa"/>
            <w:vAlign w:val="bottom"/>
          </w:tcPr>
          <w:p>
            <w:pPr>
              <w:ind w:left="20"/>
              <w:spacing w:after="0"/>
              <w:rPr>
                <w:sz w:val="20"/>
                <w:szCs w:val="20"/>
                <w:color w:val="auto"/>
              </w:rPr>
            </w:pPr>
            <w:r>
              <w:rPr>
                <w:rFonts w:ascii="Arial" w:cs="Arial" w:eastAsia="Arial" w:hAnsi="Arial"/>
                <w:sz w:val="17"/>
                <w:szCs w:val="17"/>
                <w:color w:val="auto"/>
              </w:rPr>
              <w:t>Armin Zerza</w:t>
            </w:r>
          </w:p>
        </w:tc>
        <w:tc>
          <w:tcPr>
            <w:tcW w:w="4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Jesse Yang</w:t>
            </w:r>
          </w:p>
        </w:tc>
      </w:tr>
      <w:tr>
        <w:trPr>
          <w:trHeight w:val="170"/>
        </w:trPr>
        <w:tc>
          <w:tcPr>
            <w:tcW w:w="5400" w:type="dxa"/>
            <w:vAlign w:val="bottom"/>
          </w:tcPr>
          <w:p>
            <w:pPr>
              <w:ind w:left="20"/>
              <w:spacing w:after="0" w:line="170" w:lineRule="exact"/>
              <w:rPr>
                <w:sz w:val="20"/>
                <w:szCs w:val="20"/>
                <w:color w:val="auto"/>
              </w:rPr>
            </w:pPr>
            <w:r>
              <w:rPr>
                <w:rFonts w:ascii="Arial" w:cs="Arial" w:eastAsia="Arial" w:hAnsi="Arial"/>
                <w:sz w:val="17"/>
                <w:szCs w:val="17"/>
                <w:i w:val="1"/>
                <w:iCs w:val="1"/>
                <w:color w:val="auto"/>
              </w:rPr>
              <w:t>Chief Financial Officer and Principal Financial Officer</w:t>
            </w:r>
          </w:p>
        </w:tc>
        <w:tc>
          <w:tcPr>
            <w:tcW w:w="460" w:type="dxa"/>
            <w:vAlign w:val="bottom"/>
          </w:tcPr>
          <w:p>
            <w:pPr>
              <w:spacing w:after="0"/>
              <w:rPr>
                <w:sz w:val="14"/>
                <w:szCs w:val="14"/>
                <w:color w:val="auto"/>
              </w:rPr>
            </w:pPr>
          </w:p>
        </w:tc>
        <w:tc>
          <w:tcPr>
            <w:tcW w:w="5380" w:type="dxa"/>
            <w:vAlign w:val="bottom"/>
          </w:tcPr>
          <w:p>
            <w:pPr>
              <w:ind w:left="20"/>
              <w:spacing w:after="0" w:line="170" w:lineRule="exact"/>
              <w:rPr>
                <w:sz w:val="20"/>
                <w:szCs w:val="20"/>
                <w:color w:val="auto"/>
              </w:rPr>
            </w:pPr>
            <w:r>
              <w:rPr>
                <w:rFonts w:ascii="Arial" w:cs="Arial" w:eastAsia="Arial" w:hAnsi="Arial"/>
                <w:sz w:val="17"/>
                <w:szCs w:val="17"/>
                <w:i w:val="1"/>
                <w:iCs w:val="1"/>
                <w:color w:val="auto"/>
                <w:w w:val="97"/>
              </w:rPr>
              <w:t>Deputy Chief Financial Officer and Comptroller, and Principal Accounting</w:t>
            </w:r>
          </w:p>
        </w:tc>
      </w:tr>
      <w:tr>
        <w:trPr>
          <w:trHeight w:val="217"/>
        </w:trPr>
        <w:tc>
          <w:tcPr>
            <w:tcW w:w="5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Officer</w:t>
            </w:r>
          </w:p>
        </w:tc>
      </w:tr>
      <w:tr>
        <w:trPr>
          <w:trHeight w:val="219"/>
        </w:trPr>
        <w:tc>
          <w:tcPr>
            <w:tcW w:w="540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c>
          <w:tcPr>
            <w:tcW w:w="46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i w:val="1"/>
                <w:iCs w:val="1"/>
                <w:color w:val="auto"/>
              </w:rPr>
              <w:t>of Activision Blizzard, Inc.</w:t>
            </w:r>
          </w:p>
        </w:tc>
      </w:tr>
      <w:tr>
        <w:trPr>
          <w:trHeight w:val="825"/>
        </w:trPr>
        <w:tc>
          <w:tcPr>
            <w:tcW w:w="5400" w:type="dxa"/>
            <w:vAlign w:val="bottom"/>
          </w:tcPr>
          <w:p>
            <w:pPr>
              <w:spacing w:after="0"/>
              <w:rPr>
                <w:sz w:val="24"/>
                <w:szCs w:val="24"/>
                <w:color w:val="auto"/>
              </w:rPr>
            </w:pPr>
          </w:p>
        </w:tc>
        <w:tc>
          <w:tcPr>
            <w:tcW w:w="460" w:type="dxa"/>
            <w:vAlign w:val="bottom"/>
          </w:tcPr>
          <w:p>
            <w:pPr>
              <w:jc w:val="right"/>
              <w:ind w:right="74"/>
              <w:spacing w:after="0"/>
              <w:rPr>
                <w:sz w:val="20"/>
                <w:szCs w:val="20"/>
                <w:color w:val="auto"/>
              </w:rPr>
            </w:pPr>
            <w:r>
              <w:rPr>
                <w:rFonts w:ascii="Arial" w:cs="Arial" w:eastAsia="Arial" w:hAnsi="Arial"/>
                <w:sz w:val="17"/>
                <w:szCs w:val="17"/>
                <w:color w:val="auto"/>
              </w:rPr>
              <w:t>62</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Robert A. Kotick, certify that:</w:t>
      </w:r>
    </w:p>
    <w:p>
      <w:pPr>
        <w:spacing w:after="0" w:line="243" w:lineRule="exact"/>
        <w:rPr>
          <w:sz w:val="20"/>
          <w:szCs w:val="20"/>
          <w:color w:val="auto"/>
        </w:rPr>
      </w:pPr>
    </w:p>
    <w:p>
      <w:pPr>
        <w:ind w:left="620" w:hanging="61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August 1, 2022</w:t>
      </w:r>
    </w:p>
    <w:p>
      <w:pPr>
        <w:spacing w:after="0" w:line="14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Armin Zerza, certify that:</w:t>
      </w:r>
    </w:p>
    <w:p>
      <w:pPr>
        <w:spacing w:after="0" w:line="243" w:lineRule="exact"/>
        <w:rPr>
          <w:sz w:val="20"/>
          <w:szCs w:val="20"/>
          <w:color w:val="auto"/>
        </w:rPr>
      </w:pPr>
    </w:p>
    <w:p>
      <w:pPr>
        <w:ind w:left="620" w:hanging="61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Activision Blizzard, Inc.;</w:t>
      </w:r>
    </w:p>
    <w:p>
      <w:pPr>
        <w:spacing w:after="0" w:line="242"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620" w:right="80" w:hanging="617"/>
        <w:spacing w:after="0" w:line="266"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5"/>
          <w:szCs w:val="15"/>
          <w:color w:val="auto"/>
        </w:rPr>
      </w:pPr>
    </w:p>
    <w:p>
      <w:pPr>
        <w:ind w:left="1240" w:right="260" w:hanging="618"/>
        <w:spacing w:after="0" w:line="266" w:lineRule="auto"/>
        <w:tabs>
          <w:tab w:leader="none" w:pos="1234"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20" w:hanging="617"/>
        <w:spacing w:after="0" w:line="312"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1240" w:right="120" w:hanging="618"/>
        <w:spacing w:after="0" w:line="279" w:lineRule="auto"/>
        <w:tabs>
          <w:tab w:leader="none" w:pos="1234"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August 1, 2022</w:t>
      </w:r>
    </w:p>
    <w:p>
      <w:pPr>
        <w:spacing w:after="0" w:line="200" w:lineRule="exact"/>
        <w:rPr>
          <w:sz w:val="20"/>
          <w:szCs w:val="20"/>
          <w:color w:val="auto"/>
        </w:rPr>
      </w:pPr>
    </w:p>
    <w:p>
      <w:pPr>
        <w:spacing w:after="0" w:line="288"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240"/>
          </w:cols>
          <w:pgMar w:left="320" w:top="85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ind w:right="12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June 30, 2022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August 1, 2022</w:t>
      </w:r>
    </w:p>
    <w:p>
      <w:pPr>
        <w:ind w:left="600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Robert A. Kotick</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Executive Officer and</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Principal Executive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ind w:right="120" w:firstLine="619"/>
        <w:spacing w:after="0" w:line="290" w:lineRule="auto"/>
        <w:rPr>
          <w:sz w:val="20"/>
          <w:szCs w:val="20"/>
          <w:color w:val="auto"/>
        </w:rPr>
      </w:pPr>
      <w:r>
        <w:rPr>
          <w:rFonts w:ascii="Arial" w:cs="Arial" w:eastAsia="Arial" w:hAnsi="Arial"/>
          <w:sz w:val="16"/>
          <w:szCs w:val="16"/>
          <w:color w:val="auto"/>
        </w:rPr>
        <w:t>In connection with the Quarterly Report of Activision Blizzard, Inc. (the “Company”) on Form 10-Q for the period ended June 30, 2022 as filed with the Securities and Exchange Commission on the date hereof (the “Report”), I, Armin Zerza, Chief Financial Officer and Principal Financial Officer of the Company, certify, to my knowledge, pursuant to 18 U.S.C. § 1350, as adopted pursuant to § 906 of the Sarbanes-Oxley Act of 2002, that:</w:t>
      </w:r>
    </w:p>
    <w:p>
      <w:pPr>
        <w:spacing w:after="0" w:line="158" w:lineRule="exact"/>
        <w:rPr>
          <w:sz w:val="20"/>
          <w:szCs w:val="20"/>
          <w:color w:val="auto"/>
        </w:rPr>
      </w:pPr>
    </w:p>
    <w:p>
      <w:pPr>
        <w:ind w:left="1000" w:hanging="378"/>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right="280" w:firstLine="622"/>
        <w:spacing w:after="0" w:line="530" w:lineRule="auto"/>
        <w:tabs>
          <w:tab w:leader="none" w:pos="98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August 1, 2022</w:t>
      </w:r>
    </w:p>
    <w:p>
      <w:pPr>
        <w:ind w:left="6000"/>
        <w:spacing w:after="0"/>
        <w:rPr>
          <w:sz w:val="20"/>
          <w:szCs w:val="20"/>
          <w:color w:val="auto"/>
        </w:rPr>
      </w:pPr>
      <w:r>
        <w:rPr>
          <w:rFonts w:ascii="Arial" w:cs="Arial" w:eastAsia="Arial" w:hAnsi="Arial"/>
          <w:sz w:val="17"/>
          <w:szCs w:val="17"/>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22860</wp:posOffset>
            </wp:positionV>
            <wp:extent cx="334010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340100" cy="16510"/>
                    </a:xfrm>
                    <a:prstGeom prst="rect">
                      <a:avLst/>
                    </a:prstGeom>
                    <a:noFill/>
                  </pic:spPr>
                </pic:pic>
              </a:graphicData>
            </a:graphic>
          </wp:anchor>
        </w:drawing>
      </w:r>
    </w:p>
    <w:p>
      <w:pPr>
        <w:spacing w:after="0" w:line="4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Armin Zerza</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Chief Financial Officer and Principal Financial Officer of</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17"/>
          <w:szCs w:val="17"/>
          <w:i w:val="1"/>
          <w:iCs w:val="1"/>
          <w:color w:val="auto"/>
        </w:rPr>
        <w:t>Activision Blizzard, Inc.</w:t>
      </w:r>
    </w:p>
    <w:p>
      <w:pPr>
        <w:spacing w:after="0" w:line="3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lvl w:ilvl="1">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2"/>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0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6" Type="http://schemas.openxmlformats.org/officeDocument/2006/relationships/hyperlink" Target="http://www.sec.gov/ix?doc=/Archives/edgar/data/0000718877/000162828022003992/atvi-20211231.htm#i6918bdee1491433a92115eff89e52c46_145" TargetMode="External"/><Relationship Id="rId24" Type="http://schemas.openxmlformats.org/officeDocument/2006/relationships/hyperlink" Target="http://www.sec.gov/ix?doc=/Archives/edgar/data/0000718877/000162828022003992/atvi-20211231.htm#i6918bdee1491433a92115eff89e52c46_142" TargetMode="External"/><Relationship Id="rId39" Type="http://schemas.openxmlformats.org/officeDocument/2006/relationships/hyperlink" Target="http://www.sec.gov/ix?doc=/Archives/edgar/data/0000718877/000162828022003992/atvi-20211231.htm#i6918bdee1491433a92115eff89e52c46_46" TargetMode="External"/><Relationship Id="rId90" Type="http://schemas.openxmlformats.org/officeDocument/2006/relationships/hyperlink" Target="http://www.sec.gov/ix?doc=/Archives/edgar/data/0000718877/000162828022003992/atvi-20211231.htm#i6918bdee1491433a92115eff89e52c46_169" TargetMode="External"/><Relationship Id="rId95" Type="http://schemas.openxmlformats.org/officeDocument/2006/relationships/hyperlink" Target="http://www.sec.gov/Archives/edgar/data/718877/000110465914044513/a14-14950_1ex3d1.htm" TargetMode="External"/><Relationship Id="rId96" Type="http://schemas.openxmlformats.org/officeDocument/2006/relationships/hyperlink" Target="http://www.sec.gov/Archives/edgar/data/0000718877/000110465922005154/tm223212d3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2022-08-01T15:35:24Z</dcterms:created>
  <dcterms:modified xsi:type="dcterms:W3CDTF">2022-08-01T15:35:24Z</dcterms:modified>
</cp:coreProperties>
</file>