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color w:val="000000"/>
        </w:rPr>
        <w:t>☒    </w:t>
      </w:r>
      <w:r>
        <w:rPr>
          <w:rFonts w:ascii="Times New Roman;sans-serif" w:hAnsi="Times New Roman;sans-serif"/>
          <w:b/>
          <w:color w:val="000000"/>
          <w:sz w:val="24"/>
        </w:rPr>
        <w:t>QUARTERLY REPORT PURSUANT TO SECTION 13 OR 15(d) OF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spacing w:lineRule="auto" w:line="288" w:before="0" w:after="0"/>
        <w:jc w:val="center"/>
        <w:rPr/>
      </w:pPr>
      <w:r>
        <w:rPr>
          <w:color w:val="000000"/>
        </w:rPr>
        <w:t>☐    </w:t>
      </w:r>
      <w:r>
        <w:rPr>
          <w:rFonts w:ascii="Times New Roman;sans-serif" w:hAnsi="Times New Roman;sans-serif"/>
          <w:b/>
          <w:color w:val="000000"/>
          <w:sz w:val="24"/>
        </w:rPr>
        <w:t>TRANSITION REPORT PURSUANT TO SECTION 13 OR 15(d) OF THE SECURITIES EXCHANGE ACT OF 1934</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1-15839 </w:t>
      </w:r>
    </w:p>
    <w:p>
      <w:pPr>
        <w:pStyle w:val="TextBody"/>
        <w:spacing w:before="0" w:after="0"/>
        <w:jc w:val="center"/>
        <w:rPr/>
      </w:pPr>
      <w:r>
        <w:rPr/>
        <w:drawing>
          <wp:inline distT="0" distB="63500" distL="0" distR="0">
            <wp:extent cx="25146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4600" cy="78105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ACTIVISION BLIZZARD,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9844" w:type="dxa"/>
        <w:jc w:val="center"/>
        <w:tblInd w:w="0" w:type="dxa"/>
        <w:tblCellMar>
          <w:top w:w="28" w:type="dxa"/>
          <w:left w:w="28" w:type="dxa"/>
          <w:bottom w:w="28" w:type="dxa"/>
          <w:right w:w="28" w:type="dxa"/>
        </w:tblCellMar>
      </w:tblPr>
      <w:tblGrid>
        <w:gridCol w:w="1172"/>
        <w:gridCol w:w="1026"/>
        <w:gridCol w:w="1026"/>
        <w:gridCol w:w="540"/>
        <w:gridCol w:w="540"/>
        <w:gridCol w:w="540"/>
        <w:gridCol w:w="540"/>
        <w:gridCol w:w="540"/>
        <w:gridCol w:w="564"/>
        <w:gridCol w:w="109"/>
        <w:gridCol w:w="109"/>
        <w:gridCol w:w="109"/>
        <w:gridCol w:w="884"/>
        <w:gridCol w:w="884"/>
        <w:gridCol w:w="1261"/>
      </w:tblGrid>
      <w:tr>
        <w:trPr/>
        <w:tc>
          <w:tcPr>
            <w:tcW w:w="117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6488"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95-4803544</w:t>
            </w:r>
          </w:p>
        </w:tc>
      </w:tr>
      <w:tr>
        <w:trPr/>
        <w:tc>
          <w:tcPr>
            <w:tcW w:w="64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2701 Olympic Boulevard Building B</w:t>
            </w:r>
          </w:p>
        </w:tc>
        <w:tc>
          <w:tcPr>
            <w:tcW w:w="162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Santa Monica,</w:t>
            </w:r>
          </w:p>
        </w:tc>
        <w:tc>
          <w:tcPr>
            <w:tcW w:w="16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90404</w:t>
            </w:r>
          </w:p>
        </w:tc>
      </w:tr>
      <w:tr>
        <w:trPr/>
        <w:tc>
          <w:tcPr>
            <w:tcW w:w="64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224"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c>
          <w:tcPr>
            <w:tcW w:w="16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29" w:type="dxa"/>
            <w:gridSpan w:val="3"/>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c>
          <w:tcPr>
            <w:tcW w:w="1644" w:type="dxa"/>
            <w:gridSpan w:val="3"/>
            <w:tcBorders/>
            <w:shd w:fill="auto" w:val="clear"/>
            <w:vAlign w:val="center"/>
          </w:tcPr>
          <w:p>
            <w:pPr>
              <w:pStyle w:val="TableContents"/>
              <w:spacing w:before="0" w:after="283"/>
              <w:rPr>
                <w:sz w:val="4"/>
                <w:szCs w:val="4"/>
              </w:rPr>
            </w:pPr>
            <w:r>
              <w:rPr>
                <w:sz w:val="4"/>
                <w:szCs w:val="4"/>
              </w:rPr>
            </w:r>
          </w:p>
        </w:tc>
        <w:tc>
          <w:tcPr>
            <w:tcW w:w="3356" w:type="dxa"/>
            <w:gridSpan w:val="6"/>
            <w:tcBorders/>
            <w:shd w:fill="auto" w:val="clea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(310) 255-2000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087" w:type="dxa"/>
        <w:jc w:val="left"/>
        <w:tblInd w:w="0" w:type="dxa"/>
        <w:tblCellMar>
          <w:top w:w="28" w:type="dxa"/>
          <w:left w:w="28" w:type="dxa"/>
          <w:bottom w:w="28" w:type="dxa"/>
          <w:right w:w="28" w:type="dxa"/>
        </w:tblCellMar>
      </w:tblPr>
      <w:tblGrid>
        <w:gridCol w:w="1414"/>
        <w:gridCol w:w="1243"/>
        <w:gridCol w:w="1257"/>
        <w:gridCol w:w="109"/>
        <w:gridCol w:w="109"/>
        <w:gridCol w:w="109"/>
        <w:gridCol w:w="564"/>
        <w:gridCol w:w="564"/>
        <w:gridCol w:w="566"/>
        <w:gridCol w:w="109"/>
        <w:gridCol w:w="109"/>
        <w:gridCol w:w="109"/>
        <w:gridCol w:w="1118"/>
        <w:gridCol w:w="1118"/>
        <w:gridCol w:w="1589"/>
      </w:tblGrid>
      <w:tr>
        <w:trPr/>
        <w:tc>
          <w:tcPr>
            <w:tcW w:w="1414"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ATVI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lineRule="auto" w:line="288" w:before="0" w:after="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7843" w:type="dxa"/>
        <w:jc w:val="left"/>
        <w:tblInd w:w="0" w:type="dxa"/>
        <w:tblCellMar>
          <w:top w:w="28" w:type="dxa"/>
          <w:left w:w="28" w:type="dxa"/>
          <w:bottom w:w="28" w:type="dxa"/>
          <w:right w:w="28" w:type="dxa"/>
        </w:tblCellMar>
      </w:tblPr>
      <w:tblGrid>
        <w:gridCol w:w="727"/>
        <w:gridCol w:w="639"/>
        <w:gridCol w:w="643"/>
        <w:gridCol w:w="109"/>
        <w:gridCol w:w="109"/>
        <w:gridCol w:w="109"/>
        <w:gridCol w:w="109"/>
        <w:gridCol w:w="109"/>
        <w:gridCol w:w="109"/>
        <w:gridCol w:w="614"/>
        <w:gridCol w:w="614"/>
        <w:gridCol w:w="616"/>
        <w:gridCol w:w="109"/>
        <w:gridCol w:w="109"/>
        <w:gridCol w:w="109"/>
        <w:gridCol w:w="109"/>
        <w:gridCol w:w="109"/>
        <w:gridCol w:w="109"/>
        <w:gridCol w:w="769"/>
        <w:gridCol w:w="769"/>
        <w:gridCol w:w="772"/>
        <w:gridCol w:w="109"/>
        <w:gridCol w:w="109"/>
        <w:gridCol w:w="154"/>
      </w:tblGrid>
      <w:tr>
        <w:trPr/>
        <w:tc>
          <w:tcPr>
            <w:tcW w:w="727"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color w:val="000000"/>
              </w:rPr>
            </w:pPr>
            <w:r>
              <w:rPr>
                <w:color w:val="000000"/>
              </w:rPr>
              <w:t>☐</w:t>
            </w:r>
          </w:p>
        </w:tc>
      </w:tr>
      <w:tr>
        <w:trPr/>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color w:val="000000"/>
              </w:rPr>
            </w:pPr>
            <w:r>
              <w:rPr>
                <w:color w:val="000000"/>
              </w:rPr>
              <w:t>☐</w:t>
            </w:r>
          </w:p>
        </w:tc>
      </w:tr>
    </w:tbl>
    <w:p>
      <w:pPr>
        <w:pStyle w:val="TextBody"/>
        <w:spacing w:lineRule="auto" w:line="288" w:before="12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lineRule="auto" w:line="288" w:before="120" w:after="283"/>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registrant’s Common Stock outstanding at April 28, 2023 was 786,158,727.</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98"/>
        <w:gridCol w:w="263"/>
        <w:gridCol w:w="265"/>
        <w:gridCol w:w="3031"/>
        <w:gridCol w:w="2998"/>
        <w:gridCol w:w="2977"/>
        <w:gridCol w:w="109"/>
        <w:gridCol w:w="109"/>
        <w:gridCol w:w="155"/>
      </w:tblGrid>
      <w:tr>
        <w:trPr/>
        <w:tc>
          <w:tcPr>
            <w:tcW w:w="29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3031" w:type="dxa"/>
            <w:tcBorders/>
            <w:shd w:fill="auto" w:val="clear"/>
            <w:vAlign w:val="center"/>
          </w:tcPr>
          <w:p>
            <w:pPr>
              <w:pStyle w:val="TableContents"/>
              <w:spacing w:before="0" w:after="283"/>
              <w:rPr>
                <w:sz w:val="4"/>
                <w:szCs w:val="4"/>
              </w:rPr>
            </w:pPr>
            <w:r>
              <w:rPr>
                <w:sz w:val="4"/>
                <w:szCs w:val="4"/>
              </w:rPr>
            </w:r>
          </w:p>
        </w:tc>
        <w:tc>
          <w:tcPr>
            <w:tcW w:w="2998" w:type="dxa"/>
            <w:tcBorders/>
            <w:shd w:fill="auto" w:val="clear"/>
            <w:vAlign w:val="center"/>
          </w:tcPr>
          <w:p>
            <w:pPr>
              <w:pStyle w:val="TableContents"/>
              <w:spacing w:before="0" w:after="283"/>
              <w:rPr>
                <w:sz w:val="4"/>
                <w:szCs w:val="4"/>
              </w:rPr>
            </w:pPr>
            <w:r>
              <w:rPr>
                <w:sz w:val="4"/>
                <w:szCs w:val="4"/>
              </w:rPr>
            </w:r>
          </w:p>
        </w:tc>
        <w:tc>
          <w:tcPr>
            <w:tcW w:w="29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6">
              <w:r>
                <w:rPr>
                  <w:rStyle w:val="InternetLink"/>
                  <w:rFonts w:ascii="Times New Roman;sans-serif" w:hAnsi="Times New Roman;sans-serif"/>
                  <w:b w:val="false"/>
                  <w:color w:val="0000FF"/>
                  <w:sz w:val="20"/>
                  <w:u w:val="single"/>
                </w:rPr>
                <w:t>Cautionary Statement</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16">
              <w:r>
                <w:rPr>
                  <w:rStyle w:val="InternetLink"/>
                  <w:rFonts w:ascii="Times New Roman;sans-serif" w:hAnsi="Times New Roman;sans-serif"/>
                  <w:b w:val="false"/>
                  <w:strike w:val="false"/>
                  <w:dstrike w:val="false"/>
                  <w:color w:val="0000FF"/>
                  <w:sz w:val="20"/>
                  <w:u w:val="none"/>
                  <w:effect w:val="none"/>
                </w:rPr>
                <w:t>3</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78">
              <w:r>
                <w:rPr>
                  <w:rStyle w:val="InternetLink"/>
                  <w:rFonts w:ascii="Times New Roman;sans-serif" w:hAnsi="Times New Roman;sans-serif"/>
                  <w:b w:val="false"/>
                  <w:color w:val="0000FF"/>
                  <w:sz w:val="20"/>
                  <w:u w:val="single"/>
                </w:rPr>
                <w:t>PART I.</w:t>
              </w:r>
            </w:hyperlink>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78">
              <w:r>
                <w:rPr>
                  <w:rStyle w:val="InternetLink"/>
                  <w:rFonts w:ascii="Times New Roman;sans-serif" w:hAnsi="Times New Roman;sans-serif"/>
                  <w:b w:val="false"/>
                  <w:color w:val="0000FF"/>
                  <w:sz w:val="20"/>
                  <w:u w:val="single"/>
                </w:rPr>
                <w:t>FINANCIAL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81">
              <w:r>
                <w:rPr>
                  <w:rStyle w:val="InternetLink"/>
                  <w:rFonts w:ascii="Times New Roman;sans-serif" w:hAnsi="Times New Roman;sans-serif"/>
                  <w:b w:val="false"/>
                  <w:color w:val="0000FF"/>
                  <w:sz w:val="20"/>
                  <w:u w:val="single"/>
                </w:rPr>
                <w:t>Item 1.</w:t>
              </w:r>
            </w:hyperlink>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84">
              <w:r>
                <w:rPr>
                  <w:rStyle w:val="InternetLink"/>
                  <w:rFonts w:ascii="Times New Roman;sans-serif" w:hAnsi="Times New Roman;sans-serif"/>
                  <w:b w:val="false"/>
                  <w:color w:val="0000FF"/>
                  <w:sz w:val="20"/>
                  <w:u w:val="single"/>
                </w:rPr>
                <w:t>Financial Statements (Unaudited)</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87">
              <w:r>
                <w:rPr>
                  <w:rStyle w:val="InternetLink"/>
                  <w:rFonts w:ascii="Times New Roman;sans-serif" w:hAnsi="Times New Roman;sans-serif"/>
                  <w:b w:val="false"/>
                  <w:color w:val="0000FF"/>
                  <w:sz w:val="20"/>
                  <w:u w:val="single"/>
                </w:rPr>
                <w:t>Condensed Consolidated Balance Sheets at March 31, 2023 and December 31, 2022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187">
              <w:r>
                <w:rPr>
                  <w:rStyle w:val="InternetLink"/>
                  <w:rFonts w:ascii="Times New Roman;sans-serif" w:hAnsi="Times New Roman;sans-serif"/>
                  <w:b w:val="false"/>
                  <w:strike w:val="false"/>
                  <w:dstrike w:val="false"/>
                  <w:color w:val="0000FF"/>
                  <w:sz w:val="20"/>
                  <w:u w:val="none"/>
                  <w:effect w:val="none"/>
                </w:rPr>
                <w:t>4</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90">
              <w:r>
                <w:rPr>
                  <w:rStyle w:val="InternetLink"/>
                  <w:rFonts w:ascii="Times New Roman;sans-serif" w:hAnsi="Times New Roman;sans-serif"/>
                  <w:b w:val="false"/>
                  <w:color w:val="0000FF"/>
                  <w:sz w:val="20"/>
                  <w:u w:val="single"/>
                </w:rPr>
                <w:t>Condensed Consolidated Statements of Operations for the three months ended March 31, 2023 and March 31, 2022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190">
              <w:r>
                <w:rPr>
                  <w:rStyle w:val="InternetLink"/>
                  <w:rFonts w:ascii="Times New Roman;sans-serif" w:hAnsi="Times New Roman;sans-serif"/>
                  <w:b w:val="false"/>
                  <w:strike w:val="false"/>
                  <w:dstrike w:val="false"/>
                  <w:color w:val="0000FF"/>
                  <w:sz w:val="20"/>
                  <w:u w:val="none"/>
                  <w:effect w:val="none"/>
                </w:rPr>
                <w:t>5</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93">
              <w:r>
                <w:rPr>
                  <w:rStyle w:val="InternetLink"/>
                  <w:rFonts w:ascii="Times New Roman;sans-serif" w:hAnsi="Times New Roman;sans-serif"/>
                  <w:b w:val="false"/>
                  <w:color w:val="0000FF"/>
                  <w:sz w:val="20"/>
                  <w:u w:val="single"/>
                </w:rPr>
                <w:t>Condensed Consolidated Statements of Comprehensive Income for the three months ended March 31, 2023 and March 31, 2022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193">
              <w:r>
                <w:rPr>
                  <w:rStyle w:val="InternetLink"/>
                  <w:rFonts w:ascii="Times New Roman;sans-serif" w:hAnsi="Times New Roman;sans-serif"/>
                  <w:b w:val="false"/>
                  <w:strike w:val="false"/>
                  <w:dstrike w:val="false"/>
                  <w:color w:val="0000FF"/>
                  <w:sz w:val="20"/>
                  <w:u w:val="none"/>
                  <w:effect w:val="none"/>
                </w:rPr>
                <w:t>6</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96">
              <w:r>
                <w:rPr>
                  <w:rStyle w:val="InternetLink"/>
                  <w:rFonts w:ascii="Times New Roman;sans-serif" w:hAnsi="Times New Roman;sans-serif"/>
                  <w:b w:val="false"/>
                  <w:color w:val="0000FF"/>
                  <w:sz w:val="20"/>
                  <w:u w:val="single"/>
                </w:rPr>
                <w:t>Condensed Consolidated Statements of Cash Flows for the three months ended March 31, 2023 and March 31, 2022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196">
              <w:r>
                <w:rPr>
                  <w:rStyle w:val="InternetLink"/>
                  <w:rFonts w:ascii="Times New Roman;sans-serif" w:hAnsi="Times New Roman;sans-serif"/>
                  <w:b w:val="false"/>
                  <w:strike w:val="false"/>
                  <w:dstrike w:val="false"/>
                  <w:color w:val="0000FF"/>
                  <w:sz w:val="20"/>
                  <w:u w:val="none"/>
                  <w:effect w:val="none"/>
                </w:rPr>
                <w:t>7</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202">
              <w:r>
                <w:rPr>
                  <w:rStyle w:val="InternetLink"/>
                  <w:rFonts w:ascii="Times New Roman;sans-serif" w:hAnsi="Times New Roman;sans-serif"/>
                  <w:b w:val="false"/>
                  <w:color w:val="0000FF"/>
                  <w:sz w:val="20"/>
                  <w:u w:val="single"/>
                </w:rPr>
                <w:t>Condensed Consolidated Statement of Changes in Shareholders’ Equity for the three months ended March 31, 2023 and March 31, 2022</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202">
              <w:r>
                <w:rPr>
                  <w:rStyle w:val="InternetLink"/>
                  <w:rFonts w:ascii="Times New Roman;sans-serif" w:hAnsi="Times New Roman;sans-serif"/>
                  <w:b w:val="false"/>
                  <w:strike w:val="false"/>
                  <w:dstrike w:val="false"/>
                  <w:color w:val="0000FF"/>
                  <w:sz w:val="20"/>
                  <w:u w:val="none"/>
                  <w:effect w:val="none"/>
                </w:rPr>
                <w:t>8</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205">
              <w:r>
                <w:rPr>
                  <w:rStyle w:val="InternetLink"/>
                  <w:rFonts w:ascii="Times New Roman;sans-serif" w:hAnsi="Times New Roman;sans-serif"/>
                  <w:b w:val="false"/>
                  <w:color w:val="0000FF"/>
                  <w:sz w:val="20"/>
                  <w:u w:val="single"/>
                </w:rPr>
                <w:t>Notes to Condensed Consolidated Financial Statements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205">
              <w:r>
                <w:rPr>
                  <w:rStyle w:val="InternetLink"/>
                  <w:rFonts w:ascii="Times New Roman;sans-serif" w:hAnsi="Times New Roman;sans-serif"/>
                  <w:b w:val="false"/>
                  <w:strike w:val="false"/>
                  <w:dstrike w:val="false"/>
                  <w:color w:val="0000FF"/>
                  <w:sz w:val="20"/>
                  <w:u w:val="none"/>
                  <w:effect w:val="none"/>
                </w:rPr>
                <w:t>9</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52">
              <w:r>
                <w:rPr>
                  <w:rStyle w:val="InternetLink"/>
                  <w:rFonts w:ascii="Times New Roman;sans-serif" w:hAnsi="Times New Roman;sans-serif"/>
                  <w:b w:val="false"/>
                  <w:color w:val="0000FF"/>
                  <w:sz w:val="20"/>
                  <w:u w:val="single"/>
                </w:rPr>
                <w:t>Item 2.</w:t>
              </w:r>
            </w:hyperlink>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5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52">
              <w:r>
                <w:rPr>
                  <w:rStyle w:val="InternetLink"/>
                  <w:rFonts w:ascii="Times New Roman;sans-serif" w:hAnsi="Times New Roman;sans-serif"/>
                  <w:b w:val="false"/>
                  <w:strike w:val="false"/>
                  <w:dstrike w:val="false"/>
                  <w:color w:val="0000FF"/>
                  <w:sz w:val="20"/>
                  <w:u w:val="none"/>
                  <w:effect w:val="none"/>
                </w:rPr>
                <w:t>28</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27">
              <w:r>
                <w:rPr>
                  <w:rStyle w:val="InternetLink"/>
                  <w:rFonts w:ascii="Times New Roman;sans-serif" w:hAnsi="Times New Roman;sans-serif"/>
                  <w:b w:val="false"/>
                  <w:color w:val="0000FF"/>
                  <w:sz w:val="20"/>
                  <w:u w:val="single"/>
                </w:rPr>
                <w:t>Item 3.</w:t>
              </w:r>
            </w:hyperlink>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27">
              <w:r>
                <w:rPr>
                  <w:rStyle w:val="InternetLink"/>
                  <w:rFonts w:ascii="Times New Roman;sans-serif" w:hAnsi="Times New Roman;sans-serif"/>
                  <w:b w:val="false"/>
                  <w:color w:val="0000FF"/>
                  <w:sz w:val="20"/>
                  <w:u w:val="single"/>
                </w:rPr>
                <w:t>Quantitative and Qualitative Disclosures About Market Risk</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127">
              <w:r>
                <w:rPr>
                  <w:rStyle w:val="InternetLink"/>
                  <w:rFonts w:ascii="Times New Roman;sans-serif" w:hAnsi="Times New Roman;sans-serif"/>
                  <w:b w:val="false"/>
                  <w:strike w:val="false"/>
                  <w:dstrike w:val="false"/>
                  <w:color w:val="0000FF"/>
                  <w:sz w:val="20"/>
                  <w:u w:val="none"/>
                  <w:effect w:val="none"/>
                </w:rPr>
                <w:t>46</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39">
              <w:r>
                <w:rPr>
                  <w:rStyle w:val="InternetLink"/>
                  <w:rFonts w:ascii="Times New Roman;sans-serif" w:hAnsi="Times New Roman;sans-serif"/>
                  <w:b w:val="false"/>
                  <w:color w:val="0000FF"/>
                  <w:sz w:val="20"/>
                  <w:u w:val="single"/>
                </w:rPr>
                <w:t>Item 4.</w:t>
              </w:r>
            </w:hyperlink>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139">
              <w:r>
                <w:rPr>
                  <w:rStyle w:val="InternetLink"/>
                  <w:rFonts w:ascii="Times New Roman;sans-serif" w:hAnsi="Times New Roman;sans-serif"/>
                  <w:b w:val="false"/>
                  <w:color w:val="0000FF"/>
                  <w:sz w:val="20"/>
                  <w:u w:val="single"/>
                </w:rPr>
                <w:t>Controls and Procedures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139">
              <w:r>
                <w:rPr>
                  <w:rStyle w:val="InternetLink"/>
                  <w:rFonts w:ascii="Times New Roman;sans-serif" w:hAnsi="Times New Roman;sans-serif"/>
                  <w:b w:val="false"/>
                  <w:strike w:val="false"/>
                  <w:dstrike w:val="false"/>
                  <w:color w:val="0000FF"/>
                  <w:sz w:val="20"/>
                  <w:u w:val="none"/>
                  <w:effect w:val="none"/>
                </w:rPr>
                <w:t>47</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307">
              <w:r>
                <w:rPr>
                  <w:rStyle w:val="InternetLink"/>
                  <w:rFonts w:ascii="Times New Roman;sans-serif" w:hAnsi="Times New Roman;sans-serif"/>
                  <w:b w:val="false"/>
                  <w:color w:val="0000FF"/>
                  <w:sz w:val="20"/>
                  <w:u w:val="single"/>
                </w:rPr>
                <w:t>PART II.</w:t>
              </w:r>
            </w:hyperlink>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307">
              <w:r>
                <w:rPr>
                  <w:rStyle w:val="InternetLink"/>
                  <w:rFonts w:ascii="Times New Roman;sans-serif" w:hAnsi="Times New Roman;sans-serif"/>
                  <w:b w:val="false"/>
                  <w:color w:val="0000FF"/>
                  <w:sz w:val="20"/>
                  <w:u w:val="single"/>
                </w:rPr>
                <w:t>OTHER INFORMATION</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310">
              <w:r>
                <w:rPr>
                  <w:rStyle w:val="InternetLink"/>
                  <w:rFonts w:ascii="Times New Roman;sans-serif" w:hAnsi="Times New Roman;sans-serif"/>
                  <w:b w:val="false"/>
                  <w:color w:val="0000FF"/>
                  <w:sz w:val="20"/>
                  <w:u w:val="single"/>
                </w:rPr>
                <w:t>Item 1.</w:t>
              </w:r>
            </w:hyperlink>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310">
              <w:r>
                <w:rPr>
                  <w:rStyle w:val="InternetLink"/>
                  <w:rFonts w:ascii="Times New Roman;sans-serif" w:hAnsi="Times New Roman;sans-serif"/>
                  <w:b w:val="false"/>
                  <w:color w:val="0000FF"/>
                  <w:sz w:val="20"/>
                  <w:u w:val="single"/>
                </w:rPr>
                <w:t>Legal Proceedings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310">
              <w:r>
                <w:rPr>
                  <w:rStyle w:val="InternetLink"/>
                  <w:rFonts w:ascii="Times New Roman;sans-serif" w:hAnsi="Times New Roman;sans-serif"/>
                  <w:b w:val="false"/>
                  <w:strike w:val="false"/>
                  <w:dstrike w:val="false"/>
                  <w:color w:val="0000FF"/>
                  <w:sz w:val="20"/>
                  <w:u w:val="none"/>
                  <w:effect w:val="none"/>
                </w:rPr>
                <w:t>49</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316">
              <w:r>
                <w:rPr>
                  <w:rStyle w:val="InternetLink"/>
                  <w:rFonts w:ascii="Times New Roman;sans-serif" w:hAnsi="Times New Roman;sans-serif"/>
                  <w:b w:val="false"/>
                  <w:color w:val="0000FF"/>
                  <w:sz w:val="20"/>
                  <w:u w:val="single"/>
                </w:rPr>
                <w:t>Item 1A.</w:t>
              </w:r>
            </w:hyperlink>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316">
              <w:r>
                <w:rPr>
                  <w:rStyle w:val="InternetLink"/>
                  <w:rFonts w:ascii="Times New Roman;sans-serif" w:hAnsi="Times New Roman;sans-serif"/>
                  <w:b w:val="false"/>
                  <w:color w:val="0000FF"/>
                  <w:sz w:val="20"/>
                  <w:u w:val="single"/>
                </w:rPr>
                <w:t>Risk Factors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316">
              <w:r>
                <w:rPr>
                  <w:rStyle w:val="InternetLink"/>
                  <w:rFonts w:ascii="Times New Roman;sans-serif" w:hAnsi="Times New Roman;sans-serif"/>
                  <w:b w:val="false"/>
                  <w:strike w:val="false"/>
                  <w:dstrike w:val="false"/>
                  <w:color w:val="0000FF"/>
                  <w:sz w:val="20"/>
                  <w:u w:val="none"/>
                  <w:effect w:val="none"/>
                </w:rPr>
                <w:t>49</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9006" w:type="dxa"/>
            <w:gridSpan w:val="3"/>
            <w:tcBorders/>
            <w:shd w:fill="auto" w:val="clear"/>
            <w:vAlign w:val="center"/>
          </w:tcPr>
          <w:p>
            <w:pPr>
              <w:pStyle w:val="TableContents"/>
              <w:spacing w:before="0" w:after="283"/>
              <w:rPr>
                <w:sz w:val="4"/>
                <w:szCs w:val="4"/>
              </w:rPr>
            </w:pPr>
            <w:r>
              <w:rPr>
                <w:sz w:val="4"/>
                <w:szCs w:val="4"/>
              </w:rPr>
            </w:r>
          </w:p>
        </w:tc>
        <w:tc>
          <w:tcPr>
            <w:tcW w:w="373"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9006" w:type="dxa"/>
            <w:gridSpan w:val="3"/>
            <w:tcBorders/>
            <w:shd w:fill="auto" w:val="clear"/>
            <w:vAlign w:val="center"/>
          </w:tcPr>
          <w:p>
            <w:pPr>
              <w:pStyle w:val="TableContents"/>
              <w:spacing w:before="0" w:after="283"/>
              <w:rPr>
                <w:sz w:val="4"/>
                <w:szCs w:val="4"/>
              </w:rPr>
            </w:pPr>
            <w:r>
              <w:rPr>
                <w:sz w:val="4"/>
                <w:szCs w:val="4"/>
              </w:rPr>
            </w:r>
          </w:p>
        </w:tc>
        <w:tc>
          <w:tcPr>
            <w:tcW w:w="373" w:type="dxa"/>
            <w:gridSpan w:val="3"/>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319">
              <w:r>
                <w:rPr>
                  <w:rStyle w:val="InternetLink"/>
                  <w:rFonts w:ascii="Times New Roman;sans-serif" w:hAnsi="Times New Roman;sans-serif"/>
                  <w:b w:val="false"/>
                  <w:color w:val="0000FF"/>
                  <w:sz w:val="20"/>
                  <w:u w:val="single"/>
                </w:rPr>
                <w:t>Item 6.</w:t>
              </w:r>
            </w:hyperlink>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319">
              <w:r>
                <w:rPr>
                  <w:rStyle w:val="InternetLink"/>
                  <w:rFonts w:ascii="Times New Roman;sans-serif" w:hAnsi="Times New Roman;sans-serif"/>
                  <w:b w:val="false"/>
                  <w:color w:val="0000FF"/>
                  <w:sz w:val="20"/>
                  <w:u w:val="single"/>
                </w:rPr>
                <w:t>Exhibits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319">
              <w:r>
                <w:rPr>
                  <w:rStyle w:val="InternetLink"/>
                  <w:rFonts w:ascii="Times New Roman;sans-serif" w:hAnsi="Times New Roman;sans-serif"/>
                  <w:b w:val="false"/>
                  <w:strike w:val="false"/>
                  <w:dstrike w:val="false"/>
                  <w:color w:val="0000FF"/>
                  <w:sz w:val="20"/>
                  <w:u w:val="none"/>
                  <w:effect w:val="none"/>
                </w:rPr>
                <w:t>50</w:t>
              </w:r>
            </w:hyperlink>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9006" w:type="dxa"/>
            <w:gridSpan w:val="3"/>
            <w:tcBorders/>
            <w:shd w:fill="auto" w:val="clear"/>
            <w:vAlign w:val="center"/>
          </w:tcPr>
          <w:p>
            <w:pPr>
              <w:pStyle w:val="TableContents"/>
              <w:spacing w:before="0" w:after="283"/>
              <w:rPr>
                <w:sz w:val="4"/>
                <w:szCs w:val="4"/>
              </w:rPr>
            </w:pPr>
            <w:r>
              <w:rPr>
                <w:sz w:val="4"/>
                <w:szCs w:val="4"/>
              </w:rPr>
            </w:r>
          </w:p>
        </w:tc>
        <w:tc>
          <w:tcPr>
            <w:tcW w:w="373" w:type="dxa"/>
            <w:gridSpan w:val="3"/>
            <w:tcBorders/>
            <w:shd w:fill="auto" w:val="clear"/>
          </w:tcPr>
          <w:p>
            <w:pPr>
              <w:pStyle w:val="TableContents"/>
              <w:spacing w:before="0" w:after="283"/>
              <w:rPr>
                <w:sz w:val="4"/>
                <w:szCs w:val="4"/>
              </w:rPr>
            </w:pPr>
            <w:r>
              <w:rPr>
                <w:sz w:val="4"/>
                <w:szCs w:val="4"/>
              </w:rPr>
            </w:r>
          </w:p>
        </w:tc>
      </w:tr>
      <w:tr>
        <w:trPr/>
        <w:tc>
          <w:tcPr>
            <w:tcW w:w="826" w:type="dxa"/>
            <w:gridSpan w:val="3"/>
            <w:tcBorders/>
            <w:shd w:fill="auto" w:val="clear"/>
            <w:vAlign w:val="center"/>
          </w:tcPr>
          <w:p>
            <w:pPr>
              <w:pStyle w:val="TableContents"/>
              <w:spacing w:before="0" w:after="283"/>
              <w:rPr>
                <w:sz w:val="4"/>
                <w:szCs w:val="4"/>
              </w:rPr>
            </w:pPr>
            <w:r>
              <w:rPr>
                <w:sz w:val="4"/>
                <w:szCs w:val="4"/>
              </w:rPr>
            </w:r>
          </w:p>
        </w:tc>
        <w:tc>
          <w:tcPr>
            <w:tcW w:w="9006" w:type="dxa"/>
            <w:gridSpan w:val="3"/>
            <w:tcBorders/>
            <w:shd w:fill="auto" w:val="clear"/>
            <w:vAlign w:val="center"/>
          </w:tcPr>
          <w:p>
            <w:pPr>
              <w:pStyle w:val="TableContents"/>
              <w:spacing w:before="0" w:after="283"/>
              <w:rPr>
                <w:sz w:val="4"/>
                <w:szCs w:val="4"/>
              </w:rPr>
            </w:pPr>
            <w:r>
              <w:rPr>
                <w:sz w:val="4"/>
                <w:szCs w:val="4"/>
              </w:rPr>
            </w:r>
          </w:p>
        </w:tc>
        <w:tc>
          <w:tcPr>
            <w:tcW w:w="373" w:type="dxa"/>
            <w:gridSpan w:val="3"/>
            <w:tcBorders/>
            <w:shd w:fill="auto" w:val="clear"/>
            <w:vAlign w:val="center"/>
          </w:tcPr>
          <w:p>
            <w:pPr>
              <w:pStyle w:val="TableContents"/>
              <w:spacing w:before="0" w:after="283"/>
              <w:rPr>
                <w:sz w:val="4"/>
                <w:szCs w:val="4"/>
              </w:rPr>
            </w:pPr>
            <w:r>
              <w:rPr>
                <w:sz w:val="4"/>
                <w:szCs w:val="4"/>
              </w:rPr>
            </w:r>
          </w:p>
        </w:tc>
      </w:tr>
      <w:tr>
        <w:trPr/>
        <w:tc>
          <w:tcPr>
            <w:tcW w:w="983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0fcbb7efb954530b16e12f943366975_334">
              <w:r>
                <w:rPr>
                  <w:rStyle w:val="InternetLink"/>
                  <w:rFonts w:ascii="Times New Roman;sans-serif" w:hAnsi="Times New Roman;sans-serif"/>
                  <w:b w:val="false"/>
                  <w:color w:val="0000FF"/>
                  <w:sz w:val="20"/>
                  <w:u w:val="single"/>
                </w:rPr>
                <w:t>SIGNATURE</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0fcbb7efb954530b16e12f943366975_334">
              <w:r>
                <w:rPr>
                  <w:rStyle w:val="InternetLink"/>
                  <w:rFonts w:ascii="Times New Roman;sans-serif" w:hAnsi="Times New Roman;sans-serif"/>
                  <w:b w:val="false"/>
                  <w:strike w:val="false"/>
                  <w:dstrike w:val="false"/>
                  <w:color w:val="0000FF"/>
                  <w:sz w:val="20"/>
                  <w:u w:val="none"/>
                  <w:effect w:val="none"/>
                </w:rPr>
                <w:t>51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CAUTIONARY STATEMENT</w:t>
      </w:r>
    </w:p>
    <w:p>
      <w:pPr>
        <w:pStyle w:val="TextBody"/>
        <w:spacing w:before="0" w:after="0"/>
        <w:rPr/>
      </w:pPr>
      <w:r>
        <w:rPr/>
      </w:r>
    </w:p>
    <w:p>
      <w:pPr>
        <w:pStyle w:val="TextBody"/>
        <w:spacing w:lineRule="auto" w:line="268" w:before="0" w:after="0"/>
        <w:ind w:left="0" w:right="0" w:firstLine="450"/>
        <w:rPr>
          <w:rFonts w:ascii="Times New Roman;sans-serif" w:hAnsi="Times New Roman;sans-serif"/>
          <w:b w:val="false"/>
          <w:i/>
          <w:color w:val="000000"/>
          <w:sz w:val="17"/>
          <w:highlight w:val="white"/>
        </w:rPr>
      </w:pPr>
      <w:r>
        <w:rPr>
          <w:rFonts w:ascii="Times New Roman;sans-serif" w:hAnsi="Times New Roman;sans-serif"/>
          <w:b w:val="false"/>
          <w:i/>
          <w:color w:val="000000"/>
          <w:sz w:val="17"/>
          <w:highlight w:val="white"/>
        </w:rPr>
        <w:t>This Quarterly Report on Form 10-Q contains, or incorporates by reference, statements reflecting our views about our future performance that constitute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(4) statements regarding the proposed transaction between Activision Blizzard, Inc. (“Activision Blizzard”) and Microsoft Corporation (“Microsoft”) pursuant to the Agreement and Plan of Merger, dated as of January 18, 2022, by and among Activision Blizzard, Microsoft, and Anchorage Merger Sub Inc., a wholly owned subsidiary of Microsoft (the “Merger Agreement” and such transaction, “the proposed transaction with Microsoft”), including any statements regarding the expected timetable for completing the proposed transaction with Microsoft, the ability to complete the proposed transaction with Microsoft, and the expected benefits of the proposed transaction with Microsoft; and (5) statements of assumptions underlying such statements. Activision Blizzard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pStyle w:val="TextBody"/>
        <w:spacing w:before="0" w:after="0"/>
        <w:rPr/>
      </w:pPr>
      <w:r>
        <w:rPr/>
      </w:r>
    </w:p>
    <w:p>
      <w:pPr>
        <w:pStyle w:val="TextBody"/>
        <w:spacing w:lineRule="auto" w:line="268" w:before="0" w:after="0"/>
        <w:ind w:left="0" w:right="0" w:firstLine="450"/>
        <w:rPr/>
      </w:pPr>
      <w:r>
        <w:rPr>
          <w:rFonts w:ascii="Times New Roman;sans-serif" w:hAnsi="Times New Roman;sans-serif"/>
          <w:b w:val="false"/>
          <w:i/>
          <w:color w:val="000000"/>
          <w:sz w:val="17"/>
          <w:highlight w:val="white"/>
        </w:rPr>
        <w:t xml:space="preserve">We caution that a number of important factors, many of which are beyond our control, could cause our actual future results and other future circumstances to differ materially from those expressed in any forward-looking statements. Such factors include, but are not limited to: the risk that the proposed transaction with Microsoft may not be completed in a timely manner or at all, which may adversely affect our business and the price of our common stock; the failure to satisfy the conditions to the consummation of the proposed transaction with Microsoft, including the receipt of certain governmental and regulatory approvals (which may or may not be received on a timely basis or at all); the occurrence of any event, change, or other circumstance that could give rise to the termination of the Merger Agreement; the effect of the announcement or pendency of the proposed transaction with Microsoft on our business relationships, operating results, and business generally; risks that the proposed transaction with Microsoft disrupts our current plans and operations and potential difficulties in employee retention and recruitment as a result of the proposed transaction with Microsoft; risks related to diverting management’s attention from ongoing business operations; the outcome of any legal proceedings that have been or may be instituted against us related to the Merger Agreement or the transactions contemplated thereby; restrictions during the pendency of the proposed transaction with Microsoft that may impact our ability to pursue certain business opportunities or strategic transactions; uncertainty about current and future economic conditions and other adverse changes in general political conditions in any of the major countries in which we do business; decline in demand for our products and services if general economic conditions decline; fluctuations in currency exchange rates; our ability to deliver popular, high-quality content in a timely manner; negative impacts on our business resulting from concerns regarding our workplace, including associated legal proceedings; our ability to attract, retain, and motivate skilled personnel; future impacts from COVID-19; the level of demand for our games and products; our ability to meet customer expectations with respect to our brands, games, services, and/or business practices; competition; our reliance on a relatively small number of franchises for a significant portion of our revenues and profits; negative impacts from the results of collective bargaining, legal proceedings related to unionization, or campaigns by unions directed at our workforce; our ability to adapt to rapid technological change and allocate our resources accordingly; the increasing importance of digital sales and the risks of that business model; our ability to effectively manage the scope and complexity of our business, including risks related to our professional esports business model; our reliance on third-party platforms, which are also our competitors, for the distribution of products; our dependence on the success and availability of video game consoles manufactured by third parties and our ability to develop commercially successful products for these consoles; the increasing importance of free-to-play games and the risks of that business model; the risks and uncertainties of conducting business outside the United States (the “U.S.”)., including the need for regulatory approval to operate, the relatively weaker protection for our intellectual property rights, and the impact of cultural differences on consumer preferences; insolvency or business failure of any of our business partners; the importance of retail sales to our business and the risks of that business model; any difficulties in integrating acquired businesses or realizing the anticipated benefits of strategic transactions; seasonality in the sale of our products; fluctuation in our recurring business; the risk of distributors, retailers, development, and licensing partners or other third parties being unable to honor their commitments or otherwise putting our brand at risk; our reliance on tools and technologies owned by third parties; our use of open source software; risks associated with undisclosed content or features in our games; the impact of objectionable consumer- or other third-party-created content on our operating results or reputation; outages, disruptions, or degradations in our services, products, and/or technological infrastructure; cybersecurity-related attacks, significant data breaches, fraudulent activity, or disruption of our information technology systems or networks; significant disruption during our live events; catastrophic events; climate change; provisions in our corporate documents and Delaware state law that could delay or prevent a change of control; other legal proceedings; increasing regulation in key territories over our business, products, and distribution; changes in government regulation relating to the Internet; our compliance with evolving data privacy laws and regulations; scrutiny regarding the appropriateness of the content in our games and our ability to receive target ratings for certain titles; changes in tax rates and/or tax laws and exposure to additional tax liabilities; changes in financial accounting standards or the application of existing or future standards as our business evolves; and the other factors included </w:t>
      </w:r>
      <w:r>
        <w:rPr>
          <w:rFonts w:ascii="Times New Roman;sans-serif" w:hAnsi="Times New Roman;sans-serif"/>
          <w:b w:val="false"/>
          <w:i/>
          <w:color w:val="000000"/>
          <w:sz w:val="17"/>
        </w:rPr>
        <w:t xml:space="preserve">in </w:t>
      </w:r>
      <w:r>
        <w:fldChar w:fldCharType="begin"/>
      </w:r>
      <w:r>
        <w:rPr>
          <w:rStyle w:val="InternetLink"/>
          <w:sz w:val="17"/>
          <w:i/>
          <w:u w:val="single"/>
          <w:b w:val="false"/>
          <w:rFonts w:ascii="Times New Roman;sans-serif" w:hAnsi="Times New Roman;sans-serif"/>
        </w:rPr>
        <w:instrText> HYPERLINK "http://www.sec.gov/ix?doc=/Archives/edgar/data/0000718877/000162828023004842/atvi-20221231.htm" \l "i6f51e045577844f8b618752b6fa62bd0_28"</w:instrText>
      </w:r>
      <w:r>
        <w:rPr>
          <w:rStyle w:val="InternetLink"/>
          <w:sz w:val="17"/>
          <w:i/>
          <w:u w:val="single"/>
          <w:b w:val="false"/>
          <w:rFonts w:ascii="Times New Roman;sans-serif" w:hAnsi="Times New Roman;sans-serif"/>
        </w:rPr>
        <w:fldChar w:fldCharType="separate"/>
      </w:r>
      <w:r>
        <w:rPr>
          <w:rStyle w:val="InternetLink"/>
          <w:rFonts w:ascii="Times New Roman;sans-serif" w:hAnsi="Times New Roman;sans-serif"/>
          <w:b w:val="false"/>
          <w:i/>
          <w:color w:val="0000FF"/>
          <w:sz w:val="17"/>
          <w:u w:val="single"/>
        </w:rPr>
        <w:t>Part I, Item 1A “Risk Factors” of our Annual Report on Form 10-K for the year ended December 31, 2022</w:t>
      </w:r>
      <w:r>
        <w:rPr>
          <w:rStyle w:val="InternetLink"/>
          <w:sz w:val="17"/>
          <w:i/>
          <w:u w:val="single"/>
          <w:b w:val="false"/>
          <w:rFonts w:ascii="Times New Roman;sans-serif" w:hAnsi="Times New Roman;sans-serif"/>
        </w:rPr>
        <w:fldChar w:fldCharType="end"/>
      </w:r>
      <w:r>
        <w:rPr>
          <w:rFonts w:ascii="Times New Roman;sans-serif" w:hAnsi="Times New Roman;sans-serif"/>
          <w:b w:val="false"/>
          <w:i/>
          <w:color w:val="000000"/>
          <w:sz w:val="17"/>
        </w:rPr>
        <w:t>, filed with the U.S. Securities and Exchange Commission (the “SEC”).</w:t>
      </w:r>
    </w:p>
    <w:p>
      <w:pPr>
        <w:pStyle w:val="TextBody"/>
        <w:spacing w:before="0" w:after="0"/>
        <w:rPr/>
      </w:pPr>
      <w:r>
        <w:rPr/>
      </w:r>
    </w:p>
    <w:p>
      <w:pPr>
        <w:pStyle w:val="TextBody"/>
        <w:spacing w:lineRule="auto" w:line="264" w:before="0" w:after="0"/>
        <w:ind w:left="0" w:right="0" w:firstLine="450"/>
        <w:rPr/>
      </w:pPr>
      <w:r>
        <w:rPr>
          <w:rFonts w:ascii="Times New Roman;sans-serif" w:hAnsi="Times New Roman;sans-serif"/>
          <w:b w:val="false"/>
          <w:i/>
          <w:color w:val="000000"/>
          <w:sz w:val="17"/>
        </w:rPr>
        <w:t>The forward-looking statements contained herein are based on information available to Activision Blizzard as of the date of this filing, and we assume no obligation to update any such forward-looking sta</w:t>
      </w:r>
      <w:r>
        <w:rPr>
          <w:rFonts w:ascii="Times New Roman;sans-serif" w:hAnsi="Times New Roman;sans-serif"/>
          <w:b w:val="false"/>
          <w:i/>
          <w:color w:val="000000"/>
          <w:sz w:val="17"/>
          <w:highlight w:val="white"/>
        </w:rPr>
        <w:t>tements. 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These statements are not guarantees of our future performance and are subject to risks, uncertainties, an</w:t>
      </w:r>
      <w:r>
        <w:rPr>
          <w:rFonts w:ascii="Times New Roman;sans-serif" w:hAnsi="Times New Roman;sans-serif"/>
          <w:b w:val="false"/>
          <w:i/>
          <w:color w:val="000000"/>
          <w:sz w:val="17"/>
        </w:rPr>
        <w:t>d other factors, some of which are beyond our control and may cause actual results to differ materially from current expectations.</w:t>
      </w:r>
    </w:p>
    <w:p>
      <w:pPr>
        <w:pStyle w:val="TextBody"/>
        <w:spacing w:before="0" w:after="0"/>
        <w:rPr/>
      </w:pPr>
      <w:r>
        <w:rPr/>
      </w:r>
    </w:p>
    <w:p>
      <w:pPr>
        <w:pStyle w:val="TextBody"/>
        <w:spacing w:lineRule="auto" w:line="264" w:before="0" w:after="0"/>
        <w:ind w:left="0" w:right="0" w:firstLine="450"/>
        <w:rPr>
          <w:rFonts w:ascii="Times New Roman;sans-serif" w:hAnsi="Times New Roman;sans-serif"/>
          <w:b w:val="false"/>
          <w:i/>
          <w:color w:val="000000"/>
          <w:sz w:val="17"/>
        </w:rPr>
      </w:pPr>
      <w:r>
        <w:rPr>
          <w:rFonts w:ascii="Times New Roman;sans-serif" w:hAnsi="Times New Roman;sans-serif"/>
          <w:b w:val="false"/>
          <w:i/>
          <w:color w:val="000000"/>
          <w:sz w:val="17"/>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Quarterly Report on Form 10-Q refer to U.S. dollars unless otherwise explicitly stated to the contrary.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millions, except share data)</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707"/>
        <w:gridCol w:w="2226"/>
        <w:gridCol w:w="2139"/>
        <w:gridCol w:w="266"/>
        <w:gridCol w:w="913"/>
        <w:gridCol w:w="138"/>
        <w:gridCol w:w="109"/>
        <w:gridCol w:w="109"/>
        <w:gridCol w:w="109"/>
        <w:gridCol w:w="288"/>
        <w:gridCol w:w="987"/>
        <w:gridCol w:w="214"/>
      </w:tblGrid>
      <w:tr>
        <w:trPr/>
        <w:tc>
          <w:tcPr>
            <w:tcW w:w="2707" w:type="dxa"/>
            <w:tcBorders/>
            <w:shd w:fill="auto" w:val="clear"/>
            <w:vAlign w:val="center"/>
          </w:tcPr>
          <w:p>
            <w:pPr>
              <w:pStyle w:val="TableContents"/>
              <w:spacing w:before="0" w:after="283"/>
              <w:rPr>
                <w:sz w:val="4"/>
                <w:szCs w:val="4"/>
              </w:rPr>
            </w:pPr>
            <w:r>
              <w:rPr>
                <w:sz w:val="4"/>
                <w:szCs w:val="4"/>
              </w:rPr>
            </w:r>
          </w:p>
        </w:tc>
        <w:tc>
          <w:tcPr>
            <w:tcW w:w="2226"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70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December 31, 2022</w:t>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 investments</w:t>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9" w:type="dxa"/>
            <w:gridSpan w:val="3"/>
            <w:tcBorders/>
            <w:shd w:fill="auto" w:val="cle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w:t>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14,469 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9" w:type="dxa"/>
            <w:gridSpan w:val="3"/>
            <w:tcBorders/>
            <w:shd w:fill="auto" w:val="cle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w:t>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9" w:type="dxa"/>
            <w:gridSpan w:val="3"/>
            <w:tcBorders/>
            <w:shd w:fill="auto" w:val="cle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Commitments and contingencies (</w:t>
            </w:r>
            <w:hyperlink w:anchor="ib0fcbb7efb954530b16e12f943366975_295">
              <w:r>
                <w:rPr>
                  <w:rStyle w:val="InternetLink"/>
                  <w:rFonts w:ascii="Times New Roman;sans-serif" w:hAnsi="Times New Roman;sans-serif"/>
                  <w:b w:val="false"/>
                  <w:color w:val="0000FF"/>
                  <w:sz w:val="20"/>
                  <w:u w:val="single"/>
                </w:rPr>
                <w:t>Note 13</w:t>
              </w:r>
            </w:hyperlink>
            <w:r>
              <w:rPr>
                <w:rFonts w:ascii="Times New Roman;sans-serif" w:hAnsi="Times New Roman;sans-serif"/>
                <w:b w:val="false"/>
                <w:color w:val="000000"/>
                <w:sz w:val="20"/>
              </w:rPr>
              <w:t>)</w:t>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3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$0.000001 par value, 2,400,000,000 shares authorized, 1,214,763,143 and 1,212,894,055 shares issued at March 31, 2023 and December 31, 2022, respectively</w:t>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12,260 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at cost, 428,676,471 shares at March 31, 2023 and December 31, 2022</w:t>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13,171 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19,243 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27,383 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160"/>
        <w:jc w:val="center"/>
        <w:rPr/>
      </w:pPr>
      <w:r>
        <w:rPr/>
      </w:r>
    </w:p>
    <w:p>
      <w:pPr>
        <w:pStyle w:val="TextBody"/>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millions, except per share data)</w:t>
      </w:r>
    </w:p>
    <w:p>
      <w:pPr>
        <w:pStyle w:val="TextBody"/>
        <w:spacing w:before="0" w:after="0"/>
        <w:jc w:val="center"/>
        <w:rPr/>
      </w:pPr>
      <w:r>
        <w:rPr/>
      </w:r>
    </w:p>
    <w:tbl>
      <w:tblPr>
        <w:tblW w:w="10076" w:type="dxa"/>
        <w:jc w:val="left"/>
        <w:tblInd w:w="0" w:type="dxa"/>
        <w:tblCellMar>
          <w:top w:w="28" w:type="dxa"/>
          <w:left w:w="28" w:type="dxa"/>
          <w:bottom w:w="28" w:type="dxa"/>
          <w:right w:w="28" w:type="dxa"/>
        </w:tblCellMar>
      </w:tblPr>
      <w:tblGrid>
        <w:gridCol w:w="1569"/>
        <w:gridCol w:w="1377"/>
        <w:gridCol w:w="1388"/>
        <w:gridCol w:w="109"/>
        <w:gridCol w:w="109"/>
        <w:gridCol w:w="109"/>
        <w:gridCol w:w="109"/>
        <w:gridCol w:w="109"/>
        <w:gridCol w:w="358"/>
        <w:gridCol w:w="358"/>
        <w:gridCol w:w="694"/>
        <w:gridCol w:w="1681"/>
        <w:gridCol w:w="358"/>
        <w:gridCol w:w="109"/>
        <w:gridCol w:w="109"/>
        <w:gridCol w:w="109"/>
        <w:gridCol w:w="211"/>
        <w:gridCol w:w="511"/>
        <w:gridCol w:w="109"/>
        <w:gridCol w:w="109"/>
        <w:gridCol w:w="109"/>
        <w:gridCol w:w="109"/>
        <w:gridCol w:w="109"/>
        <w:gridCol w:w="154"/>
      </w:tblGrid>
      <w:tr>
        <w:trPr/>
        <w:tc>
          <w:tcPr>
            <w:tcW w:w="1569"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1" w:type="dxa"/>
            <w:gridSpan w:val="8"/>
            <w:tcBorders/>
            <w:shd w:fill="auto" w:val="clea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3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In-game, subscription, and other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3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net revenues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revenues—product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royalties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revenues—in-game, subscription,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 operations and distribution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3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royalties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from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(income) expense, net (</w:t>
            </w:r>
            <w:hyperlink w:anchor="ib0fcbb7efb954530b16e12f943366975_277">
              <w:r>
                <w:rPr>
                  <w:rStyle w:val="InternetLink"/>
                  <w:rFonts w:ascii="Times New Roman;sans-serif" w:hAnsi="Times New Roman;sans-serif"/>
                  <w:b w:val="false"/>
                  <w:color w:val="0000FF"/>
                  <w:sz w:val="20"/>
                  <w:u w:val="single"/>
                </w:rPr>
                <w:t>Note 10</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6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3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6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3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3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3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60" w:after="160"/>
        <w:jc w:val="center"/>
        <w:rPr/>
      </w:pPr>
      <w:r>
        <w:rPr/>
      </w:r>
    </w:p>
    <w:p>
      <w:pPr>
        <w:pStyle w:val="TextBody"/>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millions)</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894"/>
        <w:gridCol w:w="1620"/>
        <w:gridCol w:w="1635"/>
        <w:gridCol w:w="109"/>
        <w:gridCol w:w="109"/>
        <w:gridCol w:w="109"/>
        <w:gridCol w:w="109"/>
        <w:gridCol w:w="109"/>
        <w:gridCol w:w="304"/>
        <w:gridCol w:w="304"/>
        <w:gridCol w:w="590"/>
        <w:gridCol w:w="1303"/>
        <w:gridCol w:w="304"/>
        <w:gridCol w:w="109"/>
        <w:gridCol w:w="109"/>
        <w:gridCol w:w="109"/>
        <w:gridCol w:w="211"/>
        <w:gridCol w:w="466"/>
        <w:gridCol w:w="109"/>
        <w:gridCol w:w="109"/>
        <w:gridCol w:w="109"/>
        <w:gridCol w:w="109"/>
        <w:gridCol w:w="109"/>
        <w:gridCol w:w="157"/>
      </w:tblGrid>
      <w:tr>
        <w:trPr/>
        <w:tc>
          <w:tcPr>
            <w:tcW w:w="1894"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8"/>
            <w:tcBorders/>
            <w:shd w:fill="auto" w:val="clear"/>
          </w:tcPr>
          <w:p>
            <w:pPr>
              <w:pStyle w:val="TableContents"/>
              <w:spacing w:before="0" w:after="283"/>
              <w:rPr>
                <w:sz w:val="4"/>
                <w:szCs w:val="4"/>
              </w:rPr>
            </w:pPr>
            <w:r>
              <w:rPr>
                <w:sz w:val="4"/>
                <w:szCs w:val="4"/>
              </w:rPr>
            </w:r>
          </w:p>
        </w:tc>
      </w:tr>
      <w:tr>
        <w:trPr/>
        <w:tc>
          <w:tcPr>
            <w:tcW w:w="5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forward contracts designated as hedges,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90"/>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60" w:after="160"/>
        <w:jc w:val="center"/>
        <w:rPr/>
      </w:pPr>
      <w:r>
        <w:rPr/>
      </w:r>
    </w:p>
    <w:p>
      <w:pPr>
        <w:pStyle w:val="TextBody"/>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millions)</w:t>
      </w:r>
    </w:p>
    <w:tbl>
      <w:tblPr>
        <w:tblW w:w="10205" w:type="dxa"/>
        <w:jc w:val="left"/>
        <w:tblInd w:w="0" w:type="dxa"/>
        <w:tblCellMar>
          <w:top w:w="28" w:type="dxa"/>
          <w:left w:w="28" w:type="dxa"/>
          <w:bottom w:w="28" w:type="dxa"/>
          <w:right w:w="28" w:type="dxa"/>
        </w:tblCellMar>
      </w:tblPr>
      <w:tblGrid>
        <w:gridCol w:w="2220"/>
        <w:gridCol w:w="1882"/>
        <w:gridCol w:w="1895"/>
        <w:gridCol w:w="109"/>
        <w:gridCol w:w="109"/>
        <w:gridCol w:w="109"/>
        <w:gridCol w:w="301"/>
        <w:gridCol w:w="879"/>
        <w:gridCol w:w="155"/>
        <w:gridCol w:w="155"/>
        <w:gridCol w:w="155"/>
        <w:gridCol w:w="155"/>
        <w:gridCol w:w="301"/>
        <w:gridCol w:w="1029"/>
        <w:gridCol w:w="155"/>
        <w:gridCol w:w="109"/>
        <w:gridCol w:w="109"/>
        <w:gridCol w:w="109"/>
        <w:gridCol w:w="109"/>
        <w:gridCol w:w="160"/>
      </w:tblGrid>
      <w:tr>
        <w:trPr/>
        <w:tc>
          <w:tcPr>
            <w:tcW w:w="2220" w:type="dxa"/>
            <w:tcBorders/>
            <w:shd w:fill="auto" w:val="clear"/>
            <w:vAlign w:val="center"/>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18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487" w:type="dxa"/>
            <w:gridSpan w:val="4"/>
            <w:tcBorders/>
            <w:shd w:fill="auto" w:val="clear"/>
          </w:tcPr>
          <w:p>
            <w:pPr>
              <w:pStyle w:val="TableContents"/>
              <w:spacing w:before="0" w:after="283"/>
              <w:rPr>
                <w:sz w:val="4"/>
                <w:szCs w:val="4"/>
              </w:rPr>
            </w:pPr>
            <w:r>
              <w:rPr>
                <w:sz w:val="4"/>
                <w:szCs w:val="4"/>
              </w:rPr>
            </w:r>
          </w:p>
        </w:tc>
      </w:tr>
      <w:tr>
        <w:trPr/>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software development costs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effect of business 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available-for-sale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held-to-maturity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to employees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payment related to net share settlements on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 - Non-cash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(1)Excludes deferral and amortization of share-based compensation expense, including liability awards accounted for under Accounting Standards Codification (“ASC”) 718.</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(2)Includes the net effects of capitalization, deferral, and amortization of share-based compensation expense, including liability awards accounted for under ASC 718.</w:t>
      </w:r>
    </w:p>
    <w:p>
      <w:pPr>
        <w:pStyle w:val="TextBody"/>
        <w:spacing w:before="0" w:after="0"/>
        <w:rPr/>
      </w:pPr>
      <w:r>
        <w:rPr/>
      </w:r>
    </w:p>
    <w:p>
      <w:pPr>
        <w:pStyle w:val="TextBody"/>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 and March 31, 2022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and shares in millions, except per share data)</w:t>
      </w:r>
    </w:p>
    <w:tbl>
      <w:tblPr>
        <w:tblW w:w="11180" w:type="dxa"/>
        <w:jc w:val="center"/>
        <w:tblInd w:w="0" w:type="dxa"/>
        <w:tblCellMar>
          <w:top w:w="28" w:type="dxa"/>
          <w:left w:w="28" w:type="dxa"/>
          <w:bottom w:w="28" w:type="dxa"/>
          <w:right w:w="28" w:type="dxa"/>
        </w:tblCellMar>
      </w:tblPr>
      <w:tblGrid>
        <w:gridCol w:w="801"/>
        <w:gridCol w:w="282"/>
        <w:gridCol w:w="283"/>
        <w:gridCol w:w="285"/>
        <w:gridCol w:w="286"/>
        <w:gridCol w:w="211"/>
        <w:gridCol w:w="109"/>
        <w:gridCol w:w="109"/>
        <w:gridCol w:w="109"/>
        <w:gridCol w:w="207"/>
        <w:gridCol w:w="428"/>
        <w:gridCol w:w="116"/>
        <w:gridCol w:w="109"/>
        <w:gridCol w:w="109"/>
        <w:gridCol w:w="109"/>
        <w:gridCol w:w="218"/>
        <w:gridCol w:w="218"/>
        <w:gridCol w:w="211"/>
        <w:gridCol w:w="109"/>
        <w:gridCol w:w="109"/>
        <w:gridCol w:w="109"/>
        <w:gridCol w:w="196"/>
        <w:gridCol w:w="571"/>
        <w:gridCol w:w="109"/>
        <w:gridCol w:w="109"/>
        <w:gridCol w:w="109"/>
        <w:gridCol w:w="109"/>
        <w:gridCol w:w="196"/>
        <w:gridCol w:w="661"/>
        <w:gridCol w:w="109"/>
        <w:gridCol w:w="109"/>
        <w:gridCol w:w="109"/>
        <w:gridCol w:w="109"/>
        <w:gridCol w:w="196"/>
        <w:gridCol w:w="661"/>
        <w:gridCol w:w="109"/>
        <w:gridCol w:w="109"/>
        <w:gridCol w:w="109"/>
        <w:gridCol w:w="109"/>
        <w:gridCol w:w="345"/>
        <w:gridCol w:w="768"/>
        <w:gridCol w:w="193"/>
        <w:gridCol w:w="109"/>
        <w:gridCol w:w="109"/>
        <w:gridCol w:w="109"/>
        <w:gridCol w:w="238"/>
        <w:gridCol w:w="804"/>
        <w:gridCol w:w="189"/>
      </w:tblGrid>
      <w:tr>
        <w:trPr/>
        <w:tc>
          <w:tcPr>
            <w:tcW w:w="80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r>
          </w:p>
        </w:tc>
      </w:tr>
      <w:tr>
        <w:trPr/>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1,213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12,260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13,171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(625)</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19,243</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comprehensive income:</w:t>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employee stock options</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restricted stock units</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surrendered for employees’ tax liability</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Settlement of liability-classified awards in restricted stock units (</w:t>
            </w:r>
            <w:hyperlink w:anchor="ib0fcbb7efb954530b16e12f943366975_265">
              <w:r>
                <w:rPr>
                  <w:rStyle w:val="InternetLink"/>
                  <w:rFonts w:ascii="Times New Roman;sans-serif" w:hAnsi="Times New Roman;sans-serif"/>
                  <w:b w:val="false"/>
                  <w:color w:val="0000FF"/>
                  <w:sz w:val="18"/>
                  <w:u w:val="single"/>
                </w:rPr>
                <w:t>Note 9</w:t>
              </w:r>
            </w:hyperlink>
            <w:r>
              <w:rPr>
                <w:rFonts w:ascii="Times New Roman;sans-serif" w:hAnsi="Times New Roman;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 related to employee stock options and restricted stock units</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1,215</w:t>
            </w:r>
            <w:r>
              <w:rPr>
                <w:color w:val="000000"/>
              </w:rPr>
              <w:t>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(429)</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(5,563)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12,396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13,911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(629)</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20,115</w:t>
            </w:r>
            <w:r>
              <w:rPr>
                <w:color w:val="000000"/>
              </w:rPr>
              <w:t> </w:t>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bl>
    <w:tbl>
      <w:tblPr>
        <w:tblW w:w="11180" w:type="dxa"/>
        <w:jc w:val="center"/>
        <w:tblInd w:w="0" w:type="dxa"/>
        <w:tblCellMar>
          <w:top w:w="28" w:type="dxa"/>
          <w:left w:w="28" w:type="dxa"/>
          <w:bottom w:w="28" w:type="dxa"/>
          <w:right w:w="28" w:type="dxa"/>
        </w:tblCellMar>
      </w:tblPr>
      <w:tblGrid>
        <w:gridCol w:w="801"/>
        <w:gridCol w:w="282"/>
        <w:gridCol w:w="283"/>
        <w:gridCol w:w="285"/>
        <w:gridCol w:w="286"/>
        <w:gridCol w:w="211"/>
        <w:gridCol w:w="109"/>
        <w:gridCol w:w="109"/>
        <w:gridCol w:w="109"/>
        <w:gridCol w:w="207"/>
        <w:gridCol w:w="428"/>
        <w:gridCol w:w="116"/>
        <w:gridCol w:w="109"/>
        <w:gridCol w:w="109"/>
        <w:gridCol w:w="109"/>
        <w:gridCol w:w="218"/>
        <w:gridCol w:w="218"/>
        <w:gridCol w:w="211"/>
        <w:gridCol w:w="109"/>
        <w:gridCol w:w="109"/>
        <w:gridCol w:w="109"/>
        <w:gridCol w:w="196"/>
        <w:gridCol w:w="571"/>
        <w:gridCol w:w="109"/>
        <w:gridCol w:w="109"/>
        <w:gridCol w:w="109"/>
        <w:gridCol w:w="109"/>
        <w:gridCol w:w="196"/>
        <w:gridCol w:w="661"/>
        <w:gridCol w:w="109"/>
        <w:gridCol w:w="109"/>
        <w:gridCol w:w="109"/>
        <w:gridCol w:w="109"/>
        <w:gridCol w:w="196"/>
        <w:gridCol w:w="661"/>
        <w:gridCol w:w="109"/>
        <w:gridCol w:w="109"/>
        <w:gridCol w:w="109"/>
        <w:gridCol w:w="109"/>
        <w:gridCol w:w="345"/>
        <w:gridCol w:w="768"/>
        <w:gridCol w:w="193"/>
        <w:gridCol w:w="109"/>
        <w:gridCol w:w="109"/>
        <w:gridCol w:w="109"/>
        <w:gridCol w:w="238"/>
        <w:gridCol w:w="804"/>
        <w:gridCol w:w="189"/>
      </w:tblGrid>
      <w:tr>
        <w:trPr/>
        <w:tc>
          <w:tcPr>
            <w:tcW w:w="80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r>
          </w:p>
        </w:tc>
      </w:tr>
      <w:tr>
        <w:trPr/>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1,208</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11,715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12,025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(578)</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17,599</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comprehensive income:</w:t>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employee stock options</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restricted stock units</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surrendered for employees’ tax liability</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Settlement of liability-classified awards in restricted stock units (</w:t>
            </w:r>
            <w:hyperlink w:anchor="ib0fcbb7efb954530b16e12f943366975_265">
              <w:r>
                <w:rPr>
                  <w:rStyle w:val="InternetLink"/>
                  <w:rFonts w:ascii="Times New Roman;sans-serif" w:hAnsi="Times New Roman;sans-serif"/>
                  <w:b w:val="false"/>
                  <w:color w:val="0000FF"/>
                  <w:sz w:val="18"/>
                  <w:u w:val="single"/>
                </w:rPr>
                <w:t>Note 9</w:t>
              </w:r>
            </w:hyperlink>
            <w:r>
              <w:rPr>
                <w:rFonts w:ascii="Times New Roman;sans-serif" w:hAnsi="Times New Roman;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 related to employee stock options and restricted stock units</w:t>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($0.47 per common share)</w:t>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1,210</w:t>
            </w: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(429)</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(5,563)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11,927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12,053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(586)</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17,831</w:t>
            </w:r>
            <w:r>
              <w:rPr>
                <w:color w:val="000000"/>
              </w:rPr>
              <w:t> </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7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Description of Business and Basis of Consolidation and Presentation</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Merger Agreement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2022, we entered into an Agreement and Plan of Merger (the “Merger Agreement”) with Microsoft Corporation (“Microsoft”) and Anchorage Merger Sub Inc. (“Merger Sub”), a wholly owned subsidiary of Microsoft. Subject to the terms and conditions of the Merger Agreement, Microsoft agreed to acquire the Company for $95.00 per issued and outstanding share of our common stock, par value $0.000001 per share, in an all-cash transaction. Pursuant to the terms of the Merger Agreement, our acquisition will be accomplished through the merger of Merger Sub with and into the Company (the “Merger”), with the Company surviving the Merger as a wholly owned subsidiary of Microsoft. As a result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We do not believe these restrictions will prevent us from meeting our debt service obligations, ongoing costs of operations, working capital needs or capital expenditure requirements. </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If the Merger Agreement is terminated under certain specified circumstances, we or Microsoft will be required to pay a termination fee. We will be required to pay Microsoft a termination fee of approximately $2.27 billion under specified circumstances, including termination of the Merger Agreement due to our material breach of representations, warranties, covenants or agreements in the Merger Agreement. Microsoft will be required to pay us a reverse termination fee under specified circumstances, including termination of the Merger Agreement due to a permanent injunction arising from Antitrust Laws (as defined in the Merger Agreement) when we are not then in material breach of any provision of the Merger Agreement and if certain other conditions are met, in an amount equal to $3.0 billion if the termination notice is provided at any time after April 18, 2023.</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For additional information related to the Merger Agreement, please refer to </w:t>
      </w:r>
      <w:r>
        <w:fldChar w:fldCharType="begin"/>
      </w:r>
      <w:r>
        <w:rPr>
          <w:rStyle w:val="InternetLink"/>
          <w:sz w:val="20"/>
          <w:u w:val="single"/>
          <w:b w:val="false"/>
          <w:rFonts w:ascii="Times New Roman;sans-serif" w:hAnsi="Times New Roman;sans-serif"/>
        </w:rPr>
        <w:instrText> HYPERLINK "http://www.sec.gov/ix?doc=/Archives/edgar/data/718877/000162828023004842/atvi-20221231.htm" \l "i6f51e045577844f8b618752b6fa62bd0_25"</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Part I Item 1 “Business” of our Annual Report on Form 10-K for the year ended December 31, 2022</w:t>
      </w:r>
      <w:r>
        <w:rPr>
          <w:rStyle w:val="InternetLink"/>
          <w:sz w:val="20"/>
          <w:u w:val="single"/>
          <w:b w:val="false"/>
          <w:rFonts w:ascii="Times New Roman;sans-serif" w:hAnsi="Times New Roman;sans-serif"/>
        </w:rPr>
        <w:fldChar w:fldCharType="end"/>
      </w:r>
      <w:r>
        <w:rPr>
          <w:rFonts w:ascii="Times New Roman;sans-serif" w:hAnsi="Times New Roman;sans-serif"/>
          <w:b w:val="false"/>
          <w:color w:val="000000"/>
          <w:sz w:val="20"/>
        </w:rPr>
        <w:t>, and other relevant materials in connection with the proposed transaction with Microsoft that we will file with the SEC and that will contain important information about the Company and the Merger.</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On December 8, 2022, the United States Federal Trade Commission (the “FTC”) issued an administrative complaint against the Company and Microsoft alleging that the Company and Microsoft executed the Merger Agreement in violation of Section 5 of the FTC Act, as amended, 15 U.S.C. § 45, which, if consummated, would violate Section 7 of the Clayton Act, as amended, 15 U.S.C. § 18 and Section 5 of the FTC Act, as amended, 15 U.S.C. § 45. For more information regarding the FTC complaint regarding the pending Merger, see </w:t>
      </w:r>
      <w:hyperlink w:anchor="ib0fcbb7efb954530b16e12f943366975_295">
        <w:r>
          <w:rPr>
            <w:rStyle w:val="InternetLink"/>
            <w:rFonts w:ascii="Times New Roman;sans-serif" w:hAnsi="Times New Roman;sans-serif"/>
            <w:b w:val="false"/>
            <w:color w:val="0000FF"/>
            <w:sz w:val="20"/>
            <w:u w:val="single"/>
          </w:rPr>
          <w:t>Note 13</w:t>
        </w:r>
      </w:hyperlink>
      <w:r>
        <w:rPr>
          <w:color w:val="000000"/>
        </w:rPr>
        <w:t xml:space="preserve"> </w:t>
      </w:r>
      <w:r>
        <w:rPr>
          <w:rFonts w:ascii="Times New Roman;sans-serif" w:hAnsi="Times New Roman;sans-serif"/>
          <w:b w:val="false"/>
          <w:color w:val="000000"/>
          <w:sz w:val="20"/>
        </w:rPr>
        <w:t>of the condensed consolidated consolidated financial statements.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26, 2023, the United Kingdom Competition and Markets Authority ("CMA") announced a decision to block the Merger, stating that competition concerns arose in relation to cloud gaming and that Microsoft’s remedies addressing any concerns in cloud gaming were not sufficient. Microsoft has announced its decision to appeal the CMA’s ruling, and Activision Blizzard intends to fully support Microsoft’s efforts on this appeal. The parties continue to fully engage with other regulators reviewing the transaction to obtain required regulatory approvals. </w:t>
      </w:r>
    </w:p>
    <w:p>
      <w:pPr>
        <w:pStyle w:val="TextBody"/>
        <w:spacing w:before="0" w:after="0"/>
        <w:ind w:left="0" w:right="0" w:firstLine="45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Segments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 Activision Publishing, Inc.</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offerings include titles and content for Call of Duty</w:t>
      </w:r>
      <w:r>
        <w:rPr>
          <w:rFonts w:ascii="Times New Roman;sans-serif" w:hAnsi="Times New Roman;sans-serif"/>
          <w:b w:val="false"/>
          <w:color w:val="000000"/>
          <w:sz w:val="13"/>
        </w:rPr>
        <w:t>®</w:t>
      </w:r>
      <w:r>
        <w:rPr>
          <w:rFonts w:ascii="Times New Roman;sans-serif" w:hAnsi="Times New Roman;sans-serif"/>
          <w:b w:val="false"/>
          <w:color w:val="000000"/>
          <w:sz w:val="20"/>
        </w:rPr>
        <w:t>, a first-person action franchise. Activision also includes the activities of the Call of Duty League™, a global professional esports league.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(ii) Blizzard Entertainment, Inc.</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w:t>
      </w:r>
      <w:r>
        <w:rPr>
          <w:rFonts w:ascii="Times New Roman;sans-serif" w:hAnsi="Times New Roman;sans-serif"/>
          <w:b w:val="false"/>
          <w:color w:val="000000"/>
          <w:sz w:val="13"/>
        </w:rPr>
        <w:t>®</w:t>
      </w:r>
      <w:r>
        <w:rPr>
          <w:rFonts w:ascii="Times New Roman;sans-serif" w:hAnsi="Times New Roman;sans-serif"/>
          <w:b w:val="false"/>
          <w:color w:val="000000"/>
          <w:sz w:val="20"/>
        </w:rPr>
        <w:t>, which facilitates digital distribution of Blizzard content and selected Activision content, online social connectivity, and the creation of user-generated content. Blizzard’s key product offerings include titles and content for: the Warcraft</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franchise, which includes World of Warcraft</w:t>
      </w:r>
      <w:r>
        <w:rPr>
          <w:rFonts w:ascii="Times New Roman;sans-serif" w:hAnsi="Times New Roman;sans-serif"/>
          <w:b w:val="false"/>
          <w:color w:val="000000"/>
          <w:sz w:val="13"/>
        </w:rPr>
        <w:t>®</w:t>
      </w:r>
      <w:r>
        <w:rPr>
          <w:rFonts w:ascii="Times New Roman;sans-serif" w:hAnsi="Times New Roman;sans-serif"/>
          <w:b w:val="false"/>
          <w:color w:val="000000"/>
          <w:sz w:val="20"/>
        </w:rPr>
        <w:t>, a subscription-based massive multi-player online role-playing game, and Hearthstone</w:t>
      </w:r>
      <w:r>
        <w:rPr>
          <w:rFonts w:ascii="Times New Roman;sans-serif" w:hAnsi="Times New Roman;sans-serif"/>
          <w:b w:val="false"/>
          <w:color w:val="000000"/>
          <w:sz w:val="13"/>
        </w:rPr>
        <w:t>®</w:t>
      </w:r>
      <w:r>
        <w:rPr>
          <w:rFonts w:ascii="Times New Roman;sans-serif" w:hAnsi="Times New Roman;sans-serif"/>
          <w:b w:val="false"/>
          <w:color w:val="000000"/>
          <w:sz w:val="20"/>
        </w:rPr>
        <w:t>, an online collectible card game based in the Warcraft</w:t>
      </w:r>
      <w:r>
        <w:rPr>
          <w:color w:val="000000"/>
        </w:rPr>
        <w:t xml:space="preserve"> </w:t>
      </w:r>
      <w:r>
        <w:rPr>
          <w:rFonts w:ascii="Times New Roman;sans-serif" w:hAnsi="Times New Roman;sans-serif"/>
          <w:b w:val="false"/>
          <w:color w:val="000000"/>
          <w:sz w:val="20"/>
        </w:rPr>
        <w:t>universe; Diablo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the action role-playing genre; and Overwatch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the team-based first-person action genre. Blizzard also includes the activities of the Overwatch League™, a global professional esports league.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(iii) King Digital Entertainment</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King Digital Entertainment (“King”) delivers content through free-to-play offerings and primarily generates revenue from in-game sales and in-game advertising on mobile platforms. King’s key product offerings include titles and content for Candy Crush™, a “match three” franchise.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also engage in other businesses that do not represent reportable segments, including our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Basis of Consolidation and Presentation</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the rules and regulations of the SEC and accounting principles generally accepted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financial statements but does not include all disclosures required by U.S. GAAP. Accordingly, the unaudited condensed consolidated financial statements should be read in conjunction with the audited consolidated financial statements and notes thereto included in our Annual Report on Form 10-K for the year ended December 31, 2022.</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in conformity with U.S. GAAP requires management to make estimates and assumptions that affect the amounts reported in the condensed consolidated financial statements and accompanying notes. In the opinion of management, all adjustments considered necessary for the fair statement of our financial position and results of operations in accordance with U.S. GAAP (consisting of normal recurring adjustments) have been included in the accompanying unaudited condensed consolidated financial statements. Actual results could differ from these estimates and assumptions.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and operations of the Company. All intercompany accounts and transactions have been eliminated. Certain amounts in the prior year condensed consolidated financial statements have been reclassified to conform to the current year presentation.</w:t>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Held-to-Maturity Investments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the Company's held-to-maturity investments (amount in millions):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17"/>
        <w:gridCol w:w="1070"/>
        <w:gridCol w:w="1073"/>
        <w:gridCol w:w="263"/>
        <w:gridCol w:w="771"/>
        <w:gridCol w:w="136"/>
        <w:gridCol w:w="109"/>
        <w:gridCol w:w="109"/>
        <w:gridCol w:w="109"/>
        <w:gridCol w:w="462"/>
        <w:gridCol w:w="891"/>
        <w:gridCol w:w="240"/>
        <w:gridCol w:w="109"/>
        <w:gridCol w:w="109"/>
        <w:gridCol w:w="109"/>
        <w:gridCol w:w="560"/>
        <w:gridCol w:w="720"/>
        <w:gridCol w:w="290"/>
        <w:gridCol w:w="109"/>
        <w:gridCol w:w="109"/>
        <w:gridCol w:w="109"/>
        <w:gridCol w:w="327"/>
        <w:gridCol w:w="957"/>
        <w:gridCol w:w="247"/>
      </w:tblGrid>
      <w:tr>
        <w:trPr/>
        <w:tc>
          <w:tcPr>
            <w:tcW w:w="1217"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March 31, 2023</w:t>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br/>
              <w:t>(Level 1)</w:t>
            </w:r>
          </w:p>
        </w:tc>
      </w:tr>
      <w:tr>
        <w:trPr/>
        <w:tc>
          <w:tcPr>
            <w:tcW w:w="3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agency securities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17"/>
        <w:gridCol w:w="1070"/>
        <w:gridCol w:w="1073"/>
        <w:gridCol w:w="263"/>
        <w:gridCol w:w="771"/>
        <w:gridCol w:w="136"/>
        <w:gridCol w:w="109"/>
        <w:gridCol w:w="109"/>
        <w:gridCol w:w="109"/>
        <w:gridCol w:w="583"/>
        <w:gridCol w:w="707"/>
        <w:gridCol w:w="304"/>
        <w:gridCol w:w="109"/>
        <w:gridCol w:w="109"/>
        <w:gridCol w:w="109"/>
        <w:gridCol w:w="560"/>
        <w:gridCol w:w="720"/>
        <w:gridCol w:w="290"/>
        <w:gridCol w:w="109"/>
        <w:gridCol w:w="109"/>
        <w:gridCol w:w="109"/>
        <w:gridCol w:w="327"/>
        <w:gridCol w:w="957"/>
        <w:gridCol w:w="246"/>
      </w:tblGrid>
      <w:tr>
        <w:trPr/>
        <w:tc>
          <w:tcPr>
            <w:tcW w:w="1217"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br/>
              <w:t>(Level 1)</w:t>
            </w:r>
          </w:p>
        </w:tc>
      </w:tr>
      <w:tr>
        <w:trPr/>
        <w:tc>
          <w:tcPr>
            <w:tcW w:w="3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agency securities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all contractual maturities of held-to-maturity investments were less than 12 months.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3. Software Development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total capitalized software development costs were $1.3 billion as of March 31, 2023 and December 31, 2022, respectively, and primarily relate to internal development costs.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software development costs was as follows (amounts in millions):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651"/>
        <w:gridCol w:w="1449"/>
        <w:gridCol w:w="1457"/>
        <w:gridCol w:w="109"/>
        <w:gridCol w:w="109"/>
        <w:gridCol w:w="109"/>
        <w:gridCol w:w="109"/>
        <w:gridCol w:w="109"/>
        <w:gridCol w:w="368"/>
        <w:gridCol w:w="368"/>
        <w:gridCol w:w="713"/>
        <w:gridCol w:w="1575"/>
        <w:gridCol w:w="368"/>
        <w:gridCol w:w="109"/>
        <w:gridCol w:w="109"/>
        <w:gridCol w:w="109"/>
        <w:gridCol w:w="211"/>
        <w:gridCol w:w="361"/>
        <w:gridCol w:w="109"/>
        <w:gridCol w:w="109"/>
        <w:gridCol w:w="109"/>
        <w:gridCol w:w="109"/>
        <w:gridCol w:w="109"/>
        <w:gridCol w:w="109"/>
        <w:gridCol w:w="158"/>
      </w:tblGrid>
      <w:tr>
        <w:trPr/>
        <w:tc>
          <w:tcPr>
            <w:tcW w:w="1651"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5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703" w:type="dxa"/>
            <w:gridSpan w:val="6"/>
            <w:tcBorders/>
            <w:shd w:fill="auto" w:val="clear"/>
          </w:tcPr>
          <w:p>
            <w:pPr>
              <w:pStyle w:val="TableContents"/>
              <w:spacing w:before="0" w:after="283"/>
              <w:rPr>
                <w:sz w:val="4"/>
                <w:szCs w:val="4"/>
              </w:rPr>
            </w:pPr>
            <w:r>
              <w:rPr>
                <w:sz w:val="4"/>
                <w:szCs w:val="4"/>
              </w:rPr>
            </w:r>
          </w:p>
        </w:tc>
      </w:tr>
      <w:tr>
        <w:trPr/>
        <w:tc>
          <w:tcPr>
            <w:tcW w:w="45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6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5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Financial Accounting Standards Board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Level 1—Quoted prices in active markets for identical assets or liabilities;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Level 2—Observable inputs other than quoted prices included in Level 1, such as quoted prices for similar assets or liabilities in active markets or other inputs that are observable or can be corroborated by observable market data;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Fair Value Measurements on a Recurring Basis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189"/>
        <w:gridCol w:w="590"/>
        <w:gridCol w:w="504"/>
        <w:gridCol w:w="239"/>
        <w:gridCol w:w="699"/>
        <w:gridCol w:w="123"/>
        <w:gridCol w:w="109"/>
        <w:gridCol w:w="109"/>
        <w:gridCol w:w="109"/>
        <w:gridCol w:w="357"/>
        <w:gridCol w:w="948"/>
        <w:gridCol w:w="167"/>
        <w:gridCol w:w="113"/>
        <w:gridCol w:w="113"/>
        <w:gridCol w:w="113"/>
        <w:gridCol w:w="359"/>
        <w:gridCol w:w="692"/>
        <w:gridCol w:w="187"/>
        <w:gridCol w:w="113"/>
        <w:gridCol w:w="113"/>
        <w:gridCol w:w="113"/>
        <w:gridCol w:w="383"/>
        <w:gridCol w:w="738"/>
        <w:gridCol w:w="200"/>
        <w:gridCol w:w="109"/>
        <w:gridCol w:w="109"/>
        <w:gridCol w:w="109"/>
        <w:gridCol w:w="434"/>
        <w:gridCol w:w="434"/>
        <w:gridCol w:w="630"/>
      </w:tblGrid>
      <w:tr>
        <w:trPr/>
        <w:tc>
          <w:tcPr>
            <w:tcW w:w="118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March 31, 2023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(Level 1)</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br/>
              <w:t>(Level 2)</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w:t>
              <w:br/>
              <w:t>Classification</w:t>
            </w:r>
          </w:p>
        </w:tc>
      </w:tr>
      <w:tr>
        <w:trPr/>
        <w:tc>
          <w:tcPr>
            <w:tcW w:w="2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fair value measurements:</w:t>
            </w:r>
          </w:p>
        </w:tc>
        <w:tc>
          <w:tcPr>
            <w:tcW w:w="10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r>
      <w:tr>
        <w:trPr/>
        <w:tc>
          <w:tcPr>
            <w:tcW w:w="2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designated as hedges</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0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designated as hedges</w:t>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r>
      <w:tr>
        <w:trPr/>
        <w:tc>
          <w:tcPr>
            <w:tcW w:w="2283"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2"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186"/>
        <w:gridCol w:w="585"/>
        <w:gridCol w:w="499"/>
        <w:gridCol w:w="248"/>
        <w:gridCol w:w="724"/>
        <w:gridCol w:w="128"/>
        <w:gridCol w:w="109"/>
        <w:gridCol w:w="109"/>
        <w:gridCol w:w="109"/>
        <w:gridCol w:w="354"/>
        <w:gridCol w:w="940"/>
        <w:gridCol w:w="166"/>
        <w:gridCol w:w="115"/>
        <w:gridCol w:w="115"/>
        <w:gridCol w:w="115"/>
        <w:gridCol w:w="365"/>
        <w:gridCol w:w="705"/>
        <w:gridCol w:w="160"/>
        <w:gridCol w:w="115"/>
        <w:gridCol w:w="115"/>
        <w:gridCol w:w="115"/>
        <w:gridCol w:w="381"/>
        <w:gridCol w:w="735"/>
        <w:gridCol w:w="199"/>
        <w:gridCol w:w="109"/>
        <w:gridCol w:w="109"/>
        <w:gridCol w:w="109"/>
        <w:gridCol w:w="432"/>
        <w:gridCol w:w="432"/>
        <w:gridCol w:w="622"/>
      </w:tblGrid>
      <w:tr>
        <w:trPr/>
        <w:tc>
          <w:tcPr>
            <w:tcW w:w="1186"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2022 Using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(Level 1)</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br/>
              <w:t>(Level 2)</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w:t>
              <w:br/>
              <w:t>Classification</w:t>
            </w:r>
          </w:p>
        </w:tc>
      </w:tr>
      <w:tr>
        <w:trPr/>
        <w:tc>
          <w:tcPr>
            <w:tcW w:w="2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fair value measurements:</w:t>
            </w:r>
          </w:p>
        </w:tc>
        <w:tc>
          <w:tcPr>
            <w:tcW w:w="11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r>
      <w:tr>
        <w:trPr/>
        <w:tc>
          <w:tcPr>
            <w:tcW w:w="2270"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6" w:type="dxa"/>
            <w:gridSpan w:val="3"/>
            <w:tcBorders/>
            <w:shd w:fill="auto" w:val="clear"/>
            <w:vAlign w:val="center"/>
          </w:tcPr>
          <w:p>
            <w:pPr>
              <w:pStyle w:val="TableContents"/>
              <w:spacing w:before="0" w:after="283"/>
              <w:rPr>
                <w:sz w:val="4"/>
                <w:szCs w:val="4"/>
              </w:rPr>
            </w:pPr>
            <w:r>
              <w:rPr>
                <w:sz w:val="4"/>
                <w:szCs w:val="4"/>
              </w:rPr>
            </w:r>
          </w:p>
        </w:tc>
      </w:tr>
      <w:tr>
        <w:trPr/>
        <w:tc>
          <w:tcPr>
            <w:tcW w:w="2270"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6" w:type="dxa"/>
            <w:gridSpan w:val="3"/>
            <w:tcBorders/>
            <w:shd w:fill="auto" w:val="clear"/>
            <w:vAlign w:val="center"/>
          </w:tcPr>
          <w:p>
            <w:pPr>
              <w:pStyle w:val="TableContents"/>
              <w:spacing w:before="0" w:after="283"/>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r>
      <w:tr>
        <w:trPr/>
        <w:tc>
          <w:tcPr>
            <w:tcW w:w="2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designated as hedges</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r>
      <w:tr>
        <w:trPr/>
        <w:tc>
          <w:tcPr>
            <w:tcW w:w="2270"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6" w:type="dxa"/>
            <w:gridSpan w:val="3"/>
            <w:tcBorders/>
            <w:shd w:fill="auto" w:val="clear"/>
            <w:vAlign w:val="center"/>
          </w:tcPr>
          <w:p>
            <w:pPr>
              <w:pStyle w:val="TableContents"/>
              <w:spacing w:before="0" w:after="283"/>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designated as hedges</w:t>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r>
      <w:tr>
        <w:trPr/>
        <w:tc>
          <w:tcPr>
            <w:tcW w:w="2270"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6" w:type="dxa"/>
            <w:gridSpan w:val="3"/>
            <w:tcBorders/>
            <w:shd w:fill="auto" w:val="clear"/>
            <w:vAlign w:val="center"/>
          </w:tcPr>
          <w:p>
            <w:pPr>
              <w:pStyle w:val="TableContents"/>
              <w:spacing w:before="0" w:after="283"/>
              <w:rPr>
                <w:sz w:val="4"/>
                <w:szCs w:val="4"/>
              </w:rPr>
            </w:pPr>
            <w:r>
              <w:rPr>
                <w:sz w:val="4"/>
                <w:szCs w:val="4"/>
              </w:rPr>
            </w:r>
          </w:p>
        </w:tc>
      </w:tr>
      <w:tr>
        <w:trPr/>
        <w:tc>
          <w:tcPr>
            <w:tcW w:w="2270"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6" w:type="dxa"/>
            <w:gridSpan w:val="3"/>
            <w:tcBorders/>
            <w:shd w:fill="auto" w:val="clear"/>
            <w:vAlign w:val="center"/>
          </w:tcPr>
          <w:p>
            <w:pPr>
              <w:pStyle w:val="TableContents"/>
              <w:spacing w:before="0" w:after="283"/>
              <w:rPr>
                <w:sz w:val="4"/>
                <w:szCs w:val="4"/>
              </w:rPr>
            </w:pPr>
            <w:r>
              <w:rPr>
                <w:sz w:val="4"/>
                <w:szCs w:val="4"/>
              </w:rPr>
            </w:r>
          </w:p>
        </w:tc>
      </w:tr>
      <w:tr>
        <w:trPr/>
        <w:tc>
          <w:tcPr>
            <w:tcW w:w="2270"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6" w:type="dxa"/>
            <w:gridSpan w:val="3"/>
            <w:tcBorders/>
            <w:shd w:fill="auto" w:val="clear"/>
            <w:vAlign w:val="center"/>
          </w:tcPr>
          <w:p>
            <w:pPr>
              <w:pStyle w:val="TableContents"/>
              <w:spacing w:before="0" w:after="283"/>
              <w:rPr>
                <w:sz w:val="4"/>
                <w:szCs w:val="4"/>
              </w:rPr>
            </w:pPr>
            <w:r>
              <w:rPr>
                <w:sz w:val="4"/>
                <w:szCs w:val="4"/>
              </w:rPr>
            </w:r>
          </w:p>
        </w:tc>
      </w:tr>
      <w:tr>
        <w:trPr/>
        <w:tc>
          <w:tcPr>
            <w:tcW w:w="2270"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Foreign Currency Forward Contracts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Foreign Currency Forward Contracts Designated as Hedges (“Cash Flow Hedges”)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total gross notional amounts and fair values of our Cash Flow Hedges, which generally had remaining maturities of nine months or less as of March 31, 2023, are as follows (amounts in millions):</w:t>
      </w:r>
    </w:p>
    <w:p>
      <w:pPr>
        <w:pStyle w:val="TextBody"/>
        <w:spacing w:before="0" w:after="0"/>
        <w:rPr/>
      </w:pPr>
      <w:r>
        <w:rPr/>
      </w:r>
    </w:p>
    <w:tbl>
      <w:tblPr>
        <w:tblW w:w="8304" w:type="dxa"/>
        <w:jc w:val="center"/>
        <w:tblInd w:w="0" w:type="dxa"/>
        <w:tblCellMar>
          <w:top w:w="28" w:type="dxa"/>
          <w:left w:w="28" w:type="dxa"/>
          <w:bottom w:w="28" w:type="dxa"/>
          <w:right w:w="28" w:type="dxa"/>
        </w:tblCellMar>
      </w:tblPr>
      <w:tblGrid>
        <w:gridCol w:w="625"/>
        <w:gridCol w:w="548"/>
        <w:gridCol w:w="552"/>
        <w:gridCol w:w="378"/>
        <w:gridCol w:w="836"/>
        <w:gridCol w:w="195"/>
        <w:gridCol w:w="548"/>
        <w:gridCol w:w="863"/>
        <w:gridCol w:w="284"/>
        <w:gridCol w:w="109"/>
        <w:gridCol w:w="109"/>
        <w:gridCol w:w="109"/>
        <w:gridCol w:w="378"/>
        <w:gridCol w:w="837"/>
        <w:gridCol w:w="194"/>
        <w:gridCol w:w="476"/>
        <w:gridCol w:w="917"/>
        <w:gridCol w:w="346"/>
      </w:tblGrid>
      <w:tr>
        <w:trPr/>
        <w:tc>
          <w:tcPr>
            <w:tcW w:w="62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16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gain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1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gain (loss)</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USD, Sell EUR</w:t>
            </w:r>
          </w:p>
        </w:tc>
        <w:tc>
          <w:tcPr>
            <w:tcW w:w="3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pre-tax net realized gains (losses) associated with our Cash Flow Hedges that were reclassified out of “Accumulated other comprehensive income (loss)” and into earnings were not material.</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5. Deferred Revenues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record deferred revenues when cash payments are received or due in advance of the fulfillment of our associated performance obligations. The aggregate of the current and non-current balances of deferred revenues as of March 31, 2023 and December 31, 2022, were $1.7 billion and $2.1 billion, respectively. For the three months ended March 31, 2023,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which were in the ordinary course of business. During the three months ended March 31, 2023 and March 31, 2022, $1.3 billion and $0.7 billion, respectively, of revenues were recognized that were included in the deferred revenues balance at the beginning of the period.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aggregate amount of contracted revenues allocated to our unsatisfied performance obligations was $1.8 billion, which included our deferred revenues balances and amounts to be invoiced and recognized as revenue in future periods. We expect to recognize approximately $1.8 billion over the next 12 months. This balance did not include an estimate for variable consideration arising from sales-based royalty license revenue in excess of the contractual minimum guarantee or any estimated amounts of variable consideration that are subject to constraint in accordance with the revenue accounting standard.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we had $1.5 billion available under a revolving credit facility (the “Revolver”) pursuant to a credit agreement entered into on October 11, 2013 (as amended thereafter and from time to time, the “Credit Agreement”). To date, we have not drawn on the Revolver and we were in compliance with the terms of the Credit Agreement as of March 31, 2023. The Revolver is scheduled to mature on August 24, 2023. </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Refer to </w:t>
      </w:r>
      <w:r>
        <w:fldChar w:fldCharType="begin"/>
      </w:r>
      <w:r>
        <w:rPr>
          <w:rStyle w:val="InternetLink"/>
        </w:rPr>
        <w:instrText> HYPERLINK "http://www.sec.gov/ix?doc=/Archives/edgar/data/0000718877/000162828023004842/atvi-20221231.htm" \l "i6f51e045577844f8b618752b6fa62bd0_70"</w:instrText>
      </w:r>
      <w:r>
        <w:rPr>
          <w:rStyle w:val="InternetLink"/>
        </w:rPr>
        <w:fldChar w:fldCharType="separate"/>
      </w:r>
      <w:r>
        <w:rPr>
          <w:rStyle w:val="InternetLink"/>
        </w:rPr>
        <w:t>Note 13 contained in our Annual Report on Form 10-K for the year ended December 31, 202</w:t>
      </w:r>
      <w:r>
        <w:rPr>
          <w:rStyle w:val="InternetLink"/>
        </w:rPr>
        <w:fldChar w:fldCharType="end"/>
      </w:r>
      <w:r>
        <w:fldChar w:fldCharType="begin"/>
      </w:r>
      <w:r>
        <w:rPr>
          <w:rStyle w:val="InternetLink"/>
        </w:rPr>
        <w:instrText> HYPERLINK "http://www.sec.gov/ix?doc=/Archives/edgar/data/0000718877/000162828023004842/atvi-20221231.htm" \l "i6f51e045577844f8b618752b6fa62bd0_70"</w:instrText>
      </w:r>
      <w:r>
        <w:rPr>
          <w:rStyle w:val="InternetLink"/>
        </w:rPr>
        <w:fldChar w:fldCharType="separate"/>
      </w:r>
      <w:r>
        <w:rPr>
          <w:rStyle w:val="InternetLink"/>
        </w:rPr>
        <w:t>2</w:t>
      </w:r>
      <w:r>
        <w:rPr>
          <w:rStyle w:val="InternetLink"/>
        </w:rPr>
        <w:fldChar w:fldCharType="end"/>
      </w:r>
      <w:r>
        <w:rPr>
          <w:color w:val="000000"/>
        </w:rPr>
        <w:t xml:space="preserve"> </w:t>
      </w:r>
      <w:r>
        <w:rPr>
          <w:rFonts w:ascii="Times New Roman;sans-serif" w:hAnsi="Times New Roman;sans-serif"/>
          <w:b w:val="false"/>
          <w:color w:val="000000"/>
          <w:sz w:val="20"/>
        </w:rPr>
        <w:t>for further details regarding the Credit Agreement and its key terms.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Unsecured Senior Notes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we had $3.7 billion of gross unsecured senior notes outstanding. A summary of our outstanding unsecured senior notes is as follows (amounts in millions):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415"/>
        <w:gridCol w:w="364"/>
        <w:gridCol w:w="367"/>
        <w:gridCol w:w="109"/>
        <w:gridCol w:w="109"/>
        <w:gridCol w:w="109"/>
        <w:gridCol w:w="257"/>
        <w:gridCol w:w="257"/>
        <w:gridCol w:w="258"/>
        <w:gridCol w:w="109"/>
        <w:gridCol w:w="109"/>
        <w:gridCol w:w="109"/>
        <w:gridCol w:w="532"/>
        <w:gridCol w:w="532"/>
        <w:gridCol w:w="533"/>
        <w:gridCol w:w="109"/>
        <w:gridCol w:w="109"/>
        <w:gridCol w:w="109"/>
        <w:gridCol w:w="274"/>
        <w:gridCol w:w="274"/>
        <w:gridCol w:w="276"/>
        <w:gridCol w:w="109"/>
        <w:gridCol w:w="109"/>
        <w:gridCol w:w="109"/>
        <w:gridCol w:w="211"/>
        <w:gridCol w:w="616"/>
        <w:gridCol w:w="109"/>
        <w:gridCol w:w="109"/>
        <w:gridCol w:w="109"/>
        <w:gridCol w:w="109"/>
        <w:gridCol w:w="221"/>
        <w:gridCol w:w="490"/>
        <w:gridCol w:w="114"/>
        <w:gridCol w:w="109"/>
        <w:gridCol w:w="109"/>
        <w:gridCol w:w="109"/>
        <w:gridCol w:w="211"/>
        <w:gridCol w:w="616"/>
        <w:gridCol w:w="109"/>
        <w:gridCol w:w="109"/>
        <w:gridCol w:w="109"/>
        <w:gridCol w:w="109"/>
        <w:gridCol w:w="221"/>
        <w:gridCol w:w="489"/>
        <w:gridCol w:w="170"/>
      </w:tblGrid>
      <w:tr>
        <w:trPr/>
        <w:tc>
          <w:tcPr>
            <w:tcW w:w="415"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Unsecured Senior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Semi-Annual Interest Payments Due 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b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br/>
              <w:t>(Level 2)</w:t>
            </w:r>
          </w:p>
        </w:tc>
      </w:tr>
      <w:tr>
        <w:trPr/>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r>
        <w:trPr/>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r>
        <w:trPr/>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r>
        <w:trPr/>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r>
        <w:trPr/>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15 &amp; Sept. 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 15 &amp; Dec. 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15 &amp; Sept. 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 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2047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 15 &amp; Dec. 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 2047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2050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15 &amp; Sept. 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 2050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0" w:type="dxa"/>
            <w:gridSpan w:val="21"/>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0" w:type="dxa"/>
            <w:gridSpan w:val="21"/>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deferred financing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0" w:type="dxa"/>
            <w:gridSpan w:val="21"/>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carrying 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We were in compliance with the terms of the notes outstanding as of March 31, 2023. Refer to </w:t>
      </w:r>
      <w:r>
        <w:fldChar w:fldCharType="begin"/>
      </w:r>
      <w:r>
        <w:rPr>
          <w:rStyle w:val="InternetLink"/>
        </w:rPr>
        <w:instrText> HYPERLINK "http://www.sec.gov/ix?doc=/Archives/edgar/data/0000718877/000162828023004842/atvi-20221231.htm" \l "i6f51e045577844f8b618752b6fa62bd0_70"</w:instrText>
      </w:r>
      <w:r>
        <w:rPr>
          <w:rStyle w:val="InternetLink"/>
        </w:rPr>
        <w:fldChar w:fldCharType="separate"/>
      </w:r>
      <w:r>
        <w:rPr>
          <w:rStyle w:val="InternetLink"/>
        </w:rPr>
        <w:t>Note 13 contained in our Annual Report on Form 10-K for the year ended December 31, 20</w:t>
      </w:r>
      <w:r>
        <w:rPr>
          <w:rStyle w:val="InternetLink"/>
        </w:rPr>
        <w:fldChar w:fldCharType="end"/>
      </w:r>
      <w:r>
        <w:fldChar w:fldCharType="begin"/>
      </w:r>
      <w:r>
        <w:rPr>
          <w:rStyle w:val="InternetLink"/>
        </w:rPr>
        <w:instrText> HYPERLINK "http://www.sec.gov/ix?doc=/Archives/edgar/data/0000718877/000162828023004842/atvi-20221231.htm" \l "i6f51e045577844f8b618752b6fa62bd0_70"</w:instrText>
      </w:r>
      <w:r>
        <w:rPr>
          <w:rStyle w:val="InternetLink"/>
        </w:rPr>
        <w:fldChar w:fldCharType="separate"/>
      </w:r>
      <w:r>
        <w:rPr>
          <w:rStyle w:val="InternetLink"/>
        </w:rPr>
        <w:t>22</w:t>
      </w:r>
      <w:r>
        <w:rPr>
          <w:rStyle w:val="InternetLink"/>
        </w:rPr>
        <w:fldChar w:fldCharType="end"/>
      </w:r>
      <w:r>
        <w:rPr>
          <w:color w:val="000000"/>
        </w:rPr>
        <w:t xml:space="preserve"> </w:t>
      </w:r>
      <w:r>
        <w:rPr>
          <w:rFonts w:ascii="Times New Roman;sans-serif" w:hAnsi="Times New Roman;sans-serif"/>
          <w:b w:val="false"/>
          <w:color w:val="000000"/>
          <w:sz w:val="20"/>
        </w:rPr>
        <w:t>for further details regarding key terms under our indentures that govern our outstanding notes.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7. Accumulated Other Comprehensive Income (Loss)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income (loss) were as follows (amounts in millions):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077"/>
        <w:gridCol w:w="1689"/>
        <w:gridCol w:w="1700"/>
        <w:gridCol w:w="354"/>
        <w:gridCol w:w="785"/>
        <w:gridCol w:w="160"/>
        <w:gridCol w:w="160"/>
        <w:gridCol w:w="160"/>
        <w:gridCol w:w="160"/>
        <w:gridCol w:w="160"/>
        <w:gridCol w:w="160"/>
        <w:gridCol w:w="442"/>
        <w:gridCol w:w="773"/>
        <w:gridCol w:w="206"/>
        <w:gridCol w:w="109"/>
        <w:gridCol w:w="109"/>
        <w:gridCol w:w="109"/>
        <w:gridCol w:w="211"/>
        <w:gridCol w:w="522"/>
        <w:gridCol w:w="159"/>
      </w:tblGrid>
      <w:tr>
        <w:trPr/>
        <w:tc>
          <w:tcPr>
            <w:tcW w:w="2077"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0"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 2023</w:t>
            </w:r>
          </w:p>
        </w:tc>
        <w:tc>
          <w:tcPr>
            <w:tcW w:w="1219" w:type="dxa"/>
            <w:gridSpan w:val="6"/>
            <w:tcBorders/>
            <w:shd w:fill="auto" w:val="clear"/>
          </w:tcPr>
          <w:p>
            <w:pPr>
              <w:pStyle w:val="TableContents"/>
              <w:spacing w:before="0" w:after="283"/>
              <w:rPr>
                <w:sz w:val="4"/>
                <w:szCs w:val="4"/>
              </w:rPr>
            </w:pPr>
            <w:r>
              <w:rPr>
                <w:sz w:val="4"/>
                <w:szCs w:val="4"/>
              </w:rPr>
            </w:r>
          </w:p>
        </w:tc>
      </w:tr>
      <w:tr>
        <w:trPr/>
        <w:tc>
          <w:tcPr>
            <w:tcW w:w="5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br/>
              <w:t>translation</w:t>
              <w:br/>
              <w:t>adjustments</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4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 (loss)</w:t>
              <w:br/>
              <w:t>on forward</w:t>
              <w:br/>
              <w:t>contracts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 into earnings</w:t>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740"/>
        <w:gridCol w:w="1359"/>
        <w:gridCol w:w="1368"/>
        <w:gridCol w:w="310"/>
        <w:gridCol w:w="709"/>
        <w:gridCol w:w="160"/>
        <w:gridCol w:w="109"/>
        <w:gridCol w:w="109"/>
        <w:gridCol w:w="109"/>
        <w:gridCol w:w="512"/>
        <w:gridCol w:w="622"/>
        <w:gridCol w:w="267"/>
        <w:gridCol w:w="109"/>
        <w:gridCol w:w="109"/>
        <w:gridCol w:w="109"/>
        <w:gridCol w:w="400"/>
        <w:gridCol w:w="685"/>
        <w:gridCol w:w="208"/>
        <w:gridCol w:w="109"/>
        <w:gridCol w:w="109"/>
        <w:gridCol w:w="109"/>
        <w:gridCol w:w="211"/>
        <w:gridCol w:w="512"/>
        <w:gridCol w:w="161"/>
      </w:tblGrid>
      <w:tr>
        <w:trPr/>
        <w:tc>
          <w:tcPr>
            <w:tcW w:w="1740"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4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3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 2022</w:t>
            </w:r>
          </w:p>
        </w:tc>
      </w:tr>
      <w:tr>
        <w:trPr/>
        <w:tc>
          <w:tcPr>
            <w:tcW w:w="44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br/>
              <w:t>translation</w:t>
              <w:b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 (loss)</w:t>
              <w:br/>
              <w:t>on available-for-</w:t>
              <w:br/>
              <w:t>sale securities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 (loss)</w:t>
              <w:br/>
              <w:t>on forward</w:t>
              <w:br/>
              <w:t>contracts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 into earnings</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Operating Segments and Geographic Regions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 financings; certain restructuring and related costs; certain partnership wind down and related costs; and certain other non-cash charges. The CODM does not review any information regarding total assets on an operating segment basis, and accordingly, no disclosure is made with respect thereto.</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operating segments are also consistent with our internal organizational structure, the way we assess operating performance and allocate resources, and the availability of separate financial information. We do not aggregate operating segments.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Information on reportable segment net revenues and operating income are presented below (amounts in millions):</w:t>
      </w:r>
    </w:p>
    <w:p>
      <w:pPr>
        <w:pStyle w:val="TextBody"/>
        <w:spacing w:before="0" w:after="0"/>
        <w:rPr/>
      </w:pPr>
      <w:r>
        <w:rPr/>
      </w:r>
    </w:p>
    <w:tbl>
      <w:tblPr>
        <w:tblW w:w="8027" w:type="dxa"/>
        <w:jc w:val="left"/>
        <w:tblInd w:w="0" w:type="dxa"/>
        <w:tblCellMar>
          <w:top w:w="28" w:type="dxa"/>
          <w:left w:w="28" w:type="dxa"/>
          <w:bottom w:w="28" w:type="dxa"/>
          <w:right w:w="28" w:type="dxa"/>
        </w:tblCellMar>
      </w:tblPr>
      <w:tblGrid>
        <w:gridCol w:w="1142"/>
        <w:gridCol w:w="1001"/>
        <w:gridCol w:w="1007"/>
        <w:gridCol w:w="109"/>
        <w:gridCol w:w="109"/>
        <w:gridCol w:w="109"/>
        <w:gridCol w:w="257"/>
        <w:gridCol w:w="569"/>
        <w:gridCol w:w="135"/>
        <w:gridCol w:w="109"/>
        <w:gridCol w:w="109"/>
        <w:gridCol w:w="109"/>
        <w:gridCol w:w="225"/>
        <w:gridCol w:w="498"/>
        <w:gridCol w:w="118"/>
        <w:gridCol w:w="109"/>
        <w:gridCol w:w="109"/>
        <w:gridCol w:w="109"/>
        <w:gridCol w:w="211"/>
        <w:gridCol w:w="466"/>
        <w:gridCol w:w="109"/>
        <w:gridCol w:w="109"/>
        <w:gridCol w:w="109"/>
        <w:gridCol w:w="109"/>
        <w:gridCol w:w="211"/>
        <w:gridCol w:w="616"/>
        <w:gridCol w:w="154"/>
      </w:tblGrid>
      <w:tr>
        <w:trPr/>
        <w:tc>
          <w:tcPr>
            <w:tcW w:w="114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Blizzard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net revenues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0"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Blizzard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net revenues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589" w:type="dxa"/>
            <w:gridSpan w:val="18"/>
            <w:tcBorders/>
            <w:shd w:fill="auto" w:val="clea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589" w:type="dxa"/>
            <w:gridSpan w:val="18"/>
            <w:tcBorders/>
            <w:shd w:fill="auto" w:val="clea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589" w:type="dxa"/>
            <w:gridSpan w:val="18"/>
            <w:tcBorders/>
            <w:shd w:fill="auto" w:val="clea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tbl>
      <w:tblPr>
        <w:tblW w:w="3003"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(1)Intersegment revenues reflect licensing and service fees charged between segments.</w:t>
      </w:r>
    </w:p>
    <w:p>
      <w:pPr>
        <w:pStyle w:val="TextBody"/>
        <w:spacing w:before="0" w:after="0"/>
        <w:ind w:left="0" w:right="0" w:hanging="45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Reconciliations of total segment net revenues and total segment operating income to consolidated net revenues and consolidated income before income tax expense are presented in the table below (amounts in millions):</w:t>
      </w:r>
    </w:p>
    <w:p>
      <w:pPr>
        <w:pStyle w:val="TextBody"/>
        <w:spacing w:before="0" w:after="0"/>
        <w:ind w:left="0" w:right="0" w:firstLine="450"/>
        <w:rPr/>
      </w:pPr>
      <w:r>
        <w:rPr/>
      </w:r>
    </w:p>
    <w:tbl>
      <w:tblPr>
        <w:tblW w:w="10205" w:type="dxa"/>
        <w:jc w:val="left"/>
        <w:tblInd w:w="0" w:type="dxa"/>
        <w:tblCellMar>
          <w:top w:w="28" w:type="dxa"/>
          <w:left w:w="28" w:type="dxa"/>
          <w:bottom w:w="28" w:type="dxa"/>
          <w:right w:w="28" w:type="dxa"/>
        </w:tblCellMar>
      </w:tblPr>
      <w:tblGrid>
        <w:gridCol w:w="2107"/>
        <w:gridCol w:w="1731"/>
        <w:gridCol w:w="1740"/>
        <w:gridCol w:w="109"/>
        <w:gridCol w:w="109"/>
        <w:gridCol w:w="109"/>
        <w:gridCol w:w="109"/>
        <w:gridCol w:w="109"/>
        <w:gridCol w:w="210"/>
        <w:gridCol w:w="210"/>
        <w:gridCol w:w="407"/>
        <w:gridCol w:w="1189"/>
        <w:gridCol w:w="210"/>
        <w:gridCol w:w="109"/>
        <w:gridCol w:w="109"/>
        <w:gridCol w:w="109"/>
        <w:gridCol w:w="211"/>
        <w:gridCol w:w="616"/>
        <w:gridCol w:w="109"/>
        <w:gridCol w:w="109"/>
        <w:gridCol w:w="109"/>
        <w:gridCol w:w="109"/>
        <w:gridCol w:w="109"/>
        <w:gridCol w:w="157"/>
      </w:tblGrid>
      <w:tr>
        <w:trPr/>
        <w:tc>
          <w:tcPr>
            <w:tcW w:w="2107"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9" w:type="dxa"/>
            <w:gridSpan w:val="8"/>
            <w:tcBorders/>
            <w:shd w:fill="auto" w:val="clear"/>
          </w:tcPr>
          <w:p>
            <w:pPr>
              <w:pStyle w:val="TableContents"/>
              <w:spacing w:before="0" w:after="283"/>
              <w:rPr>
                <w:sz w:val="4"/>
                <w:szCs w:val="4"/>
              </w:rPr>
            </w:pPr>
            <w:r>
              <w:rPr>
                <w:sz w:val="4"/>
                <w:szCs w:val="4"/>
              </w:rPr>
            </w:r>
          </w:p>
        </w:tc>
      </w:tr>
      <w:tr>
        <w:trPr/>
        <w:tc>
          <w:tcPr>
            <w:tcW w:w="55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Reconciliation to consolidated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non-reportable segments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90"/>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effect from recognition (deferral) of deferred net revenues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revenues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Reconciliation to consolidated 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90"/>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 from non-reportable segments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90"/>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effect from recognition (deferral) of deferred net revenues and related cost of revenues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90"/>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costs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wind down and related costs (7)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acquisition-related fees and other expenses (8)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90"/>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from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90"/>
              <w:rPr>
                <w:sz w:val="4"/>
                <w:szCs w:val="4"/>
              </w:rPr>
            </w:pPr>
            <w:r>
              <w:rPr>
                <w:sz w:val="4"/>
                <w:szCs w:val="4"/>
              </w:rPr>
            </w:r>
          </w:p>
        </w:tc>
      </w:tr>
      <w:tr>
        <w:trPr/>
        <w:tc>
          <w:tcPr>
            <w:tcW w:w="55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90"/>
              <w:rPr>
                <w:sz w:val="4"/>
                <w:szCs w:val="4"/>
              </w:rPr>
            </w:pPr>
            <w:r>
              <w:rPr>
                <w:sz w:val="4"/>
                <w:szCs w:val="4"/>
              </w:rPr>
            </w:r>
          </w:p>
        </w:tc>
      </w:tr>
      <w:tr>
        <w:trPr/>
        <w:tc>
          <w:tcPr>
            <w:tcW w:w="55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income before income tax expense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(1)Includes other income and expenses outside of our reportable segments, including our Distribution business and unallocated corporate income and expenses.</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(2)Reflects the net effect from recognition (deferral) of deferred net revenues, along with related cost of revenues, on certain of our online-enabled products. </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(3)Intersegment revenues reflect licensing and service fees charged between segments.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(4)Reflects expenses related to share-based compensation.</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(5)Reflects amortization of intangible assets from purchase price accounting.</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(6)Reflects restructuring initiatives.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(7)Reflects expenses related to the wind down of our partnership with NetEase, Inc. in Mainland China in regards to licenses covering the publication of several Blizzard titles which expired in January 2023.</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(8)Reflects fees and other expenses related to our proposed transaction with Microsoft, which primarily consist of legal and advisory fees.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Net revenues by distribution channel, including a reconciliation to each of our reportable segment’s revenues, were as follows (amounts in millions):</w:t>
      </w:r>
    </w:p>
    <w:p>
      <w:pPr>
        <w:pStyle w:val="TextBody"/>
        <w:spacing w:before="0" w:after="0"/>
        <w:ind w:left="0" w:right="0" w:firstLine="450"/>
        <w:rPr/>
      </w:pPr>
      <w:r>
        <w:rPr/>
      </w:r>
    </w:p>
    <w:tbl>
      <w:tblPr>
        <w:tblW w:w="10205" w:type="dxa"/>
        <w:jc w:val="left"/>
        <w:tblInd w:w="0" w:type="dxa"/>
        <w:tblCellMar>
          <w:top w:w="28" w:type="dxa"/>
          <w:left w:w="28" w:type="dxa"/>
          <w:bottom w:w="28" w:type="dxa"/>
          <w:right w:w="28" w:type="dxa"/>
        </w:tblCellMar>
      </w:tblPr>
      <w:tblGrid>
        <w:gridCol w:w="583"/>
        <w:gridCol w:w="470"/>
        <w:gridCol w:w="471"/>
        <w:gridCol w:w="109"/>
        <w:gridCol w:w="109"/>
        <w:gridCol w:w="109"/>
        <w:gridCol w:w="216"/>
        <w:gridCol w:w="632"/>
        <w:gridCol w:w="113"/>
        <w:gridCol w:w="109"/>
        <w:gridCol w:w="109"/>
        <w:gridCol w:w="109"/>
        <w:gridCol w:w="225"/>
        <w:gridCol w:w="498"/>
        <w:gridCol w:w="118"/>
        <w:gridCol w:w="109"/>
        <w:gridCol w:w="109"/>
        <w:gridCol w:w="109"/>
        <w:gridCol w:w="211"/>
        <w:gridCol w:w="466"/>
        <w:gridCol w:w="109"/>
        <w:gridCol w:w="109"/>
        <w:gridCol w:w="109"/>
        <w:gridCol w:w="109"/>
        <w:gridCol w:w="414"/>
        <w:gridCol w:w="917"/>
        <w:gridCol w:w="216"/>
        <w:gridCol w:w="109"/>
        <w:gridCol w:w="109"/>
        <w:gridCol w:w="109"/>
        <w:gridCol w:w="464"/>
        <w:gridCol w:w="893"/>
        <w:gridCol w:w="240"/>
        <w:gridCol w:w="109"/>
        <w:gridCol w:w="109"/>
        <w:gridCol w:w="109"/>
        <w:gridCol w:w="211"/>
        <w:gridCol w:w="616"/>
        <w:gridCol w:w="160"/>
      </w:tblGrid>
      <w:tr>
        <w:trPr/>
        <w:tc>
          <w:tcPr>
            <w:tcW w:w="58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5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r>
      <w:tr>
        <w:trPr/>
        <w:tc>
          <w:tcPr>
            <w:tcW w:w="1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4"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Blizzard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Non-reportable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 of intersegment revenues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distribution channel: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 channels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channels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 channels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channels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 channels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channels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tbl>
      <w:tblPr>
        <w:tblW w:w="10205" w:type="dxa"/>
        <w:jc w:val="left"/>
        <w:tblInd w:w="0" w:type="dxa"/>
        <w:tblCellMar>
          <w:top w:w="28" w:type="dxa"/>
          <w:left w:w="28" w:type="dxa"/>
          <w:bottom w:w="28" w:type="dxa"/>
          <w:right w:w="28" w:type="dxa"/>
        </w:tblCellMar>
      </w:tblPr>
      <w:tblGrid>
        <w:gridCol w:w="583"/>
        <w:gridCol w:w="470"/>
        <w:gridCol w:w="471"/>
        <w:gridCol w:w="109"/>
        <w:gridCol w:w="109"/>
        <w:gridCol w:w="109"/>
        <w:gridCol w:w="253"/>
        <w:gridCol w:w="577"/>
        <w:gridCol w:w="131"/>
        <w:gridCol w:w="109"/>
        <w:gridCol w:w="109"/>
        <w:gridCol w:w="109"/>
        <w:gridCol w:w="225"/>
        <w:gridCol w:w="498"/>
        <w:gridCol w:w="118"/>
        <w:gridCol w:w="109"/>
        <w:gridCol w:w="109"/>
        <w:gridCol w:w="109"/>
        <w:gridCol w:w="211"/>
        <w:gridCol w:w="466"/>
        <w:gridCol w:w="109"/>
        <w:gridCol w:w="109"/>
        <w:gridCol w:w="109"/>
        <w:gridCol w:w="109"/>
        <w:gridCol w:w="450"/>
        <w:gridCol w:w="866"/>
        <w:gridCol w:w="232"/>
        <w:gridCol w:w="109"/>
        <w:gridCol w:w="109"/>
        <w:gridCol w:w="109"/>
        <w:gridCol w:w="464"/>
        <w:gridCol w:w="893"/>
        <w:gridCol w:w="240"/>
        <w:gridCol w:w="109"/>
        <w:gridCol w:w="109"/>
        <w:gridCol w:w="109"/>
        <w:gridCol w:w="211"/>
        <w:gridCol w:w="616"/>
        <w:gridCol w:w="159"/>
      </w:tblGrid>
      <w:tr>
        <w:trPr/>
        <w:tc>
          <w:tcPr>
            <w:tcW w:w="58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r>
      <w:tr>
        <w:trPr/>
        <w:tc>
          <w:tcPr>
            <w:tcW w:w="1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4"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1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Blizzard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Non-reportable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 of intersegment revenues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distribution channel: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 channels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channels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 channels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channels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 channels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channels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31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431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431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(1)Net revenues from “Digital online channels” include revenues from digitally-distributed downloadable content, microtransactions, subscriptions, and products, as well as licensing royalties.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(2)Net revenues from “Other” primarily include revenues from our Distribution business, the Overwatch League, and the Call of Duty League.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(3)Intersegment revenues reflect licensing and service fees charged between segments.</w:t>
      </w:r>
    </w:p>
    <w:p>
      <w:pPr>
        <w:pStyle w:val="TextBody"/>
        <w:spacing w:before="0" w:after="0"/>
        <w:rPr/>
      </w:pPr>
      <w:r>
        <w:rPr/>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Geographic information presented below is based on the location of the paying customer. Net revenues by geographic region, including a reconciliation to each of our reportable segment’s net revenues, were as follows (amounts in millions):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94"/>
        <w:gridCol w:w="457"/>
        <w:gridCol w:w="460"/>
        <w:gridCol w:w="109"/>
        <w:gridCol w:w="109"/>
        <w:gridCol w:w="109"/>
        <w:gridCol w:w="216"/>
        <w:gridCol w:w="632"/>
        <w:gridCol w:w="113"/>
        <w:gridCol w:w="109"/>
        <w:gridCol w:w="109"/>
        <w:gridCol w:w="109"/>
        <w:gridCol w:w="225"/>
        <w:gridCol w:w="498"/>
        <w:gridCol w:w="118"/>
        <w:gridCol w:w="109"/>
        <w:gridCol w:w="109"/>
        <w:gridCol w:w="109"/>
        <w:gridCol w:w="211"/>
        <w:gridCol w:w="466"/>
        <w:gridCol w:w="109"/>
        <w:gridCol w:w="109"/>
        <w:gridCol w:w="109"/>
        <w:gridCol w:w="109"/>
        <w:gridCol w:w="415"/>
        <w:gridCol w:w="919"/>
        <w:gridCol w:w="216"/>
        <w:gridCol w:w="109"/>
        <w:gridCol w:w="109"/>
        <w:gridCol w:w="109"/>
        <w:gridCol w:w="467"/>
        <w:gridCol w:w="899"/>
        <w:gridCol w:w="242"/>
        <w:gridCol w:w="109"/>
        <w:gridCol w:w="109"/>
        <w:gridCol w:w="109"/>
        <w:gridCol w:w="211"/>
        <w:gridCol w:w="616"/>
        <w:gridCol w:w="159"/>
      </w:tblGrid>
      <w:tr>
        <w:trPr/>
        <w:tc>
          <w:tcPr>
            <w:tcW w:w="594"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r>
      <w:tr>
        <w:trPr/>
        <w:tc>
          <w:tcPr>
            <w:tcW w:w="1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Blizzard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Non-reportable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 of intersegment revenues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geographic region: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594"/>
        <w:gridCol w:w="457"/>
        <w:gridCol w:w="460"/>
        <w:gridCol w:w="109"/>
        <w:gridCol w:w="109"/>
        <w:gridCol w:w="109"/>
        <w:gridCol w:w="253"/>
        <w:gridCol w:w="577"/>
        <w:gridCol w:w="131"/>
        <w:gridCol w:w="109"/>
        <w:gridCol w:w="109"/>
        <w:gridCol w:w="109"/>
        <w:gridCol w:w="225"/>
        <w:gridCol w:w="498"/>
        <w:gridCol w:w="118"/>
        <w:gridCol w:w="109"/>
        <w:gridCol w:w="109"/>
        <w:gridCol w:w="109"/>
        <w:gridCol w:w="211"/>
        <w:gridCol w:w="466"/>
        <w:gridCol w:w="109"/>
        <w:gridCol w:w="109"/>
        <w:gridCol w:w="109"/>
        <w:gridCol w:w="109"/>
        <w:gridCol w:w="451"/>
        <w:gridCol w:w="868"/>
        <w:gridCol w:w="233"/>
        <w:gridCol w:w="109"/>
        <w:gridCol w:w="109"/>
        <w:gridCol w:w="109"/>
        <w:gridCol w:w="467"/>
        <w:gridCol w:w="899"/>
        <w:gridCol w:w="242"/>
        <w:gridCol w:w="109"/>
        <w:gridCol w:w="109"/>
        <w:gridCol w:w="109"/>
        <w:gridCol w:w="211"/>
        <w:gridCol w:w="616"/>
        <w:gridCol w:w="157"/>
      </w:tblGrid>
      <w:tr>
        <w:trPr/>
        <w:tc>
          <w:tcPr>
            <w:tcW w:w="594"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1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1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Blizzard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Non-reportable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 of intersegment revenues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geographic region: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31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431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431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“EMEA” consists of the Europe, Middle East, and Africa geographic regions.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Intersegment revenues reflect licensing and service fees charged between segments.</w:t>
      </w:r>
    </w:p>
    <w:p>
      <w:pPr>
        <w:pStyle w:val="TextBody"/>
        <w:spacing w:before="0" w:after="0"/>
        <w:ind w:left="0" w:right="0" w:hanging="36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net revenues in the U.S. was 51% of consolidated net revenues for both the three months ended March 31, 2023 and 2022, respectively. The Company’s net revenues in the U.K. was 10% of consolidated net revenues for both the three months ended March 31, 2023 and 2022, respectively. No other country’s net revenues exceeded 10% of consolidated net revenues for the three months ended March 31, 2023 or 2022.</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Net revenues by platform, including a reconciliation to each of our reportable segment’s net revenues, were as follows (amounts in millions):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692"/>
        <w:gridCol w:w="393"/>
        <w:gridCol w:w="396"/>
        <w:gridCol w:w="109"/>
        <w:gridCol w:w="109"/>
        <w:gridCol w:w="109"/>
        <w:gridCol w:w="216"/>
        <w:gridCol w:w="632"/>
        <w:gridCol w:w="113"/>
        <w:gridCol w:w="109"/>
        <w:gridCol w:w="109"/>
        <w:gridCol w:w="109"/>
        <w:gridCol w:w="225"/>
        <w:gridCol w:w="498"/>
        <w:gridCol w:w="118"/>
        <w:gridCol w:w="109"/>
        <w:gridCol w:w="109"/>
        <w:gridCol w:w="109"/>
        <w:gridCol w:w="211"/>
        <w:gridCol w:w="466"/>
        <w:gridCol w:w="109"/>
        <w:gridCol w:w="109"/>
        <w:gridCol w:w="109"/>
        <w:gridCol w:w="109"/>
        <w:gridCol w:w="417"/>
        <w:gridCol w:w="924"/>
        <w:gridCol w:w="217"/>
        <w:gridCol w:w="109"/>
        <w:gridCol w:w="109"/>
        <w:gridCol w:w="109"/>
        <w:gridCol w:w="474"/>
        <w:gridCol w:w="911"/>
        <w:gridCol w:w="245"/>
        <w:gridCol w:w="109"/>
        <w:gridCol w:w="109"/>
        <w:gridCol w:w="109"/>
        <w:gridCol w:w="211"/>
        <w:gridCol w:w="616"/>
        <w:gridCol w:w="159"/>
      </w:tblGrid>
      <w:tr>
        <w:trPr/>
        <w:tc>
          <w:tcPr>
            <w:tcW w:w="6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Blizzard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Non-reportable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 of intersegment revenues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platform: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and ancillary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and ancillary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and ancillary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92"/>
        <w:gridCol w:w="393"/>
        <w:gridCol w:w="396"/>
        <w:gridCol w:w="109"/>
        <w:gridCol w:w="109"/>
        <w:gridCol w:w="109"/>
        <w:gridCol w:w="253"/>
        <w:gridCol w:w="577"/>
        <w:gridCol w:w="131"/>
        <w:gridCol w:w="109"/>
        <w:gridCol w:w="109"/>
        <w:gridCol w:w="109"/>
        <w:gridCol w:w="225"/>
        <w:gridCol w:w="498"/>
        <w:gridCol w:w="118"/>
        <w:gridCol w:w="109"/>
        <w:gridCol w:w="109"/>
        <w:gridCol w:w="109"/>
        <w:gridCol w:w="211"/>
        <w:gridCol w:w="466"/>
        <w:gridCol w:w="109"/>
        <w:gridCol w:w="109"/>
        <w:gridCol w:w="109"/>
        <w:gridCol w:w="109"/>
        <w:gridCol w:w="453"/>
        <w:gridCol w:w="872"/>
        <w:gridCol w:w="234"/>
        <w:gridCol w:w="109"/>
        <w:gridCol w:w="109"/>
        <w:gridCol w:w="109"/>
        <w:gridCol w:w="474"/>
        <w:gridCol w:w="911"/>
        <w:gridCol w:w="245"/>
        <w:gridCol w:w="109"/>
        <w:gridCol w:w="109"/>
        <w:gridCol w:w="109"/>
        <w:gridCol w:w="211"/>
        <w:gridCol w:w="616"/>
        <w:gridCol w:w="158"/>
      </w:tblGrid>
      <w:tr>
        <w:trPr/>
        <w:tc>
          <w:tcPr>
            <w:tcW w:w="6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Blizzard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Non-reportable segments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 of intersegment revenues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platform: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and ancillary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and ancillary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deferred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and ancillary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tbl>
      <w:tblPr>
        <w:tblW w:w="431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431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431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(1)Net revenues from “Mobile and ancillary” primarily include revenues from mobile devices.</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(2)Net revenues from “Other” primarily include revenues from our Distribution business, the Overwatch League, and the Call of Duty League.</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(3)Intersegment revenues reflect licensing and service fees charged between segments.</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Long-lived assets by geographic region were as follows (amounts in millions):</w:t>
      </w:r>
    </w:p>
    <w:p>
      <w:pPr>
        <w:pStyle w:val="TextBody"/>
        <w:spacing w:before="0" w:after="0"/>
        <w:ind w:left="0" w:right="0" w:firstLine="495"/>
        <w:rPr/>
      </w:pPr>
      <w:r>
        <w:rPr/>
      </w:r>
    </w:p>
    <w:tbl>
      <w:tblPr>
        <w:tblW w:w="8638" w:type="dxa"/>
        <w:jc w:val="left"/>
        <w:tblInd w:w="0" w:type="dxa"/>
        <w:tblCellMar>
          <w:top w:w="28" w:type="dxa"/>
          <w:left w:w="28" w:type="dxa"/>
          <w:bottom w:w="28" w:type="dxa"/>
          <w:right w:w="28" w:type="dxa"/>
        </w:tblCellMar>
      </w:tblPr>
      <w:tblGrid>
        <w:gridCol w:w="1356"/>
        <w:gridCol w:w="1193"/>
        <w:gridCol w:w="1200"/>
        <w:gridCol w:w="109"/>
        <w:gridCol w:w="109"/>
        <w:gridCol w:w="109"/>
        <w:gridCol w:w="451"/>
        <w:gridCol w:w="996"/>
        <w:gridCol w:w="233"/>
        <w:gridCol w:w="109"/>
        <w:gridCol w:w="109"/>
        <w:gridCol w:w="109"/>
        <w:gridCol w:w="525"/>
        <w:gridCol w:w="1164"/>
        <w:gridCol w:w="276"/>
        <w:gridCol w:w="109"/>
        <w:gridCol w:w="109"/>
        <w:gridCol w:w="109"/>
        <w:gridCol w:w="109"/>
        <w:gridCol w:w="154"/>
      </w:tblGrid>
      <w:tr>
        <w:trPr/>
        <w:tc>
          <w:tcPr>
            <w:tcW w:w="1356"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Long-lived assets* by geographic region: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assets by geographic region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The only long-lived assets that we classify by region are our long-term tangible fixed assets, which consist of property, plant, and equipment assets and lease right-of-use assets. All other long-term assets are not allocated by location.</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9. Share-Based Payments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Stock option activity is as follows: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873"/>
        <w:gridCol w:w="766"/>
        <w:gridCol w:w="771"/>
        <w:gridCol w:w="560"/>
        <w:gridCol w:w="557"/>
        <w:gridCol w:w="559"/>
        <w:gridCol w:w="109"/>
        <w:gridCol w:w="109"/>
        <w:gridCol w:w="109"/>
        <w:gridCol w:w="423"/>
        <w:gridCol w:w="1238"/>
        <w:gridCol w:w="221"/>
        <w:gridCol w:w="109"/>
        <w:gridCol w:w="109"/>
        <w:gridCol w:w="109"/>
        <w:gridCol w:w="590"/>
        <w:gridCol w:w="590"/>
        <w:gridCol w:w="591"/>
        <w:gridCol w:w="109"/>
        <w:gridCol w:w="109"/>
        <w:gridCol w:w="109"/>
        <w:gridCol w:w="374"/>
        <w:gridCol w:w="829"/>
        <w:gridCol w:w="282"/>
      </w:tblGrid>
      <w:tr>
        <w:trPr/>
        <w:tc>
          <w:tcPr>
            <w:tcW w:w="873"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2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exercise price per stock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remaining</w:t>
              <w:br/>
              <w:t>contractual term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 (in millions)</w:t>
            </w:r>
          </w:p>
        </w:tc>
      </w:tr>
      <w:tr>
        <w:trPr/>
        <w:tc>
          <w:tcPr>
            <w:tcW w:w="2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 at December 31, 2022</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5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88.68 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 at March 31, 2023</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March 31, 2023</w:t>
            </w:r>
          </w:p>
        </w:tc>
        <w:tc>
          <w:tcPr>
            <w:tcW w:w="111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7,415 </w:t>
            </w:r>
          </w:p>
        </w:tc>
        <w:tc>
          <w:tcPr>
            <w:tcW w:w="55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2023</w:t>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6,656 </w:t>
            </w:r>
          </w:p>
        </w:tc>
        <w:tc>
          <w:tcPr>
            <w:tcW w:w="5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w:t>
      </w:r>
    </w:p>
    <w:p>
      <w:pPr>
        <w:pStyle w:val="TextBody"/>
        <w:spacing w:before="0" w:after="0"/>
        <w:ind w:left="0" w:right="0" w:firstLine="495"/>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Restricted Stock Units (“RSUs”) Activity</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grant RSUs, which represent the right to receive shares of our common stock. Vesting for RSUs is generally contingent upon the holder’s continued employment with us and may be subject to other conditions (which may include the satisfaction of a performance measure). Also, certain of our performance-based RSUs, including those that are market-based, include a range of shares that may be released at vesting, which are above or below the targeted number of RSUs based on actual performance relative to the performance measure. If the vesting conditions are not met, unvested RSUs will be forfeited. Upon vesting of the RSUs, we may withhold shares otherwise deliverable to satisfy tax withholding requirements.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RSU activity with performance-based RSUs, including those with market conditions, presented at 100% of the target level shares that may potentially vest (amounts in thousands, except per share data):</w:t>
      </w:r>
    </w:p>
    <w:p>
      <w:pPr>
        <w:pStyle w:val="TextBody"/>
        <w:spacing w:before="0" w:after="0"/>
        <w:rPr/>
      </w:pPr>
      <w:r>
        <w:rPr/>
      </w:r>
    </w:p>
    <w:tbl>
      <w:tblPr>
        <w:tblW w:w="6969" w:type="dxa"/>
        <w:jc w:val="left"/>
        <w:tblInd w:w="0" w:type="dxa"/>
        <w:tblCellMar>
          <w:top w:w="28" w:type="dxa"/>
          <w:left w:w="28" w:type="dxa"/>
          <w:bottom w:w="28" w:type="dxa"/>
          <w:right w:w="28" w:type="dxa"/>
        </w:tblCellMar>
      </w:tblPr>
      <w:tblGrid>
        <w:gridCol w:w="1156"/>
        <w:gridCol w:w="1016"/>
        <w:gridCol w:w="1022"/>
        <w:gridCol w:w="494"/>
        <w:gridCol w:w="494"/>
        <w:gridCol w:w="496"/>
        <w:gridCol w:w="109"/>
        <w:gridCol w:w="109"/>
        <w:gridCol w:w="109"/>
        <w:gridCol w:w="422"/>
        <w:gridCol w:w="1234"/>
        <w:gridCol w:w="308"/>
      </w:tblGrid>
      <w:tr>
        <w:trPr/>
        <w:tc>
          <w:tcPr>
            <w:tcW w:w="115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 value per RSU</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at December 31, 2022</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13,754 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74.53 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78.39 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at March 31, 2023</w:t>
            </w:r>
          </w:p>
        </w:tc>
        <w:tc>
          <w:tcPr>
            <w:tcW w:w="9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12,231 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we had recorded a share-based compensation liability related to compensation payments under our annual performance plans for 2022 and 2021, respectively, which the Company determined to settle certain amounts not yet paid in stock as opposed to cash. During the three months ended March 31, 2023 and 2022, we settled the respective share-based compensation liability by granting 1,188 thousand and 2,777 thousand RSUs, respectively, that vested during the first quarter shortly after grant. The number of shares issued was based on the Company’s closing stock price on the date of grant. The impact of this settlement was recorded in “Additional Paid-In-Capital” in our condensed consolidated statement of changes in shareholders’ equity for the three months ended March 31, 2023 and 2022.</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$405 million of total unrecognized compensation cost related to RSUs is expected to be recognized over a weighted-average period of 1.35 years.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10. Other (Income) Expense, Net</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is comprised of the following (amounts in millions):</w:t>
      </w:r>
    </w:p>
    <w:p>
      <w:pPr>
        <w:pStyle w:val="TextBody"/>
        <w:spacing w:before="0" w:after="0"/>
        <w:ind w:left="0" w:right="0" w:firstLine="450"/>
        <w:rPr/>
      </w:pPr>
      <w:r>
        <w:rPr/>
      </w:r>
    </w:p>
    <w:tbl>
      <w:tblPr>
        <w:tblW w:w="10205" w:type="dxa"/>
        <w:jc w:val="left"/>
        <w:tblInd w:w="0" w:type="dxa"/>
        <w:tblCellMar>
          <w:top w:w="28" w:type="dxa"/>
          <w:left w:w="28" w:type="dxa"/>
          <w:bottom w:w="28" w:type="dxa"/>
          <w:right w:w="28" w:type="dxa"/>
        </w:tblCellMar>
      </w:tblPr>
      <w:tblGrid>
        <w:gridCol w:w="1677"/>
        <w:gridCol w:w="1465"/>
        <w:gridCol w:w="1476"/>
        <w:gridCol w:w="109"/>
        <w:gridCol w:w="109"/>
        <w:gridCol w:w="109"/>
        <w:gridCol w:w="109"/>
        <w:gridCol w:w="109"/>
        <w:gridCol w:w="340"/>
        <w:gridCol w:w="340"/>
        <w:gridCol w:w="659"/>
        <w:gridCol w:w="1689"/>
        <w:gridCol w:w="340"/>
        <w:gridCol w:w="109"/>
        <w:gridCol w:w="109"/>
        <w:gridCol w:w="109"/>
        <w:gridCol w:w="211"/>
        <w:gridCol w:w="434"/>
        <w:gridCol w:w="109"/>
        <w:gridCol w:w="109"/>
        <w:gridCol w:w="109"/>
        <w:gridCol w:w="109"/>
        <w:gridCol w:w="109"/>
        <w:gridCol w:w="157"/>
      </w:tblGrid>
      <w:tr>
        <w:trPr/>
        <w:tc>
          <w:tcPr>
            <w:tcW w:w="1677"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7" w:type="dxa"/>
            <w:gridSpan w:val="8"/>
            <w:tcBorders/>
            <w:shd w:fill="auto" w:val="clear"/>
          </w:tcPr>
          <w:p>
            <w:pPr>
              <w:pStyle w:val="TableContents"/>
              <w:spacing w:before="0" w:after="283"/>
              <w:rPr>
                <w:sz w:val="4"/>
                <w:szCs w:val="4"/>
              </w:rPr>
            </w:pPr>
            <w:r>
              <w:rPr>
                <w:sz w:val="4"/>
                <w:szCs w:val="4"/>
              </w:rPr>
            </w:r>
          </w:p>
        </w:tc>
      </w:tr>
      <w:tr>
        <w:trPr/>
        <w:tc>
          <w:tcPr>
            <w:tcW w:w="4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6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6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 (gain) on equity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We account for our provision for income taxes in accordance with Financial Accounting Standards Board (“FASB”) Accounting Standards Codification (“ASC”) Topic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which requires an estimate of the annual effective tax rate for the full year to be applied to the interim period, taking into account year-to-date amounts and projected results for the full year. The provision for income taxes represents federal, foreign, state, and local income taxes. 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pStyle w:val="TextBody"/>
        <w:spacing w:before="0" w:after="0"/>
        <w:rPr/>
      </w:pPr>
      <w:r>
        <w:rPr/>
      </w:r>
    </w:p>
    <w:p>
      <w:pPr>
        <w:pStyle w:val="TextBody"/>
        <w:spacing w:lineRule="auto" w:line="26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income tax expense of $155 million for the three months ended March 31, 2023, reflects an effective tax rate of 17%, which is higher than the effective tax rate of 15% for the three months ended March 31, 2022. Our tax rate in the current quarter is higher than in the prior year due to changes in the mix of our pre-tax income between countries and an increase in the U.K. corporate tax rate that became effective in 2023.</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effective tax rate of 17% for the three months ended March 31, 2023, is lower than the U.S. statutory rate of 21%, primarily due to lower taxes on foreign earnings and U.S. research and development credits.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Activision Blizzard’s tax years after 2008 remain open to examination by certain major taxing jurisdictions to which we are subject. The Internal Revenue Service is currently examining our federal tax returns for the 2012 through 2019 tax years. In addition, King’s pre-acquisition tax returns remain open in various jurisdictions, primarily as a result of transfer pricing matters. We anticipate resolving King’s transfer pricing for both pre- and post-acquisition tax years through a collaborative multilateral process with the tax authorities in the relevant jurisdictions, which include the U.K. and Sweden. While the outcome of this process remains uncertain, it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12. Computation of Basic/Diluted Earnings Per Common Share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common share (amounts in millions, except per share data):</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250"/>
        <w:gridCol w:w="1843"/>
        <w:gridCol w:w="1858"/>
        <w:gridCol w:w="109"/>
        <w:gridCol w:w="109"/>
        <w:gridCol w:w="109"/>
        <w:gridCol w:w="109"/>
        <w:gridCol w:w="109"/>
        <w:gridCol w:w="203"/>
        <w:gridCol w:w="203"/>
        <w:gridCol w:w="394"/>
        <w:gridCol w:w="954"/>
        <w:gridCol w:w="203"/>
        <w:gridCol w:w="109"/>
        <w:gridCol w:w="109"/>
        <w:gridCol w:w="109"/>
        <w:gridCol w:w="211"/>
        <w:gridCol w:w="511"/>
        <w:gridCol w:w="109"/>
        <w:gridCol w:w="109"/>
        <w:gridCol w:w="109"/>
        <w:gridCol w:w="109"/>
        <w:gridCol w:w="109"/>
        <w:gridCol w:w="158"/>
      </w:tblGrid>
      <w:tr>
        <w:trPr/>
        <w:tc>
          <w:tcPr>
            <w:tcW w:w="2250"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8"/>
            <w:tcBorders/>
            <w:shd w:fill="auto" w:val="clear"/>
          </w:tcPr>
          <w:p>
            <w:pPr>
              <w:pStyle w:val="TableContents"/>
              <w:spacing w:before="0" w:after="283"/>
              <w:rPr>
                <w:sz w:val="4"/>
                <w:szCs w:val="4"/>
              </w:rPr>
            </w:pPr>
            <w:r>
              <w:rPr>
                <w:sz w:val="4"/>
                <w:szCs w:val="4"/>
              </w:rPr>
            </w:r>
          </w:p>
        </w:tc>
      </w:tr>
      <w:tr>
        <w:trPr/>
        <w:tc>
          <w:tcPr>
            <w:tcW w:w="5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common share—weighted-average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and awards under the treasury stock method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common share—weighted-average common shares outstanding plus dilutive common shares under the treasury stock method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such routine claims and lawsuits are not significant, and we do not expect them to have a material adverse effect on our business, financial condition, results of operations, or liquidity. We are also party to the proceedings set forth below.</w:t>
      </w:r>
    </w:p>
    <w:p>
      <w:pPr>
        <w:pStyle w:val="TextBody"/>
        <w:spacing w:before="0" w:after="0"/>
        <w:ind w:left="0" w:right="0" w:firstLine="45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EEOC Settlement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the Company entered into a proposed consent decree with the U.S. Equal Employment Opportunity Commission (the “EEOC”) to settle claims regarding certain employment practices. The consent decree was approved by the United States District Court, Central District of California on March 29, 2022. The consent decree, among other things, provides for the creation of an $18 million settlement fund for eligible claimants; upgrading Company policies, practices, and training to further prevent and eliminate harassment and discrimination in its workplaces, including implementing an expanded performance review system with a new equal opportunity focus; and providing ongoing oversight and review of the Company’s training programs, investigation policies, disciplinary framework and compliance by appointing a third-party equal opportunity consultant for the next three years whose findings will be regularly reported to the EEOC and shared with our Board of Directors. </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California Civil Rights Department (formerly known as the Department of Fair Employment and Housing) (the “CRD”) filed a motion to intervene in the matter, seeking to object to the consent decree, including the amount of the settlement fund; that motion was denied. The CRD filed a notice of appeal of the order denying the CRD’s motion to intervene. The CRD filed its opening brief for its appeal of the Court’s order denying its motion to intervene with the United States Court of Appeals for the Ninth Circuit on May 18, 2022. On April 19, 2022, the CRD filed a second motion to intervene with the United States District Court. The CRD’s second motion to intervene was denied on June 3, 2022. On June 7, 2022, the CRD filed a notice of appeal of the order denying the CRD’s second motion to intervene with the United States Court of Appeals for the Ninth Circuit. On March 4, 2022, Jessica Gonzalez, a former Blizzard Entertainment employee, filed a motion to intervene with the United States District Court; it was denied on March 22, 2022. On May 23, 2022, Gonzalez filed a notice of appeal of the order denying her motion to intervene with the United States Court of Appeals for the Ninth Circuit. The CRD appeals and Gonzalez appeal are pending before the Ninth Circuit. Oral argument for the CRD appeals and Gonzalez appeal is scheduled for June 13, 2023.</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Pending Employment-Related Matters</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On July 20, 2021, the CRD filed a complaint (the “CRD Matter”) in California Superior Court, County of Los Angeles against Activision Blizzard, Blizzard Entertainment and Activision Publishing (together, the “Defendants”) alleging violations of the California Fair Employment and Housing Act and the California Equal Pay Act. The CRD filed a First Amended Complaint in the CRD Matter on August 23, 2021. The Defendants moved to dismiss the First Amended Complaint; the motion was heard on February 15, 2022. The Defendants’ motion was denied in part and granted in part, and the CRD did not amend with respect to the granted portion. On May 6, 2022, Defendants moved for partial summary adjudication seeking to dismiss claims asserted under the Fair Employment &amp; Housing Act, which the Court denied. Defendants filed a Petition for Peremptory Writ or Other Appropriate Relief regarding the Court’s denial of Defendants’ motion for partial summary adjudication, which was denied. Defendants appealed the denial of their writ to the California Supreme Court, which was denied. On October 27, 2022, the CRD filed a Motion for Summary Adjudication on certain of Defendants’ affirmative defenses</w:t>
      </w:r>
      <w:r>
        <w:rPr>
          <w:color w:val="000000"/>
        </w:rPr>
        <w:t xml:space="preserve"> </w:t>
      </w:r>
      <w:r>
        <w:rPr>
          <w:rFonts w:ascii="Times New Roman;sans-serif" w:hAnsi="Times New Roman;sans-serif"/>
          <w:b w:val="false"/>
          <w:color w:val="000000"/>
          <w:sz w:val="20"/>
        </w:rPr>
        <w:t>with a hearing date scheduled for June 29, 2023; the June 29, 2023 hearing date was vacated and has not been reset. On October 28, 2022, the February 27, 2023 trial date was vacated and a new trial date will be set by the Court. Defendants were granted leave to file a cross complaint against various staffing agencies implicated in CRD’s complaint on January 20, 2023. On January 24, 2023, Cross-Defendants Creative Circle and Apex challenged the judicial assignment. On February 7, 2023, Defendants sought reassignment to the complex courts, which was denied on April 26, 2023. In addition, in January 2022, the Company’s Board of Directors received notice of an investigation by the CRD and investigatory subpoenas; on February 8, 2023, the CRD issued a letter indicating that it had decided to close this matter.</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On August 3, 2021, a putative class action was filed in the United States District Court, Central District of California, entitled </w:t>
      </w:r>
      <w:r>
        <w:rPr>
          <w:rFonts w:ascii="Times New Roman;sans-serif" w:hAnsi="Times New Roman;sans-serif"/>
          <w:b w:val="false"/>
          <w:i/>
          <w:color w:val="000000"/>
          <w:sz w:val="20"/>
        </w:rPr>
        <w:t>Gary Cheng v. Activision Blizzard, Inc., et al.</w:t>
      </w:r>
      <w:r>
        <w:rPr>
          <w:rFonts w:ascii="Times New Roman;sans-serif" w:hAnsi="Times New Roman;sans-serif"/>
          <w:b w:val="false"/>
          <w:color w:val="000000"/>
          <w:sz w:val="20"/>
        </w:rPr>
        <w:t>, Case No. 2:21-cv-06240-PA-JEM. Plaintiffs assert claims under Sections 10(b) and 20(a) of the Securities Exchange Act of 1934, as amended (the “Exchange Act”), against the Company and five current or former officers. An amended complaint was filed on December 3, 2021, purportedly on behalf of a class of the Company’s shareholders who purchased stock between February 28, 2017 and November 16, 2021. In an order dated April 18, 2022, the Court granted defendants’ motion to dismiss the amended complaint with leave to amend. Plaintiffs filed a second amended complaint on May 18, 2022, on behalf of shareholders who purchased stock between November 8, 2018 and November 16, 2021, which defendants moved to dismiss on June 16, 2022. In an order dated August 30, 2022, the Court granted defendants’ motion to dismiss the second amended complaint with leave to amend. Plaintiff filed a third amended complaint on September 29, 2022. Defendants’ motion to dismiss the third amended complaint was filed October 31, 2022. In an order entered January 23, 2023, the Court granted defendants’ motion to dismiss the third amended complaint without leave to amend and on the same date entered judgment in accordance with that order. Plaintiffs have filed an appeal in the United States Court of Appeals for the Ninth Circuit.</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Beginning on August 6, 2021, three putative shareholder derivative actions were filed in California Superior Court, County of Los Angeles, and those cases have now been consolidated in an action entitled </w:t>
      </w:r>
      <w:r>
        <w:rPr>
          <w:rFonts w:ascii="Times New Roman;sans-serif" w:hAnsi="Times New Roman;sans-serif"/>
          <w:b w:val="false"/>
          <w:i/>
          <w:color w:val="000000"/>
          <w:sz w:val="20"/>
        </w:rPr>
        <w:t>York County on Behalf of County of York Retirement Fund v. Robert A. Kotick, et al.</w:t>
      </w:r>
      <w:r>
        <w:rPr>
          <w:rFonts w:ascii="Times New Roman;sans-serif" w:hAnsi="Times New Roman;sans-serif"/>
          <w:b w:val="false"/>
          <w:color w:val="000000"/>
          <w:sz w:val="20"/>
        </w:rPr>
        <w:t xml:space="preserve">, Case No. 21STCV28949. Another related putative shareholder derivative action, entitled </w:t>
      </w:r>
      <w:r>
        <w:rPr>
          <w:rFonts w:ascii="Times New Roman;sans-serif" w:hAnsi="Times New Roman;sans-serif"/>
          <w:b w:val="false"/>
          <w:i/>
          <w:color w:val="000000"/>
          <w:sz w:val="20"/>
        </w:rPr>
        <w:t>Lesley Warren Savage v. Robert A. Kotick, et al.</w:t>
      </w:r>
      <w:r>
        <w:rPr>
          <w:rFonts w:ascii="Times New Roman;sans-serif" w:hAnsi="Times New Roman;sans-serif"/>
          <w:b w:val="false"/>
          <w:color w:val="000000"/>
          <w:sz w:val="20"/>
        </w:rPr>
        <w:t>, Case No. 22STCV17478, was filed in California Superior Court, County of Los Angeles on May 23, 2022. These related shareholder derivative actions in California Superior Court are currently stayed. On November 15, 2021, a putative shareholder derivative action was filed in the United States District Court, Central District of California, entitled</w:t>
      </w:r>
      <w:r>
        <w:rPr>
          <w:color w:val="000000"/>
        </w:rPr>
        <w:t xml:space="preserve"> </w:t>
      </w:r>
      <w:r>
        <w:rPr>
          <w:rFonts w:ascii="Times New Roman;sans-serif" w:hAnsi="Times New Roman;sans-serif"/>
          <w:b w:val="false"/>
          <w:i/>
          <w:color w:val="000000"/>
          <w:sz w:val="20"/>
        </w:rPr>
        <w:t>Luke Kahnert v. Robert A. Kotick, et al</w:t>
      </w:r>
      <w:r>
        <w:rPr>
          <w:rFonts w:ascii="Times New Roman;sans-serif" w:hAnsi="Times New Roman;sans-serif"/>
          <w:b w:val="false"/>
          <w:color w:val="000000"/>
          <w:sz w:val="20"/>
        </w:rPr>
        <w:t xml:space="preserve">., Case No. 2:21-cv-08968-PA-JEM. The putative derivative actions collectively assert claims on the Company’s behalf against a number of current or former officers, employees and directors for breach of fiduciary duty, corporate waste, unjust enrichment, misappropriation, contribution, and alleged violation of Section 14(a) of the Exchange Act based on allegations similar to those in the CRD Matter and in the securities class action. The Company is named as a nominal defendant. An amended complaint in the </w:t>
      </w:r>
      <w:r>
        <w:rPr>
          <w:rFonts w:ascii="Times New Roman;sans-serif" w:hAnsi="Times New Roman;sans-serif"/>
          <w:b w:val="false"/>
          <w:i/>
          <w:color w:val="000000"/>
          <w:sz w:val="20"/>
        </w:rPr>
        <w:t xml:space="preserve">Kahnert </w:t>
      </w:r>
      <w:r>
        <w:rPr>
          <w:rFonts w:ascii="Times New Roman;sans-serif" w:hAnsi="Times New Roman;sans-serif"/>
          <w:b w:val="false"/>
          <w:color w:val="000000"/>
          <w:sz w:val="20"/>
        </w:rPr>
        <w:t xml:space="preserve">case was filed on January 7, 2022 and, in an order dated May 20, 2022, the Court granted defendants’ motion to dismiss the amended complaint with leave to amend. Plaintiffs filed a second amended complaint on June 1, 2022 in the </w:t>
      </w:r>
      <w:r>
        <w:rPr>
          <w:rFonts w:ascii="Times New Roman;sans-serif" w:hAnsi="Times New Roman;sans-serif"/>
          <w:b w:val="false"/>
          <w:i/>
          <w:color w:val="000000"/>
          <w:sz w:val="20"/>
        </w:rPr>
        <w:t>Kahnert</w:t>
      </w:r>
      <w:r>
        <w:rPr>
          <w:color w:val="000000"/>
        </w:rPr>
        <w:t xml:space="preserve"> </w:t>
      </w:r>
      <w:r>
        <w:rPr>
          <w:rFonts w:ascii="Times New Roman;sans-serif" w:hAnsi="Times New Roman;sans-serif"/>
          <w:b w:val="false"/>
          <w:color w:val="000000"/>
          <w:sz w:val="20"/>
        </w:rPr>
        <w:t xml:space="preserve">case. In an order dated September 8, 2022, the Court granted defendants’ motion to dismiss the second amended complaint with leave to amend. Plaintiffs in the </w:t>
      </w:r>
      <w:r>
        <w:rPr>
          <w:rFonts w:ascii="Times New Roman;sans-serif" w:hAnsi="Times New Roman;sans-serif"/>
          <w:b w:val="false"/>
          <w:i/>
          <w:color w:val="000000"/>
          <w:sz w:val="20"/>
        </w:rPr>
        <w:t xml:space="preserve">Kahnert </w:t>
      </w:r>
      <w:r>
        <w:rPr>
          <w:rFonts w:ascii="Times New Roman;sans-serif" w:hAnsi="Times New Roman;sans-serif"/>
          <w:b w:val="false"/>
          <w:color w:val="000000"/>
          <w:sz w:val="20"/>
        </w:rPr>
        <w:t xml:space="preserve">case filed a third amended complaint on September 23, 2022. Defendants’ motion to dismiss the third amended complaint in the </w:t>
      </w:r>
      <w:r>
        <w:rPr>
          <w:rFonts w:ascii="Times New Roman;sans-serif" w:hAnsi="Times New Roman;sans-serif"/>
          <w:b w:val="false"/>
          <w:i/>
          <w:color w:val="000000"/>
          <w:sz w:val="20"/>
        </w:rPr>
        <w:t xml:space="preserve">Kahnert </w:t>
      </w:r>
      <w:r>
        <w:rPr>
          <w:rFonts w:ascii="Times New Roman;sans-serif" w:hAnsi="Times New Roman;sans-serif"/>
          <w:b w:val="false"/>
          <w:color w:val="000000"/>
          <w:sz w:val="20"/>
        </w:rPr>
        <w:t>case was filed October 24, 2022. In an order dated January 17, 2023, the Court granted defendants’ motion to dismiss the third amended complaint without leave to amend and on the same date entered judgment in accordance with that order. No appeal from the order and judgment was filed and the time for doing so has passed.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the impact of the above pending matters on our business, financial condition, results of operations, or liquidity at this time.</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February 3, 2023, the Company settled the previously-disclosed investigation by the SEC related to the Company’s disclosures on employment matters and related issues without admitting or denying the SEC’s findings. As part of the settlement, the Company consented to the entry of an order finding violations of Exchange Act Rule 13a-15, requiring issuers to maintain effective disclosure controls and procedures, and Exchange Act Rule 21F-17(a), providing certain whistleblower protections. The order requires the Company to cease and desist from future violations of these provisions and to pay a $35 million civil monetary penalty, which we have paid.</w:t>
      </w:r>
    </w:p>
    <w:p>
      <w:pPr>
        <w:pStyle w:val="TextBody"/>
        <w:spacing w:before="0" w:after="0"/>
        <w:rPr/>
      </w:pPr>
      <w:r>
        <w:rPr/>
      </w:r>
    </w:p>
    <w:p>
      <w:pPr>
        <w:pStyle w:val="TextBody"/>
        <w:spacing w:before="0" w:after="0"/>
        <w:ind w:left="0" w:right="0" w:firstLine="45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Legal Proceedings Regarding the Merger</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Following the announcement of the proposed transaction with Microsoft, complaints were filed in the United States District Court for the Southern District of New York, the United States District Court for the Eastern District of New York, the United States District Court for the Central District of California, the United States District Court for the Eastern District of Pennsylvania and the United States District Court for the District of Delaware against the Company and its directors: </w:t>
      </w:r>
      <w:r>
        <w:rPr>
          <w:rFonts w:ascii="Times New Roman;sans-serif" w:hAnsi="Times New Roman;sans-serif"/>
          <w:b w:val="false"/>
          <w:i/>
          <w:color w:val="000000"/>
          <w:sz w:val="20"/>
        </w:rPr>
        <w:t>Stein v. Activision Blizzard, Inc. et al</w:t>
      </w:r>
      <w:r>
        <w:rPr>
          <w:rFonts w:ascii="Times New Roman;sans-serif" w:hAnsi="Times New Roman;sans-serif"/>
          <w:b w:val="false"/>
          <w:color w:val="000000"/>
          <w:sz w:val="20"/>
        </w:rPr>
        <w:t xml:space="preserve">., No. 1:22-cv-01560 (S.D.N.Y.); </w:t>
      </w:r>
      <w:r>
        <w:rPr>
          <w:rFonts w:ascii="Times New Roman;sans-serif" w:hAnsi="Times New Roman;sans-serif"/>
          <w:b w:val="false"/>
          <w:i/>
          <w:color w:val="000000"/>
          <w:sz w:val="20"/>
        </w:rPr>
        <w:t>Perry v. Activision Blizzard, Inc. et al</w:t>
      </w:r>
      <w:r>
        <w:rPr>
          <w:rFonts w:ascii="Times New Roman;sans-serif" w:hAnsi="Times New Roman;sans-serif"/>
          <w:b w:val="false"/>
          <w:color w:val="000000"/>
          <w:sz w:val="20"/>
        </w:rPr>
        <w:t xml:space="preserve">., No. 1:22-cv-02074 (S.D.N.Y.); </w:t>
      </w:r>
      <w:r>
        <w:rPr>
          <w:rFonts w:ascii="Times New Roman;sans-serif" w:hAnsi="Times New Roman;sans-serif"/>
          <w:b w:val="false"/>
          <w:i/>
          <w:color w:val="000000"/>
          <w:sz w:val="20"/>
        </w:rPr>
        <w:t>Whitfield v. Activision Blizzard, Inc. et al.</w:t>
      </w:r>
      <w:r>
        <w:rPr>
          <w:rFonts w:ascii="Times New Roman;sans-serif" w:hAnsi="Times New Roman;sans-serif"/>
          <w:b w:val="false"/>
          <w:color w:val="000000"/>
          <w:sz w:val="20"/>
        </w:rPr>
        <w:t xml:space="preserve">, 2:22-cv-01182 (E.D.N.Y.); </w:t>
      </w:r>
      <w:r>
        <w:rPr>
          <w:rFonts w:ascii="Times New Roman;sans-serif" w:hAnsi="Times New Roman;sans-serif"/>
          <w:b w:val="false"/>
          <w:i/>
          <w:color w:val="000000"/>
          <w:sz w:val="20"/>
        </w:rPr>
        <w:t>Lande v. Activision Blizzard, Inc. et al</w:t>
      </w:r>
      <w:r>
        <w:rPr>
          <w:rFonts w:ascii="Times New Roman;sans-serif" w:hAnsi="Times New Roman;sans-serif"/>
          <w:b w:val="false"/>
          <w:color w:val="000000"/>
          <w:sz w:val="20"/>
        </w:rPr>
        <w:t xml:space="preserve">., No. 1:22-cv-01267 (E.D.N.Y.); </w:t>
      </w:r>
      <w:r>
        <w:rPr>
          <w:rFonts w:ascii="Times New Roman;sans-serif" w:hAnsi="Times New Roman;sans-serif"/>
          <w:b w:val="false"/>
          <w:i/>
          <w:color w:val="000000"/>
          <w:sz w:val="20"/>
        </w:rPr>
        <w:t>Watson v. Activision Blizzard, Inc. et al.,</w:t>
      </w:r>
      <w:r>
        <w:rPr>
          <w:color w:val="000000"/>
        </w:rPr>
        <w:t xml:space="preserve"> </w:t>
      </w:r>
      <w:r>
        <w:rPr>
          <w:rFonts w:ascii="Times New Roman;sans-serif" w:hAnsi="Times New Roman;sans-serif"/>
          <w:b w:val="false"/>
          <w:color w:val="000000"/>
          <w:sz w:val="20"/>
        </w:rPr>
        <w:t xml:space="preserve">No. 2:22-cv-01268 (C.D. Cal.); </w:t>
      </w:r>
      <w:r>
        <w:rPr>
          <w:rFonts w:ascii="Times New Roman;sans-serif" w:hAnsi="Times New Roman;sans-serif"/>
          <w:b w:val="false"/>
          <w:i/>
          <w:color w:val="000000"/>
          <w:sz w:val="20"/>
        </w:rPr>
        <w:t>Rubin v. Activision Blizzard, Inc. et al.</w:t>
      </w:r>
      <w:r>
        <w:rPr>
          <w:rFonts w:ascii="Times New Roman;sans-serif" w:hAnsi="Times New Roman;sans-serif"/>
          <w:b w:val="false"/>
          <w:color w:val="000000"/>
          <w:sz w:val="20"/>
        </w:rPr>
        <w:t xml:space="preserve">, No. 2:22-cv-01343 (C.D. Cal.); </w:t>
      </w:r>
      <w:r>
        <w:rPr>
          <w:rFonts w:ascii="Times New Roman;sans-serif" w:hAnsi="Times New Roman;sans-serif"/>
          <w:b w:val="false"/>
          <w:i/>
          <w:color w:val="000000"/>
          <w:sz w:val="20"/>
        </w:rPr>
        <w:t>Baker v. Activision Blizzard, Inc. et al</w:t>
      </w:r>
      <w:r>
        <w:rPr>
          <w:rFonts w:ascii="Times New Roman;sans-serif" w:hAnsi="Times New Roman;sans-serif"/>
          <w:b w:val="false"/>
          <w:color w:val="000000"/>
          <w:sz w:val="20"/>
        </w:rPr>
        <w:t>., No. 2:22cv-00875 (E.D. Pa.); and</w:t>
      </w:r>
      <w:r>
        <w:rPr>
          <w:color w:val="000000"/>
        </w:rPr>
        <w:t xml:space="preserve"> </w:t>
      </w:r>
      <w:r>
        <w:rPr>
          <w:rFonts w:ascii="Times New Roman;sans-serif" w:hAnsi="Times New Roman;sans-serif"/>
          <w:b w:val="false"/>
          <w:i/>
          <w:color w:val="000000"/>
          <w:sz w:val="20"/>
        </w:rPr>
        <w:t>David v. Activision Blizzard, Inc. et al.</w:t>
      </w:r>
      <w:r>
        <w:rPr>
          <w:rFonts w:ascii="Times New Roman;sans-serif" w:hAnsi="Times New Roman;sans-serif"/>
          <w:b w:val="false"/>
          <w:color w:val="000000"/>
          <w:sz w:val="20"/>
        </w:rPr>
        <w:t>, No. 1:22-cv-00339 (D. Del.). The complaints each assert violations of Section 14(a) and Section 20(a) of the Exchange Act and allege that the preliminary proxy statement filed in connection with the proposed transaction with Microsoft omitted certain purportedly material information which rendered the preliminary proxy statement incomplete and misleading. Specifically, the complaints allege that the preliminary proxy statement failed to disclose material information regarding the sales process, the Company’s projections and the financial analyses of the Company’s financial advisor. The complaints sought, among other things, an order to enjoin the transaction unless additional disclosures were issued; and, if the transaction closes, damages. The Watson complaint also alleges that the Company’s directors entered into the transaction for self-interested reasons, including receipt of personal benefits in the transaction. All of the complaints have been voluntarily dismissed.</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Following the announcement of the proposed transaction with Microsoft, the Company also received several demand letters from purported stockholders and two lawsuits, </w:t>
      </w:r>
      <w:r>
        <w:rPr>
          <w:rFonts w:ascii="Times New Roman;sans-serif" w:hAnsi="Times New Roman;sans-serif"/>
          <w:b w:val="false"/>
          <w:i/>
          <w:color w:val="000000"/>
          <w:sz w:val="20"/>
        </w:rPr>
        <w:t>Sjunde AP-Fonden v. Activision Blizzard, Inc.</w:t>
      </w:r>
      <w:r>
        <w:rPr>
          <w:rFonts w:ascii="Times New Roman;sans-serif" w:hAnsi="Times New Roman;sans-serif"/>
          <w:b w:val="false"/>
          <w:color w:val="000000"/>
          <w:sz w:val="20"/>
        </w:rPr>
        <w:t xml:space="preserve">, No. 2022-0281-KSJM (Del. Ch.) and </w:t>
      </w:r>
      <w:r>
        <w:rPr>
          <w:rFonts w:ascii="Times New Roman;sans-serif" w:hAnsi="Times New Roman;sans-serif"/>
          <w:b w:val="false"/>
          <w:i/>
          <w:color w:val="000000"/>
          <w:sz w:val="20"/>
        </w:rPr>
        <w:t>New York City Employees’ Retirement System et al. v. Activision Blizzard, Inc.</w:t>
      </w:r>
      <w:r>
        <w:rPr>
          <w:rFonts w:ascii="Times New Roman;sans-serif" w:hAnsi="Times New Roman;sans-serif"/>
          <w:b w:val="false"/>
          <w:color w:val="000000"/>
          <w:sz w:val="20"/>
        </w:rPr>
        <w:t>, No. 2022-0365-KSJM (Del. Ch.) (together, the “220 Complaints”), for books and records pursuant to 8 Del. C. § 220. Among other things, the demand letters and the 220 Complaints seek to investigate purported breaches of fiduciary duty related to the proposed transaction with Microsoft. Specifically, the demands seek to investigate Mr. Kotick’s role in the proposed transaction with Microsoft with one of the demands alleging that Mr. Kotick’s position at the Company was at risk given workplace issues and he chose to pursue a transaction rather than resign. Such demand further alleges that Mr. Kotick agreed to a price range without authorization from our Board of Directors and that our Board of Directors allowed Mr. Kotick to control the transaction process. Such demand also alleges that the transaction price is inadequate because Microsoft’s opportunistic offer took advantage of the Company’s purportedly depressed stock price and that management may have attempted to validate the consideration through downward adjustments to the Company’s long-range plan.</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On November 3, 2022 a lawsuit captioned, </w:t>
      </w:r>
      <w:r>
        <w:rPr>
          <w:rFonts w:ascii="Times New Roman;sans-serif" w:hAnsi="Times New Roman;sans-serif"/>
          <w:b w:val="false"/>
          <w:i/>
          <w:color w:val="000000"/>
          <w:sz w:val="20"/>
        </w:rPr>
        <w:t>Sjunde AP-Fonden v. Activision Blizzard, Inc. et al.</w:t>
      </w:r>
      <w:r>
        <w:rPr>
          <w:rFonts w:ascii="Times New Roman;sans-serif" w:hAnsi="Times New Roman;sans-serif"/>
          <w:b w:val="false"/>
          <w:color w:val="000000"/>
          <w:sz w:val="20"/>
        </w:rPr>
        <w:t xml:space="preserve">, C.A. No. 2022-1001-CM (Del. Ch.) was filed under seal in the Court of Chancery of the State of Delaware on behalf of a class of stockholders of the Company. The complaint names the Company, our directors, Microsoft and Merger Sub as defendants. The complaint alleges that the director defendants breached their fiduciary duty in connection with the initiation, timing, negotiation, approval and disclosure of the Merger. The complaint also alleges that the Merger was not approved in compliance with the requirements of 8 Del. C. § 251, and seeks a declaration that the Merger would be invalid if consummated. The complaint also asserts a claim against Microsoft and Merger Sub for aiding and abetting the purported breaches of fiduciary duty and conspiring with the director defendants in those breaches. On January 25, 2023, an amended complaint was filed in the </w:t>
      </w:r>
      <w:r>
        <w:rPr>
          <w:rFonts w:ascii="Times New Roman;sans-serif" w:hAnsi="Times New Roman;sans-serif"/>
          <w:b w:val="false"/>
          <w:i/>
          <w:color w:val="000000"/>
          <w:sz w:val="20"/>
        </w:rPr>
        <w:t>Sjunde AP-Fonden</w:t>
      </w:r>
      <w:r>
        <w:rPr>
          <w:color w:val="000000"/>
        </w:rPr>
        <w:t xml:space="preserve"> </w:t>
      </w:r>
      <w:r>
        <w:rPr>
          <w:rFonts w:ascii="Times New Roman;sans-serif" w:hAnsi="Times New Roman;sans-serif"/>
          <w:b w:val="false"/>
          <w:color w:val="000000"/>
          <w:sz w:val="20"/>
        </w:rPr>
        <w:t xml:space="preserve">action. On March 24, 2023, Activision Blizzard filed a motion to stay the action, which will be heard on May 16, 2023. On May 1, 2023, Plaintiff filed a motion for limited expedited proceedings and a motion for a preliminary injunction to enjoin defendants from amending, extending or waiving the termination date until the purported 8 Del. C. § 251 issues are addressed. The motion for limited expedited proceedings will be heard on May 16, 2023. </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December 8, 2022, the United States Federal Trade Commission (“FTC”) issued an administrative complaint against the Company and Microsoft alleging that the Company and Microsoft executed the Merger Agreement in violation of Section 5 of the FTC Act, as amended, 15 U.S.C. § 45, which, if consummated, would violate Section 7 of the Clayton Act, as amended, 15 U.S.C. § 18 and Section 5 of the FTC Act, as amended, 15 U.S.C. § 45. The Company filed an answer to the FTC’s administrative complaint on December 22, 2022, and thereafter filed an amended answer on January 4, 2023. The administrative trial is currently scheduled to take place before an FTC administrative law judge starting August 2, 2023.</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April 26, 2023, the United Kingdom Competition and Markets Authority ("CMA") announced a decision to block the merger, stating that competition concerns arose in relation to cloud gaming and that Microsoft’s remedies addressing any concerns in cloud gaming were not sufficient. Microsoft has announced its decision to appeal the CMA’s ruling, and Activision Blizzard intends to fully support Microsoft’s efforts on this appeal.</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the impact of the above pending matters on our business, financial condition, results of operations, or liquidity at this time.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has received voluntary requests for information from the SEC and a grand jury subpoena from the United States Department of Justice related to their respective investigations into trading by third parties—including persons known to the Company’s CEO—in securities prior to the announcement of the proposed transaction with Microsoft. The Company has fully cooperated with these investigations.</w:t>
      </w:r>
    </w:p>
    <w:p>
      <w:pPr>
        <w:pStyle w:val="TextBody"/>
        <w:spacing w:before="0" w:after="0"/>
        <w:ind w:left="0" w:right="0" w:firstLine="45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Commitments and Obligations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Subsequent to March 31, 2023, we entered into certain agreements under which we have future minimum commitments of approximately $1.4 billion. The commitments relate primarily to advertising and hosting services which comprise approximately 60% and 40%, respectively, of the total future minimum commitments. Payments of these commitments will be made over the next three years.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81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Merger Agreement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January 18, 2022, we entered into an Agreement and Plan of Merger Agreement (“the Merger Agreement”) with Microsoft Corporation (“Microsoft”) and Anchorage Merger Sub Inc. (“Merger Sub”) a wholly owned subsidiary of Microsoft. Subject to the terms and conditions of the Merger Agreement, Microsoft agreed to acquire the Company for $95.00 per issued and outstanding share of our common stock, par value $0.000001 per share, in an all-cash transaction. Pursuant to the terms of the Merger Agreement, our acquisition will be accomplished through the merger of Merger Sub with and into the Company (the “Merger”), with the Company surviving the Merger as a wholly owned subsidiary of Microsoft. As a result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We do not believe these restrictions will prevent us from meeting our debt service obligations, ongoing costs of operations, working capital needs or capital expenditure requirements.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If the Merger Agreement is terminated under certain specified circumstances, we or Microsoft will be required to pay a termination fee. We will be required to pay Microsoft a termination fee of approximately $2.27 billion under specified circumstances, including termination of the Merger Agreement due to our material breach of representations, warranties, covenants or agreements in the Merger Agreement. Microsoft will be required to pay us a reverse termination fee under specified circumstances, including termination of the Merger Agreement due to a permanent injunction arising from Antitrust Laws (as defined in the Merger Agreement) when we are not then in material breach of any provision of the Merger Agreement and if certain other conditions are met, in an amount equal to $3.0 billion if the termination notice is provided at any time after April 18, 2023.</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For additional information related to the Merger Agreement, please refer to </w:t>
      </w:r>
      <w:r>
        <w:fldChar w:fldCharType="begin"/>
      </w:r>
      <w:r>
        <w:rPr>
          <w:rStyle w:val="InternetLink"/>
        </w:rPr>
        <w:instrText> HYPERLINK "http://www.sec.gov/ix?doc=/Archives/edgar/data/718877/000162828023004842/atvi-20221231.htm" \l "i6f51e045577844f8b618752b6fa62bd0_25"</w:instrText>
      </w:r>
      <w:r>
        <w:rPr>
          <w:rStyle w:val="InternetLink"/>
        </w:rPr>
        <w:fldChar w:fldCharType="separate"/>
      </w:r>
      <w:r>
        <w:rPr>
          <w:rStyle w:val="InternetLink"/>
        </w:rPr>
        <w:t>Part I</w:t>
      </w:r>
      <w:r>
        <w:rPr>
          <w:rStyle w:val="InternetLink"/>
        </w:rPr>
        <w:fldChar w:fldCharType="end"/>
      </w:r>
      <w:r>
        <w:fldChar w:fldCharType="begin"/>
      </w:r>
      <w:r>
        <w:rPr>
          <w:rStyle w:val="InternetLink"/>
        </w:rPr>
        <w:instrText> HYPERLINK "http://www.sec.gov/ix?doc=/Archives/edgar/data/718877/000162828023004842/atvi-20221231.htm" \l "i6f51e045577844f8b618752b6fa62bd0_25"</w:instrText>
      </w:r>
      <w:r>
        <w:rPr>
          <w:rStyle w:val="InternetLink"/>
        </w:rPr>
        <w:fldChar w:fldCharType="separate"/>
      </w:r>
      <w:r>
        <w:rPr>
          <w:rStyle w:val="InternetLink"/>
        </w:rPr>
        <w:t>,</w:t>
      </w:r>
      <w:r>
        <w:rPr>
          <w:rStyle w:val="InternetLink"/>
        </w:rPr>
        <w:fldChar w:fldCharType="end"/>
      </w:r>
      <w:r>
        <w:fldChar w:fldCharType="begin"/>
      </w:r>
      <w:r>
        <w:rPr>
          <w:rStyle w:val="InternetLink"/>
        </w:rPr>
        <w:instrText> HYPERLINK "http://www.sec.gov/ix?doc=/Archives/edgar/data/718877/000162828023004842/atvi-20221231.htm" \l "i6f51e045577844f8b618752b6fa62bd0_25"</w:instrText>
      </w:r>
      <w:r>
        <w:rPr>
          <w:rStyle w:val="InternetLink"/>
        </w:rPr>
        <w:fldChar w:fldCharType="separate"/>
      </w:r>
      <w:r>
        <w:rPr>
          <w:rStyle w:val="InternetLink"/>
        </w:rPr>
        <w:t xml:space="preserve"> Item 1 “Business” of our Annual Report on Form 10-K for the year ended December 31, 202</w:t>
      </w:r>
      <w:r>
        <w:rPr>
          <w:rStyle w:val="InternetLink"/>
        </w:rPr>
        <w:fldChar w:fldCharType="end"/>
      </w:r>
      <w:r>
        <w:fldChar w:fldCharType="begin"/>
      </w:r>
      <w:r>
        <w:rPr>
          <w:rStyle w:val="InternetLink"/>
        </w:rPr>
        <w:instrText> HYPERLINK "http://www.sec.gov/ix?doc=/Archives/edgar/data/718877/000162828023004842/atvi-20221231.htm" \l "i6f51e045577844f8b618752b6fa62bd0_25"</w:instrText>
      </w:r>
      <w:r>
        <w:rPr>
          <w:rStyle w:val="InternetLink"/>
        </w:rPr>
        <w:fldChar w:fldCharType="separate"/>
      </w:r>
      <w:r>
        <w:rPr>
          <w:rStyle w:val="InternetLink"/>
        </w:rPr>
        <w:t>2</w:t>
      </w:r>
      <w:r>
        <w:rPr>
          <w:rStyle w:val="InternetLink"/>
        </w:rPr>
        <w:fldChar w:fldCharType="end"/>
      </w:r>
      <w:r>
        <w:rPr>
          <w:rFonts w:ascii="Times New Roman;sans-serif" w:hAnsi="Times New Roman;sans-serif"/>
          <w:b w:val="false"/>
          <w:color w:val="000000"/>
          <w:sz w:val="20"/>
        </w:rPr>
        <w:t xml:space="preserve">, and other relevant materials in connection with the proposed transaction with Microsoft that we will file with the SEC and that will contain important information about the Company and the Merger. </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On December 8, 2022, the United States Federal Trade Commission (the “FTC”) issued an administrative complaint against the Company and Microsoft alleging that the Company and Microsoft executed the Merger Agreement in violation of Section 5 of the FTC Act, as amended, 15 U.S.C. § 45, which, if consummated, would violate Section 7 of the Clayton Act, as amended, 15 U.S.C. § 18 and Section 5 of the FTC Act, as amended, 15 U.S.C. § 45. For more information regarding the FTC complaint regarding the pending Merger, see </w:t>
      </w:r>
      <w:hyperlink w:anchor="ib0fcbb7efb954530b16e12f943366975_295">
        <w:r>
          <w:rPr>
            <w:rStyle w:val="InternetLink"/>
            <w:rFonts w:ascii="Times New Roman;sans-serif" w:hAnsi="Times New Roman;sans-serif"/>
            <w:b w:val="false"/>
            <w:color w:val="0000FF"/>
            <w:sz w:val="20"/>
            <w:u w:val="single"/>
          </w:rPr>
          <w:t>Note 13 to the condensed consolidated financial statements included in Part I, Item 1 of this Quarterly Report on Form 10-Q</w:t>
        </w:r>
      </w:hyperlink>
      <w:r>
        <w:rPr>
          <w:rFonts w:ascii="Times New Roman;sans-serif" w:hAnsi="Times New Roman;sans-serif"/>
          <w:b w:val="false"/>
          <w:color w:val="000000"/>
          <w:sz w:val="20"/>
        </w:rPr>
        <w:t>.</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April 26, 2023, the United Kingdom Competition and Markets Authority ("CMA") announced a decision to block the Merger, stating that competition concerns arose in relation to cloud gaming and that Microsoft’s remedies addressing any concerns in cloud gaming were not sufficient. Microsoft has announced its decision to appeal the CMA’s ruling, and Activision Blizzard intends to fully support Microsoft’s efforts on this appeal. The parties continue to fully engage with other regulators reviewing the transaction to obtain required regulatory approvals.</w:t>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Employment Matters</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We are subject to legal proceedings regarding our workplace and are experiencing adverse effects related to these proceedings and to concerns raised about our workplace. For information about these matters, see</w:t>
      </w:r>
      <w:r>
        <w:fldChar w:fldCharType="begin"/>
      </w:r>
      <w:r>
        <w:rPr>
          <w:rStyle w:val="InternetLink"/>
          <w:u w:val="single"/>
        </w:rPr>
        <w:instrText> HYPERLINK "http://www.sec.gov/ix?doc=/Archives/edgar/data/0000718877/000162828023004842/atvi-20221231.htm" \l "i6f51e045577844f8b618752b6fa62bd0_28"</w:instrText>
      </w:r>
      <w:r>
        <w:rPr>
          <w:rStyle w:val="InternetLink"/>
          <w:u w:val="single"/>
        </w:rPr>
        <w:fldChar w:fldCharType="separate"/>
      </w:r>
      <w:r>
        <w:rPr>
          <w:rStyle w:val="InternetLink"/>
          <w:color w:val="0000FF"/>
          <w:u w:val="single"/>
        </w:rPr>
        <w:t xml:space="preserve"> </w:t>
      </w:r>
      <w:r>
        <w:rPr>
          <w:rStyle w:val="InternetLink"/>
          <w:u w:val="single"/>
        </w:rPr>
        <w:fldChar w:fldCharType="end"/>
      </w:r>
      <w:r>
        <w:fldChar w:fldCharType="begin"/>
      </w:r>
      <w:r>
        <w:rPr>
          <w:rStyle w:val="InternetLink"/>
        </w:rPr>
        <w:instrText> HYPERLINK "http://www.sec.gov/ix?doc=/Archives/edgar/data/0000718877/000162828023004842/atvi-20221231.htm" \l "i6f51e045577844f8b618752b6fa62bd0_28"</w:instrText>
      </w:r>
      <w:r>
        <w:rPr>
          <w:rStyle w:val="InternetLink"/>
        </w:rPr>
        <w:fldChar w:fldCharType="separate"/>
      </w:r>
      <w:r>
        <w:rPr>
          <w:rStyle w:val="InternetLink"/>
        </w:rPr>
        <w:t>Part I, Item 1A “</w:t>
      </w:r>
      <w:r>
        <w:rPr>
          <w:rStyle w:val="InternetLink"/>
        </w:rPr>
        <w:fldChar w:fldCharType="end"/>
      </w:r>
      <w:r>
        <w:fldChar w:fldCharType="begin"/>
      </w:r>
      <w:r>
        <w:rPr>
          <w:rStyle w:val="InternetLink"/>
        </w:rPr>
        <w:instrText> HYPERLINK "http://www.sec.gov/ix?doc=/Archives/edgar/data/0000718877/000162828023004842/atvi-20221231.htm" \l "i6f51e045577844f8b618752b6fa62bd0_28"</w:instrText>
      </w:r>
      <w:r>
        <w:rPr>
          <w:rStyle w:val="InternetLink"/>
        </w:rPr>
        <w:fldChar w:fldCharType="separate"/>
      </w:r>
      <w:r>
        <w:rPr>
          <w:rStyle w:val="InternetLink"/>
        </w:rPr>
        <w:t>Risk Factors</w:t>
      </w:r>
      <w:r>
        <w:rPr>
          <w:rStyle w:val="InternetLink"/>
        </w:rPr>
        <w:fldChar w:fldCharType="end"/>
      </w:r>
      <w:r>
        <w:fldChar w:fldCharType="begin"/>
      </w:r>
      <w:r>
        <w:rPr>
          <w:rStyle w:val="InternetLink"/>
        </w:rPr>
        <w:instrText> HYPERLINK "http://www.sec.gov/ix?doc=/Archives/edgar/data/0000718877/000162828023004842/atvi-20221231.htm" \l "i6f51e045577844f8b618752b6fa62bd0_28"</w:instrText>
      </w:r>
      <w:r>
        <w:rPr>
          <w:rStyle w:val="InternetLink"/>
        </w:rPr>
        <w:fldChar w:fldCharType="separate"/>
      </w:r>
      <w:r>
        <w:rPr>
          <w:rStyle w:val="InternetLink"/>
        </w:rPr>
        <w:t>”</w:t>
      </w:r>
      <w:r>
        <w:rPr>
          <w:rStyle w:val="InternetLink"/>
        </w:rPr>
        <w:fldChar w:fldCharType="end"/>
      </w:r>
      <w:r>
        <w:fldChar w:fldCharType="begin"/>
      </w:r>
      <w:r>
        <w:rPr>
          <w:rStyle w:val="InternetLink"/>
        </w:rPr>
        <w:instrText> HYPERLINK "http://www.sec.gov/ix?doc=/Archives/edgar/data/0000718877/000162828023004842/atvi-20221231.htm" \l "i6f51e045577844f8b618752b6fa62bd0_28"</w:instrText>
      </w:r>
      <w:r>
        <w:rPr>
          <w:rStyle w:val="InternetLink"/>
        </w:rPr>
        <w:fldChar w:fldCharType="separate"/>
      </w:r>
      <w:r>
        <w:rPr>
          <w:rStyle w:val="InternetLink"/>
        </w:rPr>
        <w:t xml:space="preserve"> contained in our Annual Report on Form 10-K for the year ended December 31, 2022</w:t>
      </w:r>
      <w:r>
        <w:rPr>
          <w:rStyle w:val="InternetLink"/>
        </w:rPr>
        <w:fldChar w:fldCharType="end"/>
      </w:r>
      <w:r>
        <w:rPr>
          <w:color w:val="000000"/>
        </w:rPr>
        <w:t xml:space="preserve"> </w:t>
      </w:r>
      <w:r>
        <w:rPr>
          <w:rFonts w:ascii="Times New Roman;sans-serif" w:hAnsi="Times New Roman;sans-serif"/>
          <w:b w:val="false"/>
          <w:color w:val="000000"/>
          <w:sz w:val="20"/>
        </w:rPr>
        <w:t xml:space="preserve">and </w:t>
      </w:r>
      <w:hyperlink w:anchor="ib0fcbb7efb954530b16e12f943366975_295">
        <w:r>
          <w:rPr>
            <w:rStyle w:val="InternetLink"/>
            <w:rFonts w:ascii="Times New Roman;sans-serif" w:hAnsi="Times New Roman;sans-serif"/>
            <w:b w:val="false"/>
            <w:color w:val="0000FF"/>
            <w:sz w:val="20"/>
            <w:u w:val="single"/>
          </w:rPr>
          <w:t>Note 13 to the condensed consolidated financial statements included in Part I, Item 1 of this Quarterly Report on Form 10-Q</w:t>
        </w:r>
      </w:hyperlink>
      <w:r>
        <w:rPr>
          <w:rFonts w:ascii="Times New Roman;sans-serif" w:hAnsi="Times New Roman;sans-serif"/>
          <w:b w:val="false"/>
          <w:color w:val="000000"/>
          <w:sz w:val="20"/>
        </w:rPr>
        <w:t>.</w:t>
      </w:r>
    </w:p>
    <w:p>
      <w:pPr>
        <w:pStyle w:val="TextBody"/>
        <w:spacing w:before="0" w:after="0"/>
        <w:ind w:left="0" w:right="0" w:firstLine="45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Segments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pStyle w:val="TextBody"/>
        <w:spacing w:before="0" w:after="0"/>
        <w:ind w:left="0" w:right="0" w:firstLine="45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 Activision Publishing, Inc.</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offerings include titles and content for Call of Duty</w:t>
      </w:r>
      <w:r>
        <w:rPr>
          <w:rFonts w:ascii="Times New Roman;sans-serif" w:hAnsi="Times New Roman;sans-serif"/>
          <w:b w:val="false"/>
          <w:color w:val="000000"/>
          <w:sz w:val="13"/>
        </w:rPr>
        <w:t>®</w:t>
      </w:r>
      <w:r>
        <w:rPr>
          <w:rFonts w:ascii="Times New Roman;sans-serif" w:hAnsi="Times New Roman;sans-serif"/>
          <w:b w:val="false"/>
          <w:color w:val="000000"/>
          <w:sz w:val="20"/>
        </w:rPr>
        <w:t>, a first-person action franchise. Activision also includes the activities of the Call of Duty League™, a global professional esports league.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(ii) Blizzard Entertainment, Inc.</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w:t>
      </w:r>
      <w:r>
        <w:rPr>
          <w:rFonts w:ascii="Times New Roman;sans-serif" w:hAnsi="Times New Roman;sans-serif"/>
          <w:b w:val="false"/>
          <w:color w:val="000000"/>
          <w:sz w:val="13"/>
        </w:rPr>
        <w:t>®</w:t>
      </w:r>
      <w:r>
        <w:rPr>
          <w:rFonts w:ascii="Times New Roman;sans-serif" w:hAnsi="Times New Roman;sans-serif"/>
          <w:b w:val="false"/>
          <w:color w:val="000000"/>
          <w:sz w:val="20"/>
        </w:rPr>
        <w:t>, which facilitates digital distribution of Blizzard content and selected Activision content, online social connectivity, and the creation of user-generated content. Blizzard’s key product offerings include titles and content for: the Warcraft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franchise, which includes World of Warcraft</w:t>
      </w:r>
      <w:r>
        <w:rPr>
          <w:rFonts w:ascii="Times New Roman;sans-serif" w:hAnsi="Times New Roman;sans-serif"/>
          <w:b w:val="false"/>
          <w:color w:val="000000"/>
          <w:sz w:val="13"/>
        </w:rPr>
        <w:t>®</w:t>
      </w:r>
      <w:r>
        <w:rPr>
          <w:rFonts w:ascii="Times New Roman;sans-serif" w:hAnsi="Times New Roman;sans-serif"/>
          <w:b w:val="false"/>
          <w:color w:val="000000"/>
          <w:sz w:val="20"/>
        </w:rPr>
        <w:t>, a subscription-based massive multi-player online role-playing game, and Hearthstone</w:t>
      </w:r>
      <w:r>
        <w:rPr>
          <w:rFonts w:ascii="Times New Roman;sans-serif" w:hAnsi="Times New Roman;sans-serif"/>
          <w:b w:val="false"/>
          <w:color w:val="000000"/>
          <w:sz w:val="13"/>
        </w:rPr>
        <w:t>®</w:t>
      </w:r>
      <w:r>
        <w:rPr>
          <w:rFonts w:ascii="Times New Roman;sans-serif" w:hAnsi="Times New Roman;sans-serif"/>
          <w:b w:val="false"/>
          <w:color w:val="000000"/>
          <w:sz w:val="20"/>
        </w:rPr>
        <w:t>, an online collectible card game based in the Warcraft</w:t>
      </w:r>
      <w:r>
        <w:rPr>
          <w:color w:val="000000"/>
        </w:rPr>
        <w:t xml:space="preserve"> </w:t>
      </w:r>
      <w:r>
        <w:rPr>
          <w:rFonts w:ascii="Times New Roman;sans-serif" w:hAnsi="Times New Roman;sans-serif"/>
          <w:b w:val="false"/>
          <w:color w:val="000000"/>
          <w:sz w:val="20"/>
        </w:rPr>
        <w:t>universe; Diablo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the action role-playing genre; and Overwatch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the team-based first-person action genre. Blizzard also includes the activities of the Overwatch League™, a global professional esports league.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(iii) King Digital Entertainment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King Digital Entertainment (“King”) delivers content through free-to-play offerings and primarily generates revenue from in-game sales and in-game advertising on mobile platforms. King’s key product offerings include titles and content for Candy Crush™, a “match three” franchise.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also engage in other businesses that do not represent reportable segments, including our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Results and Highlights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Financial Results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consolidated net revenues increased 35% to $2.4 billion and consolidated operating income increased 67% to $800 million, as compared to consolidated net revenues of $1.8 billion and consolidated operating income of $479 million in 2022;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diluted earnings per common share increased 86% to $0.93, as compared to $0.50 in 2022;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cash flows from operating activities were approximately $577 million, a decrease of 10%, as compared to $642 million in 2022.</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three months ended March 31, 2023, include a net effect of $528 million and $471 million, respectively, from the recognition of deferred net revenues and related cost of revenues.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percentages of our consolidated net revenues from revenue sources that are recognized at a “point-in-time” and from sources that are recognized “over-time and other” were as follows:</w:t>
      </w:r>
    </w:p>
    <w:p>
      <w:pPr>
        <w:pStyle w:val="TextBody"/>
        <w:spacing w:before="0" w:after="0"/>
        <w:rPr/>
      </w:pPr>
      <w:r>
        <w:rPr/>
      </w:r>
    </w:p>
    <w:tbl>
      <w:tblPr>
        <w:tblW w:w="7572" w:type="dxa"/>
        <w:jc w:val="left"/>
        <w:tblInd w:w="0" w:type="dxa"/>
        <w:tblCellMar>
          <w:top w:w="28" w:type="dxa"/>
          <w:left w:w="28" w:type="dxa"/>
          <w:bottom w:w="28" w:type="dxa"/>
          <w:right w:w="28" w:type="dxa"/>
        </w:tblCellMar>
      </w:tblPr>
      <w:tblGrid>
        <w:gridCol w:w="728"/>
        <w:gridCol w:w="639"/>
        <w:gridCol w:w="643"/>
        <w:gridCol w:w="109"/>
        <w:gridCol w:w="109"/>
        <w:gridCol w:w="109"/>
        <w:gridCol w:w="109"/>
        <w:gridCol w:w="109"/>
        <w:gridCol w:w="529"/>
        <w:gridCol w:w="529"/>
        <w:gridCol w:w="529"/>
        <w:gridCol w:w="529"/>
        <w:gridCol w:w="1331"/>
        <w:gridCol w:w="109"/>
        <w:gridCol w:w="109"/>
        <w:gridCol w:w="109"/>
        <w:gridCol w:w="180"/>
        <w:gridCol w:w="181"/>
        <w:gridCol w:w="292"/>
        <w:gridCol w:w="109"/>
        <w:gridCol w:w="109"/>
        <w:gridCol w:w="109"/>
        <w:gridCol w:w="109"/>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3" w:type="dxa"/>
            <w:gridSpan w:val="3"/>
            <w:tcBorders/>
            <w:shd w:fill="auto" w:val="cle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2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Point-in-time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Over-time and other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3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9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(1)Revenues recognized at a “point-in-time” are primarily comprised of the portion of revenues from software products that are recognized when the customer takes control of the product (i.e., upon delivery of the software product) and revenues from our Distribution business.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(2)Revenues recognized “over-time and other revenue” are primarily comprised of revenues associated with the online functionality of our games, in-game purchases, and subscriptions.</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Summary of Title Release Dates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Throughout the year we regularly release new content through seasonal and live services updates within our franchises, including Call of Duty, Warcraft, and Candy Crush. Below is a summary of release dates for certain of our titles, including those discussed throughout our analysis for our operating metrics, consolidated results, and operating segment results.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817"/>
        <w:gridCol w:w="673"/>
        <w:gridCol w:w="687"/>
        <w:gridCol w:w="109"/>
        <w:gridCol w:w="109"/>
        <w:gridCol w:w="109"/>
        <w:gridCol w:w="2295"/>
        <w:gridCol w:w="2235"/>
        <w:gridCol w:w="3171"/>
      </w:tblGrid>
      <w:tr>
        <w:trPr/>
        <w:tc>
          <w:tcPr>
            <w:tcW w:w="81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5" w:type="dxa"/>
            <w:tcBorders/>
            <w:shd w:fill="auto" w:val="clear"/>
            <w:vAlign w:val="center"/>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c>
          <w:tcPr>
            <w:tcW w:w="3171" w:type="dxa"/>
            <w:tcBorders/>
            <w:shd w:fill="auto" w:val="clear"/>
            <w:vAlign w:val="center"/>
          </w:tcPr>
          <w:p>
            <w:pPr>
              <w:pStyle w:val="TableContents"/>
              <w:spacing w:before="0" w:after="283"/>
              <w:rPr>
                <w:sz w:val="4"/>
                <w:szCs w:val="4"/>
              </w:rPr>
            </w:pPr>
            <w:r>
              <w:rPr>
                <w:sz w:val="4"/>
                <w:szCs w:val="4"/>
              </w:rPr>
            </w:r>
          </w:p>
        </w:tc>
      </w:tr>
      <w:tr>
        <w:trPr/>
        <w:tc>
          <w:tcPr>
            <w:tcW w:w="2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Release Date</w:t>
            </w:r>
          </w:p>
        </w:tc>
      </w:tr>
      <w:tr>
        <w:trPr/>
        <w:tc>
          <w:tcPr>
            <w:tcW w:w="21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18"/>
              </w:rPr>
              <w:t>Call of Duty: Modern Warfare</w:t>
            </w:r>
            <w:r>
              <w:rPr>
                <w:rFonts w:ascii="Times New Roman;sans-serif" w:hAnsi="Times New Roman;sans-serif"/>
                <w:b w:val="false"/>
                <w:i/>
                <w:color w:val="000000"/>
                <w:sz w:val="12"/>
              </w:rPr>
              <w:t>®</w:t>
            </w:r>
            <w:r>
              <w:rPr>
                <w:color w:val="000000"/>
              </w:rPr>
              <w:t xml:space="preserve"> </w:t>
            </w:r>
            <w:r>
              <w:rPr>
                <w:rFonts w:ascii="Times New Roman;sans-serif" w:hAnsi="Times New Roman;sans-serif"/>
                <w:b w:val="false"/>
                <w:i/>
                <w:color w:val="000000"/>
                <w:sz w:val="18"/>
              </w:rPr>
              <w:t>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18"/>
              </w:rPr>
              <w:t xml:space="preserve">October 2022, and when referred to herein, is inclusive of </w:t>
            </w:r>
            <w:r>
              <w:rPr>
                <w:rFonts w:ascii="Times New Roman;sans-serif" w:hAnsi="Times New Roman;sans-serif"/>
                <w:b w:val="false"/>
                <w:i/>
                <w:color w:val="000000"/>
                <w:sz w:val="18"/>
              </w:rPr>
              <w:t>Call of Duty: Warzone 2.0</w:t>
            </w:r>
            <w:r>
              <w:rPr>
                <w:color w:val="000000"/>
              </w:rPr>
              <w:t xml:space="preserve"> </w:t>
            </w:r>
            <w:r>
              <w:rPr>
                <w:rFonts w:ascii="Times New Roman;sans-serif" w:hAnsi="Times New Roman;sans-serif"/>
                <w:b w:val="false"/>
                <w:color w:val="000000"/>
                <w:sz w:val="18"/>
              </w:rPr>
              <w:t>from its release on November 16, 2022</w:t>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Call of Duty: Vanguard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1"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18"/>
              </w:rPr>
              <w:t xml:space="preserve">November 2021, and when referred to herein, is inclusive of </w:t>
            </w:r>
            <w:r>
              <w:rPr>
                <w:rFonts w:ascii="Times New Roman;sans-serif" w:hAnsi="Times New Roman;sans-serif"/>
                <w:b w:val="false"/>
                <w:i/>
                <w:color w:val="000000"/>
                <w:sz w:val="18"/>
              </w:rPr>
              <w:t>Call of Duty: Warzone</w:t>
            </w:r>
            <w:r>
              <w:rPr>
                <w:color w:val="000000"/>
              </w:rPr>
              <w:t xml:space="preserve"> </w:t>
            </w:r>
            <w:r>
              <w:rPr>
                <w:rFonts w:ascii="Times New Roman;sans-serif" w:hAnsi="Times New Roman;sans-serif"/>
                <w:b w:val="false"/>
                <w:color w:val="000000"/>
                <w:sz w:val="18"/>
              </w:rPr>
              <w:t xml:space="preserve">from the release of </w:t>
            </w:r>
            <w:r>
              <w:rPr>
                <w:rFonts w:ascii="Times New Roman;sans-serif" w:hAnsi="Times New Roman;sans-serif"/>
                <w:b w:val="false"/>
                <w:i/>
                <w:color w:val="000000"/>
                <w:sz w:val="18"/>
              </w:rPr>
              <w:t>Call of Duty: Vanguard</w:t>
            </w:r>
            <w:r>
              <w:rPr>
                <w:color w:val="000000"/>
              </w:rPr>
              <w:t xml:space="preserve"> </w:t>
            </w:r>
            <w:r>
              <w:rPr>
                <w:rFonts w:ascii="Times New Roman;sans-serif" w:hAnsi="Times New Roman;sans-serif"/>
                <w:b w:val="false"/>
                <w:color w:val="000000"/>
                <w:sz w:val="18"/>
              </w:rPr>
              <w:t xml:space="preserve">Season 1 content and </w:t>
            </w:r>
            <w:r>
              <w:rPr>
                <w:rFonts w:ascii="Times New Roman;sans-serif" w:hAnsi="Times New Roman;sans-serif"/>
                <w:b w:val="false"/>
                <w:i/>
                <w:color w:val="000000"/>
                <w:sz w:val="18"/>
              </w:rPr>
              <w:t>Call of Duty: Warzone Pacific</w:t>
            </w:r>
            <w:r>
              <w:rPr>
                <w:color w:val="000000"/>
              </w:rPr>
              <w:t xml:space="preserve"> </w:t>
            </w:r>
            <w:r>
              <w:rPr>
                <w:rFonts w:ascii="Times New Roman;sans-serif" w:hAnsi="Times New Roman;sans-serif"/>
                <w:b w:val="false"/>
                <w:color w:val="000000"/>
                <w:sz w:val="18"/>
              </w:rPr>
              <w:t>on December 8, 2021 through November 16, 2022</w:t>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Call of Duty: Black Ops Cold War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1"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18"/>
              </w:rPr>
              <w:t xml:space="preserve">November 2020, and when referred to herein, is inclusive of </w:t>
            </w:r>
            <w:r>
              <w:rPr>
                <w:rFonts w:ascii="Times New Roman;sans-serif" w:hAnsi="Times New Roman;sans-serif"/>
                <w:b w:val="false"/>
                <w:i/>
                <w:color w:val="000000"/>
                <w:sz w:val="18"/>
              </w:rPr>
              <w:t>Call of Duty: Warzone</w:t>
            </w:r>
            <w:r>
              <w:rPr>
                <w:color w:val="000000"/>
              </w:rPr>
              <w:t xml:space="preserve"> </w:t>
            </w:r>
            <w:r>
              <w:rPr>
                <w:rFonts w:ascii="Times New Roman;sans-serif" w:hAnsi="Times New Roman;sans-serif"/>
                <w:b w:val="false"/>
                <w:color w:val="000000"/>
                <w:sz w:val="18"/>
              </w:rPr>
              <w:t xml:space="preserve">from the release of </w:t>
            </w:r>
            <w:r>
              <w:rPr>
                <w:rFonts w:ascii="Times New Roman;sans-serif" w:hAnsi="Times New Roman;sans-serif"/>
                <w:b w:val="false"/>
                <w:i/>
                <w:color w:val="000000"/>
                <w:sz w:val="18"/>
              </w:rPr>
              <w:t>Call of Duty: Black Ops Cold War</w:t>
            </w:r>
            <w:r>
              <w:rPr>
                <w:color w:val="000000"/>
              </w:rPr>
              <w:t xml:space="preserve"> </w:t>
            </w:r>
            <w:r>
              <w:rPr>
                <w:rFonts w:ascii="Times New Roman;sans-serif" w:hAnsi="Times New Roman;sans-serif"/>
                <w:b w:val="false"/>
                <w:color w:val="000000"/>
                <w:sz w:val="18"/>
              </w:rPr>
              <w:t>Season 1 content on December 16, 2020 through December 8, 2021</w:t>
            </w:r>
          </w:p>
        </w:tc>
      </w:tr>
      <w:tr>
        <w:trPr/>
        <w:tc>
          <w:tcPr>
            <w:tcW w:w="2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01" w:type="dxa"/>
            <w:gridSpan w:val="3"/>
            <w:tcBorders/>
            <w:shd w:fill="auto" w:val="clear"/>
            <w:vAlign w:val="center"/>
          </w:tcPr>
          <w:p>
            <w:pPr>
              <w:pStyle w:val="TableContents"/>
              <w:spacing w:before="0" w:after="283"/>
              <w:rPr>
                <w:sz w:val="4"/>
                <w:szCs w:val="4"/>
              </w:rPr>
            </w:pPr>
            <w:r>
              <w:rPr>
                <w:sz w:val="4"/>
                <w:szCs w:val="4"/>
              </w:rPr>
            </w:r>
          </w:p>
        </w:tc>
      </w:tr>
      <w:tr>
        <w:trPr/>
        <w:tc>
          <w:tcPr>
            <w:tcW w:w="2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01" w:type="dxa"/>
            <w:gridSpan w:val="3"/>
            <w:tcBorders/>
            <w:shd w:fill="auto" w:val="clear"/>
            <w:vAlign w:val="center"/>
          </w:tcPr>
          <w:p>
            <w:pPr>
              <w:pStyle w:val="TableContents"/>
              <w:spacing w:before="0" w:after="283"/>
              <w:rPr>
                <w:sz w:val="4"/>
                <w:szCs w:val="4"/>
              </w:rPr>
            </w:pPr>
            <w:r>
              <w:rPr>
                <w:sz w:val="4"/>
                <w:szCs w:val="4"/>
              </w:rPr>
            </w:r>
          </w:p>
        </w:tc>
      </w:tr>
      <w:tr>
        <w:trPr/>
        <w:tc>
          <w:tcPr>
            <w:tcW w:w="2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01" w:type="dxa"/>
            <w:gridSpan w:val="3"/>
            <w:tcBorders/>
            <w:shd w:fill="auto" w:val="clear"/>
            <w:vAlign w:val="center"/>
          </w:tcPr>
          <w:p>
            <w:pPr>
              <w:pStyle w:val="TableContents"/>
              <w:spacing w:before="0" w:after="283"/>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Call of Duty: Mobile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2019</w:t>
            </w:r>
          </w:p>
        </w:tc>
      </w:tr>
      <w:tr>
        <w:trPr/>
        <w:tc>
          <w:tcPr>
            <w:tcW w:w="2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01" w:type="dxa"/>
            <w:gridSpan w:val="3"/>
            <w:tcBorders/>
            <w:shd w:fill="auto" w:val="clear"/>
            <w:vAlign w:val="center"/>
          </w:tcPr>
          <w:p>
            <w:pPr>
              <w:pStyle w:val="TableContents"/>
              <w:spacing w:before="0" w:after="283"/>
              <w:rPr>
                <w:sz w:val="4"/>
                <w:szCs w:val="4"/>
              </w:rPr>
            </w:pPr>
            <w:r>
              <w:rPr>
                <w:sz w:val="4"/>
                <w:szCs w:val="4"/>
              </w:rPr>
            </w:r>
          </w:p>
        </w:tc>
      </w:tr>
      <w:tr>
        <w:trPr/>
        <w:tc>
          <w:tcPr>
            <w:tcW w:w="2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01" w:type="dxa"/>
            <w:gridSpan w:val="3"/>
            <w:tcBorders/>
            <w:shd w:fill="auto" w:val="clear"/>
            <w:vAlign w:val="center"/>
          </w:tcPr>
          <w:p>
            <w:pPr>
              <w:pStyle w:val="TableContents"/>
              <w:spacing w:before="0" w:after="283"/>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i/>
                <w:color w:val="000000"/>
                <w:sz w:val="18"/>
              </w:rPr>
              <w:t>World of Warcraft: Dragonflight</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2022</w:t>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Overwatch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2022</w:t>
            </w:r>
          </w:p>
        </w:tc>
      </w:tr>
      <w:tr>
        <w:trPr/>
        <w:tc>
          <w:tcPr>
            <w:tcW w:w="2177"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i/>
                <w:color w:val="000000"/>
                <w:sz w:val="18"/>
              </w:rPr>
              <w:t>World of Warcraft: Wrath of the Lich King</w:t>
            </w:r>
            <w:r>
              <w:rPr>
                <w:rFonts w:ascii="Times New Roman;sans-serif" w:hAnsi="Times New Roman;sans-serif"/>
                <w:b w:val="false"/>
                <w:i/>
                <w:color w:val="000000"/>
                <w:sz w:val="12"/>
              </w:rPr>
              <w:t>®</w:t>
            </w:r>
            <w:r>
              <w:rPr>
                <w:color w:val="000000"/>
              </w:rPr>
              <w:t xml:space="preserve"> </w:t>
            </w:r>
            <w:r>
              <w:rPr>
                <w:rFonts w:ascii="Times New Roman;sans-serif" w:hAnsi="Times New Roman;sans-serif"/>
                <w:b w:val="false"/>
                <w:i/>
                <w:color w:val="000000"/>
                <w:sz w:val="18"/>
              </w:rPr>
              <w:t>Classic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2022</w:t>
            </w:r>
          </w:p>
        </w:tc>
      </w:tr>
      <w:tr>
        <w:trPr/>
        <w:tc>
          <w:tcPr>
            <w:tcW w:w="2177"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Diablo Immortal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2022</w:t>
            </w:r>
          </w:p>
        </w:tc>
      </w:tr>
      <w:tr>
        <w:trPr/>
        <w:tc>
          <w:tcPr>
            <w:tcW w:w="2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01" w:type="dxa"/>
            <w:gridSpan w:val="3"/>
            <w:tcBorders/>
            <w:shd w:fill="auto" w:val="clear"/>
            <w:vAlign w:val="center"/>
          </w:tcPr>
          <w:p>
            <w:pPr>
              <w:pStyle w:val="TableContents"/>
              <w:spacing w:before="0" w:after="283"/>
              <w:rPr>
                <w:sz w:val="4"/>
                <w:szCs w:val="4"/>
              </w:rPr>
            </w:pPr>
            <w:r>
              <w:rPr>
                <w:sz w:val="4"/>
                <w:szCs w:val="4"/>
              </w:rPr>
            </w:r>
          </w:p>
        </w:tc>
      </w:tr>
      <w:tr>
        <w:trPr/>
        <w:tc>
          <w:tcPr>
            <w:tcW w:w="2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01" w:type="dxa"/>
            <w:gridSpan w:val="3"/>
            <w:tcBorders/>
            <w:shd w:fill="auto" w:val="clear"/>
            <w:vAlign w:val="center"/>
          </w:tcPr>
          <w:p>
            <w:pPr>
              <w:pStyle w:val="TableContents"/>
              <w:spacing w:before="0" w:after="283"/>
              <w:rPr>
                <w:sz w:val="4"/>
                <w:szCs w:val="4"/>
              </w:rPr>
            </w:pPr>
            <w:r>
              <w:rPr>
                <w:sz w:val="4"/>
                <w:szCs w:val="4"/>
              </w:rPr>
            </w:r>
          </w:p>
        </w:tc>
      </w:tr>
      <w:tr>
        <w:trPr/>
        <w:tc>
          <w:tcPr>
            <w:tcW w:w="21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Operating Metrics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metrics are key performance indicators that we use to evaluate our business. The key drivers of changes in our operating metrics are presented in the order of significance.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Net bookings and in-game net bookings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monitor net bookings and in-game net bookings as key operating metrics in evaluating the performance of our business because they enable an analysis of performance based on the timing of actual transactions with our customers and provide a more timely indication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microtransactions and downloadable content sold during the period and is equal to in-game net revenues excluding the impact from deferrals.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Net bookings and in-game net bookings were as follows (amounts in millions):</w:t>
      </w:r>
    </w:p>
    <w:p>
      <w:pPr>
        <w:pStyle w:val="TextBody"/>
        <w:spacing w:before="0" w:after="0"/>
        <w:rPr/>
      </w:pPr>
      <w:r>
        <w:rPr/>
      </w:r>
    </w:p>
    <w:tbl>
      <w:tblPr>
        <w:tblW w:w="9705" w:type="dxa"/>
        <w:jc w:val="left"/>
        <w:tblInd w:w="0" w:type="dxa"/>
        <w:tblCellMar>
          <w:top w:w="28" w:type="dxa"/>
          <w:left w:w="28" w:type="dxa"/>
          <w:bottom w:w="28" w:type="dxa"/>
          <w:right w:w="28" w:type="dxa"/>
        </w:tblCellMar>
      </w:tblPr>
      <w:tblGrid>
        <w:gridCol w:w="684"/>
        <w:gridCol w:w="602"/>
        <w:gridCol w:w="603"/>
        <w:gridCol w:w="109"/>
        <w:gridCol w:w="109"/>
        <w:gridCol w:w="109"/>
        <w:gridCol w:w="236"/>
        <w:gridCol w:w="236"/>
        <w:gridCol w:w="236"/>
        <w:gridCol w:w="236"/>
        <w:gridCol w:w="236"/>
        <w:gridCol w:w="236"/>
        <w:gridCol w:w="457"/>
        <w:gridCol w:w="1336"/>
        <w:gridCol w:w="236"/>
        <w:gridCol w:w="109"/>
        <w:gridCol w:w="109"/>
        <w:gridCol w:w="109"/>
        <w:gridCol w:w="211"/>
        <w:gridCol w:w="616"/>
        <w:gridCol w:w="109"/>
        <w:gridCol w:w="109"/>
        <w:gridCol w:w="109"/>
        <w:gridCol w:w="109"/>
        <w:gridCol w:w="469"/>
        <w:gridCol w:w="1039"/>
        <w:gridCol w:w="247"/>
        <w:gridCol w:w="109"/>
        <w:gridCol w:w="109"/>
        <w:gridCol w:w="109"/>
        <w:gridCol w:w="109"/>
        <w:gridCol w:w="109"/>
        <w:gridCol w:w="154"/>
      </w:tblGrid>
      <w:tr>
        <w:trPr/>
        <w:tc>
          <w:tcPr>
            <w:tcW w:w="684"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5"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bookings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In-game net bookings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Net bookings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increase in net bookings for the three months ended March 31, 2023, as compared to the three months ended March 31, 2022, was primarily due to:</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 $169 million increase in Blizzard net bookings, driven by higher net bookings from (1) </w:t>
      </w:r>
      <w:r>
        <w:rPr>
          <w:rFonts w:ascii="Times New Roman;sans-serif" w:hAnsi="Times New Roman;sans-serif"/>
          <w:b w:val="false"/>
          <w:i/>
          <w:color w:val="000000"/>
          <w:sz w:val="20"/>
        </w:rPr>
        <w:t xml:space="preserve">Diablo Immortal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Overwatch 2;</w:t>
      </w:r>
      <w:r>
        <w:rPr>
          <w:color w:val="000000"/>
        </w:rPr>
        <w:t xml:space="preserv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 $127 million increase in Activision net bookings, driven by higher net bookings from </w:t>
      </w:r>
      <w:r>
        <w:rPr>
          <w:rFonts w:ascii="Times New Roman;sans-serif" w:hAnsi="Times New Roman;sans-serif"/>
          <w:b w:val="false"/>
          <w:i/>
          <w:color w:val="000000"/>
          <w:sz w:val="20"/>
        </w:rPr>
        <w:t>Call of Duty: Modern Warfare II</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Vanguard</w:t>
      </w:r>
      <w:r>
        <w:rPr>
          <w:rFonts w:ascii="Times New Roman;sans-serif" w:hAnsi="Times New Roman;sans-serif"/>
          <w:b w:val="false"/>
          <w:color w:val="000000"/>
          <w:sz w:val="20"/>
        </w:rPr>
        <w:t xml:space="preserve">, partially offset by lower net bookings from </w:t>
      </w:r>
      <w:r>
        <w:rPr>
          <w:rFonts w:ascii="Times New Roman;sans-serif" w:hAnsi="Times New Roman;sans-serif"/>
          <w:b w:val="false"/>
          <w:i/>
          <w:color w:val="000000"/>
          <w:sz w:val="20"/>
        </w:rPr>
        <w:t>Call of Duty: Vanguard</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Black Ops Cold War</w:t>
      </w:r>
      <w:r>
        <w:rPr>
          <w:rFonts w:ascii="Times New Roman;sans-serif" w:hAnsi="Times New Roman;sans-serif"/>
          <w:b w:val="false"/>
          <w:color w:val="000000"/>
          <w:sz w:val="20"/>
        </w:rPr>
        <w:t>;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$57 million</w:t>
      </w:r>
      <w:r>
        <w:rPr>
          <w:color w:val="000000"/>
        </w:rPr>
        <w:t xml:space="preserve"> </w:t>
      </w:r>
      <w:r>
        <w:rPr>
          <w:rFonts w:ascii="Times New Roman;sans-serif" w:hAnsi="Times New Roman;sans-serif"/>
          <w:b w:val="false"/>
          <w:color w:val="000000"/>
          <w:sz w:val="20"/>
        </w:rPr>
        <w:t>increase in King net bookings, driven by higher net bookings from in-game player purchases in the Candy Crush franchise.</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In-game net bookings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increase in in-game net bookings for the three months ended March 31, 2023, as compared to the three months ended March 31, 2022, was primarily due to:</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 $150 million increase in Blizzard in-game net bookings, driven by in-game net bookings from (1) </w:t>
      </w:r>
      <w:r>
        <w:rPr>
          <w:rFonts w:ascii="Times New Roman;sans-serif" w:hAnsi="Times New Roman;sans-serif"/>
          <w:b w:val="false"/>
          <w:i/>
          <w:color w:val="000000"/>
          <w:sz w:val="20"/>
        </w:rPr>
        <w:t>Diablo Immortal</w:t>
      </w:r>
      <w:r>
        <w:rPr>
          <w:color w:val="000000"/>
        </w:rPr>
        <w:t xml:space="preserve"> </w:t>
      </w:r>
      <w:r>
        <w:rPr>
          <w:rFonts w:ascii="Times New Roman;sans-serif" w:hAnsi="Times New Roman;sans-serif"/>
          <w:b w:val="false"/>
          <w:color w:val="000000"/>
          <w:sz w:val="20"/>
        </w:rPr>
        <w:t xml:space="preserve">and (2) </w:t>
      </w:r>
      <w:r>
        <w:rPr>
          <w:rFonts w:ascii="Times New Roman;sans-serif" w:hAnsi="Times New Roman;sans-serif"/>
          <w:b w:val="false"/>
          <w:i/>
          <w:color w:val="000000"/>
          <w:sz w:val="20"/>
        </w:rPr>
        <w:t>Overwatch 2</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$66 million increase in King in-game net bookings, driven by the Candy Crush franchise;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 $63 million increase in Activision in-game net bookings, driven by higher in-game net bookings from </w:t>
      </w:r>
      <w:r>
        <w:rPr>
          <w:rFonts w:ascii="Times New Roman;sans-serif" w:hAnsi="Times New Roman;sans-serif"/>
          <w:b w:val="false"/>
          <w:i/>
          <w:color w:val="000000"/>
          <w:sz w:val="20"/>
        </w:rPr>
        <w:t>Call of Duty: Modern Warfare II</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Vanguard</w:t>
      </w:r>
      <w:r>
        <w:rPr>
          <w:rFonts w:ascii="Times New Roman;sans-serif" w:hAnsi="Times New Roman;sans-serif"/>
          <w:b w:val="false"/>
          <w:color w:val="000000"/>
          <w:sz w:val="20"/>
        </w:rPr>
        <w:t>.</w:t>
      </w:r>
    </w:p>
    <w:p>
      <w:pPr>
        <w:pStyle w:val="TextBody"/>
        <w:spacing w:before="0" w:after="0"/>
        <w:ind w:left="0" w:right="0" w:firstLine="450"/>
        <w:rPr/>
      </w:pPr>
      <w:r>
        <w:rPr/>
      </w:r>
    </w:p>
    <w:p>
      <w:pPr>
        <w:pStyle w:val="TextBody"/>
        <w:spacing w:before="0" w:after="0"/>
        <w:ind w:left="0" w:right="0" w:firstLine="45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Monthly Active Users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number of MAUs for a given period can be significantly impacted by the timing of new content releases, since new releases may cause a temporary surge in MAUs. Accordingly, although we believe that overall trends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pStyle w:val="TextBody"/>
        <w:spacing w:before="0" w:after="0"/>
        <w:rPr/>
      </w:pPr>
      <w:r>
        <w:rPr/>
      </w:r>
    </w:p>
    <w:tbl>
      <w:tblPr>
        <w:tblW w:w="9645" w:type="dxa"/>
        <w:jc w:val="left"/>
        <w:tblInd w:w="0" w:type="dxa"/>
        <w:tblCellMar>
          <w:top w:w="28" w:type="dxa"/>
          <w:left w:w="28" w:type="dxa"/>
          <w:bottom w:w="28" w:type="dxa"/>
          <w:right w:w="28" w:type="dxa"/>
        </w:tblCellMar>
      </w:tblPr>
      <w:tblGrid>
        <w:gridCol w:w="353"/>
        <w:gridCol w:w="311"/>
        <w:gridCol w:w="312"/>
        <w:gridCol w:w="429"/>
        <w:gridCol w:w="429"/>
        <w:gridCol w:w="431"/>
        <w:gridCol w:w="109"/>
        <w:gridCol w:w="109"/>
        <w:gridCol w:w="109"/>
        <w:gridCol w:w="514"/>
        <w:gridCol w:w="514"/>
        <w:gridCol w:w="516"/>
        <w:gridCol w:w="109"/>
        <w:gridCol w:w="109"/>
        <w:gridCol w:w="109"/>
        <w:gridCol w:w="534"/>
        <w:gridCol w:w="534"/>
        <w:gridCol w:w="536"/>
        <w:gridCol w:w="109"/>
        <w:gridCol w:w="109"/>
        <w:gridCol w:w="109"/>
        <w:gridCol w:w="384"/>
        <w:gridCol w:w="384"/>
        <w:gridCol w:w="386"/>
        <w:gridCol w:w="109"/>
        <w:gridCol w:w="109"/>
        <w:gridCol w:w="109"/>
        <w:gridCol w:w="429"/>
        <w:gridCol w:w="429"/>
        <w:gridCol w:w="431"/>
        <w:gridCol w:w="109"/>
        <w:gridCol w:w="109"/>
        <w:gridCol w:w="109"/>
        <w:gridCol w:w="154"/>
      </w:tblGrid>
      <w:tr>
        <w:trPr/>
        <w:tc>
          <w:tcPr>
            <w:tcW w:w="3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Activision</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Blizzard</w:t>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King</w:t>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5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5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Average MAUs decreased by 21 million or 5% for the three months ended March 31, 2023, as compared to the three months ended December 31, 2022. The decrease was primarily due to lower average MAUs for (1) Blizzard, driven by lower average MAUs for </w:t>
      </w:r>
      <w:r>
        <w:rPr>
          <w:rFonts w:ascii="Times New Roman;sans-serif" w:hAnsi="Times New Roman;sans-serif"/>
          <w:b w:val="false"/>
          <w:i/>
          <w:color w:val="000000"/>
          <w:sz w:val="20"/>
        </w:rPr>
        <w:t xml:space="preserve">Overwatch 2, </w:t>
      </w:r>
      <w:r>
        <w:rPr>
          <w:rFonts w:ascii="Times New Roman;sans-serif" w:hAnsi="Times New Roman;sans-serif"/>
          <w:b w:val="false"/>
          <w:color w:val="000000"/>
          <w:sz w:val="20"/>
        </w:rPr>
        <w:t>and (2) Activision, driven by lower average MAUs for the Call of Duty franchise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These decreases were</w:t>
      </w:r>
      <w:r>
        <w:rPr>
          <w:color w:val="000000"/>
        </w:rPr>
        <w:t xml:space="preserve"> </w:t>
      </w:r>
      <w:r>
        <w:rPr>
          <w:rFonts w:ascii="Times New Roman;sans-serif" w:hAnsi="Times New Roman;sans-serif"/>
          <w:b w:val="false"/>
          <w:color w:val="000000"/>
          <w:sz w:val="20"/>
        </w:rPr>
        <w:t xml:space="preserve">partially offset by an increase in average MAUs for King, driven by the Candy Crush franchise. </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Average MAUs for the three months ended March 31, 2023, were comparable to the three months ended March 31, 2022, as higher average MAUs for Blizzard, driven by the launch of </w:t>
      </w:r>
      <w:r>
        <w:rPr>
          <w:rFonts w:ascii="Times New Roman;sans-serif" w:hAnsi="Times New Roman;sans-serif"/>
          <w:b w:val="false"/>
          <w:i/>
          <w:color w:val="000000"/>
          <w:sz w:val="20"/>
        </w:rPr>
        <w:t>Overwatch 2</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was largely offset by lower average MAUs for King, driven by decreases in non-Candy Crush franchise titles</w:t>
      </w:r>
      <w:r>
        <w:rPr>
          <w:rFonts w:ascii="Times New Roman;sans-serif" w:hAnsi="Times New Roman;sans-serif"/>
          <w:b w:val="false"/>
          <w:i/>
          <w:color w:val="00000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Management’s Overview of Business Trends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Mobile Gaming and Free-to-Play Games</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Wide adoption of smartphones globally and the free-to-play business model, which allows players to try a new game with no upfront cost, on mobile platforms have increased the total addressable audience for gaming significantly by introducing gaming to new age groups and new regions and allowing gaming to occur more widely outside the home. Mobile gaming is estimated to be larger than console and PC gaming, and has grown at a significant rate over the last five years. All of our reportable segments now have successful live mobile titles in the market, and we continue to develop new mobile titles that present the opportunity for us to expand the reach of, and drive additional player investment in, our products. The June 2022 launch of </w:t>
      </w:r>
      <w:r>
        <w:rPr>
          <w:rFonts w:ascii="Times New Roman;sans-serif" w:hAnsi="Times New Roman;sans-serif"/>
          <w:b w:val="false"/>
          <w:i/>
          <w:color w:val="000000"/>
          <w:sz w:val="20"/>
        </w:rPr>
        <w:t>Diablo Immortal</w:t>
      </w:r>
      <w:r>
        <w:rPr>
          <w:color w:val="000000"/>
        </w:rPr>
        <w:t xml:space="preserve"> </w:t>
      </w:r>
      <w:r>
        <w:rPr>
          <w:rFonts w:ascii="Times New Roman;sans-serif" w:hAnsi="Times New Roman;sans-serif"/>
          <w:b w:val="false"/>
          <w:color w:val="000000"/>
          <w:sz w:val="20"/>
        </w:rPr>
        <w:t xml:space="preserve">is our most recent example of this continued expansion on the mobile platform and we expect 2023 to include the release of </w:t>
      </w:r>
      <w:r>
        <w:rPr>
          <w:rFonts w:ascii="Times New Roman;sans-serif" w:hAnsi="Times New Roman;sans-serif"/>
          <w:b w:val="false"/>
          <w:i/>
          <w:color w:val="000000"/>
          <w:sz w:val="20"/>
        </w:rPr>
        <w:t>Call of Duty: Warzone Mobile</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In addition, the free-to-play business model has begun to receive broader acceptance on PC and console platforms. This has provided opportunities for us to increase the reach of our intellectual properties and games through free-to-play offerings, which, in turn, provides opportunities to further drive player investment, as was seen with our </w:t>
      </w:r>
      <w:r>
        <w:rPr>
          <w:rFonts w:ascii="Times New Roman;sans-serif" w:hAnsi="Times New Roman;sans-serif"/>
          <w:b w:val="false"/>
          <w:i/>
          <w:color w:val="000000"/>
          <w:sz w:val="20"/>
        </w:rPr>
        <w:t>Call of Duty: Warzone</w:t>
      </w:r>
      <w:r>
        <w:rPr>
          <w:color w:val="000000"/>
        </w:rPr>
        <w:t xml:space="preserve"> </w:t>
      </w:r>
      <w:r>
        <w:rPr>
          <w:rFonts w:ascii="Times New Roman;sans-serif" w:hAnsi="Times New Roman;sans-serif"/>
          <w:b w:val="false"/>
          <w:color w:val="000000"/>
          <w:sz w:val="20"/>
        </w:rPr>
        <w:t xml:space="preserve">release in March 2020. We have continued to invest in these opportunities, with 2022 including the free-to-play releases of </w:t>
      </w:r>
      <w:r>
        <w:rPr>
          <w:rFonts w:ascii="Times New Roman;sans-serif" w:hAnsi="Times New Roman;sans-serif"/>
          <w:b w:val="false"/>
          <w:i/>
          <w:color w:val="000000"/>
          <w:sz w:val="20"/>
        </w:rPr>
        <w:t>Overwatch 2</w:t>
      </w:r>
      <w:r>
        <w:rPr>
          <w:color w:val="000000"/>
        </w:rPr>
        <w:t xml:space="preserve"> </w:t>
      </w:r>
      <w:r>
        <w:rPr>
          <w:rFonts w:ascii="Times New Roman;sans-serif" w:hAnsi="Times New Roman;sans-serif"/>
          <w:b w:val="false"/>
          <w:color w:val="000000"/>
          <w:sz w:val="20"/>
        </w:rPr>
        <w:t xml:space="preserve">in October 2022 and </w:t>
      </w:r>
      <w:r>
        <w:rPr>
          <w:rFonts w:ascii="Times New Roman;sans-serif" w:hAnsi="Times New Roman;sans-serif"/>
          <w:b w:val="false"/>
          <w:i/>
          <w:color w:val="000000"/>
          <w:sz w:val="20"/>
        </w:rPr>
        <w:t>Call of Duty: Warzone 2.0</w:t>
      </w:r>
      <w:r>
        <w:rPr>
          <w:color w:val="000000"/>
        </w:rPr>
        <w:t xml:space="preserve"> </w:t>
      </w:r>
      <w:r>
        <w:rPr>
          <w:rFonts w:ascii="Times New Roman;sans-serif" w:hAnsi="Times New Roman;sans-serif"/>
          <w:b w:val="false"/>
          <w:color w:val="000000"/>
          <w:sz w:val="20"/>
        </w:rPr>
        <w:t xml:space="preserve">in November 2022. </w:t>
      </w:r>
    </w:p>
    <w:p>
      <w:pPr>
        <w:pStyle w:val="TextBody"/>
        <w:spacing w:before="0" w:after="0"/>
        <w:ind w:left="0" w:right="0" w:firstLine="45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Importance of our Franchises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historically has been derived from video games based on our franchises, and these video games have also been responsible for a disproportionately higher percentage of our profits. For example, in 2022, our three franchises—Call of Duty, Warcraft, and Candy Crush—collectively accounted for 79% of our consolidated net revenues—and a significantly higher percentage of our operating income.</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In addition to investing in new content for our games, with the aim of releasing such content more frequently, we are continually exploring additional ways to expand our franchises and games. In recent years we have expanded the Call of Duty franchise with </w:t>
      </w:r>
      <w:r>
        <w:rPr>
          <w:rFonts w:ascii="Times New Roman;sans-serif" w:hAnsi="Times New Roman;sans-serif"/>
          <w:b w:val="false"/>
          <w:i/>
          <w:color w:val="000000"/>
          <w:sz w:val="20"/>
        </w:rPr>
        <w:t>Call of Duty: Warzone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Call of Duty Mobile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as well as bringing Diablo content to mobile for the first time with</w:t>
      </w:r>
      <w:r>
        <w:rPr>
          <w:color w:val="000000"/>
        </w:rPr>
        <w:t xml:space="preserve"> </w:t>
      </w:r>
      <w:r>
        <w:rPr>
          <w:rFonts w:ascii="Times New Roman;sans-serif" w:hAnsi="Times New Roman;sans-serif"/>
          <w:b w:val="false"/>
          <w:i/>
          <w:color w:val="000000"/>
          <w:sz w:val="20"/>
        </w:rPr>
        <w:t>Diablo Immortal</w:t>
      </w:r>
      <w:r>
        <w:rPr>
          <w:rFonts w:ascii="Times New Roman;sans-serif" w:hAnsi="Times New Roman;sans-serif"/>
          <w:b w:val="false"/>
          <w:color w:val="000000"/>
          <w:sz w:val="20"/>
        </w:rPr>
        <w:t xml:space="preserve">. We have similar plans to bring the Warcraft franchise to mobile with </w:t>
      </w:r>
      <w:r>
        <w:rPr>
          <w:rFonts w:ascii="Times New Roman;sans-serif" w:hAnsi="Times New Roman;sans-serif"/>
          <w:b w:val="false"/>
          <w:i/>
          <w:color w:val="000000"/>
          <w:sz w:val="20"/>
        </w:rPr>
        <w:t>Warcraft Arclight Rumble™</w:t>
      </w:r>
      <w:r>
        <w:rPr>
          <w:rFonts w:ascii="Times New Roman;sans-serif" w:hAnsi="Times New Roman;sans-serif"/>
          <w:b w:val="false"/>
          <w:color w:val="000000"/>
          <w:sz w:val="20"/>
        </w:rPr>
        <w:t>, which is currently in development. Our collaborative arrangements for our professional esports leagues (i.e., the Overwatch League and the Call of Duty League) continue to face headwinds which are negatively impacting the operations and, potentially, the longevity of the leagues under the current business model. We continue to work to address these challenges, which could result in significant costs, and such efforts may prove unsuccessful.</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Overall, we expect that our most popular franchises will continue to produce a disproportionately high percentage of our revenues and profits in the near future. Accordingly, our ability to maintain these franchises and to successfully compete against the wide range of competitive titles available in the industry could significantly impact our performance.</w:t>
      </w:r>
    </w:p>
    <w:p>
      <w:pPr>
        <w:pStyle w:val="TextBody"/>
        <w:spacing w:before="0" w:after="0"/>
        <w:ind w:left="0" w:right="0" w:firstLine="45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Recurring Revenue Business Models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Increased consumer online connectivity has allowed us to offer players new investment opportunities and to shift our business further towards a more consistently recurring and year-round model through our live services. While our business does continue to experience some periods of “seasonality,” driven primarily by the timing of our new premium full game releases, our in-game content and free-to-play offerings allow our players to access and invest in new content throughout the year. This incremental content not only provides additional high-margin revenues, but it can also increase player engagement.</w:t>
      </w:r>
    </w:p>
    <w:p>
      <w:pPr>
        <w:pStyle w:val="TextBody"/>
        <w:spacing w:before="0" w:after="0"/>
        <w:ind w:left="0" w:right="0" w:firstLine="45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Increased Competition for Talent</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believe that our continued success and growth is directly related to our ability to attract, retain, and develop top talent. We have seen increased competition in the market for talent and expect the competitive environment to continue at least in the short term. We have experienced challenges in both the retention of our existing talent and attraction of new talent, but we have also more recently seen increasingly positive trends in these areas, which have continued into the current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condensed consolidated statements of operations data for the periods indicated (amounts in millions) and as a percentage of total net revenues, except for cost of revenues, which are presented as a percentage of associated revenues: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37"/>
        <w:gridCol w:w="940"/>
        <w:gridCol w:w="947"/>
        <w:gridCol w:w="109"/>
        <w:gridCol w:w="109"/>
        <w:gridCol w:w="179"/>
        <w:gridCol w:w="179"/>
        <w:gridCol w:w="226"/>
        <w:gridCol w:w="212"/>
        <w:gridCol w:w="179"/>
        <w:gridCol w:w="179"/>
        <w:gridCol w:w="179"/>
        <w:gridCol w:w="179"/>
        <w:gridCol w:w="348"/>
        <w:gridCol w:w="769"/>
        <w:gridCol w:w="179"/>
        <w:gridCol w:w="109"/>
        <w:gridCol w:w="109"/>
        <w:gridCol w:w="109"/>
        <w:gridCol w:w="232"/>
        <w:gridCol w:w="234"/>
        <w:gridCol w:w="271"/>
        <w:gridCol w:w="109"/>
        <w:gridCol w:w="109"/>
        <w:gridCol w:w="109"/>
        <w:gridCol w:w="211"/>
        <w:gridCol w:w="466"/>
        <w:gridCol w:w="109"/>
        <w:gridCol w:w="109"/>
        <w:gridCol w:w="109"/>
        <w:gridCol w:w="109"/>
        <w:gridCol w:w="232"/>
        <w:gridCol w:w="234"/>
        <w:gridCol w:w="271"/>
        <w:gridCol w:w="109"/>
        <w:gridCol w:w="109"/>
        <w:gridCol w:w="109"/>
        <w:gridCol w:w="109"/>
        <w:gridCol w:w="109"/>
        <w:gridCol w:w="109"/>
        <w:gridCol w:w="160"/>
      </w:tblGrid>
      <w:tr>
        <w:trPr/>
        <w:tc>
          <w:tcPr>
            <w:tcW w:w="1237"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8" w:type="dxa"/>
            <w:gridSpan w:val="22"/>
            <w:tcBorders/>
            <w:shd w:fill="auto" w:val="clear"/>
          </w:tcPr>
          <w:p>
            <w:pPr>
              <w:pStyle w:val="TableContents"/>
              <w:spacing w:before="0" w:after="283"/>
              <w:rPr>
                <w:sz w:val="4"/>
                <w:szCs w:val="4"/>
              </w:rPr>
            </w:pPr>
            <w:r>
              <w:rPr>
                <w:sz w:val="4"/>
                <w:szCs w:val="4"/>
              </w:rPr>
            </w:r>
          </w:p>
        </w:tc>
      </w:tr>
      <w:tr>
        <w:trPr/>
        <w:tc>
          <w:tcPr>
            <w:tcW w:w="3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10"/>
            <w:tcBorders/>
            <w:shd w:fill="auto" w:val="clea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In-game, subscription,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revenues—product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royalties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revenues—in-game, subscription,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 operations and distribution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royalties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from debt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Net Revenues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key drivers of changes in our consolidated results, operating segment results, and sources of liquidity are presented in the order of significance.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net revenues and in-game net revenues (amounts in millions):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734"/>
        <w:gridCol w:w="645"/>
        <w:gridCol w:w="648"/>
        <w:gridCol w:w="109"/>
        <w:gridCol w:w="109"/>
        <w:gridCol w:w="173"/>
        <w:gridCol w:w="173"/>
        <w:gridCol w:w="173"/>
        <w:gridCol w:w="173"/>
        <w:gridCol w:w="173"/>
        <w:gridCol w:w="173"/>
        <w:gridCol w:w="173"/>
        <w:gridCol w:w="173"/>
        <w:gridCol w:w="336"/>
        <w:gridCol w:w="981"/>
        <w:gridCol w:w="173"/>
        <w:gridCol w:w="109"/>
        <w:gridCol w:w="109"/>
        <w:gridCol w:w="109"/>
        <w:gridCol w:w="211"/>
        <w:gridCol w:w="616"/>
        <w:gridCol w:w="109"/>
        <w:gridCol w:w="109"/>
        <w:gridCol w:w="109"/>
        <w:gridCol w:w="109"/>
        <w:gridCol w:w="381"/>
        <w:gridCol w:w="845"/>
        <w:gridCol w:w="200"/>
        <w:gridCol w:w="109"/>
        <w:gridCol w:w="109"/>
        <w:gridCol w:w="109"/>
        <w:gridCol w:w="207"/>
        <w:gridCol w:w="207"/>
        <w:gridCol w:w="517"/>
        <w:gridCol w:w="109"/>
        <w:gridCol w:w="109"/>
        <w:gridCol w:w="109"/>
        <w:gridCol w:w="109"/>
        <w:gridCol w:w="109"/>
        <w:gridCol w:w="109"/>
        <w:gridCol w:w="158"/>
      </w:tblGrid>
      <w:tr>
        <w:trPr/>
        <w:tc>
          <w:tcPr>
            <w:tcW w:w="734"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0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4"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759" w:type="dxa"/>
            <w:gridSpan w:val="22"/>
            <w:tcBorders/>
            <w:shd w:fill="auto" w:val="clear"/>
          </w:tcPr>
          <w:p>
            <w:pPr>
              <w:pStyle w:val="TableContents"/>
              <w:spacing w:before="0" w:after="283"/>
              <w:rPr>
                <w:sz w:val="4"/>
                <w:szCs w:val="4"/>
              </w:rPr>
            </w:pPr>
            <w:r>
              <w:rPr>
                <w:sz w:val="4"/>
                <w:szCs w:val="4"/>
              </w:rPr>
            </w:r>
          </w:p>
        </w:tc>
      </w:tr>
      <w:tr>
        <w:trPr/>
        <w:tc>
          <w:tcPr>
            <w:tcW w:w="20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0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vAlign w:val="center"/>
          </w:tcPr>
          <w:p>
            <w:pPr>
              <w:pStyle w:val="TableContents"/>
              <w:spacing w:before="0" w:after="283"/>
              <w:rPr>
                <w:sz w:val="4"/>
                <w:szCs w:val="4"/>
              </w:rPr>
            </w:pPr>
            <w:r>
              <w:rPr>
                <w:sz w:val="4"/>
                <w:szCs w:val="4"/>
              </w:rPr>
            </w:r>
          </w:p>
        </w:tc>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In-game net revenues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In-game net revenues primarily includes the net amount of revenues recognized for microtransactions and downloadable content during the period.</w:t>
      </w:r>
    </w:p>
    <w:p>
      <w:pPr>
        <w:pStyle w:val="TextBody"/>
        <w:spacing w:before="0" w:after="0"/>
        <w:ind w:left="0" w:right="0" w:hanging="36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Consolidated net revenues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increase in consolidated net revenues for the three months ended March 31, 2023, as compared to the three months ended March 31, 2022, was primarily driven by an increase in revenues of $734 million due to higher revenues from:</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Call of Duty: Modern Warfare II</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Vanguard</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Diablo Immortal</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World of Warcraft</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Overwatch 2</w:t>
      </w:r>
      <w:r>
        <w:rPr>
          <w:rFonts w:ascii="Times New Roman;sans-serif" w:hAnsi="Times New Roman;sans-serif"/>
          <w:b w:val="false"/>
          <w:color w:val="000000"/>
          <w:sz w:val="20"/>
        </w:rPr>
        <w:t>;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Candy Crush franchise.</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This increase was partially offset by a decrease in revenues of $98 million due to lower revenues from </w:t>
      </w:r>
      <w:r>
        <w:rPr>
          <w:rFonts w:ascii="Times New Roman;sans-serif" w:hAnsi="Times New Roman;sans-serif"/>
          <w:b w:val="false"/>
          <w:i/>
          <w:color w:val="000000"/>
          <w:sz w:val="20"/>
        </w:rPr>
        <w:t>Call of Duty: Vanguard</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Black Ops Cold War.</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In-game net revenues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increase in in-game net revenues for the three months ended March 31, 2023, as compared to the three months ended March 31, 2022, was primarily driven by an increase in in-game net revenues of $369 million due to higher in-game net revenues from:</w:t>
      </w:r>
    </w:p>
    <w:p>
      <w:pPr>
        <w:pStyle w:val="TextBody"/>
        <w:spacing w:before="0" w:after="0"/>
        <w:ind w:left="0" w:right="0" w:firstLine="45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Diablo Immortal</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Call of Duty: Modern Warfare II</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Vanguard</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Overwatch 2</w:t>
      </w:r>
      <w:r>
        <w:rPr>
          <w:rFonts w:ascii="Times New Roman;sans-serif" w:hAnsi="Times New Roman;sans-serif"/>
          <w:b w:val="false"/>
          <w:color w:val="000000"/>
          <w:sz w:val="20"/>
        </w:rPr>
        <w:t>;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Candy Crush franchise.</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This increase was partially offset by a decrease in in-game net revenues of $80 million due to lower in-game net revenues from </w:t>
      </w:r>
      <w:r>
        <w:rPr>
          <w:rFonts w:ascii="Times New Roman;sans-serif" w:hAnsi="Times New Roman;sans-serif"/>
          <w:b w:val="false"/>
          <w:i/>
          <w:color w:val="000000"/>
          <w:sz w:val="20"/>
        </w:rPr>
        <w:t>Call of Duty: Vanguard</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Black Ops Cold War.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Foreign Exchange Impact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Changes in foreign exchange rates had a negative impact of approximately $66 million on our consolidated net revenues for the three months ended March 31, 2023, as compared to the same period in the previous year. The changes are primarily due to changes in the value of the U.S. dollar relative to the euro and the British pound.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Segment Results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 financings; certain restructuring and related costs; certain partnership wind down and related costs; and certain other non-cash charges. The CODM does not review any information regarding total assets on an operating segment basis, and accordingly, no disclosure is made with respect thereto.</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operating segments are also consistent with our internal organizational structure, the way we assess operating performance and allocate resources, and the availability of separate financial information. We do not aggregate operating segments.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Information on the reportable segment net revenues and segment operating income is presented below (amounts in millions):</w:t>
      </w:r>
    </w:p>
    <w:tbl>
      <w:tblPr>
        <w:tblW w:w="5619"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69" w:type="dxa"/>
            <w:gridSpan w:val="3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69" w:type="dxa"/>
            <w:gridSpan w:val="3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tbl>
      <w:tblPr>
        <w:tblW w:w="10205" w:type="dxa"/>
        <w:jc w:val="left"/>
        <w:tblInd w:w="0" w:type="dxa"/>
        <w:tblCellMar>
          <w:top w:w="28" w:type="dxa"/>
          <w:left w:w="28" w:type="dxa"/>
          <w:bottom w:w="28" w:type="dxa"/>
          <w:right w:w="28" w:type="dxa"/>
        </w:tblCellMar>
      </w:tblPr>
      <w:tblGrid>
        <w:gridCol w:w="592"/>
        <w:gridCol w:w="392"/>
        <w:gridCol w:w="395"/>
        <w:gridCol w:w="109"/>
        <w:gridCol w:w="109"/>
        <w:gridCol w:w="109"/>
        <w:gridCol w:w="235"/>
        <w:gridCol w:w="505"/>
        <w:gridCol w:w="131"/>
        <w:gridCol w:w="109"/>
        <w:gridCol w:w="109"/>
        <w:gridCol w:w="109"/>
        <w:gridCol w:w="198"/>
        <w:gridCol w:w="426"/>
        <w:gridCol w:w="112"/>
        <w:gridCol w:w="109"/>
        <w:gridCol w:w="109"/>
        <w:gridCol w:w="109"/>
        <w:gridCol w:w="196"/>
        <w:gridCol w:w="421"/>
        <w:gridCol w:w="109"/>
        <w:gridCol w:w="109"/>
        <w:gridCol w:w="109"/>
        <w:gridCol w:w="109"/>
        <w:gridCol w:w="196"/>
        <w:gridCol w:w="556"/>
        <w:gridCol w:w="109"/>
        <w:gridCol w:w="109"/>
        <w:gridCol w:w="109"/>
        <w:gridCol w:w="109"/>
        <w:gridCol w:w="235"/>
        <w:gridCol w:w="505"/>
        <w:gridCol w:w="131"/>
        <w:gridCol w:w="109"/>
        <w:gridCol w:w="109"/>
        <w:gridCol w:w="109"/>
        <w:gridCol w:w="198"/>
        <w:gridCol w:w="426"/>
        <w:gridCol w:w="112"/>
        <w:gridCol w:w="109"/>
        <w:gridCol w:w="109"/>
        <w:gridCol w:w="109"/>
        <w:gridCol w:w="196"/>
        <w:gridCol w:w="331"/>
        <w:gridCol w:w="109"/>
        <w:gridCol w:w="109"/>
        <w:gridCol w:w="109"/>
        <w:gridCol w:w="109"/>
        <w:gridCol w:w="196"/>
        <w:gridCol w:w="421"/>
        <w:gridCol w:w="156"/>
      </w:tblGrid>
      <w:tr>
        <w:trPr/>
        <w:tc>
          <w:tcPr>
            <w:tcW w:w="5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5"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7"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 (decrease)</w:t>
            </w:r>
          </w:p>
        </w:tc>
      </w:tr>
      <w:tr>
        <w:trPr/>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Activision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Blizzard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Activision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Blizzard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net revenues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5"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7" w:type="dxa"/>
            <w:gridSpan w:val="21"/>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Activision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Blizzard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net revenues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126" w:type="dxa"/>
            <w:gridSpan w:val="18"/>
            <w:tcBorders/>
            <w:shd w:fill="auto" w:val="clea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(1)Intersegment revenues reflect licensing and service fees charged between segments.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Reconciliations of total segment net revenues and total segment operating income to consolidated net revenues and consolidated income before income tax expense are presented in the table below (amounts in millions):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319"/>
        <w:gridCol w:w="1955"/>
        <w:gridCol w:w="1964"/>
        <w:gridCol w:w="109"/>
        <w:gridCol w:w="109"/>
        <w:gridCol w:w="109"/>
        <w:gridCol w:w="303"/>
        <w:gridCol w:w="884"/>
        <w:gridCol w:w="156"/>
        <w:gridCol w:w="156"/>
        <w:gridCol w:w="156"/>
        <w:gridCol w:w="156"/>
        <w:gridCol w:w="303"/>
        <w:gridCol w:w="884"/>
        <w:gridCol w:w="156"/>
        <w:gridCol w:w="109"/>
        <w:gridCol w:w="109"/>
        <w:gridCol w:w="109"/>
        <w:gridCol w:w="159"/>
      </w:tblGrid>
      <w:tr>
        <w:trPr/>
        <w:tc>
          <w:tcPr>
            <w:tcW w:w="2319" w:type="dxa"/>
            <w:tcBorders/>
            <w:shd w:fill="auto" w:val="clear"/>
            <w:vAlign w:val="center"/>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rPr>
                <w:sz w:val="4"/>
                <w:szCs w:val="4"/>
              </w:rPr>
            </w:pPr>
            <w:r>
              <w:rPr>
                <w:sz w:val="4"/>
                <w:szCs w:val="4"/>
              </w:rPr>
            </w:r>
          </w:p>
        </w:tc>
        <w:tc>
          <w:tcPr>
            <w:tcW w:w="19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62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Reconciliation to consolidated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non-reportable segments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90"/>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effect from recognition (deferral) of deferred net revenues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revenues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Reconciliation to consolidated 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 from non-reportable segments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90"/>
              <w:rPr>
                <w:sz w:val="4"/>
                <w:szCs w:val="4"/>
              </w:rPr>
            </w:pPr>
            <w:r>
              <w:rPr>
                <w:sz w:val="4"/>
                <w:szCs w:val="4"/>
              </w:rPr>
            </w:r>
          </w:p>
        </w:tc>
      </w:tr>
      <w:tr>
        <w:trPr/>
        <w:tc>
          <w:tcPr>
            <w:tcW w:w="6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effect from recognition (deferral) of deferred net revenues and related cost of revenues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costs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wind down and related costs (7)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90"/>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acquisition-related fees and other expenses (8)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90"/>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from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90"/>
              <w:rPr>
                <w:sz w:val="4"/>
                <w:szCs w:val="4"/>
              </w:rPr>
            </w:pPr>
            <w:r>
              <w:rPr>
                <w:sz w:val="4"/>
                <w:szCs w:val="4"/>
              </w:rPr>
            </w:r>
          </w:p>
        </w:tc>
      </w:tr>
      <w:tr>
        <w:trPr/>
        <w:tc>
          <w:tcPr>
            <w:tcW w:w="62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90"/>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income before income tax expense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(1)Includes other income and expenses outside of our reportable segments, including our Distribution business and unallocated corporate income and expenses.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(2)Reflects the net effect from recognition (deferral) of deferred net revenues, along with related cost of revenues, on certain of our online-enabled products.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(3)Intersegment revenues reflect licensing and service fees charged between segments.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(4)Reflects expenses related to share-based compensation.</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(5)Reflects amortization of intangible assets from purchase price accounting.</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(6)Reflects restructuring initiatives.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(7)Reflects expenses related to the wind down of our partnership with NetEase, Inc. in Mainland China in regards to licenses covering the publication of several Blizzard titles which expired in January 2023.</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(8)Reflects fees and other expenses related to our proposed transaction with Microsoft, which primarily consist of legal and advisory fees.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Activision</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The increase in Activision’s segment net revenues and operating income for the three months ended March 31, 2023, as compared to the three months ended March 31, 2022, was primarily due to higher revenues from </w:t>
      </w:r>
      <w:r>
        <w:rPr>
          <w:rFonts w:ascii="Times New Roman;sans-serif" w:hAnsi="Times New Roman;sans-serif"/>
          <w:b w:val="false"/>
          <w:i/>
          <w:color w:val="000000"/>
          <w:sz w:val="20"/>
        </w:rPr>
        <w:t>Call of Duty: Modern Warfare II</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 xml:space="preserve">Call of Duty: Vanguard, </w:t>
      </w:r>
      <w:r>
        <w:rPr>
          <w:rFonts w:ascii="Times New Roman;sans-serif" w:hAnsi="Times New Roman;sans-serif"/>
          <w:b w:val="false"/>
          <w:color w:val="000000"/>
          <w:sz w:val="20"/>
        </w:rPr>
        <w:t xml:space="preserve">partially offset by a decrease in revenues from </w:t>
      </w:r>
      <w:r>
        <w:rPr>
          <w:rFonts w:ascii="Times New Roman;sans-serif" w:hAnsi="Times New Roman;sans-serif"/>
          <w:b w:val="false"/>
          <w:i/>
          <w:color w:val="000000"/>
          <w:sz w:val="20"/>
        </w:rPr>
        <w:t>Call of Duty: Vanguard</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 xml:space="preserve">Call of Duty: Black Ops Cold War. </w:t>
      </w:r>
      <w:r>
        <w:rPr>
          <w:rFonts w:ascii="Times New Roman;sans-serif" w:hAnsi="Times New Roman;sans-serif"/>
          <w:b w:val="false"/>
          <w:color w:val="000000"/>
          <w:sz w:val="20"/>
        </w:rPr>
        <w:t>Additionally, segment operating income also benefited from lower sales and marketing costs for</w:t>
      </w:r>
      <w:r>
        <w:rPr>
          <w:color w:val="000000"/>
        </w:rPr>
        <w:t xml:space="preserve"> </w:t>
      </w:r>
      <w:r>
        <w:rPr>
          <w:rFonts w:ascii="Times New Roman;sans-serif" w:hAnsi="Times New Roman;sans-serif"/>
          <w:b w:val="false"/>
          <w:i/>
          <w:color w:val="000000"/>
          <w:sz w:val="20"/>
        </w:rPr>
        <w:t>Call of Duty: Mobile</w:t>
      </w:r>
      <w:r>
        <w:rPr>
          <w:rFonts w:ascii="Times New Roman;sans-serif" w:hAnsi="Times New Roman;sans-serif"/>
          <w:b w:val="false"/>
          <w:color w:val="000000"/>
          <w:sz w:val="20"/>
        </w:rPr>
        <w:t xml:space="preserve">. Higher product development costs due to expanded development teams was offset by higher capitalization of development costs. </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increase in segment operating income was partially offset by higher cost of revenues from the Call of Duty franchise.</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Blizzard</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increase in Blizzard’s segment net revenues for the three months ended March 31, 2023, as compared to the three months ended March 31, 2022, was primarily due to higher revenues from:</w:t>
      </w:r>
    </w:p>
    <w:p>
      <w:pPr>
        <w:pStyle w:val="TextBody"/>
        <w:spacing w:before="0" w:after="0"/>
        <w:ind w:left="0" w:right="0" w:firstLine="45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Diablo Immortal;</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Overwatch 2;</w:t>
      </w:r>
      <w:r>
        <w:rPr>
          <w:color w:val="000000"/>
        </w:rPr>
        <w:t xml:space="preserve"> </w:t>
      </w:r>
      <w:r>
        <w:rPr>
          <w:rFonts w:ascii="Times New Roman;sans-serif" w:hAnsi="Times New Roman;sans-serif"/>
          <w:b w:val="false"/>
          <w:color w:val="000000"/>
          <w:sz w:val="20"/>
        </w:rPr>
        <w:t xml:space="preserve">and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World of Warcraft.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Despite the increase in segment net revenues, Blizzard’s segment operating income for three months ended March 31, 2023 was comparable to the three months ended March 31, 2022, primarily due to:</w:t>
      </w:r>
    </w:p>
    <w:p>
      <w:pPr>
        <w:pStyle w:val="TextBody"/>
        <w:spacing w:before="0" w:after="0"/>
        <w:ind w:left="0" w:right="0" w:firstLine="45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higher cost of revenues, primarily from </w:t>
      </w:r>
      <w:r>
        <w:rPr>
          <w:rFonts w:ascii="Times New Roman;sans-serif" w:hAnsi="Times New Roman;sans-serif"/>
          <w:b w:val="false"/>
          <w:i/>
          <w:color w:val="000000"/>
          <w:sz w:val="20"/>
        </w:rPr>
        <w:t xml:space="preserve">Overwatch 2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Diablo Immortal</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higher product development costs due to expanded development teams;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higher sales and marketing costs, primarily for the upcoming release of </w:t>
      </w:r>
      <w:r>
        <w:rPr>
          <w:rFonts w:ascii="Times New Roman;sans-serif" w:hAnsi="Times New Roman;sans-serif"/>
          <w:b w:val="false"/>
          <w:i/>
          <w:color w:val="000000"/>
          <w:sz w:val="20"/>
        </w:rPr>
        <w:t>Diablo IV.</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King</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increase in King’s segment net revenues for the three months ended March 31, 2023, as compared to the three months ended March 31, 2022, was primarily due to higher revenues from in-game player purchases in the Candy Crush franchise.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Despite the increase in segment net revenues, King’s segment operating income for the three months ended March 31, 2023, was comparable to the three months ended March 31, 2022, primarily due to:</w:t>
      </w:r>
    </w:p>
    <w:p>
      <w:pPr>
        <w:pStyle w:val="TextBody"/>
        <w:spacing w:before="0" w:after="0"/>
        <w:ind w:left="0" w:right="0" w:firstLine="45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higher sales and marketing costs, primarily for the Candy Crush franchise; and</w:t>
      </w:r>
    </w:p>
    <w:p>
      <w:pPr>
        <w:pStyle w:val="TextBody"/>
        <w:spacing w:before="0" w:after="0"/>
        <w:ind w:left="0" w:right="0" w:firstLine="45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higher service provider fees, primarily digital storefront fees, driven by the higher revenues from in-game player purchases.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Foreign Exchange Impact</w:t>
      </w:r>
    </w:p>
    <w:p>
      <w:pPr>
        <w:pStyle w:val="TextBody"/>
        <w:spacing w:lineRule="auto" w:line="288" w:before="0" w:after="0"/>
        <w:rPr>
          <w:color w:val="000000"/>
        </w:rPr>
      </w:pPr>
      <w:r>
        <w:rPr>
          <w:color w:val="000000"/>
        </w:rPr>
        <w:t> </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Changes in foreign exchange rates had a negative impact of $42 million on Activision Blizzard’s segment net revenues for the three months ended March 31, 2023 as compared to the same period in the previous year. The changes are primarily due to changes in the value of the U.S. dollar relative to the euro and the British pound.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Net Revenues by Distribution Channel</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our consolidated net revenues by distribution channel (amounts in millions):</w:t>
      </w:r>
    </w:p>
    <w:p>
      <w:pPr>
        <w:pStyle w:val="TextBody"/>
        <w:spacing w:before="0" w:after="0"/>
        <w:rPr/>
      </w:pPr>
      <w:r>
        <w:rPr/>
      </w:r>
    </w:p>
    <w:tbl>
      <w:tblPr>
        <w:tblW w:w="9071" w:type="dxa"/>
        <w:jc w:val="left"/>
        <w:tblInd w:w="0" w:type="dxa"/>
        <w:tblCellMar>
          <w:top w:w="28" w:type="dxa"/>
          <w:left w:w="28" w:type="dxa"/>
          <w:bottom w:w="28" w:type="dxa"/>
          <w:right w:w="28" w:type="dxa"/>
        </w:tblCellMar>
      </w:tblPr>
      <w:tblGrid>
        <w:gridCol w:w="1152"/>
        <w:gridCol w:w="1011"/>
        <w:gridCol w:w="1017"/>
        <w:gridCol w:w="109"/>
        <w:gridCol w:w="109"/>
        <w:gridCol w:w="131"/>
        <w:gridCol w:w="131"/>
        <w:gridCol w:w="131"/>
        <w:gridCol w:w="131"/>
        <w:gridCol w:w="254"/>
        <w:gridCol w:w="743"/>
        <w:gridCol w:w="131"/>
        <w:gridCol w:w="131"/>
        <w:gridCol w:w="131"/>
        <w:gridCol w:w="131"/>
        <w:gridCol w:w="254"/>
        <w:gridCol w:w="743"/>
        <w:gridCol w:w="131"/>
        <w:gridCol w:w="109"/>
        <w:gridCol w:w="109"/>
        <w:gridCol w:w="109"/>
        <w:gridCol w:w="233"/>
        <w:gridCol w:w="515"/>
        <w:gridCol w:w="122"/>
        <w:gridCol w:w="109"/>
        <w:gridCol w:w="109"/>
        <w:gridCol w:w="109"/>
        <w:gridCol w:w="199"/>
        <w:gridCol w:w="199"/>
        <w:gridCol w:w="578"/>
      </w:tblGrid>
      <w:tr>
        <w:trPr/>
        <w:tc>
          <w:tcPr>
            <w:tcW w:w="1152"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3" w:type="dxa"/>
            <w:gridSpan w:val="1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2500" w:type="dxa"/>
            <w:gridSpan w:val="12"/>
            <w:tcBorders/>
            <w:shd w:fill="auto" w:val="clea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by distribution channel: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online channels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7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Retail channels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(1)Net revenues from “Digital online channels” include revenues from digitally-distributed downloadable content, microtransactions, subscriptions, and products, as well as licensing royalties.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(2)Net revenues from “Other” primarily include revenues from our Distribution business, the Overwatch League, and the Call of Duty League.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Digital Online Channel Net Revenues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increase in net revenues from digital online channels for the three months ended March 31, 2023, as compared to the three months ended March 31, 2022, was primarily due to higher revenues from:</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Call of Duty: Modern Warfare II</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Vanguard</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Diablo Immortal</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World of Warcraft</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Overwatch 2</w:t>
      </w:r>
      <w:r>
        <w:rPr>
          <w:rFonts w:ascii="Times New Roman;sans-serif" w:hAnsi="Times New Roman;sans-serif"/>
          <w:b w:val="false"/>
          <w:color w:val="000000"/>
          <w:sz w:val="20"/>
        </w:rPr>
        <w:t>;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Candy Crush franchise.</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This increase was partially offset by lower revenues from </w:t>
      </w:r>
      <w:r>
        <w:rPr>
          <w:rFonts w:ascii="Times New Roman;sans-serif" w:hAnsi="Times New Roman;sans-serif"/>
          <w:b w:val="false"/>
          <w:i/>
          <w:color w:val="000000"/>
          <w:sz w:val="20"/>
        </w:rPr>
        <w:t>Call of Duty: Vanguard</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Black Ops Cold War.</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Retail Channel Net Revenues</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The increase in net revenues from retail channels for the three months ended March 31, 2023, as compared to the three months ended March 31, 2022, was primarily due to higher revenues from </w:t>
      </w:r>
      <w:r>
        <w:rPr>
          <w:rFonts w:ascii="Times New Roman;sans-serif" w:hAnsi="Times New Roman;sans-serif"/>
          <w:b w:val="false"/>
          <w:i/>
          <w:color w:val="000000"/>
          <w:sz w:val="20"/>
        </w:rPr>
        <w:t>Call of Duty: Modern Warfare II</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Vanguard</w:t>
      </w:r>
      <w:r>
        <w:rPr>
          <w:rFonts w:ascii="Times New Roman;sans-serif" w:hAnsi="Times New Roman;sans-serif"/>
          <w:b w:val="false"/>
          <w:color w:val="00000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Net Revenues by Platform</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net revenues by platform (amounts in millions):</w:t>
      </w:r>
    </w:p>
    <w:p>
      <w:pPr>
        <w:pStyle w:val="TextBody"/>
        <w:spacing w:before="0" w:after="0"/>
        <w:rPr/>
      </w:pPr>
      <w:r>
        <w:rPr/>
      </w:r>
    </w:p>
    <w:tbl>
      <w:tblPr>
        <w:tblW w:w="8606" w:type="dxa"/>
        <w:jc w:val="left"/>
        <w:tblInd w:w="0" w:type="dxa"/>
        <w:tblCellMar>
          <w:top w:w="28" w:type="dxa"/>
          <w:left w:w="28" w:type="dxa"/>
          <w:bottom w:w="28" w:type="dxa"/>
          <w:right w:w="28" w:type="dxa"/>
        </w:tblCellMar>
      </w:tblPr>
      <w:tblGrid>
        <w:gridCol w:w="984"/>
        <w:gridCol w:w="864"/>
        <w:gridCol w:w="867"/>
        <w:gridCol w:w="109"/>
        <w:gridCol w:w="109"/>
        <w:gridCol w:w="131"/>
        <w:gridCol w:w="131"/>
        <w:gridCol w:w="131"/>
        <w:gridCol w:w="131"/>
        <w:gridCol w:w="254"/>
        <w:gridCol w:w="743"/>
        <w:gridCol w:w="131"/>
        <w:gridCol w:w="131"/>
        <w:gridCol w:w="131"/>
        <w:gridCol w:w="131"/>
        <w:gridCol w:w="254"/>
        <w:gridCol w:w="743"/>
        <w:gridCol w:w="131"/>
        <w:gridCol w:w="109"/>
        <w:gridCol w:w="109"/>
        <w:gridCol w:w="109"/>
        <w:gridCol w:w="233"/>
        <w:gridCol w:w="515"/>
        <w:gridCol w:w="122"/>
        <w:gridCol w:w="109"/>
        <w:gridCol w:w="109"/>
        <w:gridCol w:w="109"/>
        <w:gridCol w:w="199"/>
        <w:gridCol w:w="199"/>
        <w:gridCol w:w="578"/>
      </w:tblGrid>
      <w:tr>
        <w:trPr/>
        <w:tc>
          <w:tcPr>
            <w:tcW w:w="98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3" w:type="dxa"/>
            <w:gridSpan w:val="1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2500" w:type="dxa"/>
            <w:gridSpan w:val="12"/>
            <w:tcBorders/>
            <w:shd w:fill="auto" w:val="clea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by platform: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Mobile and ancillary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(1)Net revenues from “Mobile and ancillary” primarily include revenues from mobile devices.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(2)Net revenues from “Other” primarily include revenues from our Distribution business, the Overwatch League, and the Call of Duty League.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Console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increase in net revenues from the console platform for the three months ended March 31, 2023, as compared to the three months ended March 31, 2022, was primarily due to higher revenues from:</w:t>
      </w:r>
    </w:p>
    <w:p>
      <w:pPr>
        <w:pStyle w:val="TextBody"/>
        <w:spacing w:before="0" w:after="0"/>
        <w:ind w:left="0" w:right="0" w:firstLine="45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Call of Duty: Modern Warfare II</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Vanguard</w:t>
      </w:r>
      <w:r>
        <w:rPr>
          <w:rFonts w:ascii="Times New Roman;sans-serif" w:hAnsi="Times New Roman;sans-serif"/>
          <w:b w:val="false"/>
          <w:color w:val="000000"/>
          <w:sz w:val="20"/>
        </w:rPr>
        <w:t>;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Overwatch 2</w:t>
      </w:r>
      <w:r>
        <w:rPr>
          <w:rFonts w:ascii="Times New Roman;sans-serif" w:hAnsi="Times New Roman;sans-serif"/>
          <w:b w:val="false"/>
          <w:color w:val="000000"/>
          <w:sz w:val="20"/>
        </w:rPr>
        <w:t>.</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The increase was partially offset by a decrease in net revenues from </w:t>
      </w:r>
      <w:r>
        <w:rPr>
          <w:rFonts w:ascii="Times New Roman;sans-serif" w:hAnsi="Times New Roman;sans-serif"/>
          <w:b w:val="false"/>
          <w:i/>
          <w:color w:val="000000"/>
          <w:sz w:val="20"/>
        </w:rPr>
        <w:t>Call of Duty: Vanguard</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Black Ops Cold War</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PC</w:t>
      </w:r>
    </w:p>
    <w:p>
      <w:pPr>
        <w:pStyle w:val="TextBody"/>
        <w:spacing w:before="0" w:after="0"/>
        <w:ind w:left="0" w:right="0" w:firstLine="45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The increase in net revenues from the PC platform for the three months ended March 31, 2023, as compared to the three months ended March 31, 2022, was primarily due to the same drivers and offsets noted above for the console platform, along with higher revenues from </w:t>
      </w:r>
      <w:r>
        <w:rPr>
          <w:rFonts w:ascii="Times New Roman;sans-serif" w:hAnsi="Times New Roman;sans-serif"/>
          <w:b w:val="false"/>
          <w:i/>
          <w:color w:val="000000"/>
          <w:sz w:val="20"/>
        </w:rPr>
        <w:t>World of Warcraft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Diablo Immortal</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Mobile and Ancillary</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increase in net revenues from mobile and ancillary for the three months ended March 31, 2023, as compared to the three months ended March 31, 2022, was primarily due to higher revenues from:</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Diablo Immortal</w:t>
      </w:r>
      <w:r>
        <w:rPr>
          <w:rFonts w:ascii="Times New Roman;sans-serif" w:hAnsi="Times New Roman;sans-serif"/>
          <w:b w:val="false"/>
          <w:color w:val="000000"/>
          <w:sz w:val="20"/>
        </w:rPr>
        <w:t>;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Candy Crush franchise.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components of cost of revenues in dollars (amounts in millions) and as a percentage of associated net revenues:</w:t>
      </w:r>
    </w:p>
    <w:tbl>
      <w:tblPr>
        <w:tblW w:w="398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915"/>
        <w:gridCol w:w="741"/>
        <w:gridCol w:w="743"/>
        <w:gridCol w:w="423"/>
        <w:gridCol w:w="934"/>
        <w:gridCol w:w="218"/>
        <w:gridCol w:w="109"/>
        <w:gridCol w:w="109"/>
        <w:gridCol w:w="109"/>
        <w:gridCol w:w="201"/>
        <w:gridCol w:w="201"/>
        <w:gridCol w:w="502"/>
        <w:gridCol w:w="109"/>
        <w:gridCol w:w="109"/>
        <w:gridCol w:w="109"/>
        <w:gridCol w:w="423"/>
        <w:gridCol w:w="934"/>
        <w:gridCol w:w="218"/>
        <w:gridCol w:w="109"/>
        <w:gridCol w:w="109"/>
        <w:gridCol w:w="109"/>
        <w:gridCol w:w="201"/>
        <w:gridCol w:w="201"/>
        <w:gridCol w:w="502"/>
        <w:gridCol w:w="109"/>
        <w:gridCol w:w="109"/>
        <w:gridCol w:w="109"/>
        <w:gridCol w:w="109"/>
        <w:gridCol w:w="109"/>
        <w:gridCol w:w="109"/>
        <w:gridCol w:w="109"/>
        <w:gridCol w:w="223"/>
        <w:gridCol w:w="493"/>
        <w:gridCol w:w="117"/>
        <w:gridCol w:w="109"/>
        <w:gridCol w:w="162"/>
      </w:tblGrid>
      <w:tr>
        <w:trPr/>
        <w:tc>
          <w:tcPr>
            <w:tcW w:w="91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associated</w:t>
              <w:br/>
              <w:t>net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associated</w:t>
              <w:b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revenues—product sales:</w:t>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royalties and amortization</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ind w:left="0" w:right="0" w:hanging="90"/>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revenues—in-game, subscription, and other:</w:t>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Game operations and distribution costs</w:t>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ind w:left="0" w:right="0" w:hanging="90"/>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royalties and amortization</w:t>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i/>
          <w:color w:val="000000"/>
          <w:sz w:val="20"/>
        </w:rPr>
        <w:t>Cost of Revenues—Product Sales</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product costs for the three months ended March 31, 2023, as compared to the three months ended March 31, 2022, was driven by: </w:t>
      </w:r>
    </w:p>
    <w:p>
      <w:pPr>
        <w:pStyle w:val="TextBody"/>
        <w:spacing w:before="0" w:after="0"/>
        <w:ind w:left="0" w:right="0" w:firstLine="45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 $31 million increase in product costs for our Distribution business due to higher revenues; and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 $23 million increase in product costs from Activision, driven by higher product costs for </w:t>
      </w:r>
      <w:r>
        <w:rPr>
          <w:rFonts w:ascii="Times New Roman;sans-serif" w:hAnsi="Times New Roman;sans-serif"/>
          <w:b w:val="false"/>
          <w:i/>
          <w:color w:val="000000"/>
          <w:sz w:val="20"/>
        </w:rPr>
        <w:t>Call of Duty: Modern Warfare II</w:t>
      </w:r>
      <w:r>
        <w:rPr>
          <w:color w:val="000000"/>
        </w:rPr>
        <w:t xml:space="preserve"> </w:t>
      </w:r>
      <w:r>
        <w:rPr>
          <w:rFonts w:ascii="Times New Roman;sans-serif" w:hAnsi="Times New Roman;sans-serif"/>
          <w:b w:val="false"/>
          <w:color w:val="000000"/>
          <w:sz w:val="20"/>
        </w:rPr>
        <w:t xml:space="preserve">as compared to </w:t>
      </w:r>
      <w:r>
        <w:rPr>
          <w:rFonts w:ascii="Times New Roman;sans-serif" w:hAnsi="Times New Roman;sans-serif"/>
          <w:b w:val="false"/>
          <w:i/>
          <w:color w:val="000000"/>
          <w:sz w:val="20"/>
        </w:rPr>
        <w:t>Call of Duty: Vanguard</w:t>
      </w:r>
      <w:r>
        <w:rPr>
          <w:color w:val="000000"/>
        </w:rPr>
        <w:t xml:space="preserve"> </w:t>
      </w:r>
      <w:r>
        <w:rPr>
          <w:rFonts w:ascii="Times New Roman;sans-serif" w:hAnsi="Times New Roman;sans-serif"/>
          <w:b w:val="false"/>
          <w:color w:val="000000"/>
          <w:sz w:val="20"/>
        </w:rPr>
        <w:t>due to higher revenues.</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The increase in software royalties and amortization related to product sales for the three months ended March 31, 2023, as compared to the three months ended March 31, 2022, was primarily due to a $13 million increase in software amortization and royalties from Activision, driven by higher software amortization and royalties from </w:t>
      </w:r>
      <w:r>
        <w:rPr>
          <w:rFonts w:ascii="Times New Roman;sans-serif" w:hAnsi="Times New Roman;sans-serif"/>
          <w:b w:val="false"/>
          <w:i/>
          <w:color w:val="000000"/>
          <w:sz w:val="20"/>
        </w:rPr>
        <w:t xml:space="preserve">Call of Duty: Modern Warfare II </w:t>
      </w:r>
      <w:r>
        <w:rPr>
          <w:rFonts w:ascii="Times New Roman;sans-serif" w:hAnsi="Times New Roman;sans-serif"/>
          <w:b w:val="false"/>
          <w:color w:val="000000"/>
          <w:sz w:val="20"/>
        </w:rPr>
        <w:t>as compared to</w:t>
      </w:r>
      <w:r>
        <w:rPr>
          <w:color w:val="000000"/>
        </w:rPr>
        <w:t xml:space="preserve"> </w:t>
      </w:r>
      <w:r>
        <w:rPr>
          <w:rFonts w:ascii="Times New Roman;sans-serif" w:hAnsi="Times New Roman;sans-serif"/>
          <w:b w:val="false"/>
          <w:i/>
          <w:color w:val="000000"/>
          <w:sz w:val="20"/>
        </w:rPr>
        <w:t>Call of Duty: Vanguard</w:t>
      </w:r>
      <w:r>
        <w:rPr>
          <w:rFonts w:ascii="Times New Roman;sans-serif" w:hAnsi="Times New Roman;sans-serif"/>
          <w:b w:val="false"/>
          <w:color w:val="000000"/>
          <w:sz w:val="20"/>
        </w:rPr>
        <w:t>.</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Cost of Revenues—In-game, Subscription, and Other:</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game operations and distribution costs for the three months ended March 31, 2023, as compared to the three months ended March 31, 2022, was primarily due to a $70 million increase in service provider fees, primarily digital storefront fees (e.g., fees retained by Apple and Google for our sales on their platforms), as a result of higher revenues. </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The increase in software royalties and amortization related to in-game, subscription, and other for the three months ended March 31, 2023 as compared to the three months ended March 31, 2022, was primarily due to a $39 million increase in software amortization and royalties from Blizzard, driven by </w:t>
      </w:r>
      <w:r>
        <w:rPr>
          <w:rFonts w:ascii="Times New Roman;sans-serif" w:hAnsi="Times New Roman;sans-serif"/>
          <w:b w:val="false"/>
          <w:i/>
          <w:color w:val="000000"/>
          <w:sz w:val="20"/>
        </w:rPr>
        <w:t>Overwatch 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Diablo Immortal</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Product Development (amounts in millions)</w:t>
      </w:r>
    </w:p>
    <w:p>
      <w:pPr>
        <w:pStyle w:val="TextBody"/>
        <w:spacing w:before="0" w:after="0"/>
        <w:rPr/>
      </w:pPr>
      <w:r>
        <w:rPr/>
      </w:r>
    </w:p>
    <w:tbl>
      <w:tblPr>
        <w:tblW w:w="9265" w:type="dxa"/>
        <w:jc w:val="left"/>
        <w:tblInd w:w="0" w:type="dxa"/>
        <w:tblCellMar>
          <w:top w:w="28" w:type="dxa"/>
          <w:left w:w="28" w:type="dxa"/>
          <w:bottom w:w="28" w:type="dxa"/>
          <w:right w:w="28" w:type="dxa"/>
        </w:tblCellMar>
      </w:tblPr>
      <w:tblGrid>
        <w:gridCol w:w="674"/>
        <w:gridCol w:w="591"/>
        <w:gridCol w:w="594"/>
        <w:gridCol w:w="338"/>
        <w:gridCol w:w="747"/>
        <w:gridCol w:w="174"/>
        <w:gridCol w:w="109"/>
        <w:gridCol w:w="109"/>
        <w:gridCol w:w="109"/>
        <w:gridCol w:w="224"/>
        <w:gridCol w:w="224"/>
        <w:gridCol w:w="558"/>
        <w:gridCol w:w="109"/>
        <w:gridCol w:w="109"/>
        <w:gridCol w:w="109"/>
        <w:gridCol w:w="338"/>
        <w:gridCol w:w="747"/>
        <w:gridCol w:w="174"/>
        <w:gridCol w:w="109"/>
        <w:gridCol w:w="109"/>
        <w:gridCol w:w="109"/>
        <w:gridCol w:w="224"/>
        <w:gridCol w:w="224"/>
        <w:gridCol w:w="558"/>
        <w:gridCol w:w="109"/>
        <w:gridCol w:w="109"/>
        <w:gridCol w:w="109"/>
        <w:gridCol w:w="109"/>
        <w:gridCol w:w="109"/>
        <w:gridCol w:w="109"/>
        <w:gridCol w:w="109"/>
        <w:gridCol w:w="269"/>
        <w:gridCol w:w="460"/>
        <w:gridCol w:w="140"/>
        <w:gridCol w:w="109"/>
        <w:gridCol w:w="154"/>
      </w:tblGrid>
      <w:tr>
        <w:trPr/>
        <w:tc>
          <w:tcPr>
            <w:tcW w:w="67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w:t>
              <w:br/>
              <w:t>net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w:t>
              <w:b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product development costs for the three months ended March 31, 2023, as compared to the three months ended March 31, 2022, was driven by a $79 million increase in development spending primarily due to expanded development teams, partially offset by higher capitalization of development costs of $23 million.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(amounts in millions)</w:t>
      </w:r>
    </w:p>
    <w:p>
      <w:pPr>
        <w:pStyle w:val="TextBody"/>
        <w:spacing w:before="0" w:after="0"/>
        <w:rPr/>
      </w:pPr>
      <w:r>
        <w:rPr/>
      </w:r>
    </w:p>
    <w:tbl>
      <w:tblPr>
        <w:tblW w:w="9160" w:type="dxa"/>
        <w:jc w:val="left"/>
        <w:tblInd w:w="0" w:type="dxa"/>
        <w:tblCellMar>
          <w:top w:w="28" w:type="dxa"/>
          <w:left w:w="28" w:type="dxa"/>
          <w:bottom w:w="28" w:type="dxa"/>
          <w:right w:w="28" w:type="dxa"/>
        </w:tblCellMar>
      </w:tblPr>
      <w:tblGrid>
        <w:gridCol w:w="634"/>
        <w:gridCol w:w="558"/>
        <w:gridCol w:w="562"/>
        <w:gridCol w:w="338"/>
        <w:gridCol w:w="747"/>
        <w:gridCol w:w="174"/>
        <w:gridCol w:w="109"/>
        <w:gridCol w:w="109"/>
        <w:gridCol w:w="109"/>
        <w:gridCol w:w="224"/>
        <w:gridCol w:w="224"/>
        <w:gridCol w:w="558"/>
        <w:gridCol w:w="109"/>
        <w:gridCol w:w="109"/>
        <w:gridCol w:w="109"/>
        <w:gridCol w:w="338"/>
        <w:gridCol w:w="747"/>
        <w:gridCol w:w="174"/>
        <w:gridCol w:w="109"/>
        <w:gridCol w:w="109"/>
        <w:gridCol w:w="109"/>
        <w:gridCol w:w="224"/>
        <w:gridCol w:w="224"/>
        <w:gridCol w:w="558"/>
        <w:gridCol w:w="109"/>
        <w:gridCol w:w="109"/>
        <w:gridCol w:w="109"/>
        <w:gridCol w:w="109"/>
        <w:gridCol w:w="109"/>
        <w:gridCol w:w="109"/>
        <w:gridCol w:w="109"/>
        <w:gridCol w:w="269"/>
        <w:gridCol w:w="460"/>
        <w:gridCol w:w="140"/>
        <w:gridCol w:w="109"/>
        <w:gridCol w:w="154"/>
      </w:tblGrid>
      <w:tr>
        <w:trPr/>
        <w:tc>
          <w:tcPr>
            <w:tcW w:w="63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w:t>
              <w:br/>
              <w:t>net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w:t>
              <w:b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The increase in sales and marketing expenses for the three months ended March 31, 2023, as compared to the three months ended March 31, 2022, was primarily due to higher marketing spending for the Candy Crush franchise and our upcoming release of </w:t>
      </w:r>
      <w:r>
        <w:rPr>
          <w:rFonts w:ascii="Times New Roman;sans-serif" w:hAnsi="Times New Roman;sans-serif"/>
          <w:b w:val="false"/>
          <w:i/>
          <w:color w:val="000000"/>
          <w:sz w:val="20"/>
        </w:rPr>
        <w:t>Diablo IV</w:t>
      </w:r>
      <w:r>
        <w:rPr>
          <w:rFonts w:ascii="Times New Roman;sans-serif" w:hAnsi="Times New Roman;sans-serif"/>
          <w:b w:val="false"/>
          <w:color w:val="000000"/>
          <w:sz w:val="20"/>
        </w:rPr>
        <w:t xml:space="preserve">, partially offset by lower marketing spending for </w:t>
      </w:r>
      <w:r>
        <w:rPr>
          <w:rFonts w:ascii="Times New Roman;sans-serif" w:hAnsi="Times New Roman;sans-serif"/>
          <w:b w:val="false"/>
          <w:i/>
          <w:color w:val="000000"/>
          <w:sz w:val="20"/>
        </w:rPr>
        <w:t>Call of Duty: Mobile</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(amounts in millions)</w:t>
      </w:r>
    </w:p>
    <w:p>
      <w:pPr>
        <w:pStyle w:val="TextBody"/>
        <w:spacing w:before="0" w:after="0"/>
        <w:rPr/>
      </w:pPr>
      <w:r>
        <w:rPr/>
      </w:r>
    </w:p>
    <w:tbl>
      <w:tblPr>
        <w:tblW w:w="9715" w:type="dxa"/>
        <w:jc w:val="left"/>
        <w:tblInd w:w="0" w:type="dxa"/>
        <w:tblCellMar>
          <w:top w:w="28" w:type="dxa"/>
          <w:left w:w="28" w:type="dxa"/>
          <w:bottom w:w="28" w:type="dxa"/>
          <w:right w:w="28" w:type="dxa"/>
        </w:tblCellMar>
      </w:tblPr>
      <w:tblGrid>
        <w:gridCol w:w="837"/>
        <w:gridCol w:w="735"/>
        <w:gridCol w:w="737"/>
        <w:gridCol w:w="338"/>
        <w:gridCol w:w="747"/>
        <w:gridCol w:w="174"/>
        <w:gridCol w:w="109"/>
        <w:gridCol w:w="109"/>
        <w:gridCol w:w="109"/>
        <w:gridCol w:w="224"/>
        <w:gridCol w:w="224"/>
        <w:gridCol w:w="558"/>
        <w:gridCol w:w="109"/>
        <w:gridCol w:w="109"/>
        <w:gridCol w:w="109"/>
        <w:gridCol w:w="338"/>
        <w:gridCol w:w="747"/>
        <w:gridCol w:w="174"/>
        <w:gridCol w:w="109"/>
        <w:gridCol w:w="109"/>
        <w:gridCol w:w="109"/>
        <w:gridCol w:w="224"/>
        <w:gridCol w:w="224"/>
        <w:gridCol w:w="558"/>
        <w:gridCol w:w="109"/>
        <w:gridCol w:w="109"/>
        <w:gridCol w:w="109"/>
        <w:gridCol w:w="109"/>
        <w:gridCol w:w="109"/>
        <w:gridCol w:w="109"/>
        <w:gridCol w:w="109"/>
        <w:gridCol w:w="269"/>
        <w:gridCol w:w="460"/>
        <w:gridCol w:w="140"/>
        <w:gridCol w:w="109"/>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w:t>
              <w:br/>
              <w:t>net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w:t>
              <w:b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for the three months ended March 31, 2023, as compared to the three months ended March 31, 2022, was primarily due to an increase in personnel costs.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Interest Expense from Debt (amounts in millions)</w:t>
      </w:r>
    </w:p>
    <w:p>
      <w:pPr>
        <w:pStyle w:val="TextBody"/>
        <w:spacing w:before="0" w:after="0"/>
        <w:rPr/>
      </w:pPr>
      <w:r>
        <w:rPr/>
      </w:r>
    </w:p>
    <w:tbl>
      <w:tblPr>
        <w:tblW w:w="9656" w:type="dxa"/>
        <w:jc w:val="left"/>
        <w:tblInd w:w="0" w:type="dxa"/>
        <w:tblCellMar>
          <w:top w:w="28" w:type="dxa"/>
          <w:left w:w="28" w:type="dxa"/>
          <w:bottom w:w="28" w:type="dxa"/>
          <w:right w:w="28" w:type="dxa"/>
        </w:tblCellMar>
      </w:tblPr>
      <w:tblGrid>
        <w:gridCol w:w="815"/>
        <w:gridCol w:w="714"/>
        <w:gridCol w:w="720"/>
        <w:gridCol w:w="390"/>
        <w:gridCol w:w="668"/>
        <w:gridCol w:w="201"/>
        <w:gridCol w:w="109"/>
        <w:gridCol w:w="109"/>
        <w:gridCol w:w="109"/>
        <w:gridCol w:w="224"/>
        <w:gridCol w:w="224"/>
        <w:gridCol w:w="558"/>
        <w:gridCol w:w="109"/>
        <w:gridCol w:w="109"/>
        <w:gridCol w:w="109"/>
        <w:gridCol w:w="390"/>
        <w:gridCol w:w="668"/>
        <w:gridCol w:w="201"/>
        <w:gridCol w:w="109"/>
        <w:gridCol w:w="109"/>
        <w:gridCol w:w="109"/>
        <w:gridCol w:w="224"/>
        <w:gridCol w:w="224"/>
        <w:gridCol w:w="558"/>
        <w:gridCol w:w="109"/>
        <w:gridCol w:w="109"/>
        <w:gridCol w:w="109"/>
        <w:gridCol w:w="109"/>
        <w:gridCol w:w="109"/>
        <w:gridCol w:w="109"/>
        <w:gridCol w:w="109"/>
        <w:gridCol w:w="252"/>
        <w:gridCol w:w="486"/>
        <w:gridCol w:w="132"/>
        <w:gridCol w:w="109"/>
        <w:gridCol w:w="154"/>
      </w:tblGrid>
      <w:tr>
        <w:trPr/>
        <w:tc>
          <w:tcPr>
            <w:tcW w:w="81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w:t>
              <w:br/>
              <w:t>net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w:t>
              <w:b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from debt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Interest expense from debt for the three months ended March 31, 2023 was comparable to March 31, 2022.</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 (amounts in millions)</w:t>
      </w:r>
    </w:p>
    <w:p>
      <w:pPr>
        <w:pStyle w:val="TextBody"/>
        <w:spacing w:before="0" w:after="0"/>
        <w:rPr/>
      </w:pPr>
      <w:r>
        <w:rPr/>
      </w:r>
    </w:p>
    <w:tbl>
      <w:tblPr>
        <w:tblW w:w="9784" w:type="dxa"/>
        <w:jc w:val="left"/>
        <w:tblInd w:w="0" w:type="dxa"/>
        <w:tblCellMar>
          <w:top w:w="28" w:type="dxa"/>
          <w:left w:w="28" w:type="dxa"/>
          <w:bottom w:w="28" w:type="dxa"/>
          <w:right w:w="28" w:type="dxa"/>
        </w:tblCellMar>
      </w:tblPr>
      <w:tblGrid>
        <w:gridCol w:w="862"/>
        <w:gridCol w:w="760"/>
        <w:gridCol w:w="763"/>
        <w:gridCol w:w="309"/>
        <w:gridCol w:w="792"/>
        <w:gridCol w:w="159"/>
        <w:gridCol w:w="109"/>
        <w:gridCol w:w="109"/>
        <w:gridCol w:w="109"/>
        <w:gridCol w:w="224"/>
        <w:gridCol w:w="224"/>
        <w:gridCol w:w="558"/>
        <w:gridCol w:w="109"/>
        <w:gridCol w:w="109"/>
        <w:gridCol w:w="109"/>
        <w:gridCol w:w="351"/>
        <w:gridCol w:w="727"/>
        <w:gridCol w:w="181"/>
        <w:gridCol w:w="109"/>
        <w:gridCol w:w="109"/>
        <w:gridCol w:w="109"/>
        <w:gridCol w:w="224"/>
        <w:gridCol w:w="224"/>
        <w:gridCol w:w="558"/>
        <w:gridCol w:w="109"/>
        <w:gridCol w:w="109"/>
        <w:gridCol w:w="109"/>
        <w:gridCol w:w="109"/>
        <w:gridCol w:w="109"/>
        <w:gridCol w:w="109"/>
        <w:gridCol w:w="109"/>
        <w:gridCol w:w="211"/>
        <w:gridCol w:w="541"/>
        <w:gridCol w:w="109"/>
        <w:gridCol w:w="109"/>
        <w:gridCol w:w="154"/>
      </w:tblGrid>
      <w:tr>
        <w:trPr/>
        <w:tc>
          <w:tcPr>
            <w:tcW w:w="862"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w:t>
              <w:br/>
              <w:t>net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consolidated</w:t>
              <w:b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br/>
              <w:t>(Increase)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increase in other (income) expense, net, for the three months ended March 31, 2023, as compared to the three months ended March 31, 2022, was primarily due to a $125 million increase in interest income due to higher market interest rate yields compared to the prior year.</w:t>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Income Tax Expense (amounts in millions)</w:t>
      </w:r>
    </w:p>
    <w:p>
      <w:pPr>
        <w:pStyle w:val="TextBody"/>
        <w:spacing w:before="0" w:after="0"/>
        <w:rPr/>
      </w:pPr>
      <w:r>
        <w:rPr/>
      </w:r>
    </w:p>
    <w:tbl>
      <w:tblPr>
        <w:tblW w:w="8525" w:type="dxa"/>
        <w:jc w:val="left"/>
        <w:tblInd w:w="0" w:type="dxa"/>
        <w:tblCellMar>
          <w:top w:w="28" w:type="dxa"/>
          <w:left w:w="28" w:type="dxa"/>
          <w:bottom w:w="28" w:type="dxa"/>
          <w:right w:w="28" w:type="dxa"/>
        </w:tblCellMar>
      </w:tblPr>
      <w:tblGrid>
        <w:gridCol w:w="625"/>
        <w:gridCol w:w="548"/>
        <w:gridCol w:w="552"/>
        <w:gridCol w:w="338"/>
        <w:gridCol w:w="747"/>
        <w:gridCol w:w="174"/>
        <w:gridCol w:w="109"/>
        <w:gridCol w:w="109"/>
        <w:gridCol w:w="109"/>
        <w:gridCol w:w="180"/>
        <w:gridCol w:w="181"/>
        <w:gridCol w:w="342"/>
        <w:gridCol w:w="109"/>
        <w:gridCol w:w="109"/>
        <w:gridCol w:w="109"/>
        <w:gridCol w:w="390"/>
        <w:gridCol w:w="668"/>
        <w:gridCol w:w="201"/>
        <w:gridCol w:w="109"/>
        <w:gridCol w:w="109"/>
        <w:gridCol w:w="109"/>
        <w:gridCol w:w="180"/>
        <w:gridCol w:w="181"/>
        <w:gridCol w:w="342"/>
        <w:gridCol w:w="109"/>
        <w:gridCol w:w="109"/>
        <w:gridCol w:w="109"/>
        <w:gridCol w:w="109"/>
        <w:gridCol w:w="109"/>
        <w:gridCol w:w="109"/>
        <w:gridCol w:w="109"/>
        <w:gridCol w:w="269"/>
        <w:gridCol w:w="460"/>
        <w:gridCol w:w="140"/>
        <w:gridCol w:w="109"/>
        <w:gridCol w:w="154"/>
      </w:tblGrid>
      <w:tr>
        <w:trPr/>
        <w:tc>
          <w:tcPr>
            <w:tcW w:w="62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Pretax</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Pretax</w:t>
              <w:br/>
              <w:t>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income tax expense of $155 million for the three months ended March 31, 2023 reflects an effective tax rate of 17%, which is higher than the effective tax rate of 15% for the three months ended March 31, 2022. Our tax rate in the current quarter is higher than in the prior year due to changes in the mix of our pre-tax income between countries and an increase in the U.K. corporate tax rate that became effective in 2023.</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effective tax rate of 17% for the three months ended March 31, 2023, is lower than the U.S. statutory rate of 21%, primarily due to foreign earnings taxed at lower rates and research and development credits.</w:t>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overall effective income tax rate in future periods will depend on a variety of factors, such as changes in pre-tax income or loss by jurisdiction, applicable accounting rules, applicable tax laws and regulations, and rulings and interpretations thereof, developments in tax audits and other matters, and variations in the estimated and actual level of annual pre-tax income or loss.</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Other information about our income taxes is provided in </w:t>
      </w:r>
      <w:hyperlink w:anchor="ib0fcbb7efb954530b16e12f943366975_283">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color w:val="000000"/>
          <w:sz w:val="20"/>
        </w:rPr>
        <w:t>of the notes to the condensed consolidated financial statements included in Part I, Item 1 of this Quarterly Report on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ability to generate cash flows from operating activities is one of our fundamental financial strengths. In the near term, we expect our business and financial condition to remain strong and to continue to generate significant operating cash flows. We believe these operating cash flows, in combination with our existing balance of cash and cash equivalents and short-term investments of $12.6 billion, will be sufficient to finance our operational and financing requirements for the next 12 months and beyond. Our primary sources of liquidity include our cash and cash equivalents, short-term investments, and cash flows provided by operating activities. Our material cash requirements include operating expenses, potential dividend payments and share repurchases, scheduled debt maturities (the next of which is in 2026), capital expenditures and other commitments, as discussed below.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amount of cash and cash equivalents held outside of the U.S. by our foreign subsidiaries was $3.0 billion, as compared to $4.6 billion as of December 31, 2022. These cash balances are generally available for use in the U.S., subject in some cases to certain restrictions.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cash provided from operating activities is somewhat impacted by seasonality. Working capital needs are impacted by sales, which are generally highest in the fourth quarter due to title release timing and holiday-related sales patterns. We consider, on a continuing basis, various transactions to increase shareholder value and enhance our business results, including acquisitions, divestitures, joint ventures, dividends, share repurchases, and other structural changes, with certain of the foregoing actions, if we were to move forward with them, requiring Microsoft's approval under the Merger Agreement (which may not be unreasonably withheld, conditioned, or delayed), subject to certain exceptions. These transactions may result in future cash proceeds or payments.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Sources of Liquidity (amounts in millions)</w:t>
      </w:r>
    </w:p>
    <w:p>
      <w:pPr>
        <w:pStyle w:val="TextBody"/>
        <w:spacing w:before="0" w:after="0"/>
        <w:rPr/>
      </w:pPr>
      <w:r>
        <w:rPr/>
      </w:r>
    </w:p>
    <w:tbl>
      <w:tblPr>
        <w:tblW w:w="6733" w:type="dxa"/>
        <w:jc w:val="left"/>
        <w:tblInd w:w="0" w:type="dxa"/>
        <w:tblCellMar>
          <w:top w:w="28" w:type="dxa"/>
          <w:left w:w="28" w:type="dxa"/>
          <w:bottom w:w="28" w:type="dxa"/>
          <w:right w:w="28" w:type="dxa"/>
        </w:tblCellMar>
      </w:tblPr>
      <w:tblGrid>
        <w:gridCol w:w="820"/>
        <w:gridCol w:w="720"/>
        <w:gridCol w:w="724"/>
        <w:gridCol w:w="226"/>
        <w:gridCol w:w="773"/>
        <w:gridCol w:w="290"/>
        <w:gridCol w:w="109"/>
        <w:gridCol w:w="109"/>
        <w:gridCol w:w="109"/>
        <w:gridCol w:w="271"/>
        <w:gridCol w:w="926"/>
        <w:gridCol w:w="348"/>
        <w:gridCol w:w="109"/>
        <w:gridCol w:w="109"/>
        <w:gridCol w:w="109"/>
        <w:gridCol w:w="211"/>
        <w:gridCol w:w="616"/>
        <w:gridCol w:w="154"/>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180" w:type="dxa"/>
            <w:gridSpan w:val="12"/>
            <w:tcBorders/>
            <w:shd w:fill="auto" w:val="clea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assets</w:t>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4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bl>
    <w:p>
      <w:pPr>
        <w:pStyle w:val="TextBody"/>
        <w:spacing w:before="0" w:after="0"/>
        <w:rPr/>
      </w:pPr>
      <w:r>
        <w:rPr/>
      </w:r>
    </w:p>
    <w:tbl>
      <w:tblPr>
        <w:tblW w:w="9708" w:type="dxa"/>
        <w:jc w:val="left"/>
        <w:tblInd w:w="0" w:type="dxa"/>
        <w:tblCellMar>
          <w:top w:w="28" w:type="dxa"/>
          <w:left w:w="28" w:type="dxa"/>
          <w:bottom w:w="28" w:type="dxa"/>
          <w:right w:w="28" w:type="dxa"/>
        </w:tblCellMar>
      </w:tblPr>
      <w:tblGrid>
        <w:gridCol w:w="1813"/>
        <w:gridCol w:w="1596"/>
        <w:gridCol w:w="1600"/>
        <w:gridCol w:w="296"/>
        <w:gridCol w:w="864"/>
        <w:gridCol w:w="152"/>
        <w:gridCol w:w="152"/>
        <w:gridCol w:w="152"/>
        <w:gridCol w:w="152"/>
        <w:gridCol w:w="296"/>
        <w:gridCol w:w="653"/>
        <w:gridCol w:w="152"/>
        <w:gridCol w:w="152"/>
        <w:gridCol w:w="152"/>
        <w:gridCol w:w="109"/>
        <w:gridCol w:w="109"/>
        <w:gridCol w:w="109"/>
        <w:gridCol w:w="211"/>
        <w:gridCol w:w="616"/>
        <w:gridCol w:w="109"/>
        <w:gridCol w:w="109"/>
        <w:gridCol w:w="154"/>
      </w:tblGrid>
      <w:tr>
        <w:trPr/>
        <w:tc>
          <w:tcPr>
            <w:tcW w:w="1813"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73"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526" w:type="dxa"/>
            <w:gridSpan w:val="8"/>
            <w:tcBorders/>
            <w:shd w:fill="auto" w:val="clea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w:t>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 and restricted cash</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primary driver of net cash flows associated with our operating activities is the income generated from the sale of our products and services. This is partially offset by: working capital requirements used in the development, sale, and support of our products; payments to our workforce; payments for tax liabilities; and payments for interest on our debt.</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three months ended March 31, 2023, was $577 million, as compared to $642 million for the three months ended March 31, 2022. The decrease was primarily due to cash flows generated as a result of higher net income were offset by unfavorable working capital changes in accrued expenses and other liabilities, including a higher portion of our 2022 annual incentive compensation plans settled in cash instead of equity, and timing of settlements for accounts payable.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Investing Activities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primary drivers of net cash flows associated with investing activities typically include purchases and sales of investments, capital expenditures, and cash used for acquisitions.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for the three months ended March 31, 2023, was $1.7 billion, as compared to $7 million for the three months ended March 31, 2022. The increase was primarily due to proceeds received from the maturity of $1.7 billion of held-to-maturity investments during the three months ended March 31, 2023 with no similar activity in the prior year.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Net Cash Used in Financing Activities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three months ended March 31, 2023, was $71 million, as compared to $97 million for the three months ended March 31, 2022. The decrease was primarily due to $29 million lower tax payments relating to net share settlements on restricted stock units.</w:t>
      </w:r>
    </w:p>
    <w:p>
      <w:pPr>
        <w:pStyle w:val="TextBody"/>
        <w:spacing w:before="0" w:after="0"/>
        <w:ind w:left="0" w:right="0" w:firstLine="45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Effect of Foreign Exchange Rate Changes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Changes in foreign exchange rates had a positive impact of $8 million on our cash and cash equivalents for the three months ended March 31, 2023 as compared to a negative impact of $10 million for the three months ended March 31, 2022. The change was primarily due to changes in the value of the U.S. dollar relative to the euro and the British pound.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both March 31, 2023 and December 31, 2022, our total gross unsecured senior notes outstanding was $3.7 billion, bearing interest at a weighted average rate of 2.87%.</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 summary of our outstanding debt is as follows (amounts in millions):</w:t>
      </w:r>
    </w:p>
    <w:p>
      <w:pPr>
        <w:pStyle w:val="TextBody"/>
        <w:spacing w:before="0" w:after="0"/>
        <w:rPr/>
      </w:pPr>
      <w:r>
        <w:rPr/>
      </w:r>
    </w:p>
    <w:tbl>
      <w:tblPr>
        <w:tblW w:w="7825" w:type="dxa"/>
        <w:jc w:val="left"/>
        <w:tblInd w:w="0" w:type="dxa"/>
        <w:tblCellMar>
          <w:top w:w="28" w:type="dxa"/>
          <w:left w:w="28" w:type="dxa"/>
          <w:bottom w:w="28" w:type="dxa"/>
          <w:right w:w="28" w:type="dxa"/>
        </w:tblCellMar>
      </w:tblPr>
      <w:tblGrid>
        <w:gridCol w:w="1537"/>
        <w:gridCol w:w="1345"/>
        <w:gridCol w:w="1362"/>
        <w:gridCol w:w="334"/>
        <w:gridCol w:w="977"/>
        <w:gridCol w:w="173"/>
        <w:gridCol w:w="109"/>
        <w:gridCol w:w="109"/>
        <w:gridCol w:w="109"/>
        <w:gridCol w:w="380"/>
        <w:gridCol w:w="1112"/>
        <w:gridCol w:w="278"/>
      </w:tblGrid>
      <w:tr>
        <w:trPr/>
        <w:tc>
          <w:tcPr>
            <w:tcW w:w="1537"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Notes</w:t>
            </w:r>
          </w:p>
        </w:tc>
        <w:tc>
          <w:tcPr>
            <w:tcW w:w="13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Notes</w:t>
            </w:r>
          </w:p>
        </w:tc>
        <w:tc>
          <w:tcPr>
            <w:tcW w:w="13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2047 Notes</w:t>
            </w:r>
          </w:p>
        </w:tc>
        <w:tc>
          <w:tcPr>
            <w:tcW w:w="13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2050 Notes</w:t>
            </w:r>
          </w:p>
        </w:tc>
        <w:tc>
          <w:tcPr>
            <w:tcW w:w="13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long-term debt</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deferred financing costs</w:t>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carrying amount</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Refer to </w:t>
      </w:r>
      <w:hyperlink w:anchor="ib0fcbb7efb954530b16e12f943366975_253">
        <w:r>
          <w:rPr>
            <w:rStyle w:val="InternetLink"/>
            <w:rFonts w:ascii="Times New Roman;sans-serif" w:hAnsi="Times New Roman;sans-serif"/>
            <w:b w:val="false"/>
            <w:color w:val="0000FF"/>
            <w:sz w:val="20"/>
            <w:u w:val="single"/>
          </w:rPr>
          <w:t>Note 6</w:t>
        </w:r>
      </w:hyperlink>
      <w:r>
        <w:rPr>
          <w:color w:val="000000"/>
        </w:rPr>
        <w:t xml:space="preserve"> </w:t>
      </w:r>
      <w:r>
        <w:rPr>
          <w:rFonts w:ascii="Times New Roman;sans-serif" w:hAnsi="Times New Roman;sans-serif"/>
          <w:b w:val="false"/>
          <w:color w:val="000000"/>
          <w:sz w:val="20"/>
        </w:rPr>
        <w:t>of the notes to the condensed consolidated financial statements included in Part I, Item 1 of this Quarterly Report on Form 10-Q for further disclosures regarding our debt obligations.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Capital Expenditures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made capital expenditures of $37 million during the three months ended March 31, 2023, as compared to $15 million during the three months ended March 31, 2022. In 2023, we anticipate total capital expenditures of approximately $100 million, primarily for computer hardware, leasehold improvements, and software purchases.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Refer to </w:t>
      </w:r>
      <w:hyperlink w:anchor="ib0fcbb7efb954530b16e12f943366975_295">
        <w:r>
          <w:rPr>
            <w:rStyle w:val="InternetLink"/>
            <w:rFonts w:ascii="Times New Roman;sans-serif" w:hAnsi="Times New Roman;sans-serif"/>
            <w:b w:val="false"/>
            <w:color w:val="0000FF"/>
            <w:sz w:val="20"/>
            <w:u w:val="single"/>
          </w:rPr>
          <w:t>Note 13</w:t>
        </w:r>
      </w:hyperlink>
      <w:r>
        <w:rPr>
          <w:color w:val="000000"/>
        </w:rPr>
        <w:t xml:space="preserve"> </w:t>
      </w:r>
      <w:r>
        <w:rPr>
          <w:rFonts w:ascii="Times New Roman;sans-serif" w:hAnsi="Times New Roman;sans-serif"/>
          <w:b w:val="false"/>
          <w:color w:val="000000"/>
          <w:sz w:val="20"/>
        </w:rPr>
        <w:t>of the notes to the condensed consolidated financial statements included in Part I, Item 1 of this Quarterly Report on Form 10-Q for further disclosures regarding updates to our commitments.</w:t>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At each of March 31, 2023 and December 31, 2022,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0"/>
        <w:rPr>
          <w:color w:val="000000"/>
        </w:rPr>
      </w:pPr>
      <w:r>
        <w:rPr>
          <w:color w:val="000000"/>
        </w:rPr>
        <w:t> </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accounting principles generally accepted in the United States of America. These accounting principles require us to make certain estimates, judgments, and assumptions. We believe that the estimates, judgments, and assumptions upon which we rely are reasonable based upon information available to us at the time that they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color w:val="000000"/>
          <w:sz w:val="20"/>
        </w:rPr>
        <w:t>Revenue Recognition;</w:t>
      </w:r>
    </w:p>
    <w:p>
      <w:pPr>
        <w:pStyle w:val="TextBody"/>
        <w:spacing w:lineRule="auto" w:line="288" w:before="0" w:after="0"/>
        <w:rPr/>
      </w:pPr>
      <w:r>
        <w:rPr>
          <w:color w:val="000000"/>
        </w:rPr>
        <w:t>•</w:t>
      </w:r>
      <w:r>
        <w:rPr>
          <w:rFonts w:ascii="Times New Roman;sans-serif" w:hAnsi="Times New Roman;sans-serif"/>
          <w:b w:val="false"/>
          <w:color w:val="000000"/>
          <w:sz w:val="20"/>
        </w:rPr>
        <w:t xml:space="preserve">Income Taxes; and </w:t>
      </w:r>
    </w:p>
    <w:p>
      <w:pPr>
        <w:pStyle w:val="TextBody"/>
        <w:spacing w:lineRule="auto" w:line="288" w:before="0" w:after="0"/>
        <w:rPr/>
      </w:pPr>
      <w:r>
        <w:rPr>
          <w:color w:val="000000"/>
        </w:rPr>
        <w:t>•</w:t>
      </w:r>
      <w:r>
        <w:rPr>
          <w:rFonts w:ascii="Times New Roman;sans-serif" w:hAnsi="Times New Roman;sans-serif"/>
          <w:b w:val="false"/>
          <w:color w:val="000000"/>
          <w:sz w:val="20"/>
        </w:rPr>
        <w:t>Software Development Costs.</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During the three months ended March 31, 2023, there were no significant changes to the above critical accounting policies and estimates. Refer to </w:t>
      </w:r>
      <w:r>
        <w:fldChar w:fldCharType="begin"/>
      </w:r>
      <w:r>
        <w:rPr>
          <w:rStyle w:val="InternetLink"/>
          <w:u w:val="single"/>
        </w:rPr>
        <w:instrText> HYPERLINK "http://www.sec.gov/ix?doc=/Archives/edgar/data/0000718877/000162828023004842/atvi-20221231.htm" \l "i6f51e045577844f8b618752b6fa62bd0_178"</w:instrText>
      </w:r>
      <w:r>
        <w:rPr>
          <w:rStyle w:val="InternetLink"/>
          <w:u w:val="single"/>
        </w:rPr>
        <w:fldChar w:fldCharType="separate"/>
      </w:r>
      <w:r>
        <w:rPr>
          <w:rStyle w:val="InternetLink"/>
          <w:color w:val="0000FF"/>
          <w:u w:val="single"/>
        </w:rPr>
        <w:t>“</w:t>
      </w:r>
      <w:r>
        <w:rPr>
          <w:rStyle w:val="InternetLink"/>
          <w:u w:val="single"/>
        </w:rPr>
        <w:fldChar w:fldCharType="end"/>
      </w:r>
      <w:r>
        <w:fldChar w:fldCharType="begin"/>
      </w:r>
      <w:r>
        <w:rPr>
          <w:rStyle w:val="InternetLink"/>
          <w:sz w:val="20"/>
          <w:u w:val="single"/>
          <w:b w:val="false"/>
          <w:rFonts w:ascii="Times New Roman;sans-serif" w:hAnsi="Times New Roman;sans-serif"/>
        </w:rPr>
        <w:instrText> HYPERLINK "http://www.sec.gov/ix?doc=/Archives/edgar/data/0000718877/000162828023004842/atvi-20221231.htm" \l "i6f51e045577844f8b618752b6fa62bd0_178"</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Management’s Discussion and Analysis of Financial Condition and Results of Operations” contained in Part II, Item 7 of our Annual Report on Form 10-K for the year ended December 31, 2022</w:t>
      </w:r>
      <w:r>
        <w:rPr>
          <w:rStyle w:val="InternetLink"/>
          <w:sz w:val="20"/>
          <w:u w:val="single"/>
          <w:b w:val="false"/>
          <w:rFonts w:ascii="Times New Roman;sans-serif" w:hAnsi="Times New Roman;sans-serif"/>
        </w:rPr>
        <w:fldChar w:fldCharType="end"/>
      </w:r>
      <w:r>
        <w:rPr>
          <w:rFonts w:ascii="Times New Roman;sans-serif" w:hAnsi="Times New Roman;sans-serif"/>
          <w:b w:val="false"/>
          <w:color w:val="000000"/>
          <w:sz w:val="20"/>
        </w:rPr>
        <w:t>, for a more complete discussion of our critical accounting policies and estimates.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Market risk is the potential loss arising from fluctuations in market rates and prices. Our market risk exposures primarily include fluctuations in foreign currency exchange rates and interest rates.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U.S., the impact of foreign currency fluctuations, particularly the strengthening of the U.S. dollar, generally cause a disproportional impact on our business. We monitor currency volatility throughout the year.</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To mitigate our foreign currency risk resulting from our foreign currency-denominated monetary assets, liabilities, and earnings and our foreign currency risk related to functional currency-equivalent cash flows,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fair values of our foreign currency contracts are estimated based on the prevailing exchange rates of the various hedged currencies as of the end of the period.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do not hold or purchase any foreign currency forward contracts for trading or speculative purposes.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Foreign Currency Forward Contracts Designated as Hedges (“Cash Flow Hedges”) </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Refer to </w:t>
      </w:r>
      <w:hyperlink w:anchor="ib0fcbb7efb954530b16e12f943366975_238">
        <w:r>
          <w:rPr>
            <w:rStyle w:val="InternetLink"/>
            <w:rFonts w:ascii="Times New Roman;sans-serif" w:hAnsi="Times New Roman;sans-serif"/>
            <w:b w:val="false"/>
            <w:color w:val="0000FF"/>
            <w:sz w:val="20"/>
            <w:u w:val="single"/>
          </w:rPr>
          <w:t>Note 4</w:t>
        </w:r>
      </w:hyperlink>
      <w:r>
        <w:rPr>
          <w:color w:val="000000"/>
        </w:rPr>
        <w:t xml:space="preserve"> </w:t>
      </w:r>
      <w:r>
        <w:rPr>
          <w:rFonts w:ascii="Times New Roman;sans-serif" w:hAnsi="Times New Roman;sans-serif"/>
          <w:b w:val="false"/>
          <w:color w:val="000000"/>
          <w:sz w:val="20"/>
        </w:rPr>
        <w:t>of the notes to the condensed consolidated financial statements included in Part I, Item 1 of this Quarterly Report on Form 10-Q for disclosures regarding our foreign currency forward contracts.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the absence of hedging activities for the three months ended March 31, 2023, a hypothetical adverse foreign currency exchange rate movement of 10% would have resulted in a theoretical decline of our net income of approximately $41 million. This sensitivity analysis assumes a parallel adverse shift of all foreign currency exchange rates against the U.S. dollar; however, all foreign currency exchange rates do not always move in this manner, and actual results may differ materially.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March 31, 2023, our cash and cash equivalents were comprised primarily of money market funds and we had approximately $3.3 billion invested in securities classified as held-to-maturity investments which have fixed interest yields and will mature over the next six months.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based on the composition of our investment portfolio, material movements (higher or lower) of short-term interest rates by the U.S. Federal Reserve can have a material impact on our future interest income.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Definition and Limitations of Disclosure Controls and Procedures</w:t>
      </w:r>
    </w:p>
    <w:p>
      <w:pPr>
        <w:pStyle w:val="TextBody"/>
        <w:spacing w:lineRule="auto" w:line="288" w:before="0" w:after="0"/>
        <w:rPr>
          <w:color w:val="000000"/>
        </w:rPr>
      </w:pPr>
      <w:r>
        <w:rPr>
          <w:color w:val="000000"/>
        </w:rPr>
        <w:t> </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(as such term is defined in Rules 13a-15(e) and 15d-15(e) under the Securities Exchange Act of 1934, as amended (the “Exchange Act”)) are designed to reasonably ensure that information required to be disclosed in our reports filed under the Exchange Act is: (1) recorded, processed, summarized, and reported within the time periods specified in the SEC’s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0"/>
        <w:ind w:left="0" w:right="0" w:firstLine="450"/>
        <w:rPr>
          <w:color w:val="000000"/>
        </w:rPr>
      </w:pPr>
      <w:r>
        <w:rPr>
          <w:color w:val="000000"/>
        </w:rPr>
        <w:t> </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at March 31, 2023, the end of the period covered by this report. Based on this evaluation, the principal executive officer and principal financial officer concluded that, at March 31, 2023,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 management, including our principal executive officer and principal financial officer, as appropriate to allow timely decisions regarding required disclosures.</w:t>
      </w:r>
    </w:p>
    <w:p>
      <w:pPr>
        <w:pStyle w:val="TextBody"/>
        <w:spacing w:before="0" w:after="0"/>
        <w:ind w:left="0" w:right="0" w:firstLine="45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0" w:after="0"/>
        <w:ind w:left="0" w:right="0" w:firstLine="450"/>
        <w:rPr>
          <w:color w:val="000000"/>
        </w:rPr>
      </w:pPr>
      <w:r>
        <w:rPr>
          <w:color w:val="000000"/>
        </w:rPr>
        <w:t> </w:t>
      </w:r>
    </w:p>
    <w:p>
      <w:pPr>
        <w:pStyle w:val="TextBody"/>
        <w:spacing w:lineRule="auto" w:line="276"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any changes in our internal control over financial reporting that occurred during the fiscal quarter ended March 31, 2023. Based on this evaluation, the principal executive officer and principal financial officer concluded that, at March 31, 2023, there have not been any changes in our internal control over financial reporting during the most recent fiscal quarter that have materially affected, or are reasonably likely to materially affect, our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Refer to </w:t>
      </w:r>
      <w:hyperlink w:anchor="ib0fcbb7efb954530b16e12f943366975_295">
        <w:r>
          <w:rPr>
            <w:rStyle w:val="InternetLink"/>
            <w:rFonts w:ascii="Times New Roman;sans-serif" w:hAnsi="Times New Roman;sans-serif"/>
            <w:b w:val="false"/>
            <w:color w:val="0000FF"/>
            <w:sz w:val="20"/>
            <w:u w:val="single"/>
          </w:rPr>
          <w:t>Note 13</w:t>
        </w:r>
      </w:hyperlink>
      <w:r>
        <w:rPr>
          <w:color w:val="000000"/>
        </w:rPr>
        <w:t xml:space="preserve"> </w:t>
      </w:r>
      <w:r>
        <w:rPr>
          <w:rFonts w:ascii="Times New Roman;sans-serif" w:hAnsi="Times New Roman;sans-serif"/>
          <w:b w:val="false"/>
          <w:color w:val="000000"/>
          <w:sz w:val="20"/>
        </w:rPr>
        <w:t>of the notes to the condensed consolidated financial statements included in Part I, Item 1 of this Quarterly Report on Form 10-Q for further disclosures regarding our legal proceedings.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rPr/>
      </w:pPr>
      <w:r>
        <w:rPr/>
      </w:r>
    </w:p>
    <w:p>
      <w:pPr>
        <w:pStyle w:val="TextBody"/>
        <w:spacing w:lineRule="auto" w:line="288" w:before="0" w:after="0"/>
        <w:ind w:left="0" w:right="0" w:firstLine="450"/>
        <w:rPr/>
      </w:pPr>
      <w:r>
        <w:rPr>
          <w:rFonts w:ascii="Times New Roman;sans-serif" w:hAnsi="Times New Roman;sans-serif"/>
          <w:b w:val="false"/>
          <w:color w:val="000000"/>
          <w:sz w:val="20"/>
        </w:rPr>
        <w:t xml:space="preserve">Various risks associated with our business are described in </w:t>
      </w:r>
      <w:r>
        <w:fldChar w:fldCharType="begin"/>
      </w:r>
      <w:r>
        <w:rPr>
          <w:rStyle w:val="InternetLink"/>
          <w:sz w:val="20"/>
          <w:u w:val="single"/>
          <w:b w:val="false"/>
          <w:rFonts w:ascii="Times New Roman;sans-serif" w:hAnsi="Times New Roman;sans-serif"/>
        </w:rPr>
        <w:instrText> HYPERLINK "http://www.sec.gov/ix?doc=/Archives/edgar/data/0000718877/000162828023004842/atvi-20221231.htm" \l "i6f51e045577844f8b618752b6fa62bd0_28"</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Part I, Item 1A, “Risk Factors,” of our Annual Report on Form 10-K for the year ended December 31, 2022</w:t>
      </w:r>
      <w:r>
        <w:rPr>
          <w:rStyle w:val="InternetLink"/>
          <w:sz w:val="20"/>
          <w:u w:val="single"/>
          <w:b w:val="false"/>
          <w:rFonts w:ascii="Times New Roman;sans-serif" w:hAnsi="Times New Roman;sans-serif"/>
        </w:rPr>
        <w:fldChar w:fldCharType="end"/>
      </w:r>
      <w:r>
        <w:rPr>
          <w:color w:val="000000"/>
        </w:rPr>
        <w:t xml:space="preserve"> </w:t>
      </w:r>
      <w:r>
        <w:rPr>
          <w:rFonts w:ascii="Times New Roman;sans-serif" w:hAnsi="Times New Roman;sans-serif"/>
          <w:b w:val="false"/>
          <w:color w:val="000000"/>
          <w:sz w:val="20"/>
        </w:rPr>
        <w:t>(the “2022 Form 10-K”).</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other information set forth in this Quarterly Report on Form 10-Q, you should carefully consider the factors discussed in “Risk Factors” in the 2022 Form 10-K, any of which could materially affect our business, reputation, financial condition, results of operations, income, revenue, profitability, cash flows, liquidity, or stock price.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538"/>
        <w:gridCol w:w="473"/>
        <w:gridCol w:w="475"/>
        <w:gridCol w:w="109"/>
        <w:gridCol w:w="109"/>
        <w:gridCol w:w="109"/>
        <w:gridCol w:w="2509"/>
        <w:gridCol w:w="2424"/>
        <w:gridCol w:w="3459"/>
      </w:tblGrid>
      <w:tr>
        <w:trPr/>
        <w:tc>
          <w:tcPr>
            <w:tcW w:w="538"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9" w:type="dxa"/>
            <w:tcBorders/>
            <w:shd w:fill="auto" w:val="clear"/>
            <w:vAlign w:val="center"/>
          </w:tcPr>
          <w:p>
            <w:pPr>
              <w:pStyle w:val="TableContents"/>
              <w:spacing w:before="0" w:after="283"/>
              <w:rPr>
                <w:sz w:val="4"/>
                <w:szCs w:val="4"/>
              </w:rPr>
            </w:pPr>
            <w:r>
              <w:rPr>
                <w:sz w:val="4"/>
                <w:szCs w:val="4"/>
              </w:rPr>
            </w:r>
          </w:p>
        </w:tc>
        <w:tc>
          <w:tcPr>
            <w:tcW w:w="2424" w:type="dxa"/>
            <w:tcBorders/>
            <w:shd w:fill="auto" w:val="clear"/>
            <w:vAlign w:val="center"/>
          </w:tcPr>
          <w:p>
            <w:pPr>
              <w:pStyle w:val="TableContents"/>
              <w:spacing w:before="0" w:after="283"/>
              <w:rPr>
                <w:sz w:val="4"/>
                <w:szCs w:val="4"/>
              </w:rPr>
            </w:pPr>
            <w:r>
              <w:rPr>
                <w:sz w:val="4"/>
                <w:szCs w:val="4"/>
              </w:rPr>
            </w:r>
          </w:p>
        </w:tc>
        <w:tc>
          <w:tcPr>
            <w:tcW w:w="3459" w:type="dxa"/>
            <w:tcBorders/>
            <w:shd w:fill="auto" w:val="clear"/>
            <w:vAlign w:val="center"/>
          </w:tcPr>
          <w:p>
            <w:pPr>
              <w:pStyle w:val="TableContents"/>
              <w:spacing w:before="0" w:after="283"/>
              <w:rPr>
                <w:sz w:val="4"/>
                <w:szCs w:val="4"/>
              </w:rPr>
            </w:pPr>
            <w:r>
              <w:rPr>
                <w:sz w:val="4"/>
                <w:szCs w:val="4"/>
              </w:rPr>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r>
      <w:tr>
        <w:trPr/>
        <w:tc>
          <w:tcPr>
            <w:tcW w:w="14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Third Amended and Restated Certificate of Incorporation of Activision Blizzard, Inc., dated June 5, 2014 (incorporated by reference to Exhibit 3.1 of the Company’s Form 8-K, filed June 6, 2014).</w:t>
              </w:r>
            </w:hyperlink>
          </w:p>
        </w:tc>
      </w:tr>
      <w:tr>
        <w:trPr/>
        <w:tc>
          <w:tcPr>
            <w:tcW w:w="1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Fifth Amended and Restated Bylaws of Activision Blizzard, Inc., adopted as of January 17, 2022 (incorporated by reference to Exhibit 3.1 of the Company’s Form 8-K, filed January 19, 2022).</w:t>
              </w:r>
            </w:hyperlink>
          </w:p>
        </w:tc>
      </w:tr>
      <w:tr>
        <w:trPr/>
        <w:tc>
          <w:tcPr>
            <w:tcW w:w="1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tvi33123ex101activision-b.htm">
              <w:r>
                <w:rPr>
                  <w:rStyle w:val="InternetLink"/>
                </w:rPr>
                <w:t>Extension Amendment to Employment Agreement entered into as of April 25, 2023, between Activision Blizzard</w:t>
              </w:r>
            </w:hyperlink>
            <w:hyperlink w:anchor="atvi33123ex101activision-b.htm">
              <w:r>
                <w:rPr>
                  <w:rStyle w:val="InternetLink"/>
                </w:rPr>
                <w:t>, In</w:t>
              </w:r>
            </w:hyperlink>
            <w:hyperlink w:anchor="atvi33123ex101activision-b.htm">
              <w:r>
                <w:rPr>
                  <w:rStyle w:val="InternetLink"/>
                </w:rPr>
                <w:t>c.</w:t>
              </w:r>
            </w:hyperlink>
            <w:hyperlink w:anchor="atvi33123ex101activision-b.htm">
              <w:r>
                <w:rPr>
                  <w:rStyle w:val="InternetLink"/>
                </w:rPr>
                <w:t xml:space="preserve"> and Robert A. Kotick.</w:t>
              </w:r>
            </w:hyperlink>
          </w:p>
        </w:tc>
      </w:tr>
      <w:tr>
        <w:trPr/>
        <w:tc>
          <w:tcPr>
            <w:tcW w:w="1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tvi33123ex311.htm">
              <w:r>
                <w:rPr>
                  <w:rStyle w:val="InternetLink"/>
                  <w:rFonts w:ascii="Times New Roman;sans-serif" w:hAnsi="Times New Roman;sans-serif"/>
                  <w:b w:val="false"/>
                  <w:color w:val="0000FF"/>
                  <w:sz w:val="20"/>
                  <w:u w:val="single"/>
                </w:rPr>
                <w:t>Certification of Robert A. Kotick pursuant to Rule 13a-14(a) under the Securities Exchange Act of 1934, as adopted pursuant to Section 302 of the Sarbanes-Oxley Act of 2002.</w:t>
              </w:r>
            </w:hyperlink>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tvi33123ex312.htm">
              <w:r>
                <w:rPr>
                  <w:rStyle w:val="InternetLink"/>
                  <w:rFonts w:ascii="Times New Roman;sans-serif" w:hAnsi="Times New Roman;sans-serif"/>
                  <w:b w:val="false"/>
                  <w:color w:val="0000FF"/>
                  <w:sz w:val="20"/>
                  <w:u w:val="single"/>
                </w:rPr>
                <w:t>Certification of Armin Zerza pursuant to Rule 13a-14(a) under the Securities Exchange Act of 1934, as adopted pursuant to Section 302 of the Sarbanes-Oxley Act of 2002.</w:t>
              </w:r>
            </w:hyperlink>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tvi33123ex321.htm">
              <w:r>
                <w:rPr>
                  <w:rStyle w:val="InternetLink"/>
                  <w:rFonts w:ascii="Times New Roman;sans-serif" w:hAnsi="Times New Roman;sans-serif"/>
                  <w:b w:val="false"/>
                  <w:color w:val="0000FF"/>
                  <w:sz w:val="20"/>
                  <w:u w:val="single"/>
                </w:rPr>
                <w:t>Certification of Robert A. Kotick pursuant to Section 906 of the Sarbanes-Oxley Act of 2002.</w:t>
              </w:r>
            </w:hyperlink>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tvi33123ex322.htm">
              <w:r>
                <w:rPr>
                  <w:rStyle w:val="InternetLink"/>
                  <w:rFonts w:ascii="Times New Roman;sans-serif" w:hAnsi="Times New Roman;sans-serif"/>
                  <w:b w:val="false"/>
                  <w:color w:val="0000FF"/>
                  <w:sz w:val="20"/>
                  <w:u w:val="single"/>
                </w:rPr>
                <w:t>Certification of Armin Zerza pursuant to Section 906 of the Sarbanes-Oxley Act of 2002.</w:t>
              </w:r>
            </w:hyperlink>
          </w:p>
        </w:tc>
      </w:tr>
      <w:tr>
        <w:trPr/>
        <w:tc>
          <w:tcPr>
            <w:tcW w:w="1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1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contract or arrangement in which a director or executive officer of the Company participates.</w:t>
            </w:r>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b0fcbb7efb954530b16e12f943366975_13">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0" w:after="0"/>
        <w:rPr>
          <w:color w:val="000000"/>
        </w:rPr>
      </w:pPr>
      <w:r>
        <w:rPr>
          <w:color w:val="000000"/>
        </w:rPr>
        <w:t> </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ACTIVISION BLIZZARD, INC.</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471"/>
        <w:gridCol w:w="1260"/>
        <w:gridCol w:w="1267"/>
        <w:gridCol w:w="109"/>
        <w:gridCol w:w="109"/>
        <w:gridCol w:w="109"/>
        <w:gridCol w:w="1733"/>
        <w:gridCol w:w="1733"/>
        <w:gridCol w:w="2414"/>
      </w:tblGrid>
      <w:tr>
        <w:trPr/>
        <w:tc>
          <w:tcPr>
            <w:tcW w:w="1471"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2414" w:type="dxa"/>
            <w:tcBorders/>
            <w:shd w:fill="auto" w:val="clear"/>
            <w:vAlign w:val="center"/>
          </w:tcPr>
          <w:p>
            <w:pPr>
              <w:pStyle w:val="TableContents"/>
              <w:spacing w:before="0" w:after="283"/>
              <w:rPr>
                <w:sz w:val="4"/>
                <w:szCs w:val="4"/>
              </w:rPr>
            </w:pPr>
            <w:r>
              <w:rPr>
                <w:sz w:val="4"/>
                <w:szCs w:val="4"/>
              </w:rPr>
            </w:r>
          </w:p>
        </w:tc>
      </w:tr>
      <w:tr>
        <w:trPr/>
        <w:tc>
          <w:tcPr>
            <w:tcW w:w="39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ARMIN ZERZA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JESSE YANG</w:t>
            </w:r>
          </w:p>
        </w:tc>
      </w:tr>
      <w:tr>
        <w:trPr/>
        <w:tc>
          <w:tcPr>
            <w:tcW w:w="3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Armin Zerza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Jesse Yang</w:t>
            </w:r>
          </w:p>
        </w:tc>
      </w:tr>
      <w:tr>
        <w:trPr/>
        <w:tc>
          <w:tcPr>
            <w:tcW w:w="39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Deputy Chief Financial Officer and Comptroller, and Principal Accounting Officer</w:t>
            </w:r>
          </w:p>
        </w:tc>
      </w:tr>
      <w:tr>
        <w:trPr/>
        <w:tc>
          <w:tcPr>
            <w:tcW w:w="39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 Activision Blizzard,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 Activision Blizzard, Inc.</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EXTENSION AMENDMENT TO</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EMPLOYMENT AGREEMENT</w:t>
      </w:r>
    </w:p>
    <w:p>
      <w:pPr>
        <w:pStyle w:val="TextBody"/>
        <w:spacing w:before="0" w:after="240"/>
        <w:jc w:val="both"/>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This Extension Amendment (this “</w:t>
      </w:r>
      <w:r>
        <w:rPr>
          <w:rFonts w:ascii="Times New Roman;sans-serif" w:hAnsi="Times New Roman;sans-serif"/>
          <w:b/>
          <w:i/>
          <w:color w:val="000000"/>
          <w:sz w:val="24"/>
        </w:rPr>
        <w:t>Amendment</w:t>
      </w:r>
      <w:r>
        <w:rPr>
          <w:color w:val="000000"/>
        </w:rPr>
        <w:t>”</w:t>
      </w:r>
      <w:r>
        <w:rPr>
          <w:rFonts w:ascii="Times New Roman;sans-serif" w:hAnsi="Times New Roman;sans-serif"/>
          <w:b w:val="false"/>
          <w:color w:val="000000"/>
          <w:sz w:val="24"/>
        </w:rPr>
        <w:t>) is entered into as of April 25, 2023 (the “</w:t>
      </w:r>
      <w:r>
        <w:rPr>
          <w:rFonts w:ascii="Times New Roman;sans-serif" w:hAnsi="Times New Roman;sans-serif"/>
          <w:b/>
          <w:i/>
          <w:color w:val="000000"/>
          <w:sz w:val="24"/>
        </w:rPr>
        <w:t>Amendment Date</w:t>
      </w:r>
      <w:r>
        <w:rPr>
          <w:color w:val="000000"/>
        </w:rPr>
        <w:t>”</w:t>
      </w:r>
      <w:r>
        <w:rPr>
          <w:rFonts w:ascii="Times New Roman;sans-serif" w:hAnsi="Times New Roman;sans-serif"/>
          <w:b w:val="false"/>
          <w:color w:val="000000"/>
          <w:sz w:val="24"/>
        </w:rPr>
        <w:t>), between ACTIVISION BLIZZARD,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and ROBERT A. KOTICK (the “</w:t>
      </w:r>
      <w:r>
        <w:rPr>
          <w:rFonts w:ascii="Times New Roman;sans-serif" w:hAnsi="Times New Roman;sans-serif"/>
          <w:b/>
          <w:i/>
          <w:color w:val="000000"/>
          <w:sz w:val="24"/>
        </w:rPr>
        <w:t>CEO</w:t>
      </w:r>
      <w:r>
        <w:rPr>
          <w:color w:val="000000"/>
        </w:rPr>
        <w:t>”</w:t>
      </w:r>
      <w:r>
        <w:rPr>
          <w:rFonts w:ascii="Times New Roman;sans-serif" w:hAnsi="Times New Roman;sans-serif"/>
          <w:b w:val="false"/>
          <w:color w:val="000000"/>
          <w:sz w:val="24"/>
        </w:rPr>
        <w:t>) in order to amend, effective as of March 30, 2023, as follows that certain Employment Agreement, dated as of October 1, 2016 and as amended as of April 28, 2021 (the “</w:t>
      </w:r>
      <w:r>
        <w:rPr>
          <w:rFonts w:ascii="Times New Roman;sans-serif" w:hAnsi="Times New Roman;sans-serif"/>
          <w:b/>
          <w:i/>
          <w:color w:val="000000"/>
          <w:sz w:val="24"/>
        </w:rPr>
        <w:t>Employment Agreement</w:t>
      </w:r>
      <w:r>
        <w:rPr>
          <w:color w:val="000000"/>
        </w:rPr>
        <w:t>”</w:t>
      </w:r>
      <w:r>
        <w:rPr>
          <w:rFonts w:ascii="Times New Roman;sans-serif" w:hAnsi="Times New Roman;sans-serif"/>
          <w:b w:val="false"/>
          <w:color w:val="000000"/>
          <w:sz w:val="24"/>
        </w:rPr>
        <w:t>), between the Company and the CEO.</w:t>
      </w:r>
    </w:p>
    <w:p>
      <w:pPr>
        <w:pStyle w:val="TextBody"/>
        <w:spacing w:lineRule="auto" w:line="240" w:before="24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 E C I T A L 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and the CEO are parties to the Employment Agreement, the term of which expired March 31, 2023;</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the Compensation Committee (the “</w:t>
      </w:r>
      <w:r>
        <w:rPr>
          <w:rFonts w:ascii="Times New Roman;sans-serif" w:hAnsi="Times New Roman;sans-serif"/>
          <w:b/>
          <w:i/>
          <w:color w:val="000000"/>
          <w:sz w:val="24"/>
        </w:rPr>
        <w:t>Compensation Committee</w:t>
      </w:r>
      <w:r>
        <w:rPr>
          <w:color w:val="000000"/>
        </w:rPr>
        <w:t>”</w:t>
      </w:r>
      <w:r>
        <w:rPr>
          <w:rFonts w:ascii="Times New Roman;sans-serif" w:hAnsi="Times New Roman;sans-serif"/>
          <w:b w:val="false"/>
          <w:color w:val="000000"/>
          <w:sz w:val="24"/>
        </w:rPr>
        <w:t>) of the Board approved the execution and delivery of this Amendment by the Company at a meeting of the Compensation Committee held on March 30, 2023.</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NOW, THEREFORE, in consideration of the foregoing and the mutual covenants contained herein, and for other good and valuable consideration, the receipt and sufficiency of which are hereby acknowledged, the parties hereto hereby agree as follows: </w:t>
      </w:r>
    </w:p>
    <w:p>
      <w:pPr>
        <w:pStyle w:val="TextBody"/>
        <w:spacing w:before="0" w:after="2"/>
        <w:ind w:left="0" w:right="0" w:firstLine="7"/>
        <w:jc w:val="both"/>
        <w:rPr/>
      </w:pPr>
      <w:r>
        <w:rPr/>
      </w:r>
    </w:p>
    <w:p>
      <w:pPr>
        <w:pStyle w:val="TextBody"/>
        <w:spacing w:lineRule="auto" w:line="240" w:before="0" w:after="2"/>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Effectiveness; Employment Period</w:t>
      </w:r>
      <w:r>
        <w:rPr>
          <w:rFonts w:ascii="Times New Roman;sans-serif" w:hAnsi="Times New Roman;sans-serif"/>
          <w:b w:val="false"/>
          <w:color w:val="000000"/>
          <w:sz w:val="24"/>
        </w:rPr>
        <w:t>. The first sentence of Section 2 of the Employment Agreement is hereby deleted and replaced with the following, effective as of March 30, 2023:</w:t>
      </w:r>
    </w:p>
    <w:p>
      <w:pPr>
        <w:pStyle w:val="TextBody"/>
        <w:spacing w:before="0" w:after="2"/>
        <w:ind w:left="0" w:right="0" w:firstLine="1080"/>
        <w:jc w:val="both"/>
        <w:rPr/>
      </w:pPr>
      <w:r>
        <w:rPr/>
      </w:r>
    </w:p>
    <w:p>
      <w:pPr>
        <w:pStyle w:val="TextBody"/>
        <w:spacing w:lineRule="auto" w:line="240" w:before="0" w:after="240"/>
        <w:jc w:val="both"/>
        <w:rPr/>
      </w:pPr>
      <w:r>
        <w:rPr>
          <w:color w:val="000000"/>
        </w:rPr>
        <w:t>“</w:t>
      </w:r>
      <w:r>
        <w:rPr>
          <w:rFonts w:ascii="Times New Roman;sans-serif" w:hAnsi="Times New Roman;sans-serif"/>
          <w:b w:val="false"/>
          <w:color w:val="000000"/>
          <w:sz w:val="24"/>
        </w:rPr>
        <w:t>The employment of the CEO under the terms of this Agreement (the “</w:t>
      </w:r>
      <w:r>
        <w:rPr>
          <w:rFonts w:ascii="Times New Roman;sans-serif" w:hAnsi="Times New Roman;sans-serif"/>
          <w:b/>
          <w:i/>
          <w:color w:val="000000"/>
          <w:sz w:val="24"/>
        </w:rPr>
        <w:t>Employment Period</w:t>
      </w:r>
      <w:r>
        <w:rPr>
          <w:color w:val="000000"/>
        </w:rPr>
        <w:t>”</w:t>
      </w:r>
      <w:r>
        <w:rPr>
          <w:rFonts w:ascii="Times New Roman;sans-serif" w:hAnsi="Times New Roman;sans-serif"/>
          <w:b w:val="false"/>
          <w:color w:val="000000"/>
          <w:sz w:val="24"/>
        </w:rPr>
        <w:t>) shall commence on the Effective Date and terminate on March 31, 2024 (the “</w:t>
      </w:r>
      <w:r>
        <w:rPr>
          <w:rFonts w:ascii="Times New Roman;sans-serif" w:hAnsi="Times New Roman;sans-serif"/>
          <w:b/>
          <w:i/>
          <w:color w:val="000000"/>
          <w:sz w:val="24"/>
        </w:rPr>
        <w:t>Expiration Date</w:t>
      </w:r>
      <w:r>
        <w:rPr>
          <w:color w:val="000000"/>
        </w:rPr>
        <w:t>”</w:t>
      </w:r>
      <w:r>
        <w:rPr>
          <w:rFonts w:ascii="Times New Roman;sans-serif" w:hAnsi="Times New Roman;sans-serif"/>
          <w:b w:val="false"/>
          <w:color w:val="000000"/>
          <w:sz w:val="24"/>
        </w:rPr>
        <w:t>).”</w:t>
      </w:r>
    </w:p>
    <w:p>
      <w:pPr>
        <w:pStyle w:val="TextBody"/>
        <w:spacing w:before="0" w:after="2"/>
        <w:ind w:left="0" w:right="0" w:hanging="4"/>
        <w:jc w:val="both"/>
        <w:rPr/>
      </w:pPr>
      <w:r>
        <w:rPr/>
      </w:r>
    </w:p>
    <w:p>
      <w:pPr>
        <w:pStyle w:val="TextBody"/>
        <w:spacing w:lineRule="auto" w:line="240" w:before="0" w:after="2"/>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No other Changes to the Employment Agreement</w:t>
      </w:r>
      <w:r>
        <w:rPr>
          <w:rFonts w:ascii="Times New Roman;sans-serif" w:hAnsi="Times New Roman;sans-serif"/>
          <w:b w:val="false"/>
          <w:color w:val="000000"/>
          <w:sz w:val="24"/>
        </w:rPr>
        <w:t>. Except as expressly amended by this Amendment, all of the terms of the Employment Agreement shall remain in full force and effect.</w:t>
      </w:r>
    </w:p>
    <w:p>
      <w:pPr>
        <w:pStyle w:val="TextBody"/>
        <w:spacing w:before="0" w:after="2"/>
        <w:ind w:left="0" w:right="0" w:firstLine="1080"/>
        <w:jc w:val="both"/>
        <w:rPr/>
      </w:pPr>
      <w:r>
        <w:rPr/>
      </w:r>
    </w:p>
    <w:p>
      <w:pPr>
        <w:pStyle w:val="TextBody"/>
        <w:spacing w:before="0" w:after="2"/>
        <w:ind w:left="0" w:right="0" w:hanging="4"/>
        <w:jc w:val="both"/>
        <w:rPr/>
      </w:pPr>
      <w:r>
        <w:rPr/>
      </w:r>
    </w:p>
    <w:p>
      <w:pPr>
        <w:pStyle w:val="TextBody"/>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pStyle w:val="TextBody"/>
        <w:spacing w:before="0" w:after="240"/>
        <w:ind w:left="0" w:right="0" w:firstLine="72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53" name="Frame5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entered into this Amendment as of the date first set forth above.</w:t>
      </w:r>
    </w:p>
    <w:p>
      <w:pPr>
        <w:pStyle w:val="TextBody"/>
        <w:spacing w:before="0" w:after="240"/>
        <w:ind w:left="0" w:right="0" w:firstLine="720"/>
        <w:jc w:val="both"/>
        <w:rPr/>
      </w:pPr>
      <w:r>
        <w:rPr/>
      </w:r>
    </w:p>
    <w:tbl>
      <w:tblPr>
        <w:tblW w:w="5144" w:type="dxa"/>
        <w:jc w:val="left"/>
        <w:tblInd w:w="0" w:type="dxa"/>
        <w:tblCellMar>
          <w:top w:w="28" w:type="dxa"/>
          <w:left w:w="28" w:type="dxa"/>
          <w:bottom w:w="28" w:type="dxa"/>
          <w:right w:w="28" w:type="dxa"/>
        </w:tblCellMar>
      </w:tblPr>
      <w:tblGrid>
        <w:gridCol w:w="880"/>
        <w:gridCol w:w="774"/>
        <w:gridCol w:w="776"/>
        <w:gridCol w:w="794"/>
        <w:gridCol w:w="794"/>
        <w:gridCol w:w="1126"/>
      </w:tblGrid>
      <w:tr>
        <w:trPr/>
        <w:tc>
          <w:tcPr>
            <w:tcW w:w="880"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EMPLOYER:</w:t>
            </w:r>
          </w:p>
          <w:p>
            <w:pPr>
              <w:pStyle w:val="TableContents"/>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Activision Blizzard, Inc.</w:t>
            </w:r>
          </w:p>
          <w:p>
            <w:pPr>
              <w:pStyle w:val="TableContents"/>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Julie Hodges    </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Julie Hodges</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People Officer</w:t>
            </w:r>
          </w:p>
        </w:tc>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EMPLOYEE:</w:t>
            </w:r>
          </w:p>
          <w:p>
            <w:pPr>
              <w:pStyle w:val="TableContents"/>
              <w:spacing w:before="0" w:after="600"/>
              <w:jc w:val="both"/>
              <w:rPr/>
            </w:pPr>
            <w:r>
              <w:rPr/>
            </w:r>
          </w:p>
          <w:p>
            <w:pPr>
              <w:pStyle w:val="TableContents"/>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Robert A. Kotick    </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Robert A. Kotick</w:t>
            </w:r>
          </w:p>
        </w:tc>
      </w:tr>
    </w:tbl>
    <w:p>
      <w:pPr>
        <w:pStyle w:val="TextBody"/>
        <w:spacing w:before="0" w:after="240"/>
        <w:ind w:left="0" w:right="0" w:firstLine="720"/>
        <w:jc w:val="both"/>
        <w:rPr/>
      </w:pPr>
      <w:r>
        <w:rPr/>
      </w:r>
    </w:p>
    <w:p>
      <w:pPr>
        <w:pStyle w:val="TextBody"/>
        <w:spacing w:before="0" w:after="0"/>
        <w:jc w:val="both"/>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54" name="Frame5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Robert A. Kotick, certify that:</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Activision Blizzard, Inc.;</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ind w:left="0" w:right="0" w:hanging="72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2936" w:type="dxa"/>
        <w:jc w:val="center"/>
        <w:tblInd w:w="0" w:type="dxa"/>
        <w:tblCellMar>
          <w:top w:w="28" w:type="dxa"/>
          <w:left w:w="28" w:type="dxa"/>
          <w:bottom w:w="28" w:type="dxa"/>
          <w:right w:w="28" w:type="dxa"/>
        </w:tblCellMar>
      </w:tblPr>
      <w:tblGrid>
        <w:gridCol w:w="124"/>
        <w:gridCol w:w="109"/>
        <w:gridCol w:w="109"/>
        <w:gridCol w:w="759"/>
        <w:gridCol w:w="759"/>
        <w:gridCol w:w="107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ROBERT A. KOTICK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Robert A. Kotick</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 of</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Activision Blizzard, Inc.</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Armin Zerza, certify that:</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Activision Blizzard, Inc.;</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ind w:left="0" w:right="0" w:hanging="7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spacing w:before="0" w:after="120"/>
        <w:rPr/>
      </w:pPr>
      <w:r>
        <w:rPr/>
      </w:r>
    </w:p>
    <w:tbl>
      <w:tblPr>
        <w:tblW w:w="5277" w:type="dxa"/>
        <w:jc w:val="center"/>
        <w:tblInd w:w="0" w:type="dxa"/>
        <w:tblCellMar>
          <w:top w:w="28" w:type="dxa"/>
          <w:left w:w="28" w:type="dxa"/>
          <w:bottom w:w="28" w:type="dxa"/>
          <w:right w:w="28" w:type="dxa"/>
        </w:tblCellMar>
      </w:tblPr>
      <w:tblGrid>
        <w:gridCol w:w="124"/>
        <w:gridCol w:w="109"/>
        <w:gridCol w:w="109"/>
        <w:gridCol w:w="1440"/>
        <w:gridCol w:w="1440"/>
        <w:gridCol w:w="20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20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ARMIN ZERZA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Armin Zerza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Principal Financial Officer of</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Activision Blizzard, Inc.</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jc w:val="center"/>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Activision Blizzard, Inc. (the “Company”) on Form 10-Q for the period ended March 31, 2023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2936" w:type="dxa"/>
        <w:jc w:val="center"/>
        <w:tblInd w:w="0" w:type="dxa"/>
        <w:tblCellMar>
          <w:top w:w="28" w:type="dxa"/>
          <w:left w:w="28" w:type="dxa"/>
          <w:bottom w:w="28" w:type="dxa"/>
          <w:right w:w="28" w:type="dxa"/>
        </w:tblCellMar>
      </w:tblPr>
      <w:tblGrid>
        <w:gridCol w:w="124"/>
        <w:gridCol w:w="109"/>
        <w:gridCol w:w="109"/>
        <w:gridCol w:w="759"/>
        <w:gridCol w:w="759"/>
        <w:gridCol w:w="107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ROBERT A. KOTICK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Robert A. Kotick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 of</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Activision Blizzard, Inc.</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jc w:val="center"/>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Activision Blizzard, Inc. (the “Company”) on Form 10-Q for the period ended March 31, 2023 as filed with the Securities and Exchange Commission on the date hereof (the “Report”), I, Armin Zerza, Chief Financial Officer and Principal Financial Officer of the Company, certify, to my knowledge, pursuant to 18 U.S.C. § 1350, as adopted pursuant to § 906 of the Sarbanes-Oxley Act of 2002, that:</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5277" w:type="dxa"/>
        <w:jc w:val="center"/>
        <w:tblInd w:w="0" w:type="dxa"/>
        <w:tblCellMar>
          <w:top w:w="28" w:type="dxa"/>
          <w:left w:w="28" w:type="dxa"/>
          <w:bottom w:w="28" w:type="dxa"/>
          <w:right w:w="28" w:type="dxa"/>
        </w:tblCellMar>
      </w:tblPr>
      <w:tblGrid>
        <w:gridCol w:w="124"/>
        <w:gridCol w:w="109"/>
        <w:gridCol w:w="109"/>
        <w:gridCol w:w="1440"/>
        <w:gridCol w:w="1440"/>
        <w:gridCol w:w="20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20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ARMIN ZERZA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Armin Zerza</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Principal Financial Officer of</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Activision Blizzard, Inc.</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718877/000110465914044513/a14-14950_1ex3d1.htm" TargetMode="External"/><Relationship Id="rId4" Type="http://schemas.openxmlformats.org/officeDocument/2006/relationships/hyperlink" Target="http://www.sec.gov/Archives/edgar/data/0000718877/000110465922005154/tm223212d3_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22611</Words>
  <CharactersWithSpaces>143755</CharactersWithSpaces>
  <Paragraphs>3454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