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18, 2013 (October 11,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ACTIVISION BLIZZARD,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47" w:orient="portrait"/>
          <w:cols w:equalWidth="0" w:num="1">
            <w:col w:w="11420"/>
          </w:cols>
          <w:pgMar w:left="240" w:top="544" w:right="2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001-15839</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95-4803544</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Identification Number)</w:t>
      </w:r>
    </w:p>
    <w:p>
      <w:pPr>
        <w:spacing w:after="0" w:line="222" w:lineRule="exact"/>
        <w:rPr>
          <w:sz w:val="24"/>
          <w:szCs w:val="24"/>
          <w:color w:val="auto"/>
        </w:rPr>
      </w:pPr>
    </w:p>
    <w:p>
      <w:pPr>
        <w:sectPr>
          <w:pgSz w:w="11900" w:h="16847" w:orient="portrait"/>
          <w:cols w:equalWidth="0" w:num="3">
            <w:col w:w="4020" w:space="720"/>
            <w:col w:w="3300" w:space="720"/>
            <w:col w:w="2660"/>
          </w:cols>
          <w:pgMar w:left="240" w:top="544" w:right="239" w:bottom="0" w:gutter="0" w:footer="0" w:header="0"/>
          <w:type w:val="continuous"/>
        </w:sectPr>
      </w:pPr>
    </w:p>
    <w:p>
      <w:pPr>
        <w:spacing w:after="0" w:line="34"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3100 Ocean Boulevard, Santa</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Monica,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90405</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439" w:lineRule="exact"/>
        <w:rPr>
          <w:sz w:val="24"/>
          <w:szCs w:val="24"/>
          <w:color w:val="auto"/>
        </w:rPr>
      </w:pPr>
    </w:p>
    <w:p>
      <w:pPr>
        <w:sectPr>
          <w:pgSz w:w="11900" w:h="16847" w:orient="portrait"/>
          <w:cols w:equalWidth="0" w:num="2">
            <w:col w:w="7500" w:space="720"/>
            <w:col w:w="3200"/>
          </w:cols>
          <w:pgMar w:left="240" w:top="544" w:right="2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 255-2000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4"/>
          <w:szCs w:val="24"/>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This Current Report on Form 8-K is being filed in connection with the consummation on October 11, 2013 of the transactions contemplated by the Stock Purchase Agreement, dated as of July 25, 2013 (the “Stock Purchase Agreement”), by and among Activision Blizzard, Inc., a Delaware corporation (the “Company”), ASAC II LP, an exempted limited partnership established under the laws of the Cayman Islands (“ASAC”) and acting by ASAC II LLC, its general partner, and Vivendi, S.A.,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organized under the laws of France (the “Seller”). Robert A. Kotick, chief executive officer of the Company, and Brian G. Kelly, chairman of the board of directors (the “Board”) of the Company, are affiliates of ASAC II LLC.</w:t>
      </w:r>
    </w:p>
    <w:p>
      <w:pPr>
        <w:spacing w:after="0" w:line="173" w:lineRule="exact"/>
        <w:rPr>
          <w:sz w:val="24"/>
          <w:szCs w:val="24"/>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On October 10, 2013, the Delaware Supreme Court reversed the previously disclosed order of the Delaware Court of Chancery in </w:t>
      </w:r>
      <w:r>
        <w:rPr>
          <w:rFonts w:ascii="Arial" w:cs="Arial" w:eastAsia="Arial" w:hAnsi="Arial"/>
          <w:sz w:val="17"/>
          <w:szCs w:val="17"/>
          <w:i w:val="1"/>
          <w:iCs w:val="1"/>
          <w:color w:val="auto"/>
        </w:rPr>
        <w:t>Hayes</w:t>
      </w:r>
      <w:r>
        <w:rPr>
          <w:rFonts w:ascii="Arial" w:cs="Arial" w:eastAsia="Arial" w:hAnsi="Arial"/>
          <w:sz w:val="17"/>
          <w:szCs w:val="17"/>
          <w:color w:val="auto"/>
        </w:rPr>
        <w:t xml:space="preserve"> v. </w:t>
      </w:r>
      <w:r>
        <w:rPr>
          <w:rFonts w:ascii="Arial" w:cs="Arial" w:eastAsia="Arial" w:hAnsi="Arial"/>
          <w:sz w:val="17"/>
          <w:szCs w:val="17"/>
          <w:i w:val="1"/>
          <w:iCs w:val="1"/>
          <w:color w:val="auto"/>
        </w:rPr>
        <w:t>Activision</w:t>
      </w:r>
      <w:r>
        <w:rPr>
          <w:rFonts w:ascii="Arial" w:cs="Arial" w:eastAsia="Arial" w:hAnsi="Arial"/>
          <w:sz w:val="17"/>
          <w:szCs w:val="17"/>
          <w:color w:val="auto"/>
        </w:rPr>
        <w:t xml:space="preserve"> </w:t>
      </w:r>
      <w:r>
        <w:rPr>
          <w:rFonts w:ascii="Arial" w:cs="Arial" w:eastAsia="Arial" w:hAnsi="Arial"/>
          <w:sz w:val="17"/>
          <w:szCs w:val="17"/>
          <w:i w:val="1"/>
          <w:iCs w:val="1"/>
          <w:color w:val="auto"/>
        </w:rPr>
        <w:t>Blizzard, Inc.</w:t>
      </w:r>
      <w:r>
        <w:rPr>
          <w:rFonts w:ascii="Arial" w:cs="Arial" w:eastAsia="Arial" w:hAnsi="Arial"/>
          <w:sz w:val="17"/>
          <w:szCs w:val="17"/>
          <w:color w:val="auto"/>
        </w:rPr>
        <w:t>, C.A. No. 8885-VCL, which had entered a preliminary injunction against the consummation of the transactions contemplated by the Stock</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Agreement described herein in the absence of stockholder approval. As a result of the Supreme Court’s ruling, and the subsequent consummation of the transactions, the Company no longer intends to hold the special meeting of stockholders contemplated by the Preliminary Proxy Statement filed by the Company with the Securities and Exchange Commission (“SEC”) on Schedule 14A on September 30, 2013.</w:t>
      </w:r>
    </w:p>
    <w:p>
      <w:pPr>
        <w:spacing w:after="0" w:line="169"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The Purchase Transaction and Private Sale</w:t>
      </w:r>
    </w:p>
    <w:p>
      <w:pPr>
        <w:spacing w:after="0" w:line="225" w:lineRule="exact"/>
        <w:rPr>
          <w:sz w:val="24"/>
          <w:szCs w:val="24"/>
          <w:color w:val="auto"/>
        </w:rPr>
      </w:pPr>
    </w:p>
    <w:p>
      <w:pPr>
        <w:ind w:right="140" w:firstLine="648"/>
        <w:spacing w:after="0" w:line="297" w:lineRule="auto"/>
        <w:rPr>
          <w:sz w:val="20"/>
          <w:szCs w:val="20"/>
          <w:color w:val="auto"/>
        </w:rPr>
      </w:pPr>
      <w:r>
        <w:rPr>
          <w:rFonts w:ascii="Arial" w:cs="Arial" w:eastAsia="Arial" w:hAnsi="Arial"/>
          <w:sz w:val="16"/>
          <w:szCs w:val="16"/>
          <w:color w:val="auto"/>
        </w:rPr>
        <w:t>On October 11, 2013, the Company, upon the terms and subject to the conditions of the Stock Purchase Agreement, acquired all of the capital stock of Amber Holding Subsidiary Co., a Delaware corporation and wholly-owned subsidiary of the Seller (“New VH”), which at the time of purchase was the direct owner of 428,676,471 shares of the Company’s common stock, par value $0.000001 (the “Company Common Stock”), and certain tax attributes, in consideration of a cash payment of $5,830,000,005.60, or $13.60 per share for the shares of Company Common Stock being acquired by the Company (the “Purchase Transaction”). Immediately following the consummation of the Purchase Transaction, ASAC, upon the terms and subject to the conditions of the</w:t>
      </w:r>
    </w:p>
    <w:p>
      <w:pPr>
        <w:sectPr>
          <w:pgSz w:w="11900" w:h="16847" w:orient="portrait"/>
          <w:cols w:equalWidth="0" w:num="1">
            <w:col w:w="11420"/>
          </w:cols>
          <w:pgMar w:left="240" w:top="544" w:right="239" w:bottom="0" w:gutter="0" w:footer="0" w:header="0"/>
          <w:type w:val="continuous"/>
        </w:sectPr>
      </w:pPr>
    </w:p>
    <w:bookmarkStart w:id="1" w:name="page2"/>
    <w:bookmarkEnd w:id="1"/>
    <w:p>
      <w:pPr>
        <w:ind w:right="80"/>
        <w:spacing w:after="0" w:line="259" w:lineRule="auto"/>
        <w:rPr>
          <w:sz w:val="20"/>
          <w:szCs w:val="20"/>
          <w:color w:val="auto"/>
        </w:rPr>
      </w:pPr>
      <w:r>
        <w:rPr>
          <w:rFonts w:ascii="Arial" w:cs="Arial" w:eastAsia="Arial" w:hAnsi="Arial"/>
          <w:sz w:val="18"/>
          <w:szCs w:val="18"/>
          <w:color w:val="auto"/>
        </w:rPr>
        <w:t>Stock Purchase Agreement, purchased from the Seller 171,968,042 shares of Company Common Stock for an aggregate cash payment of $2,338,765,371.20, or $13.60 per share (the “Private Sale,” and together with the Purchase Transaction, the “Transactions”). The Stock Purchase Agreement is described in more detail in the Company’s Current Report on Form 8-K dated July 26, 2013, and a copy of the Stock Purchase Agreement is attached hereto as Exhibit 2.1, and is incorporated herein by reference.</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After giving effect to the Transactions, (i) the Seller holds approximately 83 million shares of Company Common Stock (the “Remaining Shares”), or approximately 12% of the outstanding shares of Company Common Stock, (ii) ASAC holds approximately 172 million shares, or approximately 24.7% of the outstanding shares of Company Common Stock, (iii) the Company holds approximately 429 million shares of Company Common Stock through New VH, which shares are treated as treasury stock of the Company, and (iv) the remaining Company Common Stock is held by the Company’s public shareholders.</w:t>
      </w:r>
    </w:p>
    <w:p>
      <w:pPr>
        <w:spacing w:after="0" w:line="18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Company funded the Purchase Transaction with a combination of approximately $1.23 billion of cash on hand and $4.6 billion of net proceeds received by the Company (net of estimated $150 million of fees, expenses and upfront costs) in connection with debt financing accessed through the capital markets and bank financing. The debt financing includes $1,500 million aggregate principal amount of the Company’s 5.625% Senior Notes due 2021 (the “2021 Notes”) and $750 million aggregate principal amount of the Company’s 6.125% Senior Notes due 2023 (the “2023 Notes” and, together with the 2021 Notes, the “Notes”), the proceeds of which were initially funded into an escrow account on September 19, 2013 and were released on October 11, 2013, concurrent with the consummation of the Purchase Transaction. The Notes are described in more detail in the Company’s Current Report on Form 8-K dated September 19, 2013. The debt financing also includes borrowings under a $2.5 billion seven-year term loan facility entered into contemporaneously with the consummation of the Purchase Transaction (as described in further detail below).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October 11, 2013, the Company entered into a credit agreement (the “Credit Agreement”) governing a $2.5 billion secured term loan facility (the “Term Loan Facility”), which matures on October 11, 2020, and a $250 million secured revolving credit facility (the “Revolver”), which matures on October 11, 2018. The Credit Agreement was entered into by and among the Company, as borrower, certain subsidiaries of the Company, as guarantors, a group of lenders, Bank of America, N.A., as administrative agent and collateral agent for the lenders, J.P. Morgan Securities LLC, as syndication agent, Bank of America Merrill Lynch and J.P. Morgan Securities LLC, as joint lead arrangers and joint bookrunners, and Goldman Sachs &amp; Co., HSBC Securities (USA) Inc., Mistubishi UFJ Securities (USA), Inc., Mizuho Securities USA Inc., RBC Capital Markets, SunTrust Bank and U.S. Bank National Association, as co-documentation agents.</w:t>
      </w:r>
    </w:p>
    <w:p>
      <w:pPr>
        <w:spacing w:after="0" w:line="18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On October 11, 2013, the proceeds of Term Loan Facility borrowings were used to fund the Purchase Transaction and pay fees and expenses associated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Term Loan Facility and the Revolver will bear interest, at the Company’s option, at either (a) a base rate equal to the highest of</w:t>
      </w:r>
    </w:p>
    <w:p>
      <w:pPr>
        <w:spacing w:after="0" w:line="46" w:lineRule="exact"/>
        <w:rPr>
          <w:sz w:val="20"/>
          <w:szCs w:val="20"/>
          <w:color w:val="auto"/>
        </w:rPr>
      </w:pPr>
    </w:p>
    <w:p>
      <w:pPr>
        <w:ind w:right="120" w:firstLine="8"/>
        <w:spacing w:after="0" w:line="268"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federal funds rate, plus 1/2 of 1%, (ii) the prime commercial lending rate of Bank of America, N.A. and (iii) the London Interbank Offered Rate (“LIBOR”) for an interest period of one month beginning on such day plus 1%, or (b) LIBOR, in each case plus an applicable interest margin. Borrowings under the Term Loan Facility will be subject to a LIBOR floor of 0.75%. The applicable interest margin for loans under the Term Loan Facility is 2.50% for LIBOR borrowings and 1.50% for base rate borrowings. The applicable interest margin for loans under the Revolver is initially 2.25% for LIBOR borrowings and 1.25% for base rate borrowings, and after the completion of the Company’s first full fiscal quarter after the closing date, the applicable interest margin will be 2.25% or 2.50% for LIBOR borrowings and 1.25% or 1.50% for base rate borrowings, in each case based upon the Company’s senior secured net leverage ratio. Borrowings under the Revolver may be borrowed, repaid and re-borrowed by the Company and are available for working capital and other general corporate purposes. Up to $50 million of the Revolver may be used for letters of credit.</w:t>
      </w:r>
    </w:p>
    <w:p>
      <w:pPr>
        <w:spacing w:after="0" w:line="18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Three of the Company’s U.S. subsidiaries—Activision Publishing, Inc., Blizzard Entertainment, Inc. and Activision Entertainment Holdings, Inc.— guarantee the obligations of the Company under the Credit Agreement. The Company and the guarantors also granted a security interest in substantially all of their U.S. assets, as security for the obligations under the Credit Agreement.</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Credit Agreement contains customary covenants that place restrictions on, among other things, the incurrence of debt, granting of liens, payment of dividends, sales of assets and mergers and acquisitions. The Credit Agreement also contains a financial covenant that requires the Company to comply with a maximum senior secured net leverage ratio of 2.50 to 1.00 to the extent that its obligations under the Revolver (subject to certain exclusions for letters of credit) exceed 15% of the total facility amount as of the end of any fiscal quarter following the closing date. A violation of any of these covenants could result in an event of default under the Credit Agreement. Upon the occurrence of such event of default or certain other customary events of default, payment of any outstanding amounts under the Credit Agreement may be accelerated, and the lenders’ commitments to extend credit under the Credit Agreement may be terminated. In addition, an event of default under the Credit Agreement could, under certain circumstances, permit the holders of other outstanding unsecured debt (including the Notes) to accelerate the repayment of such obligations.</w:t>
      </w:r>
    </w:p>
    <w:p>
      <w:pPr>
        <w:spacing w:after="0" w:line="17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foregoing summary of the Credit Agreement is qualified in its entirety by reference to the full and complete text of the Credit Agreement, a copy of which is filed as Exhibit 10.1 to this Current Report on Form 8-K and incorporated herein by reference. A copy of the Security Agreement, dated as of October 11, 2013, among the Company, as borrower, the other grantors identified therein and Bank of America, N.A., as collateral agent for the secured parties, is filed as Exhibit 10.2 to this Current Report on Form 8-K and incorporated herein by reference.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closing of the Transactions, the Company also entered into the following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and Restated Investor Agreement</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On October 11, 2013, pursuant to the Stock Purchase Agreement, the Seller, VGAC LLC, a Delaware limited liability company (“VGAC”), Activision Entertainment Holdings, Inc. (f/k/a Vivendi Games, Inc.), a Delaware corporation (“Vivendi Games”), and the Company entered into, at the</w:t>
      </w:r>
    </w:p>
    <w:p>
      <w:pPr>
        <w:sectPr>
          <w:pgSz w:w="11900" w:h="16838" w:orient="portrait"/>
          <w:cols w:equalWidth="0" w:num="1">
            <w:col w:w="11420"/>
          </w:cols>
          <w:pgMar w:left="240" w:top="125" w:right="239" w:bottom="0" w:gutter="0" w:footer="0" w:header="0"/>
        </w:sectPr>
      </w:pPr>
    </w:p>
    <w:bookmarkStart w:id="2" w:name="page3"/>
    <w:bookmarkEnd w:id="2"/>
    <w:p>
      <w:pPr>
        <w:ind w:right="400"/>
        <w:spacing w:after="0" w:line="308" w:lineRule="auto"/>
        <w:rPr>
          <w:sz w:val="20"/>
          <w:szCs w:val="20"/>
          <w:color w:val="auto"/>
        </w:rPr>
      </w:pPr>
      <w:r>
        <w:rPr>
          <w:rFonts w:ascii="Arial" w:cs="Arial" w:eastAsia="Arial" w:hAnsi="Arial"/>
          <w:sz w:val="17"/>
          <w:szCs w:val="17"/>
          <w:color w:val="auto"/>
        </w:rPr>
        <w:t>closing of the Purchase Transaction and Private Sale, an amended and restated investor agreement (the “Investor Agreement”) to amend and restate in its entirety the Investor Agreement, dated as of July 9, 2008 between the Seller, VGAC LLC, Vivendi Games and the Company.</w:t>
      </w:r>
    </w:p>
    <w:p>
      <w:pPr>
        <w:spacing w:after="0" w:line="14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Investor Agreement provides, among other things, that until the six-month anniversary of the first time at which the Seller and its “controlled affiliates”, as defined in the Investor Agreement, no longer beneficially own 5% of the issued and outstanding Company Common Stock, they shall vote, and cause to be voted, all shares of Company Common Stock that represent their shares of Company Common Stock in excess of 9.9% of the issued and outstanding Common Stock (such 9.9%, the “Minority Interest”) (i) in a manner proportionally consistent with the vote of the shares of Company Common Stock not owned by them or (ii) in accordance with the recommendation, if any, of a majority of the independent directors then serving on the Company’s Board. Shares of Company Common Stock owned by the Seller and its controlled affiliates up to the Minority Interest may be voted by the Seller and its controlled affiliates in their sole discretion. The Investor Agreement also provides that the Seller agrees to vote in favor of amendments to the Company’s charter or bylaws proposed by the Company that amend the charter or bylaws in certain circumstances.</w:t>
      </w:r>
    </w:p>
    <w:p>
      <w:pPr>
        <w:spacing w:after="0" w:line="16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Investor Agreement further provides for a standstill on each of the Seller and VGAC, on behalf of themselves and their controlled affiliates, for a period commencing on the date of the Investor Agreement and ending six months after the first date on which the Seller and its controlled affiliates, in the aggregate, beneficially own less than 5% of the issued and outstanding Company Common Stock, during which time the Seller, VGAC and their controlled affiliates may not, among other things, directly or indirectly: (a) acquire, offer or propose to acquire, or agree or seek to acquire, or solicit the acquisition of, by purchase or otherwise, any Company Common Stock (or beneficial ownership thereof) or rights or options to acquire any Company Common Stock (or beneficial ownership thereof) or commence any tender or exchange offer for any Company Common Stock (or beneficial ownership thereof), subject to certain exceptions; or (b) call a meeting of the stockholders of the Company or initiate any stockholder proposal for action by stockholders of the Company or engage in the “solicitation” of “proxies” (as such terms are used in the proxy rules of the SEC) or consents to vote any voting securities of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Investor Agreement also grants to the Seller, its controlled affiliates and each “holder,” as defined in the Investor Agreement, certain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 copy of the Investor Agreement is attached hereto as Exhibit 10.3, and is incorporated herein by reference. The foregoing description of the Investor Agreement is qualified in its entirety by reference to the full text of the Investor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ASAC Stockholders Agreement</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On October 11, 2013, pursuant to the Stock Purchase Agreement, the Company, ASAC and, for the limited purposes set forth in the ASAC Stockholders Agreement (as defined below), Mr. Kotick and Mr. Kelly, entered into, at the closing of the Purchase Transaction and Private Sale, a stockholders agreement (the “ASAC Stockholders Agreement”). The ASAC Stockholders Agreement, provides for, among other things, certain registration rights for ASAC and also imposes certain restrictions on the transfer of ASAC’s (and its controlled affiliates’) shares of Company Common Stock and its acquisition of additional shares of Company Common Stock, subject to the terms and conditions set forth therein.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ASAC Stockholders Agreement provides that prior to the end of the twelve-month period following the closing of the Purchase Transaction and Private Sale, and thereafter during any regularly scheduled black-out period of the Company or any other trading black-out declared by the Company pursuant to its insider trading policies, ASAC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its controlled affiliates are prohibited from transferring or announcing any intention to transfer their shares of Company Common Stock without the prior written consent of the majority of the Unaffiliated Directors, as defined in the ASAC Stockholders Agreement, subject to certain exceptions set forth in the ASAC Stockholders Agreement.</w:t>
      </w:r>
    </w:p>
    <w:p>
      <w:pPr>
        <w:spacing w:after="0" w:line="18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ASAC Stockholders Agreement also provides for a standstill that will prohibit ASAC and its controlled affiliates from, among other things, acquiring additional shares of Company Common Stock, calling a meeting of the stockholders of the Company, initiating any stockholder proposal for action by stockholders of the Company or engaging in the “solicitation” of “proxies” (as such terms are used in the proxy rules of the SEC) or consents to vote any voting securities of the Company, in each case from the closing of the Purchase Transaction and Private Sale until six months after ASAC no longer beneficially own 5% of the issued and outstanding Company Common Stock (subject to certain exceptions set forth in the ASAC Stockholders Agreement).</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copy of the ASAC Stockholders Agreement is attached hereto Exhibit 10.4 and is incorporated herein by reference. The foregoing description of the ASAC Stockholders Agreement is qualified in its entirety by reference to the full text of the ASAC Stockholders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Management Services Termination Agreement</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On October 11, 2013, pursuant to the Stock Purchase Agreement, the Company, the Seller and Coöperatie Activision Blizzard International U.A. entered into, at the closing of the Purchase Transaction and Private Sale, the termination agreement (the “Cash Management Services Termination Agreement”), to modify and terminate the Cash Management Services Agreement, dated June 19, 2008, by and among the Seller, the Company and Activision Blizzard Treasury SAS (the “Cash Management Services Agreement”) and the IP License Agreement, dated as of July 1, 2008, by and among the Company, the Seller and Activision Blizzard Treasury SAS (the “License Agreement”), both of which were assigned by Activision Blizzard Treasury SAS to Coöperatie Activision Blizzard International U.A. The Cash Management Services Termination Agreement provides that the Cash Management Services Agreement shall be terminated as of October 31, 2013 and that the License Agreement shall be void as of that time.</w:t>
      </w:r>
    </w:p>
    <w:p>
      <w:pPr>
        <w:spacing w:after="0" w:line="16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 copy of the Cash Management Services Termination Agreement is attached hereto as Exhibit 10.5, and is incorporated herein by reference. The foregoing description of the Cash Management Services Termination Agreement is qualified in its entirety by reference to the full text of the Cash Management Services Termination Agreement.</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disclosures set forth in Item 1.01 hereof under the heading “Cash Management Services Termination Agreement” are hereby incorporated by reference into this Item 1.02.</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ectPr>
          <w:pgSz w:w="11900" w:h="16838" w:orient="portrait"/>
          <w:cols w:equalWidth="0" w:num="1">
            <w:col w:w="11420"/>
          </w:cols>
          <w:pgMar w:left="240" w:top="125" w:right="239" w:bottom="0" w:gutter="0" w:footer="0" w:header="0"/>
        </w:sectPr>
      </w:pPr>
    </w:p>
    <w:bookmarkStart w:id="3" w:name="page4"/>
    <w:bookmarkEnd w:id="3"/>
    <w:p>
      <w:pPr>
        <w:ind w:right="100"/>
        <w:spacing w:after="0" w:line="264" w:lineRule="auto"/>
        <w:rPr>
          <w:sz w:val="20"/>
          <w:szCs w:val="20"/>
          <w:color w:val="auto"/>
        </w:rPr>
      </w:pPr>
      <w:r>
        <w:rPr>
          <w:rFonts w:ascii="Arial" w:cs="Arial" w:eastAsia="Arial" w:hAnsi="Arial"/>
          <w:sz w:val="18"/>
          <w:szCs w:val="18"/>
          <w:color w:val="auto"/>
        </w:rPr>
        <w:t>The disclosures set forth in Item 1.01 hereof are hereby incorporated by reference into this Item 2.01. The unaudited pro forma condensed statement of operations of the Company for the six months ended June 30, 2013 and the year ended December 31,2012, and unaudited pro forma condensed balance sheet of the Company as of June 30, 2013, and the related notes are filed as Exhibit 99.1.</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set forth in Item 1.01 hereof under the heading “Credit Agreement” are hereby incorporated by reference into this Item 2.03.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Modifications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hereof under the heading “Credit Agreement” are hereby incorporated by reference into this Item 3.03.</w:t>
      </w:r>
    </w:p>
    <w:p>
      <w:pPr>
        <w:spacing w:after="0" w:line="221" w:lineRule="exact"/>
        <w:rPr>
          <w:sz w:val="20"/>
          <w:szCs w:val="20"/>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firstLine="656"/>
        <w:spacing w:after="0" w:line="302" w:lineRule="auto"/>
        <w:tabs>
          <w:tab w:leader="none" w:pos="948"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October 11, 2013, pursuant to the Stock Purchase Agreement and concurrently with the closing of the Transactions, each of the Seller’s designees to the Company’s Board—Philippe G. H. Capron, Jean-Yves Charlier, Frédéric R. Crépin, Jean-François Dubos, Lucian Grainge and Régis Turrini —resigned from his position as a director on the Company’s Board and any committees of the Board to which he was appointed, effective as of the closing of the Transactions. Mr. Kelly, formerly the co-chairman of the board, was appointed as the chairman of the Board in Mr. Capron’s stead.</w:t>
      </w:r>
    </w:p>
    <w:p>
      <w:pPr>
        <w:spacing w:after="0" w:line="154" w:lineRule="exact"/>
        <w:rPr>
          <w:sz w:val="20"/>
          <w:szCs w:val="20"/>
          <w:color w:val="auto"/>
        </w:rPr>
      </w:pPr>
    </w:p>
    <w:p>
      <w:pPr>
        <w:ind w:right="40" w:firstLine="656"/>
        <w:spacing w:after="0" w:line="277"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October 11, 2013, pursuant to the Company’s Second Amended and Restated Bylaws (as described below), each of Elaine P. Wynn and Peter Nolan was elected as a director of the Board, effective immediately after the closing of the Transactions.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Ms. Wynn is a director of Wynn Resorts, a developer and operator of high end hotels and casinos, and has served in that capacity since 2000. Prior to her current position, Ms. Wynn served in a similar capacity as director of Mirage Resorts from 1976 to 2000. Ms. Wynn is the co-chair of the Greater Las Vegas After-School All Stars, the founding chairman of Communities in Schools of Nevada and the chairman of the national board of Communities in Schools. In addition, Ms. Wynn is president of the Nevada State Board of Education. She is also on the board of trustees of the Los Angeles County Museum of Art, the board of trustees of the Kennedy Center for the Performing Arts, the board of the Library of Congress Trust Fund and the board of governors of the Basketball Hall of Fame. Ms. Wynn holds a B.A. in political science from George Washington University.</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Mr. Nolan is the managing partner of Leonard Green &amp; Partners, L.P., a private equity firm and one of the limited partners of ASAC. Prior to becoming a partner at LGP in 1997, Mr. Nolan served as a managing director and the co-head of Donaldson, Lufkin and Jenrette’s Los Angeles Investment Banking Division from 1990 to 1997, as a first vice president in corporate finance at Drexel Burnham Lambert from 1986 to 1990, and as a vice president at Prudential Securities, Inc. from 1982 to 1986. Prior to 1982, Mr. Nolan was an associate at Manufacturers Hanover Trust Company. Mr. Nolan currently serves on the board of directors of AerSale Holdings, Inc., Aspen Dental Management, Inc., Motorsport Aftermarket Group, The Palms Hotel and Casino, and Scitor Corporation, all of which are companies in which LGP has an ownership interest. Mr. Nolan served on the Company’s Board from December 2003 until July 2008, when he resigned in connection with the consummation of the Company’s business combination with Vivendi Games, Inc. Mr. Nolan holds a B.S. degree in agricultural economics and finance and an M.B.A. degree, both from Cornell University.</w:t>
      </w:r>
    </w:p>
    <w:p>
      <w:pPr>
        <w:spacing w:after="0" w:line="16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Company’s Non-Affiliated Director Compensation Program and Stock Ownership Guidelines, as amended and restated by the Board on October 21, 2011 and as described in Exhibit 10.104 of the Company’s Form 10-K for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year ended December 31, 2011, is applicable to each of Ms. Wynn and Mr. Nolan. However, as the Board has indicated that it intends to review and potentially amend that program, it is not yet known what compensation Ms. Wynn or Mr. Nolan will receive for her or his service on the Board.</w:t>
      </w:r>
    </w:p>
    <w:p>
      <w:pPr>
        <w:spacing w:after="0" w:line="124"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As described below, on October 11, 2013, pursuant to the Second Amended and Restated Bylaws, the size of the Board was fixed at seven (7) members, effective immediately after the closing of the Transactions.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5.08</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Amended and Restated Bylaws of Activision Blizzard, Inc.</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On October 11, 2013, in connection with the closing of the Transactions, the Company’s Board adopted the Second Amended and Restated Bylaws of the Company (the “Second Amended and Restated Bylaws”), which amends and restates the Amended and Restated Bylaws of the Company (the “Amended and Restated Bylaws”). The Second Amended and Restated Bylaws amends the Amended and Restated Bylaws to: (i) change the size of the Board from eleven (11) directors to not less than five (5) and not more than eleven (11) directors, with the exact size to be fixed by the Board, (ii) remove certain references specific to Vivendi Designees, as defined in the Amended and Restated Bylaws, and (iii) amend a provision on determination of director compensation amounts.</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Second Amended and Restated Bylaws, which are filed as Exhibit 3.1 to this Current Report on Form 8-K and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October 11, 2013, the Company issued a press release to announce the closing of the Transactions. The press release is filed as Exhibit 99.2 and is incorporated herein by reference.</w:t>
      </w:r>
    </w:p>
    <w:p>
      <w:pPr>
        <w:sectPr>
          <w:pgSz w:w="11900" w:h="16838" w:orient="portrait"/>
          <w:cols w:equalWidth="0" w:num="1">
            <w:col w:w="11420"/>
          </w:cols>
          <w:pgMar w:left="240" w:top="341" w:right="239" w:bottom="0" w:gutter="0" w:footer="0" w:header="0"/>
        </w:sectPr>
      </w:pPr>
    </w:p>
    <w:bookmarkStart w:id="4" w:name="page5"/>
    <w:bookmarkEnd w:id="4"/>
    <w:p>
      <w:pPr>
        <w:ind w:right="40"/>
        <w:spacing w:after="0" w:line="267" w:lineRule="auto"/>
        <w:rPr>
          <w:sz w:val="20"/>
          <w:szCs w:val="20"/>
          <w:color w:val="auto"/>
        </w:rPr>
      </w:pPr>
      <w:r>
        <w:rPr>
          <w:rFonts w:ascii="Arial" w:cs="Arial" w:eastAsia="Arial" w:hAnsi="Arial"/>
          <w:sz w:val="17"/>
          <w:szCs w:val="17"/>
          <w:i w:val="1"/>
          <w:iCs w:val="1"/>
          <w:u w:val="single" w:color="auto"/>
          <w:color w:val="auto"/>
        </w:rPr>
        <w:t>Cautionary Note Regarding Forward-Looking Statements</w:t>
      </w:r>
      <w:r>
        <w:rPr>
          <w:rFonts w:ascii="Arial" w:cs="Arial" w:eastAsia="Arial" w:hAnsi="Arial"/>
          <w:sz w:val="17"/>
          <w:szCs w:val="17"/>
          <w:i w:val="1"/>
          <w:iCs w:val="1"/>
          <w:color w:val="auto"/>
        </w:rPr>
        <w:t>. This Report on Form 8-K and its exhibits contain, or incorporate by reference, certain forward looking statements within the meaning of the Private Securities Litigation Reform Act of 1995. Such statements consist of any statement other than a recitation of historical fact and include, but are not limited to: (1) projections of revenues, expenses, income or loss, earnings or loss per share, cash flow or other financial items; (2) statements of our plans and objectives; (3) statements of future financial or operating performance; (4) statements of assumptions underlying such statements; and (5) statements about the completion, timing and financing of the transactions described herein. The Company generally uses words such as “outlook,” “forecast,” “will,” “could,” “should,” “would,” “to be,” “plans,” “believes,” “may,” “expects,” “intends,” “anticipates,” “estimate,” “future,” “positioned,” “potential,” “project,” “remain,” “scheduled,” “set to,” “subject to,” “upcoming” and other similar expressions to help identify forward looking statements. Forward looking statements are subject to business and economic risk, reflect management’s current expectations, estimates and projections about our business, and are inherently uncertain and difficult to predict. Our actual results could differ materially. Risks and uncertainties that may affect our future results include, but are not limited to, sales levels of the Company’s titles, increasing concentration of titles, shifts in consumer spending trends, the impact of the current macroeconomic environment, the Company’s ability to predict consumer preferences, including interest in specific genres such as first-person action and massively multiplayer online games and preferences among competing hardware platforms, the seasonal and cyclical nature of the interactive game market, changing business models including digital delivery of content, competition including from used games and other forms of entertainment, possible declines in software pricing, product returns and price protection, product delays, adoption rate and availability of new hardware (including peripherals) and related software, particularly during the expected console transition, rapid changes in technology and industry standards, litigation risks and associated costs, protection of proprietary rights, maintenance of relationships with key personnel, customers, licensees, licensors, vendors, and third-party developers, including the ability to attract, retain and develop key personnel and developers that can create high quality “hit” titles, counterparty risks relating to customers, licensees, licensors and manufacturers, domestic and international economic, financial and political conditions and policies, foreign exchange rates and tax</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rates, the identification of suitable future acquisition opportunities and potential challenges associated with geographic expansion, the possibility that expected benefits related to the transactions may not materialize as expected, the transactions not being timely completed, if completed at all, and the other factors identified in “Risk Factors” included in Part II, Item 1A of our Annual Report on Form 10-K for the year ended December 31, 2012, as amended. The forward-looking statements contained herein are based upon information available to us as of the date of this Report on Form 8-K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jc w:val="right"/>
              <w:ind w:right="7391"/>
              <w:spacing w:after="0"/>
              <w:rPr>
                <w:sz w:val="20"/>
                <w:szCs w:val="20"/>
                <w:color w:val="auto"/>
              </w:rPr>
            </w:pPr>
            <w:r>
              <w:rPr>
                <w:rFonts w:ascii="Arial" w:cs="Arial" w:eastAsia="Arial" w:hAnsi="Arial"/>
                <w:sz w:val="18"/>
                <w:szCs w:val="18"/>
                <w:b w:val="1"/>
                <w:bCs w:val="1"/>
                <w:color w:val="auto"/>
                <w:w w:val="99"/>
              </w:rPr>
              <w:t>Financial Statements and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20" w:type="dxa"/>
            <w:vAlign w:val="bottom"/>
          </w:tcPr>
          <w:p>
            <w:pPr>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5"/>
              </w:rPr>
              <w:t>Stock Purchase Agreement, entered into as of July 25, 2013, by and among Activision Blizzard, Inc., ASAC II LP and Vivendi S.A.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(incorporated by reference to Exhibit 2.1 to the Company’s Current Report on Form 8-K dated July 26, 2013).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Second Amended and Restated Bylaws of the Company, adopted as of October 11,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0"/>
              </w:rPr>
              <w:t>Credit Agreement, dated as of October 11, 2013, among the Company, as borrower, certain subsidiaries of the Company, as guarantors,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a group of lenders, Bank of America, N.A., as administrative agent and collateral agent for the lenders, J.P. Morgan Securities LLC, 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3"/>
              </w:rPr>
              <w:t>syndication agent, Bank of America Merrill Lynch and J.P. Morgan Securities LLC, as joint lead arrangers and joint bookrunners,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3"/>
              </w:rPr>
              <w:t>Goldman Sachs &amp; Co., HSBC Securities (USA) Inc., Mistubishi UFJ Securities (USA), Inc., Mizuho Securities USA Inc., RBC Capital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Markets, SunTrust Bank and U.S. Bank National Association, as co-documentation agents.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Security Agreement, dated as of October 11, 2013, among the Company, as borrower, the other grantors identified therein and Bank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America, N.A., as collateral agent for the secured parties.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4"/>
              </w:rPr>
              <w:t>Amended and Restated Investor Agreement, dated as of October 11, 2013, among the Company, the Seller, VGAC and Activision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Entertainment Holdings, Inc. (f/k/a Vivendi Games,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6"/>
              </w:rPr>
              <w:t>ASAC Stockholders Agreement, dated as of October 11, 2013, among ASAC and, for the limited purposes set forth in the ASAC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Stockholders Agreement, Mr. Kotick and Mr. Kelly.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3"/>
              </w:rPr>
              <w:t>Cash Management Services Termination Agreement, dated as of October 11, 2013, among the Company, the Seller and Coöperatie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Activision Blizzard International U.A.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3"/>
              </w:rPr>
              <w:t>Unaudited pro forma condensed statement of operations of Activision Blizzard, Inc. for the six months ended June 30, 2013 and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year ended December 31,2012, and unaudited pro forma condensed balance sheet of Activision Blizzard, Inc. as of June 30, 2013,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the related notes.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Press Release issued by the Company, dated as of October 11,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10400" w:type="dxa"/>
            <w:vAlign w:val="bottom"/>
            <w:gridSpan w:val="3"/>
          </w:tcPr>
          <w:p>
            <w:pPr>
              <w:jc w:val="right"/>
              <w:ind w:right="5571"/>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Activision Blizzard, Inc.</w:t>
      </w:r>
    </w:p>
    <w:p>
      <w:pPr>
        <w:sectPr>
          <w:pgSz w:w="11900" w:h="16838"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w w:val="95"/>
              </w:rPr>
              <w:t>Date: October 18, 2013</w:t>
            </w:r>
          </w:p>
        </w:tc>
        <w:tc>
          <w:tcPr>
            <w:tcW w:w="80" w:type="dxa"/>
            <w:vAlign w:val="bottom"/>
          </w:tcPr>
          <w:p>
            <w:pPr>
              <w:spacing w:after="0"/>
              <w:rPr>
                <w:sz w:val="20"/>
                <w:szCs w:val="20"/>
                <w:color w:val="auto"/>
              </w:rPr>
            </w:pPr>
          </w:p>
        </w:tc>
        <w:tc>
          <w:tcPr>
            <w:tcW w:w="4240" w:type="dxa"/>
            <w:vAlign w:val="bottom"/>
          </w:tcPr>
          <w:p>
            <w:pPr>
              <w:ind w:left="390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0"/>
                <w:szCs w:val="20"/>
                <w:color w:val="auto"/>
              </w:rPr>
            </w:pPr>
          </w:p>
        </w:tc>
        <w:tc>
          <w:tcPr>
            <w:tcW w:w="5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Dennis Durkin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Dennis Durkin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30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40" w:type="dxa"/>
            <w:vAlign w:val="bottom"/>
            <w:gridSpan w:val="3"/>
          </w:tcPr>
          <w:p>
            <w:pPr>
              <w:jc w:val="center"/>
              <w:ind w:right="177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640" w:type="dxa"/>
            <w:vAlign w:val="bottom"/>
          </w:tcPr>
          <w:p>
            <w:pPr>
              <w:ind w:left="1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2"/>
              </w:rPr>
              <w:t>Stock Purchase Agreement, entered into as of July 25, 2013, by and among Activision Blizzard, Inc., ASAC II LP and Vivendi S.A.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rPr>
              <w:t>(incorporated by reference to Exhibit 2.1 to the Company’s Current Report on Form 8-K dated July 26, 2013).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40" w:type="dxa"/>
            <w:vAlign w:val="bottom"/>
          </w:tcPr>
          <w:p>
            <w:pPr>
              <w:ind w:left="1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rPr>
              <w:t>Second Amended and Restated Bylaws of the Company, adopted as of October 11,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40" w:type="dxa"/>
            <w:vAlign w:val="bottom"/>
          </w:tcPr>
          <w:p>
            <w:pPr>
              <w:ind w:left="1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6"/>
              </w:rPr>
              <w:t>Credit Agreement, dated as of October 11, 2013, among the Company, as borrower, certain subsidiaries of the Company, as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4"/>
              </w:rPr>
              <w:t>guarantors, a group of lenders, Bank of America, N.A., as administrative agent and collateral agent for the lenders, J.P. Morgan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3"/>
              </w:rPr>
              <w:t>Securities LLC, as syndication agent, Bank of America Merrill Lynch and J.P. Morgan Securities LLC, as joint lead arrangers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8"/>
              </w:rPr>
              <w:t>joint bookrunners, and Goldman Sachs &amp; Co., HSBC Securities (USA) Inc., Mistubishi UFJ Securities (USA), Inc., Mizuho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5"/>
              </w:rPr>
              <w:t>Securities USA Inc., RBC Capital Markets, SunTrust Bank and U.S. Bank National Association, as co-documentation agents.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640" w:type="dxa"/>
            <w:vAlign w:val="bottom"/>
          </w:tcPr>
          <w:p>
            <w:pPr>
              <w:ind w:left="1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0"/>
              </w:rPr>
              <w:t>Security Agreement, dated as of October 11, 2013, among the Company, as borrower, the other grantors identified therein and Bank</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rPr>
              <w:t>of America, N.A., as collateral agent for the secured parties.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640" w:type="dxa"/>
            <w:vAlign w:val="bottom"/>
          </w:tcPr>
          <w:p>
            <w:pPr>
              <w:ind w:left="1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2"/>
              </w:rPr>
              <w:t>Amended and Restated Investor Agreement, dated as of October 11, 2013, among the Company, the Seller, VGAC and Activision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gridSpan w:val="2"/>
          </w:tcPr>
          <w:p>
            <w:pPr>
              <w:ind w:left="80"/>
              <w:spacing w:after="0"/>
              <w:rPr>
                <w:sz w:val="20"/>
                <w:szCs w:val="20"/>
                <w:color w:val="auto"/>
              </w:rPr>
            </w:pPr>
            <w:r>
              <w:rPr>
                <w:rFonts w:ascii="Arial" w:cs="Arial" w:eastAsia="Arial" w:hAnsi="Arial"/>
                <w:sz w:val="18"/>
                <w:szCs w:val="18"/>
                <w:color w:val="auto"/>
                <w:w w:val="94"/>
              </w:rPr>
              <w:t>Entertainment Holdings, Inc. (f/k/a Vivendi Games, Inc.).</w:t>
            </w:r>
          </w:p>
        </w:tc>
        <w:tc>
          <w:tcPr>
            <w:tcW w:w="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640" w:type="dxa"/>
            <w:vAlign w:val="bottom"/>
          </w:tcPr>
          <w:p>
            <w:pPr>
              <w:ind w:left="1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3"/>
              </w:rPr>
              <w:t>ASAC Stockholders Agreement, dated as of October 11, 2013, among ASAC and, for the limited purposes set forth in the ASAC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Stockholders Agreement, Mr. Kotick and Mr. Kelly.</w:t>
            </w:r>
          </w:p>
        </w:tc>
        <w:tc>
          <w:tcPr>
            <w:tcW w:w="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640" w:type="dxa"/>
            <w:vAlign w:val="bottom"/>
          </w:tcPr>
          <w:p>
            <w:pPr>
              <w:ind w:left="1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0"/>
              </w:rPr>
              <w:t>Cash Management Services Termination Agreement, dated as of October 11, 2013, among the Company, the Seller and Coöperatie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Activision Blizzard International U.A.</w:t>
            </w:r>
          </w:p>
        </w:tc>
        <w:tc>
          <w:tcPr>
            <w:tcW w:w="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640" w:type="dxa"/>
            <w:vAlign w:val="bottom"/>
          </w:tcPr>
          <w:p>
            <w:pPr>
              <w:ind w:left="14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1"/>
              </w:rPr>
              <w:t>Unaudited pro forma condensed statement of operations of Activision Blizzard, Inc. for the six months ended June 30, 2013 and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w w:val="91"/>
              </w:rPr>
              <w:t>year ended December 31,2012, and unaudited pro forma condensed balance sheet of Activision Blizzard, Inc. as of June 30, 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and the related notes.</w:t>
            </w:r>
          </w:p>
        </w:tc>
        <w:tc>
          <w:tcPr>
            <w:tcW w:w="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40" w:type="dxa"/>
            <w:vAlign w:val="bottom"/>
          </w:tcPr>
          <w:p>
            <w:pPr>
              <w:ind w:left="140"/>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24"/>
                <w:szCs w:val="24"/>
                <w:color w:val="auto"/>
              </w:rPr>
            </w:pPr>
          </w:p>
        </w:tc>
        <w:tc>
          <w:tcPr>
            <w:tcW w:w="9620" w:type="dxa"/>
            <w:vAlign w:val="bottom"/>
            <w:gridSpan w:val="4"/>
          </w:tcPr>
          <w:p>
            <w:pPr>
              <w:ind w:left="80"/>
              <w:spacing w:after="0"/>
              <w:rPr>
                <w:sz w:val="20"/>
                <w:szCs w:val="20"/>
                <w:color w:val="auto"/>
              </w:rPr>
            </w:pPr>
            <w:r>
              <w:rPr>
                <w:rFonts w:ascii="Arial" w:cs="Arial" w:eastAsia="Arial" w:hAnsi="Arial"/>
                <w:sz w:val="18"/>
                <w:szCs w:val="18"/>
                <w:color w:val="auto"/>
              </w:rPr>
              <w:t>Press Release issued by the Company, dated as of October 11,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gridSpan w:val="2"/>
          </w:tcPr>
          <w:p>
            <w:pPr>
              <w:jc w:val="right"/>
              <w:ind w:right="27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11"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Activision Blizzard, Inc. (the “</w:t>
      </w:r>
      <w:r>
        <w:rPr>
          <w:rFonts w:ascii="Arial" w:cs="Arial" w:eastAsia="Arial" w:hAnsi="Arial"/>
          <w:sz w:val="18"/>
          <w:szCs w:val="18"/>
          <w:i w:val="1"/>
          <w:iCs w:val="1"/>
          <w:color w:val="auto"/>
        </w:rPr>
        <w:t>Corporation</w:t>
      </w:r>
      <w:r>
        <w:rPr>
          <w:rFonts w:ascii="Arial" w:cs="Arial" w:eastAsia="Arial" w:hAnsi="Arial"/>
          <w:sz w:val="18"/>
          <w:szCs w:val="18"/>
          <w:color w:val="auto"/>
        </w:rPr>
        <w:t>”) within the State of Delaware shall be established and maintained at the location of the registered agent of the Corporation. The Corporation was originally organized as Activision Holdings, Inc. and was formerly known as Activision, Inc.</w:t>
      </w:r>
    </w:p>
    <w:p>
      <w:pPr>
        <w:spacing w:after="0" w:line="18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have other offices, either within or without the State of Delaware, at such place or places as the Board of Directors may from time to time appoint or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w:t>
      </w:r>
    </w:p>
    <w:p>
      <w:pPr>
        <w:spacing w:after="0" w:line="211"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Place of Stockholders’ Meetings</w:t>
      </w:r>
      <w:r>
        <w:rPr>
          <w:rFonts w:ascii="Arial" w:cs="Arial" w:eastAsia="Arial" w:hAnsi="Arial"/>
          <w:sz w:val="17"/>
          <w:szCs w:val="17"/>
          <w:color w:val="auto"/>
        </w:rPr>
        <w:t>. All meetings of the stockholders of the Corporation shall be held at such place or places, within or without the State of Delaware as may be fixed by the Board of Directors from time to time or as shall be specified in the respective notices thereof.</w:t>
      </w:r>
    </w:p>
    <w:p>
      <w:pPr>
        <w:spacing w:after="0" w:line="147"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Date and Hour of Annual Meetings of Stockholders</w:t>
      </w:r>
      <w:r>
        <w:rPr>
          <w:rFonts w:ascii="Arial" w:cs="Arial" w:eastAsia="Arial" w:hAnsi="Arial"/>
          <w:sz w:val="18"/>
          <w:szCs w:val="18"/>
          <w:color w:val="auto"/>
        </w:rPr>
        <w:t>. An annual meeting of stockholders shall be held each year at such place, on such date, and at such time as the Board of Directors shall each year fix.</w:t>
      </w:r>
    </w:p>
    <w:p>
      <w:pPr>
        <w:spacing w:after="0" w:line="170" w:lineRule="exact"/>
        <w:rPr>
          <w:sz w:val="20"/>
          <w:szCs w:val="20"/>
          <w:color w:val="auto"/>
        </w:rPr>
      </w:pPr>
    </w:p>
    <w:p>
      <w:pPr>
        <w:ind w:right="200" w:firstLine="1297"/>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Purposes of Annual Meetings; Election of Directors</w:t>
      </w:r>
      <w:r>
        <w:rPr>
          <w:rFonts w:ascii="Arial" w:cs="Arial" w:eastAsia="Arial" w:hAnsi="Arial"/>
          <w:sz w:val="18"/>
          <w:szCs w:val="18"/>
          <w:color w:val="auto"/>
        </w:rPr>
        <w:t>. At each annual meeting, the stockholders shall elect the members of the Board of Directors for the succeeding year. Directors shall be nominated for election at the annual meeting in accordance with the Sections 3.2, 3.3 and 3.10(c) and shall be elected by stockholders by ballot at the annual meeting, unless they are elected by written consent in lieu of an annual meeting as permitted under the General Corporation Law of the State of Delaware, as the same exists or may hereafter be amended (the “</w:t>
      </w:r>
      <w:r>
        <w:rPr>
          <w:rFonts w:ascii="Arial" w:cs="Arial" w:eastAsia="Arial" w:hAnsi="Arial"/>
          <w:sz w:val="18"/>
          <w:szCs w:val="18"/>
          <w:i w:val="1"/>
          <w:iCs w:val="1"/>
          <w:color w:val="auto"/>
        </w:rPr>
        <w:t>DGCL</w:t>
      </w:r>
      <w:r>
        <w:rPr>
          <w:rFonts w:ascii="Arial" w:cs="Arial" w:eastAsia="Arial" w:hAnsi="Arial"/>
          <w:sz w:val="18"/>
          <w:szCs w:val="18"/>
          <w:color w:val="auto"/>
        </w:rPr>
        <w:t>”). At any such annual meeting any further proper business may be transacted.</w:t>
      </w:r>
    </w:p>
    <w:p>
      <w:pPr>
        <w:spacing w:after="0" w:line="188"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Except as required by law and subject to the rights of the holders of any series of Preferred Stock of the Corporation established pursuant to the provisions of the Certificate of Incorporation, special meetings of stockholders may be called only by the Board of Directors pursuant to a resolution approved by a majority of the then authorized number of directors. Stockholders of the Corporation are not permitted to call a special meeting or to require that the Board of Directors call a special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stockholders. The business permitted at any special meeting of stockholders shall be limited to the business brought before the meeting by or at the direction of the Board of Directors.</w:t>
      </w:r>
    </w:p>
    <w:p>
      <w:pPr>
        <w:spacing w:after="0" w:line="170"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Notice of Meetings of Stockholders</w:t>
      </w:r>
      <w:r>
        <w:rPr>
          <w:rFonts w:ascii="Arial" w:cs="Arial" w:eastAsia="Arial" w:hAnsi="Arial"/>
          <w:sz w:val="17"/>
          <w:szCs w:val="17"/>
          <w:color w:val="auto"/>
        </w:rPr>
        <w:t>. Except as otherwise expressly required or permitted by law, not less than ten (10) days nor more than sixty (60) days before the date of every stockholders’ meeting the Secretary shall give to each stockholder of record entitled to vote at such meeting written notice, (i) delivered by hand, (ii) sent by telecopier, provided that a copy is mailed, postage prepaid, (iii) sent by Express Mail, Federal Express or other express delivery service, (iv) sent by telegram, (v) sent by electronic transmission or (vi) the mailing thereof by first-class mail, postage prepaid, stating the place, date and hour of the meeting and, in the case of a special meeting, the purpose or purposes for which the meeting is called. Such notice, if mailed, shall be deemed to be given when deposited in the United States mail, postage prepaid, directed to the stockholder at his address for notices to such stockholder as it appears on the records of the Corporation. Notice given by electronic transmission shall be effective as follows: (a) if by facsimile, when faxed to a number where the stockholder has consented to receive notice; (b) if by electronic mail, when mailed electronically to an electronic mail address at which the stockholder has consented to receive such notice; (c) if by posting on an electronic network together with a separate notice of such posting, upon the later to occur of (1) the posting or (2) the giving of separate notice of the posting; or (d) if by other form of electronic communication, when directed to the stockholder in the manner consented to by the stockholder.</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Quorum of Stockholders</w:t>
      </w:r>
      <w:r>
        <w:rPr>
          <w:rFonts w:ascii="Arial" w:cs="Arial" w:eastAsia="Arial" w:hAnsi="Arial"/>
          <w:sz w:val="16"/>
          <w:szCs w:val="16"/>
          <w:color w:val="auto"/>
        </w:rPr>
        <w:t>.</w:t>
      </w:r>
    </w:p>
    <w:p>
      <w:pPr>
        <w:spacing w:after="0" w:line="225" w:lineRule="exact"/>
        <w:rPr>
          <w:sz w:val="20"/>
          <w:szCs w:val="20"/>
          <w:color w:val="auto"/>
        </w:rPr>
      </w:pPr>
    </w:p>
    <w:p>
      <w:pPr>
        <w:jc w:val="both"/>
        <w:ind w:right="60" w:firstLine="1305"/>
        <w:spacing w:after="0" w:line="264" w:lineRule="auto"/>
        <w:tabs>
          <w:tab w:leader="none" w:pos="1942" w:val="left"/>
        </w:tabs>
        <w:numPr>
          <w:ilvl w:val="0"/>
          <w:numId w:val="5"/>
        </w:numPr>
        <w:rPr>
          <w:rFonts w:ascii="Arial" w:cs="Arial" w:eastAsia="Arial" w:hAnsi="Arial"/>
          <w:sz w:val="18"/>
          <w:szCs w:val="18"/>
          <w:color w:val="auto"/>
        </w:rPr>
      </w:pPr>
      <w:r>
        <w:rPr>
          <w:rFonts w:ascii="Arial" w:cs="Arial" w:eastAsia="Arial" w:hAnsi="Arial"/>
          <w:sz w:val="18"/>
          <w:szCs w:val="18"/>
          <w:color w:val="auto"/>
        </w:rPr>
        <w:t>Unless otherwise provided by the Certificate of Incorporation or these by-laws, at any meeting of the stockholders, the presence in person or by proxy of the holders of a majority of the voting power of the outstanding shares of the Corporation entitled to vote at the meeting, represented in person or by proxy, shall constitute a quorum at a meeting of stockholders.</w:t>
      </w:r>
    </w:p>
    <w:p>
      <w:pPr>
        <w:spacing w:after="0" w:line="181" w:lineRule="exact"/>
        <w:rPr>
          <w:rFonts w:ascii="Arial" w:cs="Arial" w:eastAsia="Arial" w:hAnsi="Arial"/>
          <w:sz w:val="18"/>
          <w:szCs w:val="18"/>
          <w:color w:val="auto"/>
        </w:rPr>
      </w:pPr>
    </w:p>
    <w:p>
      <w:pPr>
        <w:ind w:right="100" w:firstLine="1305"/>
        <w:spacing w:after="0" w:line="302" w:lineRule="auto"/>
        <w:tabs>
          <w:tab w:leader="none" w:pos="1952"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any meeting of the stockholders at which a quorum shall be present, a majority of those present in person or by proxy may adjourn the meeting from time to time without notice other than announcement at the meeting. In the absence of a quorum, the person presiding thereat shall have power to adjourn the meeting from time to time until a quorum shall be present. Notice of any adjourned meeting, other than announcement at the meeting, shall not be required to be given, except as provided in paragraph (d) below and except where expressly required by law.</w:t>
      </w:r>
    </w:p>
    <w:p>
      <w:pPr>
        <w:spacing w:after="0" w:line="154" w:lineRule="exact"/>
        <w:rPr>
          <w:rFonts w:ascii="Arial" w:cs="Arial" w:eastAsia="Arial" w:hAnsi="Arial"/>
          <w:sz w:val="16"/>
          <w:szCs w:val="16"/>
          <w:color w:val="auto"/>
        </w:rPr>
      </w:pPr>
    </w:p>
    <w:p>
      <w:pPr>
        <w:ind w:right="60" w:firstLine="1305"/>
        <w:spacing w:after="0" w:line="264" w:lineRule="auto"/>
        <w:tabs>
          <w:tab w:leader="none" w:pos="19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any adjourned session at which a quorum shall be present, any business may be transacted which might have been transacted at the meeting originally called but only those stockholders entitled to vote at the meeting as originally noticed shall be entitled to vote at any adjournment or adjournments thereof, unless a new record date is fixed by the Board of Directors.</w:t>
      </w:r>
    </w:p>
    <w:p>
      <w:pPr>
        <w:spacing w:after="0" w:line="181" w:lineRule="exact"/>
        <w:rPr>
          <w:rFonts w:ascii="Arial" w:cs="Arial" w:eastAsia="Arial" w:hAnsi="Arial"/>
          <w:sz w:val="18"/>
          <w:szCs w:val="18"/>
          <w:color w:val="auto"/>
        </w:rPr>
      </w:pPr>
    </w:p>
    <w:p>
      <w:pPr>
        <w:ind w:right="200" w:firstLine="1305"/>
        <w:spacing w:after="0" w:line="277" w:lineRule="auto"/>
        <w:tabs>
          <w:tab w:leader="none" w:pos="19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 adjournment is for more than thirty days, or if after the adjournment a new record date is fixed for the adjourned meeting, a notice of the adjourned meeting shall be given to each stockholder of record entitled to vote at the meeting.</w:t>
      </w:r>
    </w:p>
    <w:p>
      <w:pPr>
        <w:sectPr>
          <w:pgSz w:w="11900" w:h="16838" w:orient="portrait"/>
          <w:cols w:equalWidth="0" w:num="1">
            <w:col w:w="11420"/>
          </w:cols>
          <w:pgMar w:left="240" w:top="121" w:right="239" w:bottom="111"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11" w:gutter="0" w:footer="0" w:header="0"/>
          <w:type w:val="continuous"/>
        </w:sectPr>
      </w:pPr>
    </w:p>
    <w:bookmarkStart w:id="7" w:name="page8"/>
    <w:bookmarkEnd w:id="7"/>
    <w:p>
      <w:pPr>
        <w:ind w:right="60" w:firstLine="1297"/>
        <w:spacing w:after="0" w:line="26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Presiding Person and Secretary of Meeting</w:t>
      </w:r>
      <w:r>
        <w:rPr>
          <w:rFonts w:ascii="Arial" w:cs="Arial" w:eastAsia="Arial" w:hAnsi="Arial"/>
          <w:sz w:val="18"/>
          <w:szCs w:val="18"/>
          <w:color w:val="auto"/>
        </w:rPr>
        <w:t>. The Chief Executive Officer, or, in his absence, a person designated by the Chief Executive Officer, shall preside at meetings of the stockholders. The Secretary or, in his absence, an Assistant Secretary, shall act as secretary of the meeting, or if neither is present, then the presiding person may appoint a person to act as secretary of the meeting.</w:t>
      </w:r>
    </w:p>
    <w:p>
      <w:pPr>
        <w:spacing w:after="0" w:line="181"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Voting by Stockholders</w:t>
      </w:r>
      <w:r>
        <w:rPr>
          <w:rFonts w:ascii="Arial" w:cs="Arial" w:eastAsia="Arial" w:hAnsi="Arial"/>
          <w:sz w:val="18"/>
          <w:szCs w:val="18"/>
          <w:color w:val="auto"/>
        </w:rPr>
        <w:t>. Except as may be otherwise provided by the Certificate of Incorporation or these by-laws, at every meeting of the stockholders each stockholder shall be entitled to one (1) vote for each share of stock standing in his name on the books of the Corporation on the record date for the meeting. Except as otherwise required by law, the Certificate of Incorporation or these by-laws, all elections and questions, including the election of directors, shall be decided by the vote of a majority in interest of the stockholders present in person or represented by proxy and entitled to vote at the meeting.</w:t>
      </w:r>
    </w:p>
    <w:p>
      <w:pPr>
        <w:spacing w:after="0" w:line="188" w:lineRule="exact"/>
        <w:rPr>
          <w:sz w:val="20"/>
          <w:szCs w:val="20"/>
          <w:color w:val="auto"/>
        </w:rPr>
      </w:pPr>
    </w:p>
    <w:p>
      <w:pPr>
        <w:ind w:right="280" w:firstLine="1297"/>
        <w:spacing w:after="0" w:line="255"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Proxies</w:t>
      </w:r>
      <w:r>
        <w:rPr>
          <w:rFonts w:ascii="Arial" w:cs="Arial" w:eastAsia="Arial" w:hAnsi="Arial"/>
          <w:sz w:val="18"/>
          <w:szCs w:val="18"/>
          <w:color w:val="auto"/>
        </w:rPr>
        <w:t>. Any stockholder entitled to vote at any meeting of stockholders may vote either in person or by proxy authorized in a manner permitted by Section 212 of the DGCL or any successor provision. Any copy, facsimile telecommunication or other reliable reproduction of the writing or transmission created to authorize another person or persons to act for a stockholder as proxy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Without affecting any vote previously taken, a stockholder may revoke any proxy that is not irrevocable by attending the meeting and voting in person, by giving notice thereof to the Secretary of the Corporation or by a later appointment of a proxy.</w:t>
      </w:r>
    </w:p>
    <w:p>
      <w:pPr>
        <w:spacing w:after="0" w:line="189"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Inspectors</w:t>
      </w:r>
      <w:r>
        <w:rPr>
          <w:rFonts w:ascii="Arial" w:cs="Arial" w:eastAsia="Arial" w:hAnsi="Arial"/>
          <w:sz w:val="18"/>
          <w:szCs w:val="18"/>
          <w:color w:val="auto"/>
        </w:rPr>
        <w:t>. The election of directors and any other vote by ballot at any meeting of the stockholders shall be supervised by at least two (2) inspectors. Such inspectors may be appointed by the presiding person before or at the meeting; or if one or both inspectors so appointed shall refuse to serve or shall not be present, such appointment shall be made by the person presiding at the meeting.</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List of Stockholders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64" w:lineRule="auto"/>
        <w:tabs>
          <w:tab w:leader="none" w:pos="1942"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ten (10) days before every meeting of stockholders the Secretary shall prepare and make a complete list of the stockholders entitled to vote at the meeting, arranged in alphabetical order, and showing the address of each stockholder and the number of shares registered in the name of each stockholder.</w:t>
      </w:r>
    </w:p>
    <w:p>
      <w:pPr>
        <w:spacing w:after="0" w:line="181" w:lineRule="exact"/>
        <w:rPr>
          <w:rFonts w:ascii="Arial" w:cs="Arial" w:eastAsia="Arial" w:hAnsi="Arial"/>
          <w:sz w:val="18"/>
          <w:szCs w:val="18"/>
          <w:color w:val="auto"/>
        </w:rPr>
      </w:pPr>
    </w:p>
    <w:p>
      <w:pPr>
        <w:ind w:right="40" w:firstLine="1305"/>
        <w:spacing w:after="0" w:line="277" w:lineRule="auto"/>
        <w:tabs>
          <w:tab w:leader="none" w:pos="1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ordinary business hours, for a period of at least ten (10) days prior to the meeting, such list shall be open to examination by any stockholder for any purpose germane to the meeting, at the Corporation’s principal place of business.</w:t>
      </w:r>
    </w:p>
    <w:p>
      <w:pPr>
        <w:spacing w:after="0" w:line="170" w:lineRule="exact"/>
        <w:rPr>
          <w:rFonts w:ascii="Arial" w:cs="Arial" w:eastAsia="Arial" w:hAnsi="Arial"/>
          <w:sz w:val="18"/>
          <w:szCs w:val="18"/>
          <w:color w:val="auto"/>
        </w:rPr>
      </w:pPr>
    </w:p>
    <w:p>
      <w:pPr>
        <w:ind w:right="200" w:firstLine="1305"/>
        <w:spacing w:after="0" w:line="277" w:lineRule="auto"/>
        <w:tabs>
          <w:tab w:leader="none" w:pos="1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list shall also be produced and kept at the time and place of the meeting during the whole time of the meeting, and it may be inspected by any stockholder who is present.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77" w:lineRule="auto"/>
        <w:tabs>
          <w:tab w:leader="none" w:pos="19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stock ledger shall be the only evidence as to who are the stockholders entitled to examine the stock ledger, the list required by this Section 2.11 or the books of the Corporation, or to vote in person or by proxy at any meeting of stockholders.</w:t>
      </w:r>
    </w:p>
    <w:p>
      <w:pPr>
        <w:spacing w:after="0" w:line="170" w:lineRule="exact"/>
        <w:rPr>
          <w:rFonts w:ascii="Arial" w:cs="Arial" w:eastAsia="Arial" w:hAnsi="Arial"/>
          <w:sz w:val="18"/>
          <w:szCs w:val="18"/>
          <w:color w:val="auto"/>
        </w:rPr>
      </w:pPr>
    </w:p>
    <w:p>
      <w:pPr>
        <w:ind w:right="180" w:firstLine="1305"/>
        <w:spacing w:after="0" w:line="277" w:lineRule="auto"/>
        <w:tabs>
          <w:tab w:leader="none" w:pos="1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the Corporation determines to make the list available on an electronic network, the Corporation may take reasonable steps to ensure the information is available only to stockholders.</w:t>
      </w:r>
    </w:p>
    <w:p>
      <w:pPr>
        <w:spacing w:after="0" w:line="170"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Procedure at Stockholders’ Meetings</w:t>
      </w:r>
      <w:r>
        <w:rPr>
          <w:rFonts w:ascii="Arial" w:cs="Arial" w:eastAsia="Arial" w:hAnsi="Arial"/>
          <w:sz w:val="16"/>
          <w:szCs w:val="16"/>
          <w:color w:val="auto"/>
        </w:rPr>
        <w:t>. Except as otherwise provided by these by-laws or any resolutions adopted by the stockholders or Board of Directors, the order of business and all other matters of procedure at every meeting of stockholders shall be determined by the presiding person. Following the presentation of any resolution to any meeting of stockholders, the presiding person may announce that further discussion on such resolution shall be limited. After such persons, or such a lesser number thereof as shall advise the presiding person of their desire so to speak, shall have spoken on such resolution, the presiding person may direct a vote on such resolution without further discussion thereon at the meeting.</w:t>
      </w:r>
    </w:p>
    <w:p>
      <w:pPr>
        <w:spacing w:after="0" w:line="158" w:lineRule="exact"/>
        <w:rPr>
          <w:sz w:val="20"/>
          <w:szCs w:val="20"/>
          <w:color w:val="auto"/>
        </w:rPr>
      </w:pPr>
    </w:p>
    <w:p>
      <w:pPr>
        <w:ind w:right="140" w:firstLine="1297"/>
        <w:spacing w:after="0" w:line="270"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Action By Consent Without Meeting</w:t>
      </w:r>
      <w:r>
        <w:rPr>
          <w:rFonts w:ascii="Arial" w:cs="Arial" w:eastAsia="Arial" w:hAnsi="Arial"/>
          <w:sz w:val="17"/>
          <w:szCs w:val="17"/>
          <w:color w:val="auto"/>
        </w:rPr>
        <w:t>. Unless otherwise provided by the Certificate of Incorporation, any action required to be taken at any annual or special meeting of stockholders, or any action which may be taken at any annual or special meeting (a “</w:t>
      </w:r>
      <w:r>
        <w:rPr>
          <w:rFonts w:ascii="Arial" w:cs="Arial" w:eastAsia="Arial" w:hAnsi="Arial"/>
          <w:sz w:val="17"/>
          <w:szCs w:val="17"/>
          <w:i w:val="1"/>
          <w:iCs w:val="1"/>
          <w:color w:val="auto"/>
        </w:rPr>
        <w:t>Stockholder Action</w:t>
      </w:r>
      <w:r>
        <w:rPr>
          <w:rFonts w:ascii="Arial" w:cs="Arial" w:eastAsia="Arial" w:hAnsi="Arial"/>
          <w:sz w:val="17"/>
          <w:szCs w:val="17"/>
          <w:color w:val="auto"/>
        </w:rPr>
        <w:t xml:space="preserve">”), may be taken without a meeting, without prior notice and without a vote, if a consent in writing, setting forth the Stockholder Action so taken, shall be signed by the holders of outstanding stock having not less than the minimum number of votes that would be necessary to authorize or take such Stockholder Action at a meeting at which all shares entitled to vote thereon were present and voted. Prompt notice of the taking of the Stockholder Action without a meeting by less than unanimous written consent shall be given to those stockholders who have not consented in writing;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prior to the first occurrence of a Triggering Event, no such Stockholder Action (other than the removal of any Vivendi Designee or an action approved by the majority of the Board of Directors, including a majority of the Independent Directors) shall be effective until the thirtieth (30th) day following delivery of notice of such Stockholder Action to those stockholders who have not consented in writing.</w:t>
      </w:r>
    </w:p>
    <w:p>
      <w:pPr>
        <w:spacing w:after="0" w:line="18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Notice of Stockholder Business and Nominations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88" w:lineRule="auto"/>
        <w:tabs>
          <w:tab w:leader="none" w:pos="1942" w:val="left"/>
        </w:tabs>
        <w:numPr>
          <w:ilvl w:val="1"/>
          <w:numId w:val="8"/>
        </w:numPr>
        <w:rPr>
          <w:rFonts w:ascii="Arial" w:cs="Arial" w:eastAsia="Arial" w:hAnsi="Arial"/>
          <w:sz w:val="16"/>
          <w:szCs w:val="16"/>
          <w:color w:val="auto"/>
        </w:rPr>
      </w:pPr>
      <w:r>
        <w:rPr>
          <w:rFonts w:ascii="Arial" w:cs="Arial" w:eastAsia="Arial" w:hAnsi="Arial"/>
          <w:sz w:val="16"/>
          <w:szCs w:val="16"/>
          <w:color w:val="auto"/>
        </w:rPr>
        <w:t>Subject to the rights of holders of any series of Preferred Stock established pursuant to the provisions of the Certificate of Incorporation and the provisions of Article III of these by-laws, nominations of persons for election to the Board of Directors and the proposal of business to be transacted by the stockholders may be made at an annual meeting of stockholders (i) pursuant to the Corporation’s notice with respect to such meeting,</w:t>
      </w:r>
    </w:p>
    <w:p>
      <w:pPr>
        <w:jc w:val="both"/>
        <w:ind w:right="100" w:firstLine="8"/>
        <w:spacing w:after="0" w:line="255"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 (iii) by any stockholder of record of the Corporation who was a stockholder of record at the time of the giving of the notice provided for in the following paragraph, who is entitled to vote at the meeting and who has complied with the notice procedures set forth in this Section 2.14.</w:t>
      </w:r>
    </w:p>
    <w:p>
      <w:pPr>
        <w:spacing w:after="0" w:line="190"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paragraph (a)</w:t>
      </w:r>
    </w:p>
    <w:p>
      <w:pPr>
        <w:spacing w:after="0" w:line="46"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this Section 2.14, (1) the stockholder must have given timely notice thereof in writing to the Secretary of the Corporation, (2) such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8" w:name="page9"/>
    <w:bookmarkEnd w:id="8"/>
    <w:p>
      <w:pPr>
        <w:spacing w:after="0" w:line="284" w:lineRule="auto"/>
        <w:rPr>
          <w:sz w:val="20"/>
          <w:szCs w:val="20"/>
          <w:color w:val="auto"/>
        </w:rPr>
      </w:pPr>
      <w:r>
        <w:rPr>
          <w:rFonts w:ascii="Arial" w:cs="Arial" w:eastAsia="Arial" w:hAnsi="Arial"/>
          <w:sz w:val="16"/>
          <w:szCs w:val="16"/>
          <w:color w:val="auto"/>
        </w:rPr>
        <w:t>business must be a proper matter for stockholder action under the DGCL, (3) if the stockholder, or the beneficial owner on whose behalf any such proposal or nomination is made, has provided the Corporation with a Solicitation Notice, as that term is defined in subclause (c)(iii) of this Section 2.14(b), such stockholder or beneficial owner must, in the case of a proposal, have delivered prior to the meeting a proxy statement and form of proxy to holders of at least the percentage of the Corporation’s voting shares required under applicable law to carry any such proposal, or, in the case of a nomination or nominations, have delivered prior to the meeting a proxy statement and form of proxy to holders of a percentage of the Corporation’s voting shares reasonably believed by such stockholder or beneficial holder to be sufficient to elect the nominee or nominees proposed to be nominated by such stockholder, and must, in either case, have included in such materials the Solicitation Notice and (4)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shall be delivered to the Secretary at the principal executive offices of the Corporation not less than forty-five (45) or more than seventy-five (75) days prior to the first anniversary (the “</w:t>
      </w:r>
      <w:r>
        <w:rPr>
          <w:rFonts w:ascii="Arial" w:cs="Arial" w:eastAsia="Arial" w:hAnsi="Arial"/>
          <w:sz w:val="16"/>
          <w:szCs w:val="16"/>
          <w:i w:val="1"/>
          <w:iCs w:val="1"/>
          <w:color w:val="auto"/>
        </w:rPr>
        <w:t>Anniversary</w:t>
      </w:r>
      <w:r>
        <w:rPr>
          <w:rFonts w:ascii="Arial" w:cs="Arial" w:eastAsia="Arial" w:hAnsi="Arial"/>
          <w:sz w:val="16"/>
          <w:szCs w:val="16"/>
          <w:color w:val="auto"/>
        </w:rPr>
        <w:t xml:space="preserve">”) of the date on which the Corporation first mailed its proxy materials for the preceding year’s annual meeting of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no proxy materials were mailed by the Corporation in connection with the preceding year’s annual meeting, or if the date of the annual meeting is advanced more than thirty (30) days prior to or delayed by more than thirty (30) days after the anniversary of the preceding year’s annual meeting, notice by the stockholder to be timely must be so delivered not later than the close of business on the later of (x) the ninetieth (90th) day prior to such annual meeting or (y) the tenth (10th) day following the day on which public announcement of the date of such meeting is first made. Such stockholder’s notice shall set forth (a) as to each person whom the stockholder proposes to nominate for election or reelection as a director all information relating to such person as would be required to be disclosed in solicitations of proxies for the election of such nominees as directors pursuant to Regulation 14A under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and such person’s written consent to serve as a director if elected; (b) as to any other business that the stockholder proposes to bring before the meeting, a brief description of such business,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that are owned beneficially and of record by such stockholder and such beneficial owner, and (iii) whether either such stockholder or beneficial owner intends to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Arial" w:cs="Arial" w:eastAsia="Arial" w:hAnsi="Arial"/>
          <w:sz w:val="16"/>
          <w:szCs w:val="16"/>
          <w:i w:val="1"/>
          <w:iCs w:val="1"/>
          <w:color w:val="auto"/>
        </w:rPr>
        <w:t>Solicitation Notice</w:t>
      </w:r>
      <w:r>
        <w:rPr>
          <w:rFonts w:ascii="Arial" w:cs="Arial" w:eastAsia="Arial" w:hAnsi="Arial"/>
          <w:sz w:val="16"/>
          <w:szCs w:val="16"/>
          <w:color w:val="auto"/>
        </w:rPr>
        <w:t>”).</w:t>
      </w:r>
    </w:p>
    <w:p>
      <w:pPr>
        <w:spacing w:after="0" w:line="391" w:lineRule="exact"/>
        <w:rPr>
          <w:sz w:val="20"/>
          <w:szCs w:val="20"/>
          <w:color w:val="auto"/>
        </w:rPr>
      </w:pPr>
    </w:p>
    <w:p>
      <w:pPr>
        <w:ind w:right="120" w:firstLine="1305"/>
        <w:spacing w:after="0" w:line="264" w:lineRule="auto"/>
        <w:tabs>
          <w:tab w:leader="none" w:pos="1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Section 2.14(b) to the contrary, in the event that the number of directors to be elected to the Board of Directors is increased and there is no public announcement naming all of the nominees for director or specifying the size of the increased Board made by the Corporation at least fifty-five (55) days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prior to the Anniversary,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66" w:lineRule="exact"/>
        <w:rPr>
          <w:sz w:val="20"/>
          <w:szCs w:val="20"/>
          <w:color w:val="auto"/>
        </w:rPr>
      </w:pPr>
    </w:p>
    <w:p>
      <w:pPr>
        <w:ind w:right="100" w:firstLine="1305"/>
        <w:spacing w:after="0" w:line="273" w:lineRule="auto"/>
        <w:tabs>
          <w:tab w:leader="none" w:pos="19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Subject to the Certificate of Incorporation and Article III of these by-laws, only persons nominated in accordance with the procedures set forth in this Section 2.14 shall be eligible to serve as directors and only such business shall be conducted at an annual meeting of stockholders as shall have been brought before the meeting in accordance with the procedures set forth in this Section 2.14. The chair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 proposed business or nomination shall not be presented for stockholder action at the meeting and shall be disregarded.</w:t>
      </w:r>
    </w:p>
    <w:p>
      <w:pPr>
        <w:spacing w:after="0" w:line="178" w:lineRule="exact"/>
        <w:rPr>
          <w:rFonts w:ascii="Arial" w:cs="Arial" w:eastAsia="Arial" w:hAnsi="Arial"/>
          <w:sz w:val="17"/>
          <w:szCs w:val="17"/>
          <w:color w:val="auto"/>
        </w:rPr>
      </w:pPr>
    </w:p>
    <w:p>
      <w:pPr>
        <w:ind w:right="40" w:firstLine="1305"/>
        <w:spacing w:after="0" w:line="270" w:lineRule="auto"/>
        <w:tabs>
          <w:tab w:leader="none" w:pos="19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or (ii) by any stockholder of record of the Corporation who is a stockholder of record at the time of giving of notice provided for in this paragraph, who shall be entitled to vote at the meeting and who complies with the notice procedures set forth in this Section 2.14. Nominations by stockholders of persons for election to the Board of Directors may be made at such a special meeting of stockholders if the stockholder’s notice required by Section 2.14(b) shall be delivered to the Secretary at the principal executive offices of the Corporation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w:t>
      </w:r>
    </w:p>
    <w:p>
      <w:pPr>
        <w:spacing w:after="0" w:line="181" w:lineRule="exact"/>
        <w:rPr>
          <w:rFonts w:ascii="Arial" w:cs="Arial" w:eastAsia="Arial" w:hAnsi="Arial"/>
          <w:sz w:val="17"/>
          <w:szCs w:val="17"/>
          <w:color w:val="auto"/>
        </w:rPr>
      </w:pPr>
    </w:p>
    <w:p>
      <w:pPr>
        <w:ind w:right="200" w:firstLine="1305"/>
        <w:spacing w:after="0" w:line="264" w:lineRule="auto"/>
        <w:tabs>
          <w:tab w:leader="none" w:pos="19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this Section 2.14, “public announcement”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81" w:lineRule="exact"/>
        <w:rPr>
          <w:rFonts w:ascii="Arial" w:cs="Arial" w:eastAsia="Arial" w:hAnsi="Arial"/>
          <w:sz w:val="18"/>
          <w:szCs w:val="18"/>
          <w:color w:val="auto"/>
        </w:rPr>
      </w:pPr>
    </w:p>
    <w:p>
      <w:pPr>
        <w:jc w:val="both"/>
        <w:ind w:right="80" w:firstLine="1305"/>
        <w:spacing w:after="0" w:line="312" w:lineRule="auto"/>
        <w:tabs>
          <w:tab w:leader="none" w:pos="19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2.14, a stockholder shall also comply with all applicable requirements of the Exchange Act and the rules and regulations thereunder with respect to matters set forth in this Section 2.14. Nothing in this Section 2.14 shall be deemed to affect any rights of stockholders to request inclusion of proposals in the Corporation’s proxy statement pursuant to Rule 14a-8 under the Exchange Act.</w:t>
      </w:r>
    </w:p>
    <w:p>
      <w:pPr>
        <w:spacing w:after="0" w:line="147"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English Language</w:t>
      </w:r>
      <w:r>
        <w:rPr>
          <w:rFonts w:ascii="Arial" w:cs="Arial" w:eastAsia="Arial" w:hAnsi="Arial"/>
          <w:sz w:val="18"/>
          <w:szCs w:val="18"/>
          <w:color w:val="auto"/>
        </w:rPr>
        <w:t xml:space="preserve">. All annual and special meetings of stockholders will be conducted in the English language and all notices, consents, proxies, documents and other materials provided to stockholders shall be written in English;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preclude the Corporation from also providing or making available to stockholders copies of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such documents or materials translated into a foreign language;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in the event there are any discrepancies between the English and foreign language version of any notice, consent, proxy, document or any other material, the English version of such document shall prevail.</w:t>
      </w:r>
    </w:p>
    <w:p>
      <w:pPr>
        <w:sectPr>
          <w:pgSz w:w="11900" w:h="16838" w:orient="portrait"/>
          <w:cols w:equalWidth="0" w:num="1">
            <w:col w:w="11420"/>
          </w:cols>
          <w:pgMar w:left="240" w:top="341" w:right="239" w:bottom="0" w:gutter="0" w:footer="0" w:header="0"/>
        </w:sectPr>
      </w:pPr>
    </w:p>
    <w:bookmarkStart w:id="9" w:name="page10"/>
    <w:bookmarkEnd w:id="9"/>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Powers of Directors</w:t>
      </w:r>
      <w:r>
        <w:rPr>
          <w:rFonts w:ascii="Arial" w:cs="Arial" w:eastAsia="Arial" w:hAnsi="Arial"/>
          <w:sz w:val="18"/>
          <w:szCs w:val="18"/>
          <w:color w:val="auto"/>
        </w:rPr>
        <w:t>. The property, business and affairs of the Corporation shall be managed by its Board of Directors which may exercise all the powers of the Corporation except such as are by the law of the State of Delaware or the Certificate of Incorporation or these by-laws required to be exercised or done by the stockholders.</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Number; Composition of Board; Terms of Office</w:t>
      </w:r>
      <w:r>
        <w:rPr>
          <w:rFonts w:ascii="Arial" w:cs="Arial" w:eastAsia="Arial" w:hAnsi="Arial"/>
          <w:sz w:val="16"/>
          <w:szCs w:val="16"/>
          <w:color w:val="auto"/>
        </w:rPr>
        <w:t>.</w:t>
      </w:r>
    </w:p>
    <w:p>
      <w:pPr>
        <w:spacing w:after="0" w:line="225" w:lineRule="exact"/>
        <w:rPr>
          <w:sz w:val="20"/>
          <w:szCs w:val="20"/>
          <w:color w:val="auto"/>
        </w:rPr>
      </w:pPr>
    </w:p>
    <w:p>
      <w:pPr>
        <w:ind w:right="220" w:firstLine="1305"/>
        <w:spacing w:after="0" w:line="277" w:lineRule="auto"/>
        <w:tabs>
          <w:tab w:leader="none" w:pos="194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Board of Directors shall consist of not less than five (5) and not more than eleven (11) members, the exact number of which shall be fixed from time to time by the Board of Directors.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Prior to the first occurrence of a Triggering Event, the Board of Directors shall consist of six (6) Vivendi Designees, two</w:t>
      </w:r>
    </w:p>
    <w:p>
      <w:pPr>
        <w:spacing w:after="0" w:line="23" w:lineRule="exact"/>
        <w:rPr>
          <w:rFonts w:ascii="Arial" w:cs="Arial" w:eastAsia="Arial" w:hAnsi="Arial"/>
          <w:sz w:val="18"/>
          <w:szCs w:val="18"/>
          <w:color w:val="auto"/>
        </w:rPr>
      </w:pPr>
    </w:p>
    <w:p>
      <w:pPr>
        <w:ind w:right="160" w:firstLine="8"/>
        <w:spacing w:after="0" w:line="253"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Executive Directors and three (3) Independent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while the Corporation’s equity securities are traded on The Nasdaq Stock Market Inc. or are listed on any United States stock exchange, applicable law or the rules of The Nasdaq Stock Market Inc. (or such other applicable exchange) require a greater number of Independent Directors, then the number of directors shall be increased to add the number of additional required Independent Directors and a number of additional Vivendi Designees such that, after such increase, at least a majority of the directors shall be Vivendi Designees.</w:t>
      </w:r>
    </w:p>
    <w:p>
      <w:pPr>
        <w:spacing w:after="0" w:line="191" w:lineRule="exact"/>
        <w:rPr>
          <w:rFonts w:ascii="Arial" w:cs="Arial" w:eastAsia="Arial" w:hAnsi="Arial"/>
          <w:sz w:val="18"/>
          <w:szCs w:val="18"/>
          <w:color w:val="auto"/>
        </w:rPr>
      </w:pPr>
    </w:p>
    <w:p>
      <w:pPr>
        <w:jc w:val="both"/>
        <w:ind w:right="20" w:firstLine="1305"/>
        <w:spacing w:after="0" w:line="264" w:lineRule="auto"/>
        <w:tabs>
          <w:tab w:leader="none" w:pos="19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directors of the Corporation shall be nominated as provided in these by-laws, each director shall hold office until his successor is duly elected or appointed and qualified or until the earlier of his death, resignation or removal in accordance with the Certificate of Incorporation and these by-laws. Directors need not be stockholders.</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The Vivendi Stockholder’s Right to Proportional Representation</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Following the first occurrence of a Triggering Event, Section 3.2(b) shall be of no further force or effect and this</w:t>
      </w:r>
    </w:p>
    <w:p>
      <w:pPr>
        <w:spacing w:after="0" w:line="2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Section 3.3(a) shall instead apply. At all times after the first occurrence of a Triggering Event and prior to the first occurrence of a Termination Event, (i) the Board of Directors shall include a number of Vivendi Designees that is proportional to Vivendi’s Voting Interest, rounded up to the nearest whole number and</w:t>
      </w:r>
    </w:p>
    <w:p>
      <w:pPr>
        <w:spacing w:after="0" w:line="1" w:lineRule="exact"/>
        <w:rPr>
          <w:sz w:val="20"/>
          <w:szCs w:val="20"/>
          <w:color w:val="auto"/>
        </w:rPr>
      </w:pPr>
    </w:p>
    <w:p>
      <w:pPr>
        <w:ind w:right="40" w:firstLine="8"/>
        <w:spacing w:after="0" w:line="253"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Vivendi Nominating Committee shall be entitled to nominate individuals for the Vivendi Designees;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while the Corporation’s equity securities are traded on The Nasdaq Stock Market Inc. or are listed on any United States stock exchange, applicable law or the rules of the Nasdaq Stock Market Inc. (or such other applicable exchange) require that a majority of the Corporation’s Board of Directors be “independent” as defined by such law, rule or regulation, then (x) the number of directors shall be increased to add the number of additional independent directors to satisfy such law, rule or regulation, and (y) such vacancies shall be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filled by individuals nominated by the Vivendi Designees and appointed by the affirmative vote of a majority of the directors then in office. If the number of Vivendi Designees is required to be reduced under this Section 3.3(a) following the first occurrence of a Triggering Event, Vivendi shall cause such number of Vivendi Designees to resign promptly such that the number of Vivendi Designees following such resignation(s) is in compliance with such requirement and the replacement(s) for such resigning Vivendi Designee(s) (and their successors) shall be appointed by the affirmative vote of a majority of the remaining directors then in office, even if less than a quorum.</w:t>
      </w:r>
    </w:p>
    <w:p>
      <w:pPr>
        <w:spacing w:after="0" w:line="188"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these by-laws, the following terms shall have the following meanings:</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has the meaning set forth in rule 12b-2 under the Securities Exchange Act of 1934, as amended. “Blizzard” means Blizzard Entertainment, Inc., a Delaware corporation.</w:t>
      </w:r>
    </w:p>
    <w:p>
      <w:pPr>
        <w:spacing w:after="0" w:line="170" w:lineRule="exact"/>
        <w:rPr>
          <w:sz w:val="20"/>
          <w:szCs w:val="20"/>
          <w:color w:val="auto"/>
        </w:rPr>
      </w:pPr>
    </w:p>
    <w:p>
      <w:pPr>
        <w:ind w:right="30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means that certain Business Combination Agreement, dated as of December 1, 2007, by and among Vivendi S.A., VGAC LLC, Vivendi Games, Inc., the Corporation and Sego Merger Corporation, as the same may be amended from time to time.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Controlled Affiliate</w:t>
      </w:r>
      <w:r>
        <w:rPr>
          <w:rFonts w:ascii="Arial" w:cs="Arial" w:eastAsia="Arial" w:hAnsi="Arial"/>
          <w:sz w:val="18"/>
          <w:szCs w:val="18"/>
          <w:color w:val="auto"/>
        </w:rPr>
        <w:t>” of a person shall mean an Affiliate controlled, directly or indirectly, by such person.</w:t>
      </w:r>
    </w:p>
    <w:p>
      <w:pPr>
        <w:spacing w:after="0" w:line="225"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Director</w:t>
      </w:r>
      <w:r>
        <w:rPr>
          <w:rFonts w:ascii="Arial" w:cs="Arial" w:eastAsia="Arial" w:hAnsi="Arial"/>
          <w:sz w:val="18"/>
          <w:szCs w:val="18"/>
          <w:color w:val="auto"/>
        </w:rPr>
        <w:t>” means the two (2) initial directors designated as “Executive Directors” on Exhibit C to the Business Combination Agreement and their successors who are then serving as executive officers of the Corporation and are nominated by the Executive Nominating Committee pursuant to these by-laws and elected by the stockholders of the Corporation or appointed by the Executive Nominating Committee pursuant to Section 3.4(b).</w:t>
      </w:r>
    </w:p>
    <w:p>
      <w:pPr>
        <w:spacing w:after="0" w:line="187"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Independent Director</w:t>
      </w:r>
      <w:r>
        <w:rPr>
          <w:rFonts w:ascii="Arial" w:cs="Arial" w:eastAsia="Arial" w:hAnsi="Arial"/>
          <w:sz w:val="17"/>
          <w:szCs w:val="17"/>
          <w:color w:val="auto"/>
        </w:rPr>
        <w:t xml:space="preserve">” means the three directors (other than the Executive Directors) designated as “Independent Directors” on Exhibit C to the Business Combination Agreement, their successors as nominated by the Independent Nominating Committee pursuant to these by-laws and elected by the stockholders of the Corporation or appointed by the Independent Nominating Committee pursuant to Section 3.4(b) and any other person nominated by the stockholders of the Corporation in accordance with these by-laws and elected by the stockholders of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such person must qualify as an “Independent Director”, as such term is defined in Rule 4200(15) (or any successor rule) of the rules promulgated by The Nasdaq Stock Market, Inc. which apply to issuers whose common stock is listed on the Nasdaq Global Market.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Event</w:t>
      </w:r>
      <w:r>
        <w:rPr>
          <w:rFonts w:ascii="Arial" w:cs="Arial" w:eastAsia="Arial" w:hAnsi="Arial"/>
          <w:sz w:val="18"/>
          <w:szCs w:val="18"/>
          <w:color w:val="auto"/>
        </w:rPr>
        <w:t>” means Vivendi’s Voting Interest falling and remaining below 10% for ninety (90) consecutive days.</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w:t>
      </w:r>
      <w:r>
        <w:rPr>
          <w:rFonts w:ascii="Arial" w:cs="Arial" w:eastAsia="Arial" w:hAnsi="Arial"/>
          <w:sz w:val="18"/>
          <w:szCs w:val="18"/>
          <w:color w:val="auto"/>
        </w:rPr>
        <w:t>” means Vivendi’s Voting Interest falling and remaining below 50% for ninety (90) consecutive days.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Designees</w:t>
      </w:r>
      <w:r>
        <w:rPr>
          <w:rFonts w:ascii="Arial" w:cs="Arial" w:eastAsia="Arial" w:hAnsi="Arial"/>
          <w:sz w:val="18"/>
          <w:szCs w:val="18"/>
          <w:color w:val="auto"/>
        </w:rPr>
        <w:t>” means the Vivendi Designees that are not employees of the Corporation or any of its subsidiaries.</w:t>
      </w:r>
    </w:p>
    <w:p>
      <w:pPr>
        <w:sectPr>
          <w:pgSz w:w="11900" w:h="16838" w:orient="portrait"/>
          <w:cols w:equalWidth="0" w:num="1">
            <w:col w:w="11420"/>
          </w:cols>
          <w:pgMar w:left="240" w:top="125" w:right="239" w:bottom="0" w:gutter="0" w:footer="0" w:header="0"/>
        </w:sectPr>
      </w:pPr>
    </w:p>
    <w:bookmarkStart w:id="10" w:name="page11"/>
    <w:bookmarkEnd w:id="1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Vivendi</w:t>
      </w:r>
      <w:r>
        <w:rPr>
          <w:rFonts w:ascii="Arial" w:cs="Arial" w:eastAsia="Arial" w:hAnsi="Arial"/>
          <w:sz w:val="18"/>
          <w:szCs w:val="18"/>
          <w:color w:val="auto"/>
        </w:rPr>
        <w:t>” means Vivendi S.A.</w:t>
      </w:r>
    </w:p>
    <w:p>
      <w:pPr>
        <w:spacing w:after="0" w:line="225" w:lineRule="exact"/>
        <w:rPr>
          <w:sz w:val="20"/>
          <w:szCs w:val="20"/>
          <w:color w:val="auto"/>
        </w:rPr>
      </w:pPr>
    </w:p>
    <w:p>
      <w:pPr>
        <w:ind w:right="4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Vivendi Designee</w:t>
      </w:r>
      <w:r>
        <w:rPr>
          <w:rFonts w:ascii="Arial" w:cs="Arial" w:eastAsia="Arial" w:hAnsi="Arial"/>
          <w:sz w:val="18"/>
          <w:szCs w:val="18"/>
          <w:color w:val="auto"/>
        </w:rPr>
        <w:t>” means the six (6) initial directors designated as “Vivendi Designees” on Exhibit H to the Business Combination Agreement, their successors as nominated by the Vivendi Nominating Committee pursuant to these by-laws and elected by the stockholders of the Corporation or appointed by the Vivendi Nominating Committee pursuant to Section 3.4(b) and any other person nominated by the Vivendi Stockholder pursuant to these by-laws and elected by the stockholders of the Corporation.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Vivendi Stockholder</w:t>
      </w:r>
      <w:r>
        <w:rPr>
          <w:rFonts w:ascii="Arial" w:cs="Arial" w:eastAsia="Arial" w:hAnsi="Arial"/>
          <w:sz w:val="18"/>
          <w:szCs w:val="18"/>
          <w:color w:val="auto"/>
        </w:rPr>
        <w:t>” means Vivendi or the Controlled Affiliate of Vivendi that holds a majority of Vivendi’s Voting Interest.</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Vivendi’s Voting Interest</w:t>
      </w:r>
      <w:r>
        <w:rPr>
          <w:rFonts w:ascii="Arial" w:cs="Arial" w:eastAsia="Arial" w:hAnsi="Arial"/>
          <w:sz w:val="18"/>
          <w:szCs w:val="18"/>
          <w:color w:val="auto"/>
        </w:rPr>
        <w:t>” means the percentage of the outstanding common stock of the Corporation owned of record by Vivendi and its Controlled Affiliates.</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Resignation; Vacancies on Board of Directors; Removal</w:t>
      </w:r>
      <w:r>
        <w:rPr>
          <w:rFonts w:ascii="Arial" w:cs="Arial" w:eastAsia="Arial" w:hAnsi="Arial"/>
          <w:sz w:val="16"/>
          <w:szCs w:val="16"/>
          <w:color w:val="auto"/>
        </w:rPr>
        <w:t>.</w:t>
      </w:r>
    </w:p>
    <w:p>
      <w:pPr>
        <w:spacing w:after="0" w:line="225" w:lineRule="exact"/>
        <w:rPr>
          <w:sz w:val="20"/>
          <w:szCs w:val="20"/>
          <w:color w:val="auto"/>
        </w:rPr>
      </w:pPr>
    </w:p>
    <w:p>
      <w:pPr>
        <w:jc w:val="both"/>
        <w:ind w:right="20" w:firstLine="1305"/>
        <w:spacing w:after="0" w:line="286" w:lineRule="auto"/>
        <w:tabs>
          <w:tab w:leader="none" w:pos="194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Resignations</w:t>
      </w:r>
      <w:r>
        <w:rPr>
          <w:rFonts w:ascii="Arial" w:cs="Arial" w:eastAsia="Arial" w:hAnsi="Arial"/>
          <w:sz w:val="17"/>
          <w:szCs w:val="17"/>
          <w:color w:val="auto"/>
        </w:rPr>
        <w:t>. Any director may resign his office at any time by delivering his resignation in writing to the Chief Executive Officer or the Secretary. It will take effect at the time specified therein or, if no time is specified, it will be effective at the time of its receipt by the Corporation. The acceptance of a resignation shall not be necessary to make it effective, unless expressly so provided in the resignation.</w:t>
      </w:r>
    </w:p>
    <w:p>
      <w:pPr>
        <w:spacing w:after="0" w:line="165" w:lineRule="exact"/>
        <w:rPr>
          <w:rFonts w:ascii="Arial" w:cs="Arial" w:eastAsia="Arial" w:hAnsi="Arial"/>
          <w:sz w:val="17"/>
          <w:szCs w:val="17"/>
          <w:color w:val="auto"/>
        </w:rPr>
      </w:pPr>
    </w:p>
    <w:p>
      <w:pPr>
        <w:ind w:right="40" w:firstLine="1305"/>
        <w:spacing w:after="0" w:line="270" w:lineRule="auto"/>
        <w:tabs>
          <w:tab w:leader="none" w:pos="195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Vacancies</w:t>
      </w:r>
      <w:r>
        <w:rPr>
          <w:rFonts w:ascii="Arial" w:cs="Arial" w:eastAsia="Arial" w:hAnsi="Arial"/>
          <w:sz w:val="17"/>
          <w:szCs w:val="17"/>
          <w:color w:val="auto"/>
        </w:rPr>
        <w:t xml:space="preserve">. Subject to Sections 3.2 and 3.3, any vacancy on the Board of Directors, howsoever resulting, including through an increase in the number of directors, shall only be filled by the affirmative vote of a majority of the remaining directors then in office, even if less than a quorum, or by the sole remaining director;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prior to the first occurrence of a Termination Event, (A) a vacancy created by the resignation, death or removal of a Vivendi Designee may only be filled through the affirmative vote of a majority of directors on the Vivendi Nominating Committee and (B) a vacancy created by the resignation, death or removal of an Independent Director may only be filled by the affirmative vote of a majority of directors on the Independent Nominating Committee, and (ii) prior to the first occurrence of a Triggering Event, subject to Section 3.12(b), a vacancy created by the resignation, death or removal of an Executive Director may only be filled through the unanimous vote of the directors on the Executive Nominating Committee. Any director elected to fill a vacancy shall hold office for the same remaining term as that of his or her predecessor, or if such director was elected as a result of an increase in the number of directors, then until the next annual meeting of stockholders.</w:t>
      </w:r>
    </w:p>
    <w:p>
      <w:pPr>
        <w:spacing w:after="0" w:line="181" w:lineRule="exact"/>
        <w:rPr>
          <w:rFonts w:ascii="Arial" w:cs="Arial" w:eastAsia="Arial" w:hAnsi="Arial"/>
          <w:sz w:val="17"/>
          <w:szCs w:val="17"/>
          <w:color w:val="auto"/>
        </w:rPr>
      </w:pPr>
    </w:p>
    <w:p>
      <w:pPr>
        <w:ind w:right="180" w:firstLine="1305"/>
        <w:spacing w:after="0" w:line="264"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Any director may be removed with or without cause at any time by the affirmative vote of stockholders holding of record in the aggregate at least a majority of the outstanding shares of stock of the Corporation, given at a special meeting of the stockholders called for that purpose.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Meetings of the Board of Directors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Board of Directors may hold their meetings, both regular and special, either within or without the State of Delaware.</w:t>
      </w:r>
    </w:p>
    <w:p>
      <w:pPr>
        <w:spacing w:after="0" w:line="236" w:lineRule="exact"/>
        <w:rPr>
          <w:rFonts w:ascii="Arial" w:cs="Arial" w:eastAsia="Arial" w:hAnsi="Arial"/>
          <w:sz w:val="17"/>
          <w:szCs w:val="17"/>
          <w:color w:val="auto"/>
        </w:rPr>
      </w:pPr>
    </w:p>
    <w:p>
      <w:pPr>
        <w:ind w:right="160" w:firstLine="1305"/>
        <w:spacing w:after="0" w:line="264" w:lineRule="auto"/>
        <w:tabs>
          <w:tab w:leader="none" w:pos="19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Regular meetings of the Board of Directors may be held at such time and place as shall from time to time be determined by resolution of the Board of Directors. No notice of such regular meetings shall be required. If the date designated for any regular meeting be a legal holiday, then the meeting shall be held on the next day which is not a legal holiday.</w:t>
      </w:r>
    </w:p>
    <w:p>
      <w:pPr>
        <w:spacing w:after="0" w:line="181" w:lineRule="exact"/>
        <w:rPr>
          <w:rFonts w:ascii="Arial" w:cs="Arial" w:eastAsia="Arial" w:hAnsi="Arial"/>
          <w:sz w:val="18"/>
          <w:szCs w:val="18"/>
          <w:color w:val="auto"/>
        </w:rPr>
      </w:pPr>
    </w:p>
    <w:p>
      <w:pPr>
        <w:ind w:right="700" w:firstLine="1305"/>
        <w:spacing w:after="0" w:line="264" w:lineRule="auto"/>
        <w:tabs>
          <w:tab w:leader="none" w:pos="19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first meeting of each newly elected Board of Directors shall be held immediately following the annual meeting of the stockholders for the election of officers and the transaction of such other business as may come before it. If such meeting is held at the place of the stockholders’ meeting, no notice thereof shall be required.</w:t>
      </w:r>
    </w:p>
    <w:p>
      <w:pPr>
        <w:spacing w:after="0" w:line="181" w:lineRule="exact"/>
        <w:rPr>
          <w:rFonts w:ascii="Arial" w:cs="Arial" w:eastAsia="Arial" w:hAnsi="Arial"/>
          <w:sz w:val="18"/>
          <w:szCs w:val="18"/>
          <w:color w:val="auto"/>
        </w:rPr>
      </w:pPr>
    </w:p>
    <w:p>
      <w:pPr>
        <w:ind w:right="440" w:firstLine="1305"/>
        <w:spacing w:after="0" w:line="277" w:lineRule="auto"/>
        <w:tabs>
          <w:tab w:leader="none" w:pos="19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meetings of the Board of Directors shall be held whenever called by direction of the Chief Executive Officer or at the written request of any one director.</w:t>
      </w:r>
    </w:p>
    <w:p>
      <w:pPr>
        <w:spacing w:after="0" w:line="170" w:lineRule="exact"/>
        <w:rPr>
          <w:rFonts w:ascii="Arial" w:cs="Arial" w:eastAsia="Arial" w:hAnsi="Arial"/>
          <w:sz w:val="18"/>
          <w:szCs w:val="18"/>
          <w:color w:val="auto"/>
        </w:rPr>
      </w:pPr>
    </w:p>
    <w:p>
      <w:pPr>
        <w:ind w:right="80" w:firstLine="1305"/>
        <w:spacing w:after="0" w:line="291" w:lineRule="auto"/>
        <w:tabs>
          <w:tab w:leader="none" w:pos="1955"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Secretary shall give notice to each director of any special meeting of the Board of Directors by written notice, (i) delivered by hand, (ii) sent by telecopier, provided that a copy is mailed, postage prepaid, (iii) sent by Express Mail, Federal Express or other express delivery service,</w:t>
      </w:r>
    </w:p>
    <w:p>
      <w:pPr>
        <w:ind w:right="60" w:firstLine="8"/>
        <w:spacing w:after="0" w:line="267" w:lineRule="auto"/>
        <w:tabs>
          <w:tab w:leader="none" w:pos="3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sent by telegram or (v) the mailing thereof by first-class mail, postage prepaid, stating the place, date and hour of the meeting and, in the case of a special meeting, the purpose or purposes for which the meeting is called. Such notice, if mailed, shall be deemed to be given when deposited in the United States mail, postage prepaid, directed to the director at his address for notices to such director as it appears on the records of the Corporation. Notice given by electronic transmission shall be effective as follows: (a) if by facsimile, when faxed to a number where the director has consented to receive notice; (b) if by electronic mail, when mailed electronically to an electronic mail address at which the director has consented to receive such notice; (c) if by posting on an electronic network together with a separate notice of such posting, upon the later to occur of (1) the posting or (2) the giving of separate notice of the posting; or (d) if by other form of electronic communication, when directed to the director in the manner consented to by the director. Notice provided by mailing shall be mailed least three (3) days before the meeting and notice by hand delivery, telegraphing, telexing, or other electronic transmission shall be given not later than twenty four (24) hours before the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three (3) day and twenty four (24) hour notice periods set forth above shall be increased to seven (7) days and five (5) days, respectively, with respect to any special meeting held outside of the United States. Unless required by law, such notice need not include a statement of the business to be transacted at, or the purpose of, any such meeting. Any and all business may be transacted at any meeting of the Board of Directors. No notice of any adjourned meeting need be given. No notice to or waiver by any director shall be required with respect to any meeting at which the director is present.</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Quorum and Action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4" w:lineRule="auto"/>
        <w:tabs>
          <w:tab w:leader="none" w:pos="19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provided otherwise by law, a quorum for any meeting of the Board of Directors, whether regular or special, shall require the presence, in person, of a number of directors equal to (i) except as otherwise provided in Section 3.6(b) below, for each meeting held prior to the first occurrence of a Triggering Event, a number of directors equal to a majority of</w:t>
      </w:r>
    </w:p>
    <w:p>
      <w:pPr>
        <w:sectPr>
          <w:pgSz w:w="11900" w:h="16838" w:orient="portrait"/>
          <w:cols w:equalWidth="0" w:num="1">
            <w:col w:w="11420"/>
          </w:cols>
          <w:pgMar w:left="240" w:top="125" w:right="239" w:bottom="123"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11" w:name="page12"/>
    <w:bookmarkEnd w:id="11"/>
    <w:p>
      <w:pPr>
        <w:ind w:right="60"/>
        <w:spacing w:after="0" w:line="264" w:lineRule="auto"/>
        <w:rPr>
          <w:sz w:val="20"/>
          <w:szCs w:val="20"/>
          <w:color w:val="auto"/>
        </w:rPr>
      </w:pPr>
      <w:r>
        <w:rPr>
          <w:rFonts w:ascii="Arial" w:cs="Arial" w:eastAsia="Arial" w:hAnsi="Arial"/>
          <w:sz w:val="18"/>
          <w:szCs w:val="18"/>
          <w:color w:val="auto"/>
        </w:rPr>
        <w:t>the total number of directors plus one (1), and (ii) for each meeting held after the date on which the first occurrence of a Triggering Event has occurred, a majority of the total number of directors. If there shall be less than a quorum at any meeting of the Board of Directors as determined under this Section 3.6, a majority of those present may adjourn the meeting from time to time.</w:t>
      </w:r>
    </w:p>
    <w:p>
      <w:pPr>
        <w:spacing w:after="0" w:line="181" w:lineRule="exact"/>
        <w:rPr>
          <w:sz w:val="20"/>
          <w:szCs w:val="20"/>
          <w:color w:val="auto"/>
        </w:rPr>
      </w:pPr>
    </w:p>
    <w:p>
      <w:pPr>
        <w:ind w:right="20" w:firstLine="1305"/>
        <w:spacing w:after="0" w:line="255" w:lineRule="auto"/>
        <w:tabs>
          <w:tab w:leader="none" w:pos="19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Prior to the first occurrence of a Triggering Event, if a quorum is not obtained at a duly called and noticed meeting of the Board of Directors (whether regular or special) solely because none of the Executive Directors or Independent Directors was present at such meeting, then, subject to the proviso to this sentence, for purposes of the next duly called and noticed meeting of the Board of Directors (whether regular or special), a quorum for such meeting shall require the presence, in person, of a number of directors equal to a majority of the total number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Section 3.6 (b) shall apply only if the matters to be considered at such meeting are the matters duly noticed for the prior meeting, otherwise the quorum required shall be that set forth in Section 3.6(a).</w:t>
      </w:r>
    </w:p>
    <w:p>
      <w:pPr>
        <w:spacing w:after="0" w:line="193" w:lineRule="exact"/>
        <w:rPr>
          <w:rFonts w:ascii="Arial" w:cs="Arial" w:eastAsia="Arial" w:hAnsi="Arial"/>
          <w:sz w:val="18"/>
          <w:szCs w:val="18"/>
          <w:color w:val="auto"/>
        </w:rPr>
      </w:pPr>
    </w:p>
    <w:p>
      <w:pPr>
        <w:ind w:right="20" w:firstLine="1305"/>
        <w:spacing w:after="0" w:line="302" w:lineRule="auto"/>
        <w:tabs>
          <w:tab w:leader="none" w:pos="19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to Section 3.12 of these by-laws, (i) prior to the first occurrence of a Triggering Event, the vote of a majority of the votes present or otherwise able to be cast (giving effect to the voting rights of the Stockholder Designees set forth in the Certificate of Incorporation) at any meeting which a quorum is present shall be necessary to constitute the act of the Board of Directors and (ii) following the first occurrence of a Triggering Event, the vote of a majority of the directors present at any meeting at which a quorum is present shall be necessary to constitute the act of the Board of Directors.</w:t>
      </w:r>
    </w:p>
    <w:p>
      <w:pPr>
        <w:spacing w:after="0" w:line="154"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Presiding Officer and Secretary of Meeting</w:t>
      </w:r>
      <w:r>
        <w:rPr>
          <w:rFonts w:ascii="Arial" w:cs="Arial" w:eastAsia="Arial" w:hAnsi="Arial"/>
          <w:sz w:val="18"/>
          <w:szCs w:val="18"/>
          <w:color w:val="auto"/>
        </w:rPr>
        <w:t>. The Chairman of the Board of Directors, or, in his absence, a member of the Board of Directors selected by the members present, shall preside at meetings of the Board of Directors. The Secretary shall act as secretary of the meeting, but in his absence, the presiding person may appoint a secretary of the meeting.</w:t>
      </w:r>
    </w:p>
    <w:p>
      <w:pPr>
        <w:spacing w:after="0" w:line="18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Action by Consent Without Meeting</w:t>
      </w:r>
      <w:r>
        <w:rPr>
          <w:rFonts w:ascii="Arial" w:cs="Arial" w:eastAsia="Arial" w:hAnsi="Arial"/>
          <w:sz w:val="18"/>
          <w:szCs w:val="18"/>
          <w:color w:val="auto"/>
        </w:rPr>
        <w:t>. Any action required or permitted to be taken at any meeting of the Board of Directors or of any committee thereof may be taken without a meeting if all members of the Board of Directors or any committee designated by the Board of Directors, as the case may be, consent thereto in writing, and the writing or writings are filed with the minutes or proceedings of the Board of Directors or any committee designated by the Board of Directors.</w:t>
      </w:r>
    </w:p>
    <w:p>
      <w:pPr>
        <w:spacing w:after="0" w:line="187" w:lineRule="exact"/>
        <w:rPr>
          <w:sz w:val="20"/>
          <w:szCs w:val="20"/>
          <w:color w:val="auto"/>
        </w:rPr>
      </w:pPr>
    </w:p>
    <w:p>
      <w:pPr>
        <w:ind w:right="280" w:firstLine="1297"/>
        <w:spacing w:after="0" w:line="259"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Action by Telephonic Conference</w:t>
      </w:r>
      <w:r>
        <w:rPr>
          <w:rFonts w:ascii="Arial" w:cs="Arial" w:eastAsia="Arial" w:hAnsi="Arial"/>
          <w:sz w:val="18"/>
          <w:szCs w:val="18"/>
          <w:color w:val="auto"/>
        </w:rPr>
        <w:t>. Members of the Board of Directors, or any committee designated by the Board of Directors, may participate in a meeting of the Board of Directors or committee thereof by means of conference telephone or similar communications equipment by means of which all persons participating in the meeting can hear each other, and participation in such a meeting shall constitute presence in person at such meeting.</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u w:val="single" w:color="auto"/>
          <w:color w:val="auto"/>
        </w:rPr>
        <w:t>Committees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77" w:lineRule="auto"/>
        <w:tabs>
          <w:tab w:leader="none" w:pos="194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Directors shall designate (i) an Audit Committee, (ii) a Compensation Committee, (iii) a Nominating and Corporate Governance Committee, and (vi) subject to Section 3.12, one or more other committees as the Board of Directors may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resolution or resolutions designate. Subject to the provisions of Sections 3.10(c), (d) and (e), each committee shall consist of one (1) or more of the directors of the Corporation who shall be appointed by the affirmative vote of a majority of the Board of Directors. No action by any such committee shall be valid unless taken at a meeting for which adequate notice has been given or duly waived by the members of such committee.</w:t>
      </w:r>
    </w:p>
    <w:p>
      <w:pPr>
        <w:spacing w:after="0" w:line="166" w:lineRule="exact"/>
        <w:rPr>
          <w:sz w:val="20"/>
          <w:szCs w:val="20"/>
          <w:color w:val="auto"/>
        </w:rPr>
      </w:pPr>
    </w:p>
    <w:p>
      <w:pPr>
        <w:ind w:right="160" w:firstLine="1305"/>
        <w:spacing w:after="0" w:line="286" w:lineRule="auto"/>
        <w:tabs>
          <w:tab w:leader="none" w:pos="19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Any committee of the Board of Directors, to the extent provided in the resolution or resolutions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committee shall have the power of authority in reference to (i) amending the Certificate of Incorporation or adopting, amending or repealing any by-law of the Corporation,</w:t>
      </w:r>
    </w:p>
    <w:p>
      <w:pPr>
        <w:spacing w:after="0" w:line="1" w:lineRule="exact"/>
        <w:rPr>
          <w:rFonts w:ascii="Arial" w:cs="Arial" w:eastAsia="Arial" w:hAnsi="Arial"/>
          <w:sz w:val="16"/>
          <w:szCs w:val="16"/>
          <w:color w:val="auto"/>
        </w:rPr>
      </w:pPr>
    </w:p>
    <w:p>
      <w:pPr>
        <w:ind w:right="140" w:firstLine="8"/>
        <w:spacing w:after="0" w:line="253"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adopting or approving, or recommending to the stockholders of the Corporation, any action or matter expressly required by the DGCL to be submitted to the stockholders for approval, and (iii) unless the resolution, these by-laws, or the Certificate of Incorporation expressly so provide, declare a dividend or to authorize the issuance of stock,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such committee shall have the power or authority to approve any action described in Section 3.12 of these by-laws. Special meetings of any committee shall be held whenever called by direction of the chairman of such committee or at the written request of any one member of such committee.</w:t>
      </w:r>
    </w:p>
    <w:p>
      <w:pPr>
        <w:spacing w:after="0" w:line="191" w:lineRule="exact"/>
        <w:rPr>
          <w:rFonts w:ascii="Arial" w:cs="Arial" w:eastAsia="Arial" w:hAnsi="Arial"/>
          <w:sz w:val="18"/>
          <w:szCs w:val="18"/>
          <w:color w:val="auto"/>
        </w:rPr>
      </w:pPr>
    </w:p>
    <w:p>
      <w:pPr>
        <w:ind w:right="40" w:firstLine="1305"/>
        <w:spacing w:after="0" w:line="254" w:lineRule="auto"/>
        <w:tabs>
          <w:tab w:leader="none" w:pos="19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provided in this Section 3.10(c), during the time periods described this Section 3.10(c), the Board of Directors shall establish and maintain three (3) subcommittees of the Nominating and Corporate Governance Committee (collectively, the “</w:t>
      </w:r>
      <w:r>
        <w:rPr>
          <w:rFonts w:ascii="Arial" w:cs="Arial" w:eastAsia="Arial" w:hAnsi="Arial"/>
          <w:sz w:val="18"/>
          <w:szCs w:val="18"/>
          <w:i w:val="1"/>
          <w:iCs w:val="1"/>
          <w:color w:val="auto"/>
        </w:rPr>
        <w:t>Special Nominating Committees</w:t>
      </w:r>
      <w:r>
        <w:rPr>
          <w:rFonts w:ascii="Arial" w:cs="Arial" w:eastAsia="Arial" w:hAnsi="Arial"/>
          <w:sz w:val="18"/>
          <w:szCs w:val="18"/>
          <w:color w:val="auto"/>
        </w:rPr>
        <w:t>”), which shall be designated as the “</w:t>
      </w:r>
      <w:r>
        <w:rPr>
          <w:rFonts w:ascii="Arial" w:cs="Arial" w:eastAsia="Arial" w:hAnsi="Arial"/>
          <w:sz w:val="18"/>
          <w:szCs w:val="18"/>
          <w:i w:val="1"/>
          <w:iCs w:val="1"/>
          <w:color w:val="auto"/>
        </w:rPr>
        <w:t>Vivendi Nominating Committee</w:t>
      </w:r>
      <w:r>
        <w:rPr>
          <w:rFonts w:ascii="Arial" w:cs="Arial" w:eastAsia="Arial" w:hAnsi="Arial"/>
          <w:sz w:val="18"/>
          <w:szCs w:val="18"/>
          <w:color w:val="auto"/>
        </w:rPr>
        <w:t>,” the “</w:t>
      </w:r>
      <w:r>
        <w:rPr>
          <w:rFonts w:ascii="Arial" w:cs="Arial" w:eastAsia="Arial" w:hAnsi="Arial"/>
          <w:sz w:val="18"/>
          <w:szCs w:val="18"/>
          <w:i w:val="1"/>
          <w:iCs w:val="1"/>
          <w:color w:val="auto"/>
        </w:rPr>
        <w:t>Independent Nominating Committee</w:t>
      </w:r>
      <w:r>
        <w:rPr>
          <w:rFonts w:ascii="Arial" w:cs="Arial" w:eastAsia="Arial" w:hAnsi="Arial"/>
          <w:sz w:val="18"/>
          <w:szCs w:val="18"/>
          <w:color w:val="auto"/>
        </w:rPr>
        <w:t>” and the “</w:t>
      </w:r>
      <w:r>
        <w:rPr>
          <w:rFonts w:ascii="Arial" w:cs="Arial" w:eastAsia="Arial" w:hAnsi="Arial"/>
          <w:sz w:val="18"/>
          <w:szCs w:val="18"/>
          <w:i w:val="1"/>
          <w:iCs w:val="1"/>
          <w:color w:val="auto"/>
        </w:rPr>
        <w:t>Executive Nominating Committee</w:t>
      </w:r>
      <w:r>
        <w:rPr>
          <w:rFonts w:ascii="Arial" w:cs="Arial" w:eastAsia="Arial" w:hAnsi="Arial"/>
          <w:sz w:val="18"/>
          <w:szCs w:val="18"/>
          <w:color w:val="auto"/>
        </w:rPr>
        <w:t>,” each of which shall have the power and authority of the Board of Directors with respect to the matters described herein. The Vivendi Nominating Committee shall be maintained until the first occurrence of a Termination Event and shall be comprised solely of Vivendi Designees. The Independent Nominating Committee shall be maintained until the first occurrence of a Termination Event and shall be comprised solely of Independent Directors. The Executive Nominating Committee shall be maintained until the first occurrence of a Triggering Event and shall be comprised of two (2) Vivendi Designees and two (2) Independent Directors.</w:t>
      </w:r>
    </w:p>
    <w:p>
      <w:pPr>
        <w:spacing w:after="0" w:line="192" w:lineRule="exact"/>
        <w:rPr>
          <w:rFonts w:ascii="Arial" w:cs="Arial" w:eastAsia="Arial" w:hAnsi="Arial"/>
          <w:sz w:val="18"/>
          <w:szCs w:val="18"/>
          <w:color w:val="auto"/>
        </w:rPr>
      </w:pPr>
    </w:p>
    <w:p>
      <w:pPr>
        <w:jc w:val="both"/>
        <w:ind w:right="160" w:firstLine="1305"/>
        <w:spacing w:after="0" w:line="286" w:lineRule="auto"/>
        <w:tabs>
          <w:tab w:leader="none" w:pos="1952"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With respect to each committee of the Board of Directors (other than the Special Nominating Committees, the Audit Committee, any special committee exempted from this Section 3.10(d) by the Board of Directors, or a committee comprised solely of Independent Directors that may be constituted from time to time by the Board of Directors (collectively, “</w:t>
      </w:r>
      <w:r>
        <w:rPr>
          <w:rFonts w:ascii="Arial" w:cs="Arial" w:eastAsia="Arial" w:hAnsi="Arial"/>
          <w:sz w:val="16"/>
          <w:szCs w:val="16"/>
          <w:i w:val="1"/>
          <w:iCs w:val="1"/>
          <w:color w:val="auto"/>
        </w:rPr>
        <w:t>Exempt Committees</w:t>
      </w:r>
      <w:r>
        <w:rPr>
          <w:rFonts w:ascii="Arial" w:cs="Arial" w:eastAsia="Arial" w:hAnsi="Arial"/>
          <w:sz w:val="16"/>
          <w:szCs w:val="16"/>
          <w:color w:val="auto"/>
        </w:rPr>
        <w:t>”)) (i) at all times prior to the first occurrence of a Triggering Event, (A) a majority of the directors appointed to such committee shall be Vivendi Designees and (B) such committee shall include at least one</w:t>
      </w:r>
    </w:p>
    <w:p>
      <w:pPr>
        <w:spacing w:after="0" w:line="1"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(1) Independent Director and (ii) at all times following the first occurrence of a Triggering Event and prior to the first occurrence of a Termination Event, such committee shall include at least a number of Vivendi Designees that is proportional to Vivendi’s Voting Interest, rounded up to the nearest whole number. Independent Directors and Vivendi Designees serving on any committee may designate as his or her alternate to such committee, for one or more meetings of such committee, another Independent Director or Vivendi Designee, as applicable. Prior to the first occurrence of a Triggering Event,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12" w:name="page13"/>
    <w:bookmarkEnd w:id="12"/>
    <w:p>
      <w:pPr>
        <w:ind w:right="40"/>
        <w:spacing w:after="0" w:line="277" w:lineRule="auto"/>
        <w:rPr>
          <w:sz w:val="20"/>
          <w:szCs w:val="20"/>
          <w:color w:val="auto"/>
        </w:rPr>
      </w:pPr>
      <w:r>
        <w:rPr>
          <w:rFonts w:ascii="Arial" w:cs="Arial" w:eastAsia="Arial" w:hAnsi="Arial"/>
          <w:sz w:val="18"/>
          <w:szCs w:val="18"/>
          <w:color w:val="auto"/>
        </w:rPr>
        <w:t>chairman of each of the Nominating and Corporate Governance Committee, the Compensation Committee and the Executive Nominating Committee shall be a Vivendi Designee.</w:t>
      </w:r>
    </w:p>
    <w:p>
      <w:pPr>
        <w:spacing w:after="0" w:line="170" w:lineRule="exact"/>
        <w:rPr>
          <w:sz w:val="20"/>
          <w:szCs w:val="20"/>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Audit Committee shall at all times be comprised solely of Independent Directors.</w:t>
      </w:r>
    </w:p>
    <w:p>
      <w:pPr>
        <w:spacing w:after="0" w:line="225" w:lineRule="exact"/>
        <w:rPr>
          <w:rFonts w:ascii="Arial" w:cs="Arial" w:eastAsia="Arial" w:hAnsi="Arial"/>
          <w:sz w:val="18"/>
          <w:szCs w:val="18"/>
          <w:color w:val="auto"/>
        </w:rPr>
      </w:pPr>
    </w:p>
    <w:p>
      <w:pPr>
        <w:ind w:right="60" w:firstLine="1305"/>
        <w:spacing w:after="0" w:line="285" w:lineRule="auto"/>
        <w:tabs>
          <w:tab w:leader="none" w:pos="19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 quorum for any meeting of any committee of the Board of Directors, whether regular or special, shall require the presence, in person, of a majority of the total number of directors appointed to such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the first occurrence of a Triggering Event, with respect to each meeting of any committee (other than an Exempt Committee), the number of directors specified in Section 5.1(b) of the Certificate of Incorporation of the Corporation shall be required for a quorum. If there shall be less than a quorum at any meeting of a committee of the Board of Directors as determined under this Section 3.10(f), a majority of those present may adjourn the meeting from time to time. Except as otherwise provided in</w:t>
      </w:r>
    </w:p>
    <w:p>
      <w:pPr>
        <w:spacing w:after="0" w:line="2" w:lineRule="exact"/>
        <w:rPr>
          <w:rFonts w:ascii="Arial" w:cs="Arial" w:eastAsia="Arial" w:hAnsi="Arial"/>
          <w:sz w:val="16"/>
          <w:szCs w:val="16"/>
          <w:color w:val="auto"/>
        </w:rPr>
      </w:pPr>
    </w:p>
    <w:p>
      <w:pPr>
        <w:ind w:right="40"/>
        <w:spacing w:after="0" w:line="254" w:lineRule="auto"/>
        <w:rPr>
          <w:rFonts w:ascii="Arial" w:cs="Arial" w:eastAsia="Arial" w:hAnsi="Arial"/>
          <w:sz w:val="16"/>
          <w:szCs w:val="16"/>
          <w:color w:val="auto"/>
        </w:rPr>
      </w:pPr>
      <w:r>
        <w:rPr>
          <w:rFonts w:ascii="Arial" w:cs="Arial" w:eastAsia="Arial" w:hAnsi="Arial"/>
          <w:sz w:val="18"/>
          <w:szCs w:val="18"/>
          <w:color w:val="auto"/>
        </w:rPr>
        <w:t>Section 3.4(b), the vote of a majority of the votes present or otherwise able to be cast (giving effect to the voting rights of the Stockholder Designees set forth in the Certificate of Incorporation) at any committee meeting at which a quorum is present shall be necessary to constitute the act of the Board of Directors. Following the first occurrence of a Triggering Event, the vote of a majority of the directors present at any committee meeting at which a quorum is present shall be necessary to constitute the act of the Board of Directors.</w:t>
      </w:r>
    </w:p>
    <w:p>
      <w:pPr>
        <w:spacing w:after="0" w:line="190"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xml:space="preserve">. Directors (other than Affiliate Directors) shall receive such reasonable compensation for their service on the Board of Directors or any committees thereof, whether in the form of salary or a fixed fee for attendance at meetings, or both, with expenses, if any, as the Board of Directors may from time to time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Affiliate Directors shall be reimbursed for their expenses incurred in connection with their service on the Board of Directors or any committees thereof. For purposes hereof, “</w:t>
      </w:r>
      <w:r>
        <w:rPr>
          <w:rFonts w:ascii="Arial" w:cs="Arial" w:eastAsia="Arial" w:hAnsi="Arial"/>
          <w:sz w:val="18"/>
          <w:szCs w:val="18"/>
          <w:i w:val="1"/>
          <w:iCs w:val="1"/>
          <w:color w:val="auto"/>
        </w:rPr>
        <w:t>Affiliate Directors</w:t>
      </w:r>
      <w:r>
        <w:rPr>
          <w:rFonts w:ascii="Arial" w:cs="Arial" w:eastAsia="Arial" w:hAnsi="Arial"/>
          <w:sz w:val="18"/>
          <w:szCs w:val="18"/>
          <w:color w:val="auto"/>
        </w:rPr>
        <w:t>” means any director who is an employee of the Corporation or any of its Subsidiaries. Nothing herein contained shall be construed to preclude any director from serving in any other capacity and receiving compensation therefor.</w:t>
      </w:r>
    </w:p>
    <w:p>
      <w:pPr>
        <w:spacing w:after="0" w:line="19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Approval of Certain Matters</w:t>
      </w:r>
      <w:r>
        <w:rPr>
          <w:rFonts w:ascii="Arial" w:cs="Arial" w:eastAsia="Arial" w:hAnsi="Arial"/>
          <w:sz w:val="16"/>
          <w:szCs w:val="16"/>
          <w:color w:val="auto"/>
        </w:rPr>
        <w:t>.</w:t>
      </w:r>
    </w:p>
    <w:p>
      <w:pPr>
        <w:spacing w:after="0" w:line="225" w:lineRule="exact"/>
        <w:rPr>
          <w:sz w:val="20"/>
          <w:szCs w:val="20"/>
          <w:color w:val="auto"/>
        </w:rPr>
      </w:pPr>
    </w:p>
    <w:p>
      <w:pPr>
        <w:jc w:val="both"/>
        <w:ind w:right="120" w:firstLine="1305"/>
        <w:spacing w:after="0" w:line="288" w:lineRule="auto"/>
        <w:tabs>
          <w:tab w:leader="none" w:pos="1942" w:val="left"/>
        </w:tabs>
        <w:numPr>
          <w:ilvl w:val="1"/>
          <w:numId w:val="27"/>
        </w:numPr>
        <w:rPr>
          <w:rFonts w:ascii="Arial" w:cs="Arial" w:eastAsia="Arial" w:hAnsi="Arial"/>
          <w:sz w:val="16"/>
          <w:szCs w:val="16"/>
          <w:color w:val="auto"/>
        </w:rPr>
      </w:pPr>
      <w:r>
        <w:rPr>
          <w:rFonts w:ascii="Arial" w:cs="Arial" w:eastAsia="Arial" w:hAnsi="Arial"/>
          <w:sz w:val="16"/>
          <w:szCs w:val="16"/>
          <w:color w:val="auto"/>
        </w:rPr>
        <w:t>Prior to the fifth anniversary of the Closing Date (as defined in the Business Combination Agreement), the approval of any of the following matters shall require, in addition to any approval required by law, (1) the affirmative vote of a majority of the votes present or otherwise able to be cast at a meeting of the Board of Directors (giving effect to the voting rights of the Stockholder Designees set for in the Certificate of Incorporation) and</w:t>
      </w: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affirmative vote of at least a majority of the Independent Directors:</w:t>
      </w:r>
    </w:p>
    <w:p>
      <w:pPr>
        <w:spacing w:after="0" w:line="210" w:lineRule="exact"/>
        <w:rPr>
          <w:rFonts w:ascii="Arial" w:cs="Arial" w:eastAsia="Arial" w:hAnsi="Arial"/>
          <w:sz w:val="18"/>
          <w:szCs w:val="18"/>
          <w:color w:val="auto"/>
        </w:rPr>
      </w:pPr>
    </w:p>
    <w:p>
      <w:pPr>
        <w:ind w:firstLine="1953"/>
        <w:spacing w:after="0" w:line="264" w:lineRule="auto"/>
        <w:tabs>
          <w:tab w:leader="none" w:pos="2614" w:val="left"/>
        </w:tabs>
        <w:numPr>
          <w:ilvl w:val="2"/>
          <w:numId w:val="28"/>
        </w:numPr>
        <w:rPr>
          <w:rFonts w:ascii="Arial" w:cs="Arial" w:eastAsia="Arial" w:hAnsi="Arial"/>
          <w:sz w:val="18"/>
          <w:szCs w:val="18"/>
          <w:color w:val="auto"/>
        </w:rPr>
      </w:pPr>
      <w:r>
        <w:rPr>
          <w:rFonts w:ascii="Arial" w:cs="Arial" w:eastAsia="Arial" w:hAnsi="Arial"/>
          <w:sz w:val="18"/>
          <w:szCs w:val="18"/>
          <w:color w:val="auto"/>
        </w:rPr>
        <w:t xml:space="preserve">the declaration and payment of any dividend in respect to the capital stock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the first anniversary of the Closing Date, the requirements of this Section 3.12 shall not apply to any dividend if, as of the record date of such dividend, the Corporation’s Pro Forma Net Debt Amount does not exceed $400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1953"/>
        <w:spacing w:after="0" w:line="308" w:lineRule="auto"/>
        <w:tabs>
          <w:tab w:leader="none" w:pos="26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changing the Corporation’s state of incorporation, other than in connection with any merger, business combination or similar transaction that is otherwise approved in accordance with the terms of the Certificate of Incorporation and these by-laws;</w:t>
      </w:r>
    </w:p>
    <w:p>
      <w:pPr>
        <w:spacing w:after="0" w:line="146" w:lineRule="exact"/>
        <w:rPr>
          <w:rFonts w:ascii="Arial" w:cs="Arial" w:eastAsia="Arial" w:hAnsi="Arial"/>
          <w:sz w:val="17"/>
          <w:szCs w:val="17"/>
          <w:color w:val="auto"/>
        </w:rPr>
      </w:pPr>
    </w:p>
    <w:p>
      <w:pPr>
        <w:ind w:right="120" w:firstLine="1953"/>
        <w:spacing w:after="0" w:line="308" w:lineRule="auto"/>
        <w:tabs>
          <w:tab w:leader="none" w:pos="2633"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transaction or agreement between the Corporation or any of its Subsidiaries, on the one hand, and Vivendi or any of its Controlled Affiliates, on the other hand, including any merger, business combination or similar transaction involving such parties;</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waiver of the provisions of Section 203 of the DGCL with respect to any transaction involving Vivendi or any of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Controlled Affiliates;</w:t>
      </w:r>
    </w:p>
    <w:p>
      <w:pPr>
        <w:spacing w:after="0" w:line="210" w:lineRule="exact"/>
        <w:rPr>
          <w:rFonts w:ascii="Arial" w:cs="Arial" w:eastAsia="Arial" w:hAnsi="Arial"/>
          <w:sz w:val="17"/>
          <w:szCs w:val="17"/>
          <w:color w:val="auto"/>
        </w:rPr>
      </w:pPr>
    </w:p>
    <w:p>
      <w:pPr>
        <w:ind w:right="280" w:firstLine="1953"/>
        <w:spacing w:after="0" w:line="308" w:lineRule="auto"/>
        <w:tabs>
          <w:tab w:leader="none" w:pos="2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change in the name of the Corporation, other than in connection with any merger, business combination or similar transaction that is otherwise approved in accordance with the terms of the Certificate of Incorporation and these by-laws;</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relocation of the Corporation’s headquarters or principal offices to any location not in the Los Angeles, California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area;</w:t>
      </w:r>
    </w:p>
    <w:p>
      <w:pPr>
        <w:spacing w:after="0" w:line="210" w:lineRule="exact"/>
        <w:rPr>
          <w:rFonts w:ascii="Arial" w:cs="Arial" w:eastAsia="Arial" w:hAnsi="Arial"/>
          <w:sz w:val="17"/>
          <w:szCs w:val="17"/>
          <w:color w:val="auto"/>
        </w:rPr>
      </w:pPr>
    </w:p>
    <w:p>
      <w:pPr>
        <w:ind w:right="440" w:firstLine="1953"/>
        <w:spacing w:after="0" w:line="277" w:lineRule="auto"/>
        <w:tabs>
          <w:tab w:leader="none" w:pos="26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creation of any committee of the Board of Directors, other than those expressly described in Section 3.10, or the exception of such committee from the application of Section 3.10(d);</w:t>
      </w:r>
    </w:p>
    <w:p>
      <w:pPr>
        <w:spacing w:after="0" w:line="170" w:lineRule="exact"/>
        <w:rPr>
          <w:rFonts w:ascii="Arial" w:cs="Arial" w:eastAsia="Arial" w:hAnsi="Arial"/>
          <w:sz w:val="18"/>
          <w:szCs w:val="18"/>
          <w:color w:val="auto"/>
        </w:rPr>
      </w:pPr>
    </w:p>
    <w:p>
      <w:pPr>
        <w:ind w:right="80" w:firstLine="1953"/>
        <w:spacing w:after="0" w:line="277" w:lineRule="auto"/>
        <w:tabs>
          <w:tab w:leader="none" w:pos="26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the first occurrence of a Triggering Event, any increase in the size of the Board of Directors, except as otherwise required pursuant to Section 3.2(b) or Section 3.3(a);</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appointment or election of the Chief Financial Officer of the Corporation; or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amendment to the provisions of this Section 3.12 or Section 4.3 of these by-laws.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 used herein, “</w:t>
      </w:r>
      <w:r>
        <w:rPr>
          <w:rFonts w:ascii="Arial" w:cs="Arial" w:eastAsia="Arial" w:hAnsi="Arial"/>
          <w:sz w:val="16"/>
          <w:szCs w:val="16"/>
          <w:i w:val="1"/>
          <w:iCs w:val="1"/>
          <w:color w:val="auto"/>
        </w:rPr>
        <w:t>Pro Forma Net Debt</w:t>
      </w:r>
      <w:r>
        <w:rPr>
          <w:rFonts w:ascii="Arial" w:cs="Arial" w:eastAsia="Arial" w:hAnsi="Arial"/>
          <w:sz w:val="16"/>
          <w:szCs w:val="16"/>
          <w:color w:val="auto"/>
        </w:rPr>
        <w:t>” means, with respect to any contemplated dividend by the Board of Directors, the excess, if any, of</w:t>
      </w:r>
    </w:p>
    <w:p>
      <w:pPr>
        <w:spacing w:after="0" w:line="46" w:lineRule="exact"/>
        <w:rPr>
          <w:sz w:val="20"/>
          <w:szCs w:val="20"/>
          <w:color w:val="auto"/>
        </w:rPr>
      </w:pPr>
    </w:p>
    <w:p>
      <w:pPr>
        <w:ind w:firstLine="8"/>
        <w:spacing w:after="0" w:line="254" w:lineRule="auto"/>
        <w:tabs>
          <w:tab w:leader="none" w:pos="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outstanding principal amount of indebtedness for money borrowed of the Corporation and its consolidated subsidiaries as of the date of the record date of such dividend, after giving pro forma effect to the incurrence of any indebtedness in connection with the payment of such dividend over (B) the aggregate amount of cash, cash equivalents and short-term investments of the Corporation and its consolidated subsidiaries as of the record date of such dividend, after giving pro forma effect to the payment of such dividend.</w:t>
      </w:r>
    </w:p>
    <w:p>
      <w:pPr>
        <w:spacing w:after="0" w:line="189" w:lineRule="exact"/>
        <w:rPr>
          <w:rFonts w:ascii="Arial" w:cs="Arial" w:eastAsia="Arial" w:hAnsi="Arial"/>
          <w:sz w:val="18"/>
          <w:szCs w:val="18"/>
          <w:color w:val="auto"/>
        </w:rPr>
      </w:pPr>
    </w:p>
    <w:p>
      <w:pPr>
        <w:jc w:val="both"/>
        <w:ind w:right="200" w:firstLine="1305"/>
        <w:spacing w:after="0" w:line="264" w:lineRule="auto"/>
        <w:tabs>
          <w:tab w:leader="none" w:pos="19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Prior to July 9, 2011, the approval of any of the following matters shall require (1) the affirmative vote of a majority of the votes present or otherwise able to be cast (giving effect to the voting rights of the Stockholder Designees set forth in the Certificate of Incorporation to the extent such rights are in effect) and (2) the affirmative vote of at least a majority of the Independent Directors: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13" w:name="page14"/>
    <w:bookmarkEnd w:id="13"/>
    <w:p>
      <w:pPr>
        <w:ind w:left="2620" w:hanging="667"/>
        <w:spacing w:after="0"/>
        <w:tabs>
          <w:tab w:leader="none" w:pos="2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termination, with or without cause, of the Chief Executive Officer; or</w:t>
      </w:r>
    </w:p>
    <w:p>
      <w:pPr>
        <w:spacing w:after="0" w:line="225" w:lineRule="exact"/>
        <w:rPr>
          <w:rFonts w:ascii="Arial" w:cs="Arial" w:eastAsia="Arial" w:hAnsi="Arial"/>
          <w:sz w:val="18"/>
          <w:szCs w:val="18"/>
          <w:color w:val="auto"/>
        </w:rPr>
      </w:pPr>
    </w:p>
    <w:p>
      <w:pPr>
        <w:ind w:right="840" w:firstLine="1953"/>
        <w:spacing w:after="0" w:line="277" w:lineRule="auto"/>
        <w:tabs>
          <w:tab w:leader="none" w:pos="26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event the Chief Executive Officer resigns for “good reason” (as defined in the Chief Executive Officer’s employment agreement with the Corporation), the appointment or election of a new Chief Executive Officer.</w:t>
      </w:r>
    </w:p>
    <w:p>
      <w:pPr>
        <w:spacing w:after="0" w:line="170" w:lineRule="exact"/>
        <w:rPr>
          <w:rFonts w:ascii="Arial" w:cs="Arial" w:eastAsia="Arial" w:hAnsi="Arial"/>
          <w:sz w:val="18"/>
          <w:szCs w:val="18"/>
          <w:color w:val="auto"/>
        </w:rPr>
      </w:pPr>
    </w:p>
    <w:p>
      <w:pPr>
        <w:ind w:right="80" w:firstLine="1305"/>
        <w:spacing w:after="0" w:line="271" w:lineRule="auto"/>
        <w:tabs>
          <w:tab w:leader="none" w:pos="19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Unless Vivendi’s Voting Interest equals or exceeds 90%, the approval of any action that is designed to, or would have the immediate effect of, causing the Corporation to no longer satisfy the listing requirements of The Nasdaq Global Market, as then in effect, shall require (1) the affirmative vote of a majority of the votes present or otherwise able to be cast (giving effect to the voting rights of the Stockholder Designees set forth in the Certificate of Incorporation to the extent such rights are in effect) and (2) the affirmative vote of at least a majority of the Independent Directors; provided, however, this Section 3.12(c) shall not apply to any action pursuant to which or after which (giving effect to all actions to be taken at the same time) the Corporation’s common stock will be listed on another national securities exchange, (ii) any action subject to one or more of the other subsections of this Section 3.12 that has been approved by the Board of Directors as required herein, or (iii) any action that, pursuant to the DGCL or the Certificate of Incorporation, would require the approval of the stockholders of the Corporation.</w:t>
      </w:r>
    </w:p>
    <w:p>
      <w:pPr>
        <w:spacing w:after="0" w:line="179"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English Language</w:t>
      </w:r>
      <w:r>
        <w:rPr>
          <w:rFonts w:ascii="Arial" w:cs="Arial" w:eastAsia="Arial" w:hAnsi="Arial"/>
          <w:sz w:val="18"/>
          <w:szCs w:val="18"/>
          <w:color w:val="auto"/>
        </w:rPr>
        <w:t xml:space="preserve">. All meetings of the Board of Directors and the committees thereof, whether regular or special, will be conducted in the English language and all notices, consents, documents and other materials provided to the directors shall be written in English;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preclude the Corporation from also providing or making available to directors copies of any such documents or materials translated into a foreign language;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in the event there is any discrepancies between the English and foreign language version of any notice, consent, proxy, document or any other material, the English version of such document shall prevail.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Officers, Title, Elections, Terms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elected officers of the Corporation shall be a Chief Executive Officer, a Chief Financial Officer, and a Secretary, each of whom (subject to Section 3.12) shall be elected by the Board of Directors at its annual meeting following the annual meeting of the stockholders, to serve at the pleasure of the Board of Directors or otherwise as shall be specified by the Board of Directors at the time of such election and until their successors are elected and qualify.</w:t>
      </w:r>
    </w:p>
    <w:p>
      <w:pPr>
        <w:spacing w:after="0" w:line="186" w:lineRule="exact"/>
        <w:rPr>
          <w:rFonts w:ascii="Arial" w:cs="Arial" w:eastAsia="Arial" w:hAnsi="Arial"/>
          <w:sz w:val="18"/>
          <w:szCs w:val="18"/>
          <w:color w:val="auto"/>
        </w:rPr>
      </w:pPr>
    </w:p>
    <w:p>
      <w:pPr>
        <w:ind w:right="40" w:firstLine="1305"/>
        <w:spacing w:after="0" w:line="259" w:lineRule="auto"/>
        <w:tabs>
          <w:tab w:leader="none" w:pos="19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Board of Directors may elect or appoint at any time, and from time to time, additional officers or agents, including without limitation, one or more Presidents, a Treasurer, a Chairman of the Board of Directors, one or more Vice Chairmen and one or more Vice Presidents, with such duties as the Board of Directors may deem necessary or desirable. Such additional officers shall serve at the pleasure of the Board of Directors or otherwise as shall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be specified by the Board of Directors at the time of such election or appointment. Two or more offices may be held by the same person.</w:t>
      </w:r>
    </w:p>
    <w:p>
      <w:pPr>
        <w:spacing w:after="0" w:line="225" w:lineRule="exact"/>
        <w:rPr>
          <w:sz w:val="20"/>
          <w:szCs w:val="20"/>
          <w:color w:val="auto"/>
        </w:rPr>
      </w:pPr>
    </w:p>
    <w:p>
      <w:pPr>
        <w:ind w:left="1960" w:hanging="655"/>
        <w:spacing w:after="0"/>
        <w:tabs>
          <w:tab w:leader="none" w:pos="1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Subject to Section 3.12, any vacancy in any office may be filled for the unexpired portion of the term by the Board of Directors.</w:t>
      </w:r>
    </w:p>
    <w:p>
      <w:pPr>
        <w:spacing w:after="0" w:line="248" w:lineRule="exact"/>
        <w:rPr>
          <w:rFonts w:ascii="Arial" w:cs="Arial" w:eastAsia="Arial" w:hAnsi="Arial"/>
          <w:sz w:val="16"/>
          <w:szCs w:val="16"/>
          <w:color w:val="auto"/>
        </w:rPr>
      </w:pPr>
    </w:p>
    <w:p>
      <w:pPr>
        <w:ind w:right="120" w:firstLine="1305"/>
        <w:spacing w:after="0" w:line="264" w:lineRule="auto"/>
        <w:tabs>
          <w:tab w:leader="none" w:pos="19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officer may resign his office at any time. Such resignation shall be made in writing and shall take effect at the time specified therein or, if no time be specified, at the time of its receipt by the Corporation. The acceptance of a resignation shall not be necessary to make it effective, unless expressly so provided in the resignation.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Except as otherwise provided in Section 4.3, the salaries of all officers of the Corporation shall be fixed by the Board of Directors.</w:t>
      </w:r>
    </w:p>
    <w:p>
      <w:pPr>
        <w:spacing w:after="0" w:line="248" w:lineRule="exact"/>
        <w:rPr>
          <w:sz w:val="20"/>
          <w:szCs w:val="20"/>
          <w:color w:val="auto"/>
        </w:rPr>
      </w:pPr>
    </w:p>
    <w:p>
      <w:pPr>
        <w:ind w:right="440" w:firstLine="1297"/>
        <w:spacing w:after="0" w:line="30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Removal of Elected Officers</w:t>
      </w:r>
      <w:r>
        <w:rPr>
          <w:rFonts w:ascii="Arial" w:cs="Arial" w:eastAsia="Arial" w:hAnsi="Arial"/>
          <w:sz w:val="17"/>
          <w:szCs w:val="17"/>
          <w:color w:val="auto"/>
        </w:rPr>
        <w:t>. Subject to Section 3.12, any elected officer may be removed at any time, either with or without cause, by resolution adopted at any regular or special meeting of the Board of Directors by a majority of the directors then in office.</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w:t>
      </w:r>
    </w:p>
    <w:p>
      <w:pPr>
        <w:spacing w:after="0" w:line="225" w:lineRule="exact"/>
        <w:rPr>
          <w:sz w:val="20"/>
          <w:szCs w:val="20"/>
          <w:color w:val="auto"/>
        </w:rPr>
      </w:pPr>
    </w:p>
    <w:p>
      <w:pPr>
        <w:jc w:val="both"/>
        <w:ind w:right="220" w:firstLine="1305"/>
        <w:spacing w:after="0" w:line="312" w:lineRule="auto"/>
        <w:tabs>
          <w:tab w:leader="none" w:pos="1942"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Chief Executive Officer of the Corporation shall exercise such duties as customarily pertain to the office of Chief Executive Officer, and shall have general and active management of the property, business and affairs of the Corporation, subject to the supervision and control of the Board of Directors. He or she shall perform such other duties as prescribed from time to time by the Board of Directors or these by-laws.</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Without in any way limiting the generality of the foregoing, subject to Section 4.3(c) below, the Chief Executive Officer shall have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authority to:</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2"/>
          <w:numId w:val="35"/>
        </w:numPr>
        <w:rPr>
          <w:rFonts w:ascii="Arial" w:cs="Arial" w:eastAsia="Arial" w:hAnsi="Arial"/>
          <w:sz w:val="17"/>
          <w:szCs w:val="17"/>
          <w:color w:val="auto"/>
        </w:rPr>
      </w:pPr>
      <w:r>
        <w:rPr>
          <w:rFonts w:ascii="Arial" w:cs="Arial" w:eastAsia="Arial" w:hAnsi="Arial"/>
          <w:sz w:val="17"/>
          <w:szCs w:val="17"/>
          <w:color w:val="auto"/>
        </w:rPr>
        <w:t>(A) prepare and draft the Corporation’s annual strategic, financial and operating plans (collectively, “</w:t>
      </w:r>
      <w:r>
        <w:rPr>
          <w:rFonts w:ascii="Arial" w:cs="Arial" w:eastAsia="Arial" w:hAnsi="Arial"/>
          <w:sz w:val="17"/>
          <w:szCs w:val="17"/>
          <w:i w:val="1"/>
          <w:iCs w:val="1"/>
          <w:color w:val="auto"/>
        </w:rPr>
        <w:t>Annual Plans</w:t>
      </w:r>
      <w:r>
        <w:rPr>
          <w:rFonts w:ascii="Arial" w:cs="Arial" w:eastAsia="Arial" w:hAnsi="Arial"/>
          <w:sz w:val="17"/>
          <w:szCs w:val="17"/>
          <w:color w:val="auto"/>
        </w:rPr>
        <w:t>”),</w:t>
      </w:r>
    </w:p>
    <w:p>
      <w:pPr>
        <w:spacing w:after="0" w:line="34" w:lineRule="exact"/>
        <w:rPr>
          <w:rFonts w:ascii="Arial" w:cs="Arial" w:eastAsia="Arial" w:hAnsi="Arial"/>
          <w:sz w:val="17"/>
          <w:szCs w:val="17"/>
          <w:color w:val="auto"/>
        </w:rPr>
      </w:pPr>
    </w:p>
    <w:p>
      <w:pPr>
        <w:ind w:right="300" w:firstLine="8"/>
        <w:spacing w:after="0" w:line="261" w:lineRule="auto"/>
        <w:tabs>
          <w:tab w:leader="none" w:pos="2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implement Annual Plans that have been approved by the Board of Directors (“</w:t>
      </w:r>
      <w:r>
        <w:rPr>
          <w:rFonts w:ascii="Arial" w:cs="Arial" w:eastAsia="Arial" w:hAnsi="Arial"/>
          <w:sz w:val="18"/>
          <w:szCs w:val="18"/>
          <w:i w:val="1"/>
          <w:iCs w:val="1"/>
          <w:color w:val="auto"/>
        </w:rPr>
        <w:t>Approved Plans</w:t>
      </w:r>
      <w:r>
        <w:rPr>
          <w:rFonts w:ascii="Arial" w:cs="Arial" w:eastAsia="Arial" w:hAnsi="Arial"/>
          <w:sz w:val="18"/>
          <w:szCs w:val="18"/>
          <w:color w:val="auto"/>
        </w:rPr>
        <w:t>”) and (C) make modifications to Approved Plans to the extent consistent with the Chief Executive Officer’s authority as provided herein;</w:t>
      </w:r>
    </w:p>
    <w:p>
      <w:pPr>
        <w:spacing w:after="0" w:line="183" w:lineRule="exact"/>
        <w:rPr>
          <w:rFonts w:ascii="Arial" w:cs="Arial" w:eastAsia="Arial" w:hAnsi="Arial"/>
          <w:sz w:val="18"/>
          <w:szCs w:val="18"/>
          <w:color w:val="auto"/>
        </w:rPr>
      </w:pPr>
    </w:p>
    <w:p>
      <w:pPr>
        <w:ind w:left="2640" w:hanging="687"/>
        <w:spacing w:after="0"/>
        <w:tabs>
          <w:tab w:leader="none" w:pos="26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coordinate and manage operational and reporting issues with respect to the Corporation;</w:t>
      </w:r>
    </w:p>
    <w:p>
      <w:pPr>
        <w:spacing w:after="0" w:line="225" w:lineRule="exact"/>
        <w:rPr>
          <w:rFonts w:ascii="Arial" w:cs="Arial" w:eastAsia="Arial" w:hAnsi="Arial"/>
          <w:sz w:val="18"/>
          <w:szCs w:val="18"/>
          <w:color w:val="auto"/>
        </w:rPr>
      </w:pPr>
    </w:p>
    <w:p>
      <w:pPr>
        <w:jc w:val="both"/>
        <w:ind w:right="160" w:firstLine="1953"/>
        <w:spacing w:after="0" w:line="312" w:lineRule="auto"/>
        <w:tabs>
          <w:tab w:leader="none" w:pos="2633" w:val="left"/>
        </w:tabs>
        <w:numPr>
          <w:ilvl w:val="2"/>
          <w:numId w:val="36"/>
        </w:numPr>
        <w:rPr>
          <w:rFonts w:ascii="Arial" w:cs="Arial" w:eastAsia="Arial" w:hAnsi="Arial"/>
          <w:sz w:val="16"/>
          <w:szCs w:val="16"/>
          <w:color w:val="auto"/>
        </w:rPr>
      </w:pPr>
      <w:r>
        <w:rPr>
          <w:rFonts w:ascii="Arial" w:cs="Arial" w:eastAsia="Arial" w:hAnsi="Arial"/>
          <w:sz w:val="16"/>
          <w:szCs w:val="16"/>
          <w:color w:val="auto"/>
        </w:rPr>
        <w:t xml:space="preserve">cause the Corporation to take any actions related to the expansion or contraction of the Corporation’s businesses and/or business units, including restructuring, realigning, divesting or investing in any lines of business and/or business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Chief Executive Officer has provided the Board of Directors with a reasonable analysis of and explanation for such actions prior to taking such actions;</w:t>
      </w:r>
    </w:p>
    <w:p>
      <w:pPr>
        <w:spacing w:after="0" w:line="146" w:lineRule="exact"/>
        <w:rPr>
          <w:rFonts w:ascii="Arial" w:cs="Arial" w:eastAsia="Arial" w:hAnsi="Arial"/>
          <w:sz w:val="16"/>
          <w:szCs w:val="16"/>
          <w:color w:val="auto"/>
        </w:rPr>
      </w:pPr>
    </w:p>
    <w:p>
      <w:pPr>
        <w:ind w:left="2620" w:hanging="667"/>
        <w:spacing w:after="0"/>
        <w:tabs>
          <w:tab w:leader="none" w:pos="2620" w:val="left"/>
        </w:tabs>
        <w:numPr>
          <w:ilvl w:val="2"/>
          <w:numId w:val="36"/>
        </w:numPr>
        <w:rPr>
          <w:rFonts w:ascii="Arial" w:cs="Arial" w:eastAsia="Arial" w:hAnsi="Arial"/>
          <w:sz w:val="17"/>
          <w:szCs w:val="17"/>
          <w:color w:val="auto"/>
        </w:rPr>
      </w:pPr>
      <w:r>
        <w:rPr>
          <w:rFonts w:ascii="Arial" w:cs="Arial" w:eastAsia="Arial" w:hAnsi="Arial"/>
          <w:sz w:val="17"/>
          <w:szCs w:val="17"/>
          <w:color w:val="auto"/>
        </w:rPr>
        <w:t>make decisions with respect to the approval or disapproval (</w:t>
      </w:r>
      <w:r>
        <w:rPr>
          <w:rFonts w:ascii="Arial" w:cs="Arial" w:eastAsia="Arial" w:hAnsi="Arial"/>
          <w:sz w:val="17"/>
          <w:szCs w:val="17"/>
          <w:i w:val="1"/>
          <w:iCs w:val="1"/>
          <w:color w:val="auto"/>
        </w:rPr>
        <w:t>e.g.</w:t>
      </w:r>
      <w:r>
        <w:rPr>
          <w:rFonts w:ascii="Arial" w:cs="Arial" w:eastAsia="Arial" w:hAnsi="Arial"/>
          <w:sz w:val="17"/>
          <w:szCs w:val="17"/>
          <w:color w:val="auto"/>
        </w:rPr>
        <w:t>, “greenlighting” or “redlighting”) of the Corporation’s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products and product lines;</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4" w:name="page15"/>
    <w:bookmarkEnd w:id="14"/>
    <w:p>
      <w:pPr>
        <w:ind w:right="340" w:firstLine="1953"/>
        <w:spacing w:after="0" w:line="277" w:lineRule="auto"/>
        <w:tabs>
          <w:tab w:leader="none" w:pos="2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hire and fire employees of the Corporation (including the Chief Financial Officer, subject to approval by the Board of Directors as set forth in Section 3.12(a)(ix)) and determine their compensation;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coordinate and manage the Corporation’s investor relations activities.</w:t>
      </w:r>
    </w:p>
    <w:p>
      <w:pPr>
        <w:spacing w:after="0" w:line="225" w:lineRule="exact"/>
        <w:rPr>
          <w:rFonts w:ascii="Arial" w:cs="Arial" w:eastAsia="Arial" w:hAnsi="Arial"/>
          <w:sz w:val="18"/>
          <w:szCs w:val="18"/>
          <w:color w:val="auto"/>
        </w:rPr>
      </w:pPr>
    </w:p>
    <w:p>
      <w:pPr>
        <w:ind w:right="160" w:firstLine="1305"/>
        <w:spacing w:after="0" w:line="264"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the provisions of Section 4.3(a) or (b), (1) on an annual basis, the Chief Executive Officer shall prepare and submit Annual Plans for the review and approval of the Board of Directors and (2) without the prior approval of the Board of Directors, the Chief Executive Officer shall not:</w:t>
      </w:r>
    </w:p>
    <w:p>
      <w:pPr>
        <w:spacing w:after="0" w:line="181" w:lineRule="exact"/>
        <w:rPr>
          <w:rFonts w:ascii="Arial" w:cs="Arial" w:eastAsia="Arial" w:hAnsi="Arial"/>
          <w:sz w:val="18"/>
          <w:szCs w:val="18"/>
          <w:color w:val="auto"/>
        </w:rPr>
      </w:pPr>
    </w:p>
    <w:p>
      <w:pPr>
        <w:ind w:right="40" w:firstLine="1953"/>
        <w:spacing w:after="0" w:line="279" w:lineRule="auto"/>
        <w:tabs>
          <w:tab w:leader="none" w:pos="2614"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approve Annual Plans or implement any Annual Plans (other than Approved Plans);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Board of Directors fails to approve any Annual Plan for any fiscal year, then during such fiscal year, unless and until such Annual Plan(s) are approved by the Board of Directors, the Chief Executive Officer shall have the authority to operate the businesses of the Corporation in a manner consistent with the Approved Plans for the prior fiscal year as if such Annual Plans were operative for the current fiscal year (subject to the terms of these by-laws);</w:t>
      </w:r>
    </w:p>
    <w:p>
      <w:pPr>
        <w:spacing w:after="0" w:line="171" w:lineRule="exact"/>
        <w:rPr>
          <w:rFonts w:ascii="Arial" w:cs="Arial" w:eastAsia="Arial" w:hAnsi="Arial"/>
          <w:sz w:val="17"/>
          <w:szCs w:val="17"/>
          <w:color w:val="auto"/>
        </w:rPr>
      </w:pPr>
    </w:p>
    <w:p>
      <w:pPr>
        <w:ind w:right="160" w:firstLine="1953"/>
        <w:spacing w:after="0" w:line="264" w:lineRule="auto"/>
        <w:tabs>
          <w:tab w:leader="none" w:pos="26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take any actions relating to the restructuring, realigning or divesting of the Blizzard business are not consistent with the Approved Plans then in effect or (B) make decisions with respect to the approval or disapproval (</w:t>
      </w:r>
      <w:r>
        <w:rPr>
          <w:rFonts w:ascii="Arial" w:cs="Arial" w:eastAsia="Arial" w:hAnsi="Arial"/>
          <w:sz w:val="18"/>
          <w:szCs w:val="18"/>
          <w:i w:val="1"/>
          <w:iCs w:val="1"/>
          <w:color w:val="auto"/>
        </w:rPr>
        <w:t>e.g.</w:t>
      </w:r>
      <w:r>
        <w:rPr>
          <w:rFonts w:ascii="Arial" w:cs="Arial" w:eastAsia="Arial" w:hAnsi="Arial"/>
          <w:sz w:val="18"/>
          <w:szCs w:val="18"/>
          <w:color w:val="auto"/>
        </w:rPr>
        <w:t>, “greenlighting” or “redlighting”) of Blizzard’s products and product lines;</w:t>
      </w:r>
    </w:p>
    <w:p>
      <w:pPr>
        <w:spacing w:after="0" w:line="181" w:lineRule="exact"/>
        <w:rPr>
          <w:rFonts w:ascii="Arial" w:cs="Arial" w:eastAsia="Arial" w:hAnsi="Arial"/>
          <w:sz w:val="18"/>
          <w:szCs w:val="18"/>
          <w:color w:val="auto"/>
        </w:rPr>
      </w:pPr>
    </w:p>
    <w:p>
      <w:pPr>
        <w:jc w:val="both"/>
        <w:ind w:right="220" w:firstLine="1953"/>
        <w:spacing w:after="0" w:line="312" w:lineRule="auto"/>
        <w:tabs>
          <w:tab w:leader="none" w:pos="2633" w:val="left"/>
        </w:tabs>
        <w:numPr>
          <w:ilvl w:val="1"/>
          <w:numId w:val="38"/>
        </w:numPr>
        <w:rPr>
          <w:rFonts w:ascii="Arial" w:cs="Arial" w:eastAsia="Arial" w:hAnsi="Arial"/>
          <w:sz w:val="16"/>
          <w:szCs w:val="16"/>
          <w:color w:val="auto"/>
        </w:rPr>
      </w:pPr>
      <w:r>
        <w:rPr>
          <w:rFonts w:ascii="Arial" w:cs="Arial" w:eastAsia="Arial" w:hAnsi="Arial"/>
          <w:sz w:val="16"/>
          <w:szCs w:val="16"/>
          <w:color w:val="auto"/>
        </w:rPr>
        <w:t>cause the Corporation or any of its subsidiaries to enter into any agreement with respect to any investment, acquisition, asset sale, incurrence of indebtedness for borrowed money, guarantee or any other agreement (including licenses and leases), in each case, that provides for payments by or to the Corporation or such subsidiary in excess of $30 million (other than to the extent contemplated by the Approved Plans then in effect);</w:t>
      </w:r>
    </w:p>
    <w:p>
      <w:pPr>
        <w:spacing w:after="0" w:line="146" w:lineRule="exact"/>
        <w:rPr>
          <w:rFonts w:ascii="Arial" w:cs="Arial" w:eastAsia="Arial" w:hAnsi="Arial"/>
          <w:sz w:val="16"/>
          <w:szCs w:val="16"/>
          <w:color w:val="auto"/>
        </w:rPr>
      </w:pPr>
    </w:p>
    <w:p>
      <w:pPr>
        <w:ind w:right="140" w:firstLine="1953"/>
        <w:spacing w:after="0" w:line="277" w:lineRule="auto"/>
        <w:tabs>
          <w:tab w:leader="none" w:pos="261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cause the Corporation to issue any equity securities or instruments or securities convertible, exchangeable or exercisable for equity securities, including stock options, restricted stock grants and similar securities; or</w:t>
      </w:r>
    </w:p>
    <w:p>
      <w:pPr>
        <w:spacing w:after="0" w:line="170" w:lineRule="exact"/>
        <w:rPr>
          <w:rFonts w:ascii="Arial" w:cs="Arial" w:eastAsia="Arial" w:hAnsi="Arial"/>
          <w:sz w:val="18"/>
          <w:szCs w:val="18"/>
          <w:color w:val="auto"/>
        </w:rPr>
      </w:pPr>
    </w:p>
    <w:p>
      <w:pPr>
        <w:ind w:right="380" w:firstLine="1953"/>
        <w:spacing w:after="0" w:line="264" w:lineRule="auto"/>
        <w:tabs>
          <w:tab w:leader="none" w:pos="26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determine or change the compensation levels of (A) any person whose compensation is subject to the authority of the Compensation Committee as provided in such committee’s charter as then in effect or (B) any employee of the Corporation whose annual compensation (excluding equity-based compensation) exceeds (or is proposed to exceed) $2 million per year.</w:t>
      </w:r>
    </w:p>
    <w:p>
      <w:pPr>
        <w:spacing w:after="0" w:line="18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Duties</w:t>
      </w:r>
      <w:r>
        <w:rPr>
          <w:rFonts w:ascii="Arial" w:cs="Arial" w:eastAsia="Arial" w:hAnsi="Arial"/>
          <w:sz w:val="18"/>
          <w:szCs w:val="18"/>
          <w:color w:val="auto"/>
        </w:rPr>
        <w:t>. Except as otherwise provided in Section 4.3 above, the officers of the Corporation shall have such powers and perform such duties incident to each of their respective offices and such other duties as may from time to time be conferred upon or assigned to them by the Board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Stock Certificates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64" w:lineRule="auto"/>
        <w:tabs>
          <w:tab w:leader="none" w:pos="1942"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Every holder of stock in the Corporation shall be entitled to have a certificate signed by, or in the name of, the Corporation by the Chairman or the President or a Vice President, and by the Treasurer or an Assistant Treasurer or the Secretary or an Assistant Secretary, certifying the number of shares owned by him.</w:t>
      </w:r>
    </w:p>
    <w:p>
      <w:pPr>
        <w:spacing w:after="0" w:line="181" w:lineRule="exact"/>
        <w:rPr>
          <w:rFonts w:ascii="Arial" w:cs="Arial" w:eastAsia="Arial" w:hAnsi="Arial"/>
          <w:sz w:val="18"/>
          <w:szCs w:val="18"/>
          <w:color w:val="auto"/>
        </w:rPr>
      </w:pPr>
    </w:p>
    <w:p>
      <w:pPr>
        <w:ind w:right="220" w:firstLine="1305"/>
        <w:spacing w:after="0" w:line="264" w:lineRule="auto"/>
        <w:tabs>
          <w:tab w:leader="none" w:pos="19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such certificate is countersigned by a transfer agent other than the Corporation or its employee, or by a registrar other than the Corporation or its employee, the signatures of the officers of the Corporation may be facsimiles, and, if permitted by law, any other signature may be a facsimile.</w:t>
      </w:r>
    </w:p>
    <w:p>
      <w:pPr>
        <w:spacing w:after="0" w:line="181" w:lineRule="exact"/>
        <w:rPr>
          <w:rFonts w:ascii="Arial" w:cs="Arial" w:eastAsia="Arial" w:hAnsi="Arial"/>
          <w:sz w:val="18"/>
          <w:szCs w:val="18"/>
          <w:color w:val="auto"/>
        </w:rPr>
      </w:pPr>
    </w:p>
    <w:p>
      <w:pPr>
        <w:ind w:right="320" w:firstLine="1305"/>
        <w:spacing w:after="0" w:line="342" w:lineRule="auto"/>
        <w:tabs>
          <w:tab w:leader="none" w:pos="19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case any officer who has signed or whose facsimile signature has been placed upon a certificate shall have ceased to be such officer before such certificate is issued, it may be issued by the Corporation with the same effect as if he were such officer at the date of issue.</w:t>
      </w:r>
    </w:p>
    <w:p>
      <w:pPr>
        <w:spacing w:after="0" w:line="123" w:lineRule="exact"/>
        <w:rPr>
          <w:rFonts w:ascii="Arial" w:cs="Arial" w:eastAsia="Arial" w:hAnsi="Arial"/>
          <w:sz w:val="16"/>
          <w:szCs w:val="16"/>
          <w:color w:val="auto"/>
        </w:rPr>
      </w:pPr>
    </w:p>
    <w:p>
      <w:pPr>
        <w:ind w:right="120" w:firstLine="1305"/>
        <w:spacing w:after="0" w:line="277" w:lineRule="auto"/>
        <w:tabs>
          <w:tab w:leader="none" w:pos="19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Certificates of stock shall be issued in such form not inconsistent with the Certificate of Incorporation as shall be approved by the Board of Directors. They shall be numbered and registered in the order in which they are issued.</w:t>
      </w:r>
    </w:p>
    <w:p>
      <w:pPr>
        <w:spacing w:after="0" w:line="170" w:lineRule="exact"/>
        <w:rPr>
          <w:rFonts w:ascii="Arial" w:cs="Arial" w:eastAsia="Arial" w:hAnsi="Arial"/>
          <w:sz w:val="18"/>
          <w:szCs w:val="18"/>
          <w:color w:val="auto"/>
        </w:rPr>
      </w:pPr>
    </w:p>
    <w:p>
      <w:pPr>
        <w:ind w:right="180" w:firstLine="1305"/>
        <w:spacing w:after="0" w:line="264" w:lineRule="auto"/>
        <w:tabs>
          <w:tab w:leader="none" w:pos="19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certificates surrendered to the Corporation shall be cancelled with the date of cancellation, and shall be retained by the Secretary, together with the powers of attorney to transfer and the assignments of the shares represented by such certificates, for such period of time as shall be prescribed from time to time by resolution of the Board of Directors.</w:t>
      </w:r>
    </w:p>
    <w:p>
      <w:pPr>
        <w:spacing w:after="0" w:line="181" w:lineRule="exact"/>
        <w:rPr>
          <w:rFonts w:ascii="Arial" w:cs="Arial" w:eastAsia="Arial" w:hAnsi="Arial"/>
          <w:sz w:val="18"/>
          <w:szCs w:val="18"/>
          <w:color w:val="auto"/>
        </w:rPr>
      </w:pPr>
    </w:p>
    <w:p>
      <w:pPr>
        <w:ind w:right="20" w:firstLine="1305"/>
        <w:spacing w:after="0" w:line="277" w:lineRule="auto"/>
        <w:tabs>
          <w:tab w:leader="none" w:pos="19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the other provisions of this Section 5.1, the Board of Directors may provide by resolution or resolutions that some or all of any or all classes or series of the stock of the Corporation may be uncertificated.</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Record Ownership</w:t>
      </w:r>
      <w:r>
        <w:rPr>
          <w:rFonts w:ascii="Arial" w:cs="Arial" w:eastAsia="Arial" w:hAnsi="Arial"/>
          <w:sz w:val="18"/>
          <w:szCs w:val="18"/>
          <w:color w:val="auto"/>
        </w:rPr>
        <w:t>. A record of the name and address of the holder of each certificate, the number of shares represented thereby and the date of issue thereof shall be made on the Corporation’s books. The Corporation shall be entitled to treat the holder of any share of stock as the holder in fact thereof, and accordingly shall not be bound to recognize any equitable or other claim to or interest in any share on the part of any other person, whether or not it shall have express or other notice thereof, except as required by law.</w:t>
      </w:r>
    </w:p>
    <w:p>
      <w:pPr>
        <w:spacing w:after="0" w:line="187" w:lineRule="exact"/>
        <w:rPr>
          <w:sz w:val="20"/>
          <w:szCs w:val="20"/>
          <w:color w:val="auto"/>
        </w:rPr>
      </w:pPr>
    </w:p>
    <w:p>
      <w:pPr>
        <w:jc w:val="both"/>
        <w:ind w:right="120" w:firstLine="1297"/>
        <w:spacing w:after="0" w:line="30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Transfer of Record Ownership</w:t>
      </w:r>
      <w:r>
        <w:rPr>
          <w:rFonts w:ascii="Arial" w:cs="Arial" w:eastAsia="Arial" w:hAnsi="Arial"/>
          <w:sz w:val="16"/>
          <w:szCs w:val="16"/>
          <w:color w:val="auto"/>
        </w:rPr>
        <w:t>. Transfers of stock shall be made on the books of the Corporation only by direction of the person named in the certificate or his attorney, lawfully constituted in writing, and only upon the surrender of the certificate therefor and a written assignment of the shares evidenced thereby. Whenever any transfer of stock shall be made for collateral security, and not absolutely, it shall be so expressed in the entry of the transfer if, when the certificates are presented to the Corporation for transfer, both the transferor and transferee request the Corporation to do so.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0" w:gutter="0" w:footer="0" w:header="0"/>
        </w:sectPr>
      </w:pPr>
    </w:p>
    <w:bookmarkStart w:id="15" w:name="page16"/>
    <w:bookmarkEnd w:id="15"/>
    <w:p>
      <w:pPr>
        <w:ind w:right="200" w:firstLine="1297"/>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Certificates representing shares of the stock of the Corporation shall be issued in place of any certificate alleged to have been lost, stolen or destroyed in such manner and on such terms and conditions as the Board of Directors from time to time may authorize.</w:t>
      </w:r>
    </w:p>
    <w:p>
      <w:pPr>
        <w:spacing w:after="0" w:line="181"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Transfer Agent; Registrar; Rules Respecting Certificates</w:t>
      </w:r>
      <w:r>
        <w:rPr>
          <w:rFonts w:ascii="Arial" w:cs="Arial" w:eastAsia="Arial" w:hAnsi="Arial"/>
          <w:sz w:val="16"/>
          <w:szCs w:val="16"/>
          <w:color w:val="auto"/>
        </w:rPr>
        <w:t>. The Corporation may maintain one or more transfer offices or agencies where stock of the Corporation shall be transferable. The Corporation may also maintain one or more registry offices where such stock shall be registered. The Board of Directors may make such rules and regulations as it may deem expedient concerning the issue, transfer and registration of stock certificates.</w:t>
      </w:r>
    </w:p>
    <w:p>
      <w:pPr>
        <w:spacing w:after="0" w:line="147"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Fixing Record Date for Determination of Stockholders of Record</w:t>
      </w:r>
      <w:r>
        <w:rPr>
          <w:rFonts w:ascii="Arial" w:cs="Arial" w:eastAsia="Arial" w:hAnsi="Arial"/>
          <w:sz w:val="17"/>
          <w:szCs w:val="17"/>
          <w:color w:val="auto"/>
        </w:rPr>
        <w:t xml:space="preserve">. The Board of Directors may fix, in advance, a date as the record date for the purpose of determining stockholders entitled to notice of, or to vote at, any meeting of the stockholders or any adjournment thereof, or the stockholders entitled to receive payment of any dividend or other distribution or the allotment of any rights, or entitled to exercise any rights in respect of any change, conversion or exchange of stock, or to express consent to corporate action in writing without a meeting, or in order to make a determination of the stockholders for the purpose of any other lawful action. Such record date in any case shall be not more than sixty days nor less than ten days before the date of a meeting of the stockholders, nor more than sixty days prior to any other action requiring such determination of the stockholders. A determination of stockholders of record entitled to notice or to vote at a meeting of stockholders shall apply to any adjournment of the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of Directors may fix a new record date for the adjourned meeting.</w:t>
      </w:r>
    </w:p>
    <w:p>
      <w:pPr>
        <w:spacing w:after="0" w:line="179"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Dividends</w:t>
      </w:r>
      <w:r>
        <w:rPr>
          <w:rFonts w:ascii="Arial" w:cs="Arial" w:eastAsia="Arial" w:hAnsi="Arial"/>
          <w:sz w:val="17"/>
          <w:szCs w:val="17"/>
          <w:color w:val="auto"/>
        </w:rPr>
        <w:t>. Subject to the provisions of the Certificate of Incorporation and Section 3.12 of these by-laws, the Board of Directors may, out of funds legally available therefor at any regular or special meeting, declare dividends upon the capital stock of the Corporation as and when they deem expedient. Before declaring any dividend there may be set apart out of any funds of the Corporation available for dividends, such sum or sums as the Board of Directors from time to time in their discretion deem proper for working capital or as a reserve fund to meet contingencies or for equalizing dividends or for such other purposes as the Board of Directors shall deem conducive to the interests of the Corporation.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HELD BY THE CORPORATION</w:t>
      </w:r>
    </w:p>
    <w:p>
      <w:pPr>
        <w:spacing w:after="0" w:line="211"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Voting</w:t>
      </w:r>
      <w:r>
        <w:rPr>
          <w:rFonts w:ascii="Arial" w:cs="Arial" w:eastAsia="Arial" w:hAnsi="Arial"/>
          <w:sz w:val="18"/>
          <w:szCs w:val="18"/>
          <w:color w:val="auto"/>
        </w:rPr>
        <w:t>. Unless the Board of Directors shall otherwise order, the Chief Executive Officer, any President and any Vice President, the Secretary or the Treasurer shall have full power and authority, on behalf of the Corporation, to attend, act and vote at any meeting of the stockholders of any corporation in which the Corporation may hold stock, and at such meeting to exercise any or all rights and powers incident to the ownership of such stock, and to execute on behalf of the Corporation a proxy or proxies empowering another or others to act as aforesaid. The Board of Directors from time to time may confer like powers upon any other person or persons.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General Authorization to Transfer Securities Held by the Corporation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7" w:lineRule="auto"/>
        <w:tabs>
          <w:tab w:leader="none" w:pos="19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the following officers, to wit: the Chief Executive Officer, any President, any Vice President and the Treasurer shall be, and they hereby are, authorized and empowered to transfer, convert, endorse, sell, assign, set over and deliver any and all shares of stock, bonds, debentures, notes, subscription warrants, stock purchase warrants, evidence of indebtedness, or other securities now or hereafter standing in the name of or owned by the Corporation, and to make, execute and deliver, under the seal of the Corporation, any and all written instruments of assignment and transfer necessary or proper to effectuate the authority hereby conferred.</w:t>
      </w:r>
    </w:p>
    <w:p>
      <w:pPr>
        <w:spacing w:after="0" w:line="188" w:lineRule="exact"/>
        <w:rPr>
          <w:rFonts w:ascii="Arial" w:cs="Arial" w:eastAsia="Arial" w:hAnsi="Arial"/>
          <w:sz w:val="18"/>
          <w:szCs w:val="18"/>
          <w:color w:val="auto"/>
        </w:rPr>
      </w:pPr>
    </w:p>
    <w:p>
      <w:pPr>
        <w:ind w:right="40" w:firstLine="1305"/>
        <w:spacing w:after="0" w:line="272" w:lineRule="auto"/>
        <w:tabs>
          <w:tab w:leader="none" w:pos="1952"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Whenever there shall be annexed to any instrument of assignment and transfer executed pursuant to and in accordance with the foregoing paragraph (a), a certificate of the Secretary of the Corporation in office at the date of such certificate setting forth the provisions of this Section 6.2 and stating that they are in full force and effect and setting forth the names of persons who are then officers of the Corporation, then all persons to whom such instrument and annexed certificate shall thereafter come, shall be entitled, without further inquiry or investigation and regardless of the date of such certificate, to assume and to act in reliance upon the assumption that the shares of stock or other securities named in such instrument were theretofore duly and properly transferred, endorsed, sold, assigned, set over and delivered by the Corporation, and that with respect to such securities the authority of these provisions of the by-laws and of such officers is still in full force and effect.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 OF DIRECTORS AND OFFICERS</w:t>
      </w:r>
    </w:p>
    <w:p>
      <w:pPr>
        <w:spacing w:after="0" w:line="211" w:lineRule="exact"/>
        <w:rPr>
          <w:sz w:val="20"/>
          <w:szCs w:val="20"/>
          <w:color w:val="auto"/>
        </w:rPr>
      </w:pPr>
    </w:p>
    <w:p>
      <w:pPr>
        <w:ind w:right="60" w:firstLine="1297"/>
        <w:spacing w:after="0" w:line="26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7"/>
          <w:szCs w:val="17"/>
          <w:i w:val="1"/>
          <w:iCs w:val="1"/>
          <w:color w:val="auto"/>
        </w:rPr>
        <w:t>proceeding</w:t>
      </w:r>
      <w:r>
        <w:rPr>
          <w:rFonts w:ascii="Arial" w:cs="Arial" w:eastAsia="Arial" w:hAnsi="Arial"/>
          <w:sz w:val="17"/>
          <w:szCs w:val="17"/>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or other enterprise, including service with respect to an employee benefit plan (herein after an “</w:t>
      </w:r>
      <w:r>
        <w:rPr>
          <w:rFonts w:ascii="Arial" w:cs="Arial" w:eastAsia="Arial" w:hAnsi="Arial"/>
          <w:sz w:val="17"/>
          <w:szCs w:val="17"/>
          <w:i w:val="1"/>
          <w:iCs w:val="1"/>
          <w:color w:val="auto"/>
        </w:rPr>
        <w:t>indemnitee</w:t>
      </w:r>
      <w:r>
        <w:rPr>
          <w:rFonts w:ascii="Arial" w:cs="Arial" w:eastAsia="Arial" w:hAnsi="Arial"/>
          <w:sz w:val="17"/>
          <w:szCs w:val="17"/>
          <w:color w:val="auto"/>
        </w:rPr>
        <w:t xml:space="preserve">”), where the basis of such proceeding is alleged action in an official capacity as a director, officer, employee or agent,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permitted prior thereto), against all expense, liability and loss (including attorneys’ fees, judgments, fines, ERISA excise taxes or penalties and amounts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as provided in Section 7.3 hereof with respect to proceedings to enforce rights to indemnification, the Corporation shall indemnify any</w:t>
      </w:r>
      <w:r>
        <w:rPr>
          <w:rFonts w:ascii="Arial" w:cs="Arial" w:eastAsia="Arial" w:hAnsi="Arial"/>
          <w:sz w:val="17"/>
          <w:szCs w:val="17"/>
          <w:i w:val="1"/>
          <w:iCs w:val="1"/>
          <w:color w:val="auto"/>
        </w:rPr>
        <w:t xml:space="preserve"> </w:t>
      </w:r>
      <w:r>
        <w:rPr>
          <w:rFonts w:ascii="Arial" w:cs="Arial" w:eastAsia="Arial" w:hAnsi="Arial"/>
          <w:sz w:val="17"/>
          <w:szCs w:val="17"/>
          <w:color w:val="auto"/>
        </w:rPr>
        <w:t>such indemnitee in connection with a proceeding (or part thereof) initiated by such indemnitee only if such proceeding (or part thereof) was authorized by the Board of Directors.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356" w:gutter="0" w:footer="0" w:header="0"/>
        </w:sectPr>
      </w:pPr>
    </w:p>
    <w:bookmarkStart w:id="16" w:name="page17"/>
    <w:bookmarkEnd w:id="16"/>
    <w:p>
      <w:pPr>
        <w:ind w:left="1300"/>
        <w:spacing w:after="0"/>
        <w:tabs>
          <w:tab w:leader="none" w:pos="19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Right to Advancement of Expenses</w:t>
      </w:r>
      <w:r>
        <w:rPr>
          <w:rFonts w:ascii="Arial" w:cs="Arial" w:eastAsia="Arial" w:hAnsi="Arial"/>
          <w:sz w:val="16"/>
          <w:szCs w:val="16"/>
          <w:color w:val="auto"/>
        </w:rPr>
        <w:t>. The right to indemnification conferred in Section 7.1 shall include the right to be paid by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Corporation the expenses incurred in defending any proceeding for which such right to indemnification is applicable in advance of its final disposition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(hereinafter an “</w:t>
      </w:r>
      <w:r>
        <w:rPr>
          <w:rFonts w:ascii="Arial" w:cs="Arial" w:eastAsia="Arial" w:hAnsi="Arial"/>
          <w:sz w:val="16"/>
          <w:szCs w:val="16"/>
          <w:i w:val="1"/>
          <w:iCs w:val="1"/>
          <w:color w:val="auto"/>
        </w:rPr>
        <w:t>advancement of expenses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an indemnitee shall repay, without interest, any amounts actually advanced to such indemnitee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at the final disposition of the proceeding to which the advances related, were in excess of amounts paid or payable by such indemnitee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expenses relating to, arising out of or resulting from such proceeding;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DGCL requires, an advancement of expenses incurred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an indemnitee in his or her capacity as a director or officer (and not in any other capacity in which service was or is rendered by such indemnitee,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without limitation, service to an employee benefit plan) shall be made only upon delivery to the Corporation of an undertaking (hereinafter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 is no further right to appeal (hereinafter a “</w:t>
      </w:r>
      <w:r>
        <w:rPr>
          <w:rFonts w:ascii="Arial" w:cs="Arial" w:eastAsia="Arial" w:hAnsi="Arial"/>
          <w:sz w:val="17"/>
          <w:szCs w:val="17"/>
          <w:i w:val="1"/>
          <w:iCs w:val="1"/>
          <w:color w:val="auto"/>
        </w:rPr>
        <w:t>final adjudication</w:t>
      </w:r>
      <w:r>
        <w:rPr>
          <w:rFonts w:ascii="Arial" w:cs="Arial" w:eastAsia="Arial" w:hAnsi="Arial"/>
          <w:sz w:val="17"/>
          <w:szCs w:val="17"/>
          <w:color w:val="auto"/>
        </w:rPr>
        <w:t>”) that such indemnitee is not entitled to be indemnified for such expenses under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or otherwise.</w:t>
      </w:r>
    </w:p>
    <w:p>
      <w:pPr>
        <w:spacing w:after="0" w:line="211"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 The rights to indemnification and to the advancement of expenses conferred in Section 7.1 and Section 7.2, respectively, shall be contract rights. If a claim under Section 7.1 or Section 7.2 is not paid in full by the Corporation within sixty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(a) the indemnitee to enforce a right to indemnification hereunder (but not in a suit brought by the indemnitee to enforce a right to an advancement of expenses) it shall be a defense that, and (b)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Section or otherwise shall be on the Corporation.</w:t>
      </w:r>
    </w:p>
    <w:p>
      <w:pPr>
        <w:spacing w:after="0" w:line="178"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the advancement of expenses conferred in this Article VII shall not be exclusive of any other right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which any person may have or hereafter acquire under the Certificate of Incorporation, these by-laws, or any statute, agreement, vote of stockholders or disinterested directors or otherwise.</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81"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Indemnification of Employees and Agents of the Corporation</w:t>
      </w:r>
      <w:r>
        <w:rPr>
          <w:rFonts w:ascii="Arial" w:cs="Arial" w:eastAsia="Arial" w:hAnsi="Arial"/>
          <w:sz w:val="17"/>
          <w:szCs w:val="17"/>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VII with respect to indemnification and advancement of expenses of directors and officers of the Corporation.</w:t>
      </w:r>
    </w:p>
    <w:p>
      <w:pPr>
        <w:spacing w:after="0" w:line="166"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Nature of Rights</w:t>
      </w:r>
      <w:r>
        <w:rPr>
          <w:rFonts w:ascii="Arial" w:cs="Arial" w:eastAsia="Arial" w:hAnsi="Arial"/>
          <w:sz w:val="18"/>
          <w:szCs w:val="18"/>
          <w:color w:val="auto"/>
        </w:rPr>
        <w:t>. The rights conferred upon indemnitees in this Article VII shall be contract rights and such rights shall continue as to an indemnitee who has ceased to be a director, officer or trustee and shall inure to the benefit of the indemnitee’s heirs, executors and administrators. Any amendment, alteration or repeal of this Article VII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or repeal.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Signatories</w:t>
      </w:r>
      <w:r>
        <w:rPr>
          <w:rFonts w:ascii="Arial" w:cs="Arial" w:eastAsia="Arial" w:hAnsi="Arial"/>
          <w:sz w:val="16"/>
          <w:szCs w:val="16"/>
          <w:color w:val="auto"/>
        </w:rPr>
        <w:t>. All checks, drafts or other orders for the payment of money, notes or other evidences of indebtedness issued in the name of the Corporation shall be signed by such officer or officers or such other person or persons as the Board of Directors may from time to time designate.</w:t>
      </w:r>
    </w:p>
    <w:p>
      <w:pPr>
        <w:spacing w:after="0" w:line="12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Seal</w:t>
      </w:r>
      <w:r>
        <w:rPr>
          <w:rFonts w:ascii="Arial" w:cs="Arial" w:eastAsia="Arial" w:hAnsi="Arial"/>
          <w:sz w:val="16"/>
          <w:szCs w:val="16"/>
          <w:color w:val="auto"/>
        </w:rPr>
        <w:t>. The seal of the Corporation shall be in such form and shall have such content as the Board of Directors shall from time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determine.</w:t>
      </w:r>
    </w:p>
    <w:p>
      <w:pPr>
        <w:spacing w:after="0" w:line="211"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Notice and Waiver of Notice</w:t>
      </w:r>
      <w:r>
        <w:rPr>
          <w:rFonts w:ascii="Arial" w:cs="Arial" w:eastAsia="Arial" w:hAnsi="Arial"/>
          <w:sz w:val="17"/>
          <w:szCs w:val="17"/>
          <w:color w:val="auto"/>
        </w:rPr>
        <w:t>. Whenever any notice of the time, place or purpose of any meeting of the stockholders, directors or a committee of the Board is required to be given under the law of the State of Delaware, the Certificate of Incorporation or these by-laws, a waiver thereof in writing, signed by the person or persons entitled to such notice, whether before or after the holding thereof, or actual attendance at the meeting in person or, in the case of any stockholder, by his attorney-in-fact, shall be deemed equivalent to the giving of such notice to such persons.</w:t>
      </w:r>
    </w:p>
    <w:p>
      <w:pPr>
        <w:spacing w:after="0" w:line="171"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Amendment of By-Laws</w:t>
      </w:r>
      <w:r>
        <w:rPr>
          <w:rFonts w:ascii="Arial" w:cs="Arial" w:eastAsia="Arial" w:hAnsi="Arial"/>
          <w:sz w:val="18"/>
          <w:szCs w:val="18"/>
          <w:color w:val="auto"/>
        </w:rPr>
        <w:t xml:space="preserve">. The by-laws of the Corporation may be altered, amended or repealed or new by-laws may be made or adopted by the Board of Directors at any regular or special meeting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Sections 2.3, 2.4, 2.6(a), 2.14, 3.2(b), 3.3, 3.4(b), 3.6, 3.10(c), 3.10(d), 3.10(f), 3.12, 4.3 and Section 8.4 of these by-laws may be altered, amended or repealed only as provided in the Certificate of Incorporation.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17" w:name="page18"/>
    <w:bookmarkEnd w:id="17"/>
    <w:p>
      <w:pPr>
        <w:ind w:firstLine="1297"/>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determined by the Board of Directors, the fiscal year of the Corporation shall end on December 31.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Adopted as of: October 11, 2013</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8" w:name="page19"/>
    <w:bookmarkEnd w:id="18"/>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00507XAA3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11,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GUARANTORS PARTY HERETO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Swing Line Lender and L/C Issuer,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LENDERS PARTY HERETO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MERRILL LYNCH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MITSUBISHI UFJ SECURITIES (USA),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CAPITAL MARKETS(1),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SUNTRUST BANK,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RBC Capital Markets is a brand name for the capital markets business of Royal Bank of Canada and its Affiliates.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6" w:lineRule="exact"/>
        <w:rPr>
          <w:rFonts w:ascii="Arial" w:cs="Arial" w:eastAsia="Arial" w:hAnsi="Arial"/>
          <w:sz w:val="18"/>
          <w:szCs w:val="18"/>
          <w:color w:val="auto"/>
        </w:rPr>
      </w:pPr>
    </w:p>
    <w:p>
      <w:pPr>
        <w:ind w:left="4760"/>
        <w:spacing w:after="0"/>
        <w:rPr>
          <w:rFonts w:ascii="Arial" w:cs="Arial" w:eastAsia="Arial" w:hAnsi="Arial"/>
          <w:sz w:val="18"/>
          <w:szCs w:val="18"/>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398"/>
        </w:trPr>
        <w:tc>
          <w:tcPr>
            <w:tcW w:w="1280" w:type="dxa"/>
            <w:vAlign w:val="bottom"/>
          </w:tcPr>
          <w:p>
            <w:pPr>
              <w:spacing w:after="0"/>
              <w:rPr>
                <w:sz w:val="24"/>
                <w:szCs w:val="24"/>
                <w:color w:val="auto"/>
              </w:rPr>
            </w:pPr>
          </w:p>
        </w:tc>
        <w:tc>
          <w:tcPr>
            <w:tcW w:w="9500" w:type="dxa"/>
            <w:vAlign w:val="bottom"/>
          </w:tcPr>
          <w:p>
            <w:pPr>
              <w:jc w:val="center"/>
              <w:ind w:right="550"/>
              <w:spacing w:after="0"/>
              <w:rPr>
                <w:sz w:val="20"/>
                <w:szCs w:val="20"/>
                <w:color w:val="auto"/>
              </w:rPr>
            </w:pPr>
            <w:r>
              <w:rPr>
                <w:rFonts w:ascii="Arial" w:cs="Arial" w:eastAsia="Arial" w:hAnsi="Arial"/>
                <w:sz w:val="18"/>
                <w:szCs w:val="18"/>
                <w:color w:val="auto"/>
                <w:w w:val="98"/>
              </w:rPr>
              <w:t>ARTICLE I.</w:t>
            </w:r>
          </w:p>
        </w:tc>
        <w:tc>
          <w:tcPr>
            <w:tcW w:w="6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500" w:type="dxa"/>
            <w:vAlign w:val="bottom"/>
          </w:tcPr>
          <w:p>
            <w:pPr>
              <w:jc w:val="center"/>
              <w:ind w:right="530"/>
              <w:spacing w:after="0"/>
              <w:rPr>
                <w:sz w:val="20"/>
                <w:szCs w:val="20"/>
                <w:color w:val="auto"/>
              </w:rPr>
            </w:pPr>
            <w:r>
              <w:rPr>
                <w:rFonts w:ascii="Arial" w:cs="Arial" w:eastAsia="Arial" w:hAnsi="Arial"/>
                <w:sz w:val="18"/>
                <w:szCs w:val="18"/>
                <w:color w:val="auto"/>
                <w:w w:val="97"/>
              </w:rPr>
              <w:t>DEFINITIONS AND ACCOUNTING TERMS</w:t>
            </w:r>
          </w:p>
        </w:tc>
        <w:tc>
          <w:tcPr>
            <w:tcW w:w="6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1.01</w:t>
            </w:r>
          </w:p>
        </w:tc>
        <w:tc>
          <w:tcPr>
            <w:tcW w:w="9500" w:type="dxa"/>
            <w:vAlign w:val="bottom"/>
          </w:tcPr>
          <w:p>
            <w:pPr>
              <w:ind w:left="380"/>
              <w:spacing w:after="0"/>
              <w:rPr>
                <w:sz w:val="20"/>
                <w:szCs w:val="20"/>
                <w:color w:val="auto"/>
              </w:rPr>
            </w:pPr>
            <w:r>
              <w:rPr>
                <w:rFonts w:ascii="Arial" w:cs="Arial" w:eastAsia="Arial" w:hAnsi="Arial"/>
                <w:sz w:val="18"/>
                <w:szCs w:val="18"/>
                <w:color w:val="auto"/>
              </w:rPr>
              <w:t>Defined Terms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1.02</w:t>
            </w:r>
          </w:p>
        </w:tc>
        <w:tc>
          <w:tcPr>
            <w:tcW w:w="9500" w:type="dxa"/>
            <w:vAlign w:val="bottom"/>
          </w:tcPr>
          <w:p>
            <w:pPr>
              <w:ind w:left="380"/>
              <w:spacing w:after="0"/>
              <w:rPr>
                <w:sz w:val="20"/>
                <w:szCs w:val="20"/>
                <w:color w:val="auto"/>
              </w:rPr>
            </w:pPr>
            <w:r>
              <w:rPr>
                <w:rFonts w:ascii="Arial" w:cs="Arial" w:eastAsia="Arial" w:hAnsi="Arial"/>
                <w:sz w:val="18"/>
                <w:szCs w:val="18"/>
                <w:color w:val="auto"/>
              </w:rPr>
              <w:t>Other Interpretive Provisions</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1.03</w:t>
            </w:r>
          </w:p>
        </w:tc>
        <w:tc>
          <w:tcPr>
            <w:tcW w:w="9500" w:type="dxa"/>
            <w:vAlign w:val="bottom"/>
          </w:tcPr>
          <w:p>
            <w:pPr>
              <w:ind w:left="380"/>
              <w:spacing w:after="0"/>
              <w:rPr>
                <w:sz w:val="20"/>
                <w:szCs w:val="20"/>
                <w:color w:val="auto"/>
              </w:rPr>
            </w:pPr>
            <w:r>
              <w:rPr>
                <w:rFonts w:ascii="Arial" w:cs="Arial" w:eastAsia="Arial" w:hAnsi="Arial"/>
                <w:sz w:val="18"/>
                <w:szCs w:val="18"/>
                <w:color w:val="auto"/>
              </w:rPr>
              <w:t>Accounting Terms</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1.04</w:t>
            </w:r>
          </w:p>
        </w:tc>
        <w:tc>
          <w:tcPr>
            <w:tcW w:w="9500" w:type="dxa"/>
            <w:vAlign w:val="bottom"/>
          </w:tcPr>
          <w:p>
            <w:pPr>
              <w:ind w:left="380"/>
              <w:spacing w:after="0"/>
              <w:rPr>
                <w:sz w:val="20"/>
                <w:szCs w:val="20"/>
                <w:color w:val="auto"/>
              </w:rPr>
            </w:pPr>
            <w:r>
              <w:rPr>
                <w:rFonts w:ascii="Arial" w:cs="Arial" w:eastAsia="Arial" w:hAnsi="Arial"/>
                <w:sz w:val="18"/>
                <w:szCs w:val="18"/>
                <w:color w:val="auto"/>
              </w:rPr>
              <w:t>Rounding</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1.05</w:t>
            </w:r>
          </w:p>
        </w:tc>
        <w:tc>
          <w:tcPr>
            <w:tcW w:w="9500" w:type="dxa"/>
            <w:vAlign w:val="bottom"/>
          </w:tcPr>
          <w:p>
            <w:pPr>
              <w:ind w:left="380"/>
              <w:spacing w:after="0"/>
              <w:rPr>
                <w:sz w:val="20"/>
                <w:szCs w:val="20"/>
                <w:color w:val="auto"/>
              </w:rPr>
            </w:pPr>
            <w:r>
              <w:rPr>
                <w:rFonts w:ascii="Arial" w:cs="Arial" w:eastAsia="Arial" w:hAnsi="Arial"/>
                <w:sz w:val="18"/>
                <w:szCs w:val="18"/>
                <w:color w:val="auto"/>
              </w:rPr>
              <w:t>References to Agreements, Laws, Etc.</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1.06</w:t>
            </w:r>
          </w:p>
        </w:tc>
        <w:tc>
          <w:tcPr>
            <w:tcW w:w="9500" w:type="dxa"/>
            <w:vAlign w:val="bottom"/>
          </w:tcPr>
          <w:p>
            <w:pPr>
              <w:ind w:left="380"/>
              <w:spacing w:after="0"/>
              <w:rPr>
                <w:sz w:val="20"/>
                <w:szCs w:val="20"/>
                <w:color w:val="auto"/>
              </w:rPr>
            </w:pPr>
            <w:r>
              <w:rPr>
                <w:rFonts w:ascii="Arial" w:cs="Arial" w:eastAsia="Arial" w:hAnsi="Arial"/>
                <w:sz w:val="18"/>
                <w:szCs w:val="18"/>
                <w:color w:val="auto"/>
              </w:rPr>
              <w:t>Times of Day</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1.07</w:t>
            </w:r>
          </w:p>
        </w:tc>
        <w:tc>
          <w:tcPr>
            <w:tcW w:w="9500" w:type="dxa"/>
            <w:vAlign w:val="bottom"/>
          </w:tcPr>
          <w:p>
            <w:pPr>
              <w:ind w:left="380"/>
              <w:spacing w:after="0"/>
              <w:rPr>
                <w:sz w:val="20"/>
                <w:szCs w:val="20"/>
                <w:color w:val="auto"/>
              </w:rPr>
            </w:pPr>
            <w:r>
              <w:rPr>
                <w:rFonts w:ascii="Arial" w:cs="Arial" w:eastAsia="Arial" w:hAnsi="Arial"/>
                <w:sz w:val="18"/>
                <w:szCs w:val="18"/>
                <w:color w:val="auto"/>
              </w:rPr>
              <w:t>Timing of Payment of Performance</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1.08</w:t>
            </w:r>
          </w:p>
        </w:tc>
        <w:tc>
          <w:tcPr>
            <w:tcW w:w="9500" w:type="dxa"/>
            <w:vAlign w:val="bottom"/>
          </w:tcPr>
          <w:p>
            <w:pPr>
              <w:ind w:left="380"/>
              <w:spacing w:after="0"/>
              <w:rPr>
                <w:sz w:val="20"/>
                <w:szCs w:val="20"/>
                <w:color w:val="auto"/>
              </w:rPr>
            </w:pPr>
            <w:r>
              <w:rPr>
                <w:rFonts w:ascii="Arial" w:cs="Arial" w:eastAsia="Arial" w:hAnsi="Arial"/>
                <w:sz w:val="18"/>
                <w:szCs w:val="18"/>
                <w:color w:val="auto"/>
              </w:rPr>
              <w:t>Pro Forma and Other Calculations</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1.09</w:t>
            </w:r>
          </w:p>
        </w:tc>
        <w:tc>
          <w:tcPr>
            <w:tcW w:w="9500" w:type="dxa"/>
            <w:vAlign w:val="bottom"/>
          </w:tcPr>
          <w:p>
            <w:pPr>
              <w:ind w:left="380"/>
              <w:spacing w:after="0"/>
              <w:rPr>
                <w:sz w:val="20"/>
                <w:szCs w:val="20"/>
                <w:color w:val="auto"/>
              </w:rPr>
            </w:pPr>
            <w:r>
              <w:rPr>
                <w:rFonts w:ascii="Arial" w:cs="Arial" w:eastAsia="Arial" w:hAnsi="Arial"/>
                <w:sz w:val="18"/>
                <w:szCs w:val="18"/>
                <w:color w:val="auto"/>
              </w:rPr>
              <w:t>Letter of Credit Amounts</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8"/>
        </w:trPr>
        <w:tc>
          <w:tcPr>
            <w:tcW w:w="1280" w:type="dxa"/>
            <w:vAlign w:val="bottom"/>
          </w:tcPr>
          <w:p>
            <w:pPr>
              <w:spacing w:after="0"/>
              <w:rPr>
                <w:sz w:val="24"/>
                <w:szCs w:val="24"/>
                <w:color w:val="auto"/>
              </w:rPr>
            </w:pPr>
          </w:p>
        </w:tc>
        <w:tc>
          <w:tcPr>
            <w:tcW w:w="9500" w:type="dxa"/>
            <w:vAlign w:val="bottom"/>
          </w:tcPr>
          <w:p>
            <w:pPr>
              <w:jc w:val="center"/>
              <w:ind w:right="530"/>
              <w:spacing w:after="0"/>
              <w:rPr>
                <w:sz w:val="20"/>
                <w:szCs w:val="20"/>
                <w:color w:val="auto"/>
              </w:rPr>
            </w:pPr>
            <w:r>
              <w:rPr>
                <w:rFonts w:ascii="Arial" w:cs="Arial" w:eastAsia="Arial" w:hAnsi="Arial"/>
                <w:sz w:val="18"/>
                <w:szCs w:val="18"/>
                <w:color w:val="auto"/>
                <w:w w:val="99"/>
              </w:rPr>
              <w:t>ARTICLE II.</w:t>
            </w:r>
          </w:p>
        </w:tc>
        <w:tc>
          <w:tcPr>
            <w:tcW w:w="6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500" w:type="dxa"/>
            <w:vAlign w:val="bottom"/>
          </w:tcPr>
          <w:p>
            <w:pPr>
              <w:jc w:val="center"/>
              <w:ind w:right="550"/>
              <w:spacing w:after="0"/>
              <w:rPr>
                <w:sz w:val="20"/>
                <w:szCs w:val="20"/>
                <w:color w:val="auto"/>
              </w:rPr>
            </w:pPr>
            <w:r>
              <w:rPr>
                <w:rFonts w:ascii="Arial" w:cs="Arial" w:eastAsia="Arial" w:hAnsi="Arial"/>
                <w:sz w:val="18"/>
                <w:szCs w:val="18"/>
                <w:color w:val="auto"/>
                <w:w w:val="97"/>
              </w:rPr>
              <w:t>THE COMMITMENTS AND CREDIT EXTENSIONS</w:t>
            </w:r>
          </w:p>
        </w:tc>
        <w:tc>
          <w:tcPr>
            <w:tcW w:w="6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2.01</w:t>
            </w:r>
          </w:p>
        </w:tc>
        <w:tc>
          <w:tcPr>
            <w:tcW w:w="9500" w:type="dxa"/>
            <w:vAlign w:val="bottom"/>
          </w:tcPr>
          <w:p>
            <w:pPr>
              <w:ind w:left="380"/>
              <w:spacing w:after="0"/>
              <w:rPr>
                <w:sz w:val="20"/>
                <w:szCs w:val="20"/>
                <w:color w:val="auto"/>
              </w:rPr>
            </w:pPr>
            <w:r>
              <w:rPr>
                <w:rFonts w:ascii="Arial" w:cs="Arial" w:eastAsia="Arial" w:hAnsi="Arial"/>
                <w:sz w:val="18"/>
                <w:szCs w:val="18"/>
                <w:color w:val="auto"/>
              </w:rPr>
              <w:t>The Loans</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2.02</w:t>
            </w:r>
          </w:p>
        </w:tc>
        <w:tc>
          <w:tcPr>
            <w:tcW w:w="9500" w:type="dxa"/>
            <w:vAlign w:val="bottom"/>
          </w:tcPr>
          <w:p>
            <w:pPr>
              <w:ind w:left="380"/>
              <w:spacing w:after="0"/>
              <w:rPr>
                <w:sz w:val="20"/>
                <w:szCs w:val="20"/>
                <w:color w:val="auto"/>
              </w:rPr>
            </w:pPr>
            <w:r>
              <w:rPr>
                <w:rFonts w:ascii="Arial" w:cs="Arial" w:eastAsia="Arial" w:hAnsi="Arial"/>
                <w:sz w:val="18"/>
                <w:szCs w:val="18"/>
                <w:color w:val="auto"/>
              </w:rPr>
              <w:t>Borrowings, Conversions and Continuations of Loans</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2.03</w:t>
            </w:r>
          </w:p>
        </w:tc>
        <w:tc>
          <w:tcPr>
            <w:tcW w:w="9500" w:type="dxa"/>
            <w:vAlign w:val="bottom"/>
          </w:tcPr>
          <w:p>
            <w:pPr>
              <w:ind w:left="380"/>
              <w:spacing w:after="0"/>
              <w:rPr>
                <w:sz w:val="20"/>
                <w:szCs w:val="20"/>
                <w:color w:val="auto"/>
              </w:rPr>
            </w:pPr>
            <w:r>
              <w:rPr>
                <w:rFonts w:ascii="Arial" w:cs="Arial" w:eastAsia="Arial" w:hAnsi="Arial"/>
                <w:sz w:val="18"/>
                <w:szCs w:val="18"/>
                <w:color w:val="auto"/>
              </w:rPr>
              <w:t>Letters of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2.04</w:t>
            </w:r>
          </w:p>
        </w:tc>
        <w:tc>
          <w:tcPr>
            <w:tcW w:w="9500" w:type="dxa"/>
            <w:vAlign w:val="bottom"/>
          </w:tcPr>
          <w:p>
            <w:pPr>
              <w:ind w:left="380"/>
              <w:spacing w:after="0"/>
              <w:rPr>
                <w:sz w:val="20"/>
                <w:szCs w:val="20"/>
                <w:color w:val="auto"/>
              </w:rPr>
            </w:pPr>
            <w:r>
              <w:rPr>
                <w:rFonts w:ascii="Arial" w:cs="Arial" w:eastAsia="Arial" w:hAnsi="Arial"/>
                <w:sz w:val="18"/>
                <w:szCs w:val="18"/>
                <w:color w:val="auto"/>
              </w:rPr>
              <w:t>Swing Line Loans</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2.05</w:t>
            </w:r>
          </w:p>
        </w:tc>
        <w:tc>
          <w:tcPr>
            <w:tcW w:w="9500" w:type="dxa"/>
            <w:vAlign w:val="bottom"/>
          </w:tcPr>
          <w:p>
            <w:pPr>
              <w:ind w:left="380"/>
              <w:spacing w:after="0"/>
              <w:rPr>
                <w:sz w:val="20"/>
                <w:szCs w:val="20"/>
                <w:color w:val="auto"/>
              </w:rPr>
            </w:pPr>
            <w:r>
              <w:rPr>
                <w:rFonts w:ascii="Arial" w:cs="Arial" w:eastAsia="Arial" w:hAnsi="Arial"/>
                <w:sz w:val="18"/>
                <w:szCs w:val="18"/>
                <w:color w:val="auto"/>
              </w:rPr>
              <w:t>Prepayments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2.06</w:t>
            </w:r>
          </w:p>
        </w:tc>
        <w:tc>
          <w:tcPr>
            <w:tcW w:w="9500" w:type="dxa"/>
            <w:vAlign w:val="bottom"/>
          </w:tcPr>
          <w:p>
            <w:pPr>
              <w:ind w:left="380"/>
              <w:spacing w:after="0"/>
              <w:rPr>
                <w:sz w:val="20"/>
                <w:szCs w:val="20"/>
                <w:color w:val="auto"/>
              </w:rPr>
            </w:pPr>
            <w:r>
              <w:rPr>
                <w:rFonts w:ascii="Arial" w:cs="Arial" w:eastAsia="Arial" w:hAnsi="Arial"/>
                <w:sz w:val="18"/>
                <w:szCs w:val="18"/>
                <w:color w:val="auto"/>
              </w:rPr>
              <w:t>Termination or Reduction of Commitments</w:t>
            </w: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2.07</w:t>
            </w:r>
          </w:p>
        </w:tc>
        <w:tc>
          <w:tcPr>
            <w:tcW w:w="9500" w:type="dxa"/>
            <w:vAlign w:val="bottom"/>
          </w:tcPr>
          <w:p>
            <w:pPr>
              <w:ind w:left="380"/>
              <w:spacing w:after="0"/>
              <w:rPr>
                <w:sz w:val="20"/>
                <w:szCs w:val="20"/>
                <w:color w:val="auto"/>
              </w:rPr>
            </w:pPr>
            <w:r>
              <w:rPr>
                <w:rFonts w:ascii="Arial" w:cs="Arial" w:eastAsia="Arial" w:hAnsi="Arial"/>
                <w:sz w:val="18"/>
                <w:szCs w:val="18"/>
                <w:color w:val="auto"/>
              </w:rPr>
              <w:t>Repayment of Loans</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r>
    </w:tbl>
    <w:p>
      <w:pPr>
        <w:sectPr>
          <w:pgSz w:w="11900" w:h="16870" w:orient="portrait"/>
          <w:cols w:equalWidth="0" w:num="1">
            <w:col w:w="11420"/>
          </w:cols>
          <w:pgMar w:left="240" w:top="121" w:right="239" w:bottom="0" w:gutter="0" w:footer="0" w:header="0"/>
        </w:sectPr>
      </w:pPr>
    </w:p>
    <w:bookmarkStart w:id="19" w:name="page20"/>
    <w:bookmarkEnd w:id="19"/>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2.08</w:t>
            </w:r>
          </w:p>
        </w:tc>
        <w:tc>
          <w:tcPr>
            <w:tcW w:w="842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7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2.09</w:t>
            </w:r>
          </w:p>
        </w:tc>
        <w:tc>
          <w:tcPr>
            <w:tcW w:w="8420" w:type="dxa"/>
            <w:vAlign w:val="bottom"/>
          </w:tcPr>
          <w:p>
            <w:pPr>
              <w:ind w:left="380"/>
              <w:spacing w:after="0"/>
              <w:rPr>
                <w:sz w:val="20"/>
                <w:szCs w:val="20"/>
                <w:color w:val="auto"/>
              </w:rPr>
            </w:pPr>
            <w:r>
              <w:rPr>
                <w:rFonts w:ascii="Arial" w:cs="Arial" w:eastAsia="Arial" w:hAnsi="Arial"/>
                <w:sz w:val="18"/>
                <w:szCs w:val="18"/>
                <w:color w:val="auto"/>
              </w:rPr>
              <w:t>Fees</w:t>
            </w:r>
          </w:p>
        </w:tc>
        <w:tc>
          <w:tcPr>
            <w:tcW w:w="1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2.10</w:t>
            </w:r>
          </w:p>
        </w:tc>
        <w:tc>
          <w:tcPr>
            <w:tcW w:w="8420" w:type="dxa"/>
            <w:vAlign w:val="bottom"/>
          </w:tcPr>
          <w:p>
            <w:pPr>
              <w:ind w:left="380"/>
              <w:spacing w:after="0"/>
              <w:rPr>
                <w:sz w:val="20"/>
                <w:szCs w:val="20"/>
                <w:color w:val="auto"/>
              </w:rPr>
            </w:pPr>
            <w:r>
              <w:rPr>
                <w:rFonts w:ascii="Arial" w:cs="Arial" w:eastAsia="Arial" w:hAnsi="Arial"/>
                <w:sz w:val="18"/>
                <w:szCs w:val="18"/>
                <w:color w:val="auto"/>
              </w:rPr>
              <w:t>Computation of Interest and Fees</w:t>
            </w:r>
          </w:p>
        </w:tc>
        <w:tc>
          <w:tcPr>
            <w:tcW w:w="1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2.11</w:t>
            </w:r>
          </w:p>
        </w:tc>
        <w:tc>
          <w:tcPr>
            <w:tcW w:w="8420" w:type="dxa"/>
            <w:vAlign w:val="bottom"/>
          </w:tcPr>
          <w:p>
            <w:pPr>
              <w:ind w:left="380"/>
              <w:spacing w:after="0"/>
              <w:rPr>
                <w:sz w:val="20"/>
                <w:szCs w:val="20"/>
                <w:color w:val="auto"/>
              </w:rPr>
            </w:pPr>
            <w:r>
              <w:rPr>
                <w:rFonts w:ascii="Arial" w:cs="Arial" w:eastAsia="Arial" w:hAnsi="Arial"/>
                <w:sz w:val="18"/>
                <w:szCs w:val="18"/>
                <w:color w:val="auto"/>
              </w:rPr>
              <w:t>Evidence of Indebtedness</w:t>
            </w:r>
          </w:p>
        </w:tc>
        <w:tc>
          <w:tcPr>
            <w:tcW w:w="1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2.12</w:t>
            </w:r>
          </w:p>
        </w:tc>
        <w:tc>
          <w:tcPr>
            <w:tcW w:w="8420" w:type="dxa"/>
            <w:vAlign w:val="bottom"/>
          </w:tcPr>
          <w:p>
            <w:pPr>
              <w:ind w:left="380"/>
              <w:spacing w:after="0"/>
              <w:rPr>
                <w:sz w:val="20"/>
                <w:szCs w:val="20"/>
                <w:color w:val="auto"/>
              </w:rPr>
            </w:pPr>
            <w:r>
              <w:rPr>
                <w:rFonts w:ascii="Arial" w:cs="Arial" w:eastAsia="Arial" w:hAnsi="Arial"/>
                <w:sz w:val="18"/>
                <w:szCs w:val="18"/>
                <w:color w:val="auto"/>
              </w:rPr>
              <w:t>Payments Generally</w:t>
            </w:r>
          </w:p>
        </w:tc>
        <w:tc>
          <w:tcPr>
            <w:tcW w:w="1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2.13</w:t>
            </w:r>
          </w:p>
        </w:tc>
        <w:tc>
          <w:tcPr>
            <w:tcW w:w="8420" w:type="dxa"/>
            <w:vAlign w:val="bottom"/>
          </w:tcPr>
          <w:p>
            <w:pPr>
              <w:ind w:left="380"/>
              <w:spacing w:after="0"/>
              <w:rPr>
                <w:sz w:val="20"/>
                <w:szCs w:val="20"/>
                <w:color w:val="auto"/>
              </w:rPr>
            </w:pPr>
            <w:r>
              <w:rPr>
                <w:rFonts w:ascii="Arial" w:cs="Arial" w:eastAsia="Arial" w:hAnsi="Arial"/>
                <w:sz w:val="18"/>
                <w:szCs w:val="18"/>
                <w:color w:val="auto"/>
              </w:rPr>
              <w:t>Sharing of Payments</w:t>
            </w:r>
          </w:p>
        </w:tc>
        <w:tc>
          <w:tcPr>
            <w:tcW w:w="1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2.14</w:t>
            </w:r>
          </w:p>
        </w:tc>
        <w:tc>
          <w:tcPr>
            <w:tcW w:w="8420" w:type="dxa"/>
            <w:vAlign w:val="bottom"/>
          </w:tcPr>
          <w:p>
            <w:pPr>
              <w:ind w:left="380"/>
              <w:spacing w:after="0"/>
              <w:rPr>
                <w:sz w:val="20"/>
                <w:szCs w:val="20"/>
                <w:color w:val="auto"/>
              </w:rPr>
            </w:pPr>
            <w:r>
              <w:rPr>
                <w:rFonts w:ascii="Arial" w:cs="Arial" w:eastAsia="Arial" w:hAnsi="Arial"/>
                <w:sz w:val="18"/>
                <w:szCs w:val="18"/>
                <w:color w:val="auto"/>
              </w:rPr>
              <w:t>Incremental Credit Extensions</w:t>
            </w:r>
          </w:p>
        </w:tc>
        <w:tc>
          <w:tcPr>
            <w:tcW w:w="1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2.15</w:t>
            </w:r>
          </w:p>
        </w:tc>
        <w:tc>
          <w:tcPr>
            <w:tcW w:w="8420" w:type="dxa"/>
            <w:vAlign w:val="bottom"/>
          </w:tcPr>
          <w:p>
            <w:pPr>
              <w:ind w:left="380"/>
              <w:spacing w:after="0"/>
              <w:rPr>
                <w:sz w:val="20"/>
                <w:szCs w:val="20"/>
                <w:color w:val="auto"/>
              </w:rPr>
            </w:pPr>
            <w:r>
              <w:rPr>
                <w:rFonts w:ascii="Arial" w:cs="Arial" w:eastAsia="Arial" w:hAnsi="Arial"/>
                <w:sz w:val="18"/>
                <w:szCs w:val="18"/>
                <w:color w:val="auto"/>
              </w:rPr>
              <w:t>Refinancing Amendments</w:t>
            </w:r>
          </w:p>
        </w:tc>
        <w:tc>
          <w:tcPr>
            <w:tcW w:w="17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2.16</w:t>
            </w:r>
          </w:p>
        </w:tc>
        <w:tc>
          <w:tcPr>
            <w:tcW w:w="8420" w:type="dxa"/>
            <w:vAlign w:val="bottom"/>
          </w:tcPr>
          <w:p>
            <w:pPr>
              <w:ind w:left="380"/>
              <w:spacing w:after="0"/>
              <w:rPr>
                <w:sz w:val="20"/>
                <w:szCs w:val="20"/>
                <w:color w:val="auto"/>
              </w:rPr>
            </w:pPr>
            <w:r>
              <w:rPr>
                <w:rFonts w:ascii="Arial" w:cs="Arial" w:eastAsia="Arial" w:hAnsi="Arial"/>
                <w:sz w:val="18"/>
                <w:szCs w:val="18"/>
                <w:color w:val="auto"/>
              </w:rPr>
              <w:t>Extension Offers</w:t>
            </w:r>
          </w:p>
        </w:tc>
        <w:tc>
          <w:tcPr>
            <w:tcW w:w="17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2.17</w:t>
            </w:r>
          </w:p>
        </w:tc>
        <w:tc>
          <w:tcPr>
            <w:tcW w:w="8420" w:type="dxa"/>
            <w:vAlign w:val="bottom"/>
          </w:tcPr>
          <w:p>
            <w:pPr>
              <w:ind w:left="380"/>
              <w:spacing w:after="0"/>
              <w:rPr>
                <w:sz w:val="20"/>
                <w:szCs w:val="20"/>
                <w:color w:val="auto"/>
              </w:rPr>
            </w:pPr>
            <w:r>
              <w:rPr>
                <w:rFonts w:ascii="Arial" w:cs="Arial" w:eastAsia="Arial" w:hAnsi="Arial"/>
                <w:sz w:val="18"/>
                <w:szCs w:val="18"/>
                <w:color w:val="auto"/>
              </w:rPr>
              <w:t>Defaulting Lenders</w:t>
            </w:r>
          </w:p>
        </w:tc>
        <w:tc>
          <w:tcPr>
            <w:tcW w:w="17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18"/>
        </w:trPr>
        <w:tc>
          <w:tcPr>
            <w:tcW w:w="1280" w:type="dxa"/>
            <w:vAlign w:val="bottom"/>
          </w:tcPr>
          <w:p>
            <w:pPr>
              <w:spacing w:after="0"/>
              <w:rPr>
                <w:sz w:val="24"/>
                <w:szCs w:val="24"/>
                <w:color w:val="auto"/>
              </w:rPr>
            </w:pPr>
          </w:p>
        </w:tc>
        <w:tc>
          <w:tcPr>
            <w:tcW w:w="8420" w:type="dxa"/>
            <w:vAlign w:val="bottom"/>
          </w:tcPr>
          <w:p>
            <w:pPr>
              <w:jc w:val="center"/>
              <w:ind w:left="350"/>
              <w:spacing w:after="0"/>
              <w:rPr>
                <w:sz w:val="20"/>
                <w:szCs w:val="20"/>
                <w:color w:val="auto"/>
              </w:rPr>
            </w:pPr>
            <w:r>
              <w:rPr>
                <w:rFonts w:ascii="Arial" w:cs="Arial" w:eastAsia="Arial" w:hAnsi="Arial"/>
                <w:sz w:val="18"/>
                <w:szCs w:val="18"/>
                <w:color w:val="auto"/>
              </w:rPr>
              <w:t>ARTICLE III.</w:t>
            </w:r>
          </w:p>
        </w:tc>
        <w:tc>
          <w:tcPr>
            <w:tcW w:w="176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20" w:type="dxa"/>
            <w:vAlign w:val="bottom"/>
          </w:tcPr>
          <w:p>
            <w:pPr>
              <w:jc w:val="center"/>
              <w:ind w:left="350"/>
              <w:spacing w:after="0"/>
              <w:rPr>
                <w:sz w:val="20"/>
                <w:szCs w:val="20"/>
                <w:color w:val="auto"/>
              </w:rPr>
            </w:pPr>
            <w:r>
              <w:rPr>
                <w:rFonts w:ascii="Arial" w:cs="Arial" w:eastAsia="Arial" w:hAnsi="Arial"/>
                <w:sz w:val="18"/>
                <w:szCs w:val="18"/>
                <w:color w:val="auto"/>
                <w:w w:val="97"/>
              </w:rPr>
              <w:t>TAXES, INCREASED COSTS PROTECTION AND ILLEGALITY</w:t>
            </w:r>
          </w:p>
        </w:tc>
        <w:tc>
          <w:tcPr>
            <w:tcW w:w="176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3.01</w:t>
            </w:r>
          </w:p>
        </w:tc>
        <w:tc>
          <w:tcPr>
            <w:tcW w:w="8420" w:type="dxa"/>
            <w:vAlign w:val="bottom"/>
          </w:tcPr>
          <w:p>
            <w:pPr>
              <w:ind w:left="380"/>
              <w:spacing w:after="0"/>
              <w:rPr>
                <w:sz w:val="20"/>
                <w:szCs w:val="20"/>
                <w:color w:val="auto"/>
              </w:rPr>
            </w:pPr>
            <w:r>
              <w:rPr>
                <w:rFonts w:ascii="Arial" w:cs="Arial" w:eastAsia="Arial" w:hAnsi="Arial"/>
                <w:sz w:val="18"/>
                <w:szCs w:val="18"/>
                <w:color w:val="auto"/>
              </w:rPr>
              <w:t>Taxes</w:t>
            </w:r>
          </w:p>
        </w:tc>
        <w:tc>
          <w:tcPr>
            <w:tcW w:w="17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3.02</w:t>
            </w:r>
          </w:p>
        </w:tc>
        <w:tc>
          <w:tcPr>
            <w:tcW w:w="8420" w:type="dxa"/>
            <w:vAlign w:val="bottom"/>
          </w:tcPr>
          <w:p>
            <w:pPr>
              <w:ind w:left="380"/>
              <w:spacing w:after="0"/>
              <w:rPr>
                <w:sz w:val="20"/>
                <w:szCs w:val="20"/>
                <w:color w:val="auto"/>
              </w:rPr>
            </w:pPr>
            <w:r>
              <w:rPr>
                <w:rFonts w:ascii="Arial" w:cs="Arial" w:eastAsia="Arial" w:hAnsi="Arial"/>
                <w:sz w:val="18"/>
                <w:szCs w:val="18"/>
                <w:color w:val="auto"/>
              </w:rPr>
              <w:t>Illegality</w:t>
            </w:r>
          </w:p>
        </w:tc>
        <w:tc>
          <w:tcPr>
            <w:tcW w:w="17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3.03</w:t>
            </w:r>
          </w:p>
        </w:tc>
        <w:tc>
          <w:tcPr>
            <w:tcW w:w="8420" w:type="dxa"/>
            <w:vAlign w:val="bottom"/>
          </w:tcPr>
          <w:p>
            <w:pPr>
              <w:ind w:left="380"/>
              <w:spacing w:after="0"/>
              <w:rPr>
                <w:sz w:val="20"/>
                <w:szCs w:val="20"/>
                <w:color w:val="auto"/>
              </w:rPr>
            </w:pPr>
            <w:r>
              <w:rPr>
                <w:rFonts w:ascii="Arial" w:cs="Arial" w:eastAsia="Arial" w:hAnsi="Arial"/>
                <w:sz w:val="18"/>
                <w:szCs w:val="18"/>
                <w:color w:val="auto"/>
              </w:rPr>
              <w:t>Inability to Determine Rates</w:t>
            </w:r>
          </w:p>
        </w:tc>
        <w:tc>
          <w:tcPr>
            <w:tcW w:w="17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3.04</w:t>
            </w:r>
          </w:p>
        </w:tc>
        <w:tc>
          <w:tcPr>
            <w:tcW w:w="8420" w:type="dxa"/>
            <w:vAlign w:val="bottom"/>
          </w:tcPr>
          <w:p>
            <w:pPr>
              <w:ind w:left="380"/>
              <w:spacing w:after="0"/>
              <w:rPr>
                <w:sz w:val="20"/>
                <w:szCs w:val="20"/>
                <w:color w:val="auto"/>
              </w:rPr>
            </w:pPr>
            <w:r>
              <w:rPr>
                <w:rFonts w:ascii="Arial" w:cs="Arial" w:eastAsia="Arial" w:hAnsi="Arial"/>
                <w:sz w:val="18"/>
                <w:szCs w:val="18"/>
                <w:color w:val="auto"/>
              </w:rPr>
              <w:t>Increased Cost and Reduced Return; Capital Adequacy; Reserves on Eurodollar Rate Loans</w:t>
            </w:r>
          </w:p>
        </w:tc>
        <w:tc>
          <w:tcPr>
            <w:tcW w:w="17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32"/>
        </w:trPr>
        <w:tc>
          <w:tcPr>
            <w:tcW w:w="1280" w:type="dxa"/>
            <w:vAlign w:val="bottom"/>
          </w:tcPr>
          <w:p>
            <w:pPr>
              <w:spacing w:after="0"/>
              <w:rPr>
                <w:sz w:val="24"/>
                <w:szCs w:val="24"/>
                <w:color w:val="auto"/>
              </w:rPr>
            </w:pPr>
          </w:p>
        </w:tc>
        <w:tc>
          <w:tcPr>
            <w:tcW w:w="8420" w:type="dxa"/>
            <w:vAlign w:val="bottom"/>
          </w:tcPr>
          <w:p>
            <w:pPr>
              <w:jc w:val="center"/>
              <w:ind w:left="350"/>
              <w:spacing w:after="0"/>
              <w:rPr>
                <w:sz w:val="20"/>
                <w:szCs w:val="20"/>
                <w:color w:val="auto"/>
              </w:rPr>
            </w:pPr>
            <w:r>
              <w:rPr>
                <w:rFonts w:ascii="Arial" w:cs="Arial" w:eastAsia="Arial" w:hAnsi="Arial"/>
                <w:sz w:val="18"/>
                <w:szCs w:val="18"/>
                <w:color w:val="auto"/>
              </w:rPr>
              <w:t>i</w:t>
            </w:r>
          </w:p>
        </w:tc>
        <w:tc>
          <w:tcPr>
            <w:tcW w:w="176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842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r>
      <w:tr>
        <w:trPr>
          <w:trHeight w:val="766"/>
        </w:trPr>
        <w:tc>
          <w:tcPr>
            <w:tcW w:w="1280" w:type="dxa"/>
            <w:vAlign w:val="bottom"/>
          </w:tcPr>
          <w:p>
            <w:pPr>
              <w:spacing w:after="0"/>
              <w:rPr>
                <w:sz w:val="20"/>
                <w:szCs w:val="20"/>
                <w:color w:val="auto"/>
              </w:rPr>
            </w:pPr>
            <w:r>
              <w:rPr>
                <w:rFonts w:ascii="Arial" w:cs="Arial" w:eastAsia="Arial" w:hAnsi="Arial"/>
                <w:sz w:val="18"/>
                <w:szCs w:val="18"/>
                <w:color w:val="auto"/>
              </w:rPr>
              <w:t>Section 3.05</w:t>
            </w:r>
          </w:p>
        </w:tc>
        <w:tc>
          <w:tcPr>
            <w:tcW w:w="8420" w:type="dxa"/>
            <w:vAlign w:val="bottom"/>
          </w:tcPr>
          <w:p>
            <w:pPr>
              <w:ind w:left="380"/>
              <w:spacing w:after="0"/>
              <w:rPr>
                <w:sz w:val="20"/>
                <w:szCs w:val="20"/>
                <w:color w:val="auto"/>
              </w:rPr>
            </w:pPr>
            <w:r>
              <w:rPr>
                <w:rFonts w:ascii="Arial" w:cs="Arial" w:eastAsia="Arial" w:hAnsi="Arial"/>
                <w:sz w:val="18"/>
                <w:szCs w:val="18"/>
                <w:color w:val="auto"/>
              </w:rPr>
              <w:t>Funding Losses</w:t>
            </w:r>
          </w:p>
        </w:tc>
        <w:tc>
          <w:tcPr>
            <w:tcW w:w="1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3.06</w:t>
            </w:r>
          </w:p>
        </w:tc>
        <w:tc>
          <w:tcPr>
            <w:tcW w:w="8420" w:type="dxa"/>
            <w:vAlign w:val="bottom"/>
          </w:tcPr>
          <w:p>
            <w:pPr>
              <w:ind w:left="380"/>
              <w:spacing w:after="0"/>
              <w:rPr>
                <w:sz w:val="20"/>
                <w:szCs w:val="20"/>
                <w:color w:val="auto"/>
              </w:rPr>
            </w:pPr>
            <w:r>
              <w:rPr>
                <w:rFonts w:ascii="Arial" w:cs="Arial" w:eastAsia="Arial" w:hAnsi="Arial"/>
                <w:sz w:val="18"/>
                <w:szCs w:val="18"/>
                <w:color w:val="auto"/>
              </w:rPr>
              <w:t>Matters Applicable to All Requests for Compensation</w:t>
            </w:r>
          </w:p>
        </w:tc>
        <w:tc>
          <w:tcPr>
            <w:tcW w:w="1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3.07</w:t>
            </w:r>
          </w:p>
        </w:tc>
        <w:tc>
          <w:tcPr>
            <w:tcW w:w="8420" w:type="dxa"/>
            <w:vAlign w:val="bottom"/>
          </w:tcPr>
          <w:p>
            <w:pPr>
              <w:ind w:left="380"/>
              <w:spacing w:after="0"/>
              <w:rPr>
                <w:sz w:val="20"/>
                <w:szCs w:val="20"/>
                <w:color w:val="auto"/>
              </w:rPr>
            </w:pPr>
            <w:r>
              <w:rPr>
                <w:rFonts w:ascii="Arial" w:cs="Arial" w:eastAsia="Arial" w:hAnsi="Arial"/>
                <w:sz w:val="18"/>
                <w:szCs w:val="18"/>
                <w:color w:val="auto"/>
              </w:rPr>
              <w:t>Replacement of Lenders under Certain Circumstances</w:t>
            </w:r>
          </w:p>
        </w:tc>
        <w:tc>
          <w:tcPr>
            <w:tcW w:w="17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3.08</w:t>
            </w:r>
          </w:p>
        </w:tc>
        <w:tc>
          <w:tcPr>
            <w:tcW w:w="8420" w:type="dxa"/>
            <w:vAlign w:val="bottom"/>
          </w:tcPr>
          <w:p>
            <w:pPr>
              <w:ind w:left="380"/>
              <w:spacing w:after="0"/>
              <w:rPr>
                <w:sz w:val="20"/>
                <w:szCs w:val="20"/>
                <w:color w:val="auto"/>
              </w:rPr>
            </w:pPr>
            <w:r>
              <w:rPr>
                <w:rFonts w:ascii="Arial" w:cs="Arial" w:eastAsia="Arial" w:hAnsi="Arial"/>
                <w:sz w:val="18"/>
                <w:szCs w:val="18"/>
                <w:color w:val="auto"/>
              </w:rPr>
              <w:t>Survival</w:t>
            </w:r>
          </w:p>
        </w:tc>
        <w:tc>
          <w:tcPr>
            <w:tcW w:w="17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8"/>
        </w:trPr>
        <w:tc>
          <w:tcPr>
            <w:tcW w:w="1280" w:type="dxa"/>
            <w:vAlign w:val="bottom"/>
          </w:tcPr>
          <w:p>
            <w:pPr>
              <w:spacing w:after="0"/>
              <w:rPr>
                <w:sz w:val="24"/>
                <w:szCs w:val="24"/>
                <w:color w:val="auto"/>
              </w:rPr>
            </w:pPr>
          </w:p>
        </w:tc>
        <w:tc>
          <w:tcPr>
            <w:tcW w:w="8420" w:type="dxa"/>
            <w:vAlign w:val="bottom"/>
          </w:tcPr>
          <w:p>
            <w:pPr>
              <w:jc w:val="center"/>
              <w:ind w:left="370"/>
              <w:spacing w:after="0"/>
              <w:rPr>
                <w:sz w:val="20"/>
                <w:szCs w:val="20"/>
                <w:color w:val="auto"/>
              </w:rPr>
            </w:pPr>
            <w:r>
              <w:rPr>
                <w:rFonts w:ascii="Arial" w:cs="Arial" w:eastAsia="Arial" w:hAnsi="Arial"/>
                <w:sz w:val="18"/>
                <w:szCs w:val="18"/>
                <w:color w:val="auto"/>
                <w:w w:val="97"/>
              </w:rPr>
              <w:t>ARTICLE IV.</w:t>
            </w:r>
          </w:p>
        </w:tc>
        <w:tc>
          <w:tcPr>
            <w:tcW w:w="176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20" w:type="dxa"/>
            <w:vAlign w:val="bottom"/>
          </w:tcPr>
          <w:p>
            <w:pPr>
              <w:jc w:val="center"/>
              <w:ind w:left="370"/>
              <w:spacing w:after="0"/>
              <w:rPr>
                <w:sz w:val="20"/>
                <w:szCs w:val="20"/>
                <w:color w:val="auto"/>
              </w:rPr>
            </w:pPr>
            <w:r>
              <w:rPr>
                <w:rFonts w:ascii="Arial" w:cs="Arial" w:eastAsia="Arial" w:hAnsi="Arial"/>
                <w:sz w:val="18"/>
                <w:szCs w:val="18"/>
                <w:color w:val="auto"/>
                <w:w w:val="95"/>
              </w:rPr>
              <w:t>CONDITIONS PRECEDENT TO CREDIT EXTENSIONS</w:t>
            </w:r>
          </w:p>
        </w:tc>
        <w:tc>
          <w:tcPr>
            <w:tcW w:w="176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4.01</w:t>
            </w:r>
          </w:p>
        </w:tc>
        <w:tc>
          <w:tcPr>
            <w:tcW w:w="8420" w:type="dxa"/>
            <w:vAlign w:val="bottom"/>
          </w:tcPr>
          <w:p>
            <w:pPr>
              <w:ind w:left="380"/>
              <w:spacing w:after="0"/>
              <w:rPr>
                <w:sz w:val="20"/>
                <w:szCs w:val="20"/>
                <w:color w:val="auto"/>
              </w:rPr>
            </w:pPr>
            <w:r>
              <w:rPr>
                <w:rFonts w:ascii="Arial" w:cs="Arial" w:eastAsia="Arial" w:hAnsi="Arial"/>
                <w:sz w:val="18"/>
                <w:szCs w:val="18"/>
                <w:color w:val="auto"/>
              </w:rPr>
              <w:t>Conditions of Initial Credit Extension</w:t>
            </w:r>
          </w:p>
        </w:tc>
        <w:tc>
          <w:tcPr>
            <w:tcW w:w="17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4.02</w:t>
            </w:r>
          </w:p>
        </w:tc>
        <w:tc>
          <w:tcPr>
            <w:tcW w:w="8420" w:type="dxa"/>
            <w:vAlign w:val="bottom"/>
          </w:tcPr>
          <w:p>
            <w:pPr>
              <w:ind w:left="380"/>
              <w:spacing w:after="0"/>
              <w:rPr>
                <w:sz w:val="20"/>
                <w:szCs w:val="20"/>
                <w:color w:val="auto"/>
              </w:rPr>
            </w:pPr>
            <w:r>
              <w:rPr>
                <w:rFonts w:ascii="Arial" w:cs="Arial" w:eastAsia="Arial" w:hAnsi="Arial"/>
                <w:sz w:val="18"/>
                <w:szCs w:val="18"/>
                <w:color w:val="auto"/>
              </w:rPr>
              <w:t>Conditions to All Credit Extensions After the Closing Date</w:t>
            </w: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18"/>
        </w:trPr>
        <w:tc>
          <w:tcPr>
            <w:tcW w:w="1280" w:type="dxa"/>
            <w:vAlign w:val="bottom"/>
          </w:tcPr>
          <w:p>
            <w:pPr>
              <w:spacing w:after="0"/>
              <w:rPr>
                <w:sz w:val="24"/>
                <w:szCs w:val="24"/>
                <w:color w:val="auto"/>
              </w:rPr>
            </w:pPr>
          </w:p>
        </w:tc>
        <w:tc>
          <w:tcPr>
            <w:tcW w:w="8420" w:type="dxa"/>
            <w:vAlign w:val="bottom"/>
          </w:tcPr>
          <w:p>
            <w:pPr>
              <w:jc w:val="center"/>
              <w:ind w:left="350"/>
              <w:spacing w:after="0"/>
              <w:rPr>
                <w:sz w:val="20"/>
                <w:szCs w:val="20"/>
                <w:color w:val="auto"/>
              </w:rPr>
            </w:pPr>
            <w:r>
              <w:rPr>
                <w:rFonts w:ascii="Arial" w:cs="Arial" w:eastAsia="Arial" w:hAnsi="Arial"/>
                <w:sz w:val="18"/>
                <w:szCs w:val="18"/>
                <w:color w:val="auto"/>
                <w:w w:val="95"/>
              </w:rPr>
              <w:t>ARTICLE V.</w:t>
            </w:r>
          </w:p>
        </w:tc>
        <w:tc>
          <w:tcPr>
            <w:tcW w:w="176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20" w:type="dxa"/>
            <w:vAlign w:val="bottom"/>
          </w:tcPr>
          <w:p>
            <w:pPr>
              <w:jc w:val="center"/>
              <w:ind w:left="370"/>
              <w:spacing w:after="0"/>
              <w:rPr>
                <w:sz w:val="20"/>
                <w:szCs w:val="20"/>
                <w:color w:val="auto"/>
              </w:rPr>
            </w:pPr>
            <w:r>
              <w:rPr>
                <w:rFonts w:ascii="Arial" w:cs="Arial" w:eastAsia="Arial" w:hAnsi="Arial"/>
                <w:sz w:val="18"/>
                <w:szCs w:val="18"/>
                <w:color w:val="auto"/>
                <w:w w:val="95"/>
              </w:rPr>
              <w:t>REPRESENTATIONS AND WARRANTIES</w:t>
            </w:r>
          </w:p>
        </w:tc>
        <w:tc>
          <w:tcPr>
            <w:tcW w:w="176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5.01</w:t>
            </w:r>
          </w:p>
        </w:tc>
        <w:tc>
          <w:tcPr>
            <w:tcW w:w="8420" w:type="dxa"/>
            <w:vAlign w:val="bottom"/>
          </w:tcPr>
          <w:p>
            <w:pPr>
              <w:ind w:left="380"/>
              <w:spacing w:after="0"/>
              <w:rPr>
                <w:sz w:val="20"/>
                <w:szCs w:val="20"/>
                <w:color w:val="auto"/>
              </w:rPr>
            </w:pPr>
            <w:r>
              <w:rPr>
                <w:rFonts w:ascii="Arial" w:cs="Arial" w:eastAsia="Arial" w:hAnsi="Arial"/>
                <w:sz w:val="18"/>
                <w:szCs w:val="18"/>
                <w:color w:val="auto"/>
              </w:rPr>
              <w:t>Existence, Qualification and Power; Compliance with Laws</w:t>
            </w:r>
          </w:p>
        </w:tc>
        <w:tc>
          <w:tcPr>
            <w:tcW w:w="17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5.02</w:t>
            </w:r>
          </w:p>
        </w:tc>
        <w:tc>
          <w:tcPr>
            <w:tcW w:w="8420" w:type="dxa"/>
            <w:vAlign w:val="bottom"/>
          </w:tcPr>
          <w:p>
            <w:pPr>
              <w:ind w:left="380"/>
              <w:spacing w:after="0"/>
              <w:rPr>
                <w:sz w:val="20"/>
                <w:szCs w:val="20"/>
                <w:color w:val="auto"/>
              </w:rPr>
            </w:pPr>
            <w:r>
              <w:rPr>
                <w:rFonts w:ascii="Arial" w:cs="Arial" w:eastAsia="Arial" w:hAnsi="Arial"/>
                <w:sz w:val="18"/>
                <w:szCs w:val="18"/>
                <w:color w:val="auto"/>
              </w:rPr>
              <w:t>Authorization; No Contravention</w:t>
            </w:r>
          </w:p>
        </w:tc>
        <w:tc>
          <w:tcPr>
            <w:tcW w:w="17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5.03</w:t>
            </w:r>
          </w:p>
        </w:tc>
        <w:tc>
          <w:tcPr>
            <w:tcW w:w="8420" w:type="dxa"/>
            <w:vAlign w:val="bottom"/>
          </w:tcPr>
          <w:p>
            <w:pPr>
              <w:ind w:left="380"/>
              <w:spacing w:after="0"/>
              <w:rPr>
                <w:sz w:val="20"/>
                <w:szCs w:val="20"/>
                <w:color w:val="auto"/>
              </w:rPr>
            </w:pPr>
            <w:r>
              <w:rPr>
                <w:rFonts w:ascii="Arial" w:cs="Arial" w:eastAsia="Arial" w:hAnsi="Arial"/>
                <w:sz w:val="18"/>
                <w:szCs w:val="18"/>
                <w:color w:val="auto"/>
              </w:rPr>
              <w:t>Governmental Authorization; Other Consents</w:t>
            </w:r>
          </w:p>
        </w:tc>
        <w:tc>
          <w:tcPr>
            <w:tcW w:w="17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5.04</w:t>
            </w:r>
          </w:p>
        </w:tc>
        <w:tc>
          <w:tcPr>
            <w:tcW w:w="8420" w:type="dxa"/>
            <w:vAlign w:val="bottom"/>
          </w:tcPr>
          <w:p>
            <w:pPr>
              <w:ind w:left="380"/>
              <w:spacing w:after="0"/>
              <w:rPr>
                <w:sz w:val="20"/>
                <w:szCs w:val="20"/>
                <w:color w:val="auto"/>
              </w:rPr>
            </w:pPr>
            <w:r>
              <w:rPr>
                <w:rFonts w:ascii="Arial" w:cs="Arial" w:eastAsia="Arial" w:hAnsi="Arial"/>
                <w:sz w:val="18"/>
                <w:szCs w:val="18"/>
                <w:color w:val="auto"/>
              </w:rPr>
              <w:t>Binding Effect</w:t>
            </w:r>
          </w:p>
        </w:tc>
        <w:tc>
          <w:tcPr>
            <w:tcW w:w="17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5.05</w:t>
            </w:r>
          </w:p>
        </w:tc>
        <w:tc>
          <w:tcPr>
            <w:tcW w:w="8420" w:type="dxa"/>
            <w:vAlign w:val="bottom"/>
          </w:tcPr>
          <w:p>
            <w:pPr>
              <w:ind w:left="380"/>
              <w:spacing w:after="0"/>
              <w:rPr>
                <w:sz w:val="20"/>
                <w:szCs w:val="20"/>
                <w:color w:val="auto"/>
              </w:rPr>
            </w:pPr>
            <w:r>
              <w:rPr>
                <w:rFonts w:ascii="Arial" w:cs="Arial" w:eastAsia="Arial" w:hAnsi="Arial"/>
                <w:sz w:val="18"/>
                <w:szCs w:val="18"/>
                <w:color w:val="auto"/>
              </w:rPr>
              <w:t>Financial Statements; No Material Adverse Effect</w:t>
            </w:r>
          </w:p>
        </w:tc>
        <w:tc>
          <w:tcPr>
            <w:tcW w:w="17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5.06</w:t>
            </w:r>
          </w:p>
        </w:tc>
        <w:tc>
          <w:tcPr>
            <w:tcW w:w="8420" w:type="dxa"/>
            <w:vAlign w:val="bottom"/>
          </w:tcPr>
          <w:p>
            <w:pPr>
              <w:ind w:left="380"/>
              <w:spacing w:after="0"/>
              <w:rPr>
                <w:sz w:val="20"/>
                <w:szCs w:val="20"/>
                <w:color w:val="auto"/>
              </w:rPr>
            </w:pPr>
            <w:r>
              <w:rPr>
                <w:rFonts w:ascii="Arial" w:cs="Arial" w:eastAsia="Arial" w:hAnsi="Arial"/>
                <w:sz w:val="18"/>
                <w:szCs w:val="18"/>
                <w:color w:val="auto"/>
              </w:rPr>
              <w:t>Litigation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5.07</w:t>
            </w:r>
          </w:p>
        </w:tc>
        <w:tc>
          <w:tcPr>
            <w:tcW w:w="8420" w:type="dxa"/>
            <w:vAlign w:val="bottom"/>
          </w:tcPr>
          <w:p>
            <w:pPr>
              <w:ind w:left="380"/>
              <w:spacing w:after="0"/>
              <w:rPr>
                <w:sz w:val="20"/>
                <w:szCs w:val="20"/>
                <w:color w:val="auto"/>
              </w:rPr>
            </w:pPr>
            <w:r>
              <w:rPr>
                <w:rFonts w:ascii="Arial" w:cs="Arial" w:eastAsia="Arial" w:hAnsi="Arial"/>
                <w:sz w:val="18"/>
                <w:szCs w:val="18"/>
                <w:color w:val="auto"/>
              </w:rPr>
              <w:t>No Default</w:t>
            </w:r>
          </w:p>
        </w:tc>
        <w:tc>
          <w:tcPr>
            <w:tcW w:w="17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5.08</w:t>
            </w:r>
          </w:p>
        </w:tc>
        <w:tc>
          <w:tcPr>
            <w:tcW w:w="8420" w:type="dxa"/>
            <w:vAlign w:val="bottom"/>
          </w:tcPr>
          <w:p>
            <w:pPr>
              <w:ind w:left="380"/>
              <w:spacing w:after="0"/>
              <w:rPr>
                <w:sz w:val="20"/>
                <w:szCs w:val="20"/>
                <w:color w:val="auto"/>
              </w:rPr>
            </w:pPr>
            <w:r>
              <w:rPr>
                <w:rFonts w:ascii="Arial" w:cs="Arial" w:eastAsia="Arial" w:hAnsi="Arial"/>
                <w:sz w:val="18"/>
                <w:szCs w:val="18"/>
                <w:color w:val="auto"/>
              </w:rPr>
              <w:t>Ownership of Property; Liens</w:t>
            </w:r>
          </w:p>
        </w:tc>
        <w:tc>
          <w:tcPr>
            <w:tcW w:w="17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5.09</w:t>
            </w:r>
          </w:p>
        </w:tc>
        <w:tc>
          <w:tcPr>
            <w:tcW w:w="8420" w:type="dxa"/>
            <w:vAlign w:val="bottom"/>
          </w:tcPr>
          <w:p>
            <w:pPr>
              <w:ind w:left="380"/>
              <w:spacing w:after="0"/>
              <w:rPr>
                <w:sz w:val="20"/>
                <w:szCs w:val="20"/>
                <w:color w:val="auto"/>
              </w:rPr>
            </w:pPr>
            <w:r>
              <w:rPr>
                <w:rFonts w:ascii="Arial" w:cs="Arial" w:eastAsia="Arial" w:hAnsi="Arial"/>
                <w:sz w:val="18"/>
                <w:szCs w:val="18"/>
                <w:color w:val="auto"/>
              </w:rPr>
              <w:t>Environmental Compliance</w:t>
            </w:r>
          </w:p>
        </w:tc>
        <w:tc>
          <w:tcPr>
            <w:tcW w:w="17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5.10</w:t>
            </w:r>
          </w:p>
        </w:tc>
        <w:tc>
          <w:tcPr>
            <w:tcW w:w="8420" w:type="dxa"/>
            <w:vAlign w:val="bottom"/>
          </w:tcPr>
          <w:p>
            <w:pPr>
              <w:ind w:left="380"/>
              <w:spacing w:after="0"/>
              <w:rPr>
                <w:sz w:val="20"/>
                <w:szCs w:val="20"/>
                <w:color w:val="auto"/>
              </w:rPr>
            </w:pPr>
            <w:r>
              <w:rPr>
                <w:rFonts w:ascii="Arial" w:cs="Arial" w:eastAsia="Arial" w:hAnsi="Arial"/>
                <w:sz w:val="18"/>
                <w:szCs w:val="18"/>
                <w:color w:val="auto"/>
              </w:rPr>
              <w:t>Taxes</w:t>
            </w:r>
          </w:p>
        </w:tc>
        <w:tc>
          <w:tcPr>
            <w:tcW w:w="17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5.11</w:t>
            </w:r>
          </w:p>
        </w:tc>
        <w:tc>
          <w:tcPr>
            <w:tcW w:w="8420" w:type="dxa"/>
            <w:vAlign w:val="bottom"/>
          </w:tcPr>
          <w:p>
            <w:pPr>
              <w:ind w:left="380"/>
              <w:spacing w:after="0"/>
              <w:rPr>
                <w:sz w:val="20"/>
                <w:szCs w:val="20"/>
                <w:color w:val="auto"/>
              </w:rPr>
            </w:pPr>
            <w:r>
              <w:rPr>
                <w:rFonts w:ascii="Arial" w:cs="Arial" w:eastAsia="Arial" w:hAnsi="Arial"/>
                <w:sz w:val="18"/>
                <w:szCs w:val="18"/>
                <w:color w:val="auto"/>
              </w:rPr>
              <w:t>ERISA Compliance</w:t>
            </w:r>
          </w:p>
        </w:tc>
        <w:tc>
          <w:tcPr>
            <w:tcW w:w="17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5.12</w:t>
            </w:r>
          </w:p>
        </w:tc>
        <w:tc>
          <w:tcPr>
            <w:tcW w:w="8420" w:type="dxa"/>
            <w:vAlign w:val="bottom"/>
          </w:tcPr>
          <w:p>
            <w:pPr>
              <w:ind w:left="380"/>
              <w:spacing w:after="0"/>
              <w:rPr>
                <w:sz w:val="20"/>
                <w:szCs w:val="20"/>
                <w:color w:val="auto"/>
              </w:rPr>
            </w:pPr>
            <w:r>
              <w:rPr>
                <w:rFonts w:ascii="Arial" w:cs="Arial" w:eastAsia="Arial" w:hAnsi="Arial"/>
                <w:sz w:val="18"/>
                <w:szCs w:val="18"/>
                <w:color w:val="auto"/>
              </w:rPr>
              <w:t>Subsidiaries;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5.13</w:t>
            </w:r>
          </w:p>
        </w:tc>
        <w:tc>
          <w:tcPr>
            <w:tcW w:w="8420" w:type="dxa"/>
            <w:vAlign w:val="bottom"/>
          </w:tcPr>
          <w:p>
            <w:pPr>
              <w:ind w:left="380"/>
              <w:spacing w:after="0"/>
              <w:rPr>
                <w:sz w:val="20"/>
                <w:szCs w:val="20"/>
                <w:color w:val="auto"/>
              </w:rPr>
            </w:pPr>
            <w:r>
              <w:rPr>
                <w:rFonts w:ascii="Arial" w:cs="Arial" w:eastAsia="Arial" w:hAnsi="Arial"/>
                <w:sz w:val="18"/>
                <w:szCs w:val="18"/>
                <w:color w:val="auto"/>
              </w:rPr>
              <w:t>Margin Regulations; Investment Company Act</w:t>
            </w:r>
          </w:p>
        </w:tc>
        <w:tc>
          <w:tcPr>
            <w:tcW w:w="17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5.14</w:t>
            </w:r>
          </w:p>
        </w:tc>
        <w:tc>
          <w:tcPr>
            <w:tcW w:w="8420" w:type="dxa"/>
            <w:vAlign w:val="bottom"/>
          </w:tcPr>
          <w:p>
            <w:pPr>
              <w:ind w:left="380"/>
              <w:spacing w:after="0"/>
              <w:rPr>
                <w:sz w:val="20"/>
                <w:szCs w:val="20"/>
                <w:color w:val="auto"/>
              </w:rPr>
            </w:pPr>
            <w:r>
              <w:rPr>
                <w:rFonts w:ascii="Arial" w:cs="Arial" w:eastAsia="Arial" w:hAnsi="Arial"/>
                <w:sz w:val="18"/>
                <w:szCs w:val="18"/>
                <w:color w:val="auto"/>
              </w:rPr>
              <w:t>Disclosure</w:t>
            </w:r>
          </w:p>
        </w:tc>
        <w:tc>
          <w:tcPr>
            <w:tcW w:w="17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5.15</w:t>
            </w:r>
          </w:p>
        </w:tc>
        <w:tc>
          <w:tcPr>
            <w:tcW w:w="8420" w:type="dxa"/>
            <w:vAlign w:val="bottom"/>
          </w:tcPr>
          <w:p>
            <w:pPr>
              <w:ind w:left="380"/>
              <w:spacing w:after="0"/>
              <w:rPr>
                <w:sz w:val="20"/>
                <w:szCs w:val="20"/>
                <w:color w:val="auto"/>
              </w:rPr>
            </w:pPr>
            <w:r>
              <w:rPr>
                <w:rFonts w:ascii="Arial" w:cs="Arial" w:eastAsia="Arial" w:hAnsi="Arial"/>
                <w:sz w:val="18"/>
                <w:szCs w:val="18"/>
                <w:color w:val="auto"/>
              </w:rPr>
              <w:t>Patriot Act and OFAC</w:t>
            </w:r>
          </w:p>
        </w:tc>
        <w:tc>
          <w:tcPr>
            <w:tcW w:w="17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5.16</w:t>
            </w:r>
          </w:p>
        </w:tc>
        <w:tc>
          <w:tcPr>
            <w:tcW w:w="8420" w:type="dxa"/>
            <w:vAlign w:val="bottom"/>
          </w:tcPr>
          <w:p>
            <w:pPr>
              <w:ind w:left="380"/>
              <w:spacing w:after="0"/>
              <w:rPr>
                <w:sz w:val="20"/>
                <w:szCs w:val="20"/>
                <w:color w:val="auto"/>
              </w:rPr>
            </w:pPr>
            <w:r>
              <w:rPr>
                <w:rFonts w:ascii="Arial" w:cs="Arial" w:eastAsia="Arial" w:hAnsi="Arial"/>
                <w:sz w:val="18"/>
                <w:szCs w:val="18"/>
                <w:color w:val="auto"/>
              </w:rPr>
              <w:t>Intellectual Property; Licenses, Etc.</w:t>
            </w:r>
          </w:p>
        </w:tc>
        <w:tc>
          <w:tcPr>
            <w:tcW w:w="17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5.17</w:t>
            </w:r>
          </w:p>
        </w:tc>
        <w:tc>
          <w:tcPr>
            <w:tcW w:w="8420" w:type="dxa"/>
            <w:vAlign w:val="bottom"/>
          </w:tcPr>
          <w:p>
            <w:pPr>
              <w:ind w:left="380"/>
              <w:spacing w:after="0"/>
              <w:rPr>
                <w:sz w:val="20"/>
                <w:szCs w:val="20"/>
                <w:color w:val="auto"/>
              </w:rPr>
            </w:pPr>
            <w:r>
              <w:rPr>
                <w:rFonts w:ascii="Arial" w:cs="Arial" w:eastAsia="Arial" w:hAnsi="Arial"/>
                <w:sz w:val="18"/>
                <w:szCs w:val="18"/>
                <w:color w:val="auto"/>
              </w:rPr>
              <w:t>Solvency</w:t>
            </w:r>
          </w:p>
        </w:tc>
        <w:tc>
          <w:tcPr>
            <w:tcW w:w="17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5.18</w:t>
            </w:r>
          </w:p>
        </w:tc>
        <w:tc>
          <w:tcPr>
            <w:tcW w:w="8420" w:type="dxa"/>
            <w:vAlign w:val="bottom"/>
          </w:tcPr>
          <w:p>
            <w:pPr>
              <w:ind w:left="380"/>
              <w:spacing w:after="0"/>
              <w:rPr>
                <w:sz w:val="20"/>
                <w:szCs w:val="20"/>
                <w:color w:val="auto"/>
              </w:rPr>
            </w:pPr>
            <w:r>
              <w:rPr>
                <w:rFonts w:ascii="Arial" w:cs="Arial" w:eastAsia="Arial" w:hAnsi="Arial"/>
                <w:sz w:val="18"/>
                <w:szCs w:val="18"/>
                <w:color w:val="auto"/>
              </w:rPr>
              <w:t>Subordination of Subordinated Indebtedness</w:t>
            </w:r>
          </w:p>
        </w:tc>
        <w:tc>
          <w:tcPr>
            <w:tcW w:w="17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5.19</w:t>
            </w:r>
          </w:p>
        </w:tc>
        <w:tc>
          <w:tcPr>
            <w:tcW w:w="8420" w:type="dxa"/>
            <w:vAlign w:val="bottom"/>
          </w:tcPr>
          <w:p>
            <w:pPr>
              <w:ind w:left="380"/>
              <w:spacing w:after="0"/>
              <w:rPr>
                <w:sz w:val="20"/>
                <w:szCs w:val="20"/>
                <w:color w:val="auto"/>
              </w:rPr>
            </w:pPr>
            <w:r>
              <w:rPr>
                <w:rFonts w:ascii="Arial" w:cs="Arial" w:eastAsia="Arial" w:hAnsi="Arial"/>
                <w:sz w:val="18"/>
                <w:szCs w:val="18"/>
                <w:color w:val="auto"/>
              </w:rPr>
              <w:t>FCPA</w:t>
            </w:r>
          </w:p>
        </w:tc>
        <w:tc>
          <w:tcPr>
            <w:tcW w:w="17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5.20</w:t>
            </w:r>
          </w:p>
        </w:tc>
        <w:tc>
          <w:tcPr>
            <w:tcW w:w="8420" w:type="dxa"/>
            <w:vAlign w:val="bottom"/>
          </w:tcPr>
          <w:p>
            <w:pPr>
              <w:ind w:left="380"/>
              <w:spacing w:after="0"/>
              <w:rPr>
                <w:sz w:val="20"/>
                <w:szCs w:val="20"/>
                <w:color w:val="auto"/>
              </w:rPr>
            </w:pPr>
            <w:r>
              <w:rPr>
                <w:rFonts w:ascii="Arial" w:cs="Arial" w:eastAsia="Arial" w:hAnsi="Arial"/>
                <w:sz w:val="18"/>
                <w:szCs w:val="18"/>
                <w:color w:val="auto"/>
              </w:rPr>
              <w:t>Security Documents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5.21</w:t>
            </w:r>
          </w:p>
        </w:tc>
        <w:tc>
          <w:tcPr>
            <w:tcW w:w="8420" w:type="dxa"/>
            <w:vAlign w:val="bottom"/>
          </w:tcPr>
          <w:p>
            <w:pPr>
              <w:ind w:left="380"/>
              <w:spacing w:after="0"/>
              <w:rPr>
                <w:sz w:val="20"/>
                <w:szCs w:val="20"/>
                <w:color w:val="auto"/>
              </w:rPr>
            </w:pPr>
            <w:r>
              <w:rPr>
                <w:rFonts w:ascii="Arial" w:cs="Arial" w:eastAsia="Arial" w:hAnsi="Arial"/>
                <w:sz w:val="18"/>
                <w:szCs w:val="18"/>
                <w:color w:val="auto"/>
              </w:rPr>
              <w:t>Use of Proceeds</w:t>
            </w:r>
          </w:p>
        </w:tc>
        <w:tc>
          <w:tcPr>
            <w:tcW w:w="1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18"/>
        </w:trPr>
        <w:tc>
          <w:tcPr>
            <w:tcW w:w="1280" w:type="dxa"/>
            <w:vAlign w:val="bottom"/>
          </w:tcPr>
          <w:p>
            <w:pPr>
              <w:spacing w:after="0"/>
              <w:rPr>
                <w:sz w:val="24"/>
                <w:szCs w:val="24"/>
                <w:color w:val="auto"/>
              </w:rPr>
            </w:pPr>
          </w:p>
        </w:tc>
        <w:tc>
          <w:tcPr>
            <w:tcW w:w="8420" w:type="dxa"/>
            <w:vAlign w:val="bottom"/>
          </w:tcPr>
          <w:p>
            <w:pPr>
              <w:jc w:val="center"/>
              <w:ind w:left="350"/>
              <w:spacing w:after="0"/>
              <w:rPr>
                <w:sz w:val="20"/>
                <w:szCs w:val="20"/>
                <w:color w:val="auto"/>
              </w:rPr>
            </w:pPr>
            <w:r>
              <w:rPr>
                <w:rFonts w:ascii="Arial" w:cs="Arial" w:eastAsia="Arial" w:hAnsi="Arial"/>
                <w:sz w:val="18"/>
                <w:szCs w:val="18"/>
                <w:color w:val="auto"/>
                <w:w w:val="98"/>
              </w:rPr>
              <w:t>ARTICLE VI.</w:t>
            </w:r>
          </w:p>
        </w:tc>
        <w:tc>
          <w:tcPr>
            <w:tcW w:w="176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8420" w:type="dxa"/>
            <w:vAlign w:val="bottom"/>
          </w:tcPr>
          <w:p>
            <w:pPr>
              <w:jc w:val="center"/>
              <w:ind w:left="370"/>
              <w:spacing w:after="0"/>
              <w:rPr>
                <w:sz w:val="20"/>
                <w:szCs w:val="20"/>
                <w:color w:val="auto"/>
              </w:rPr>
            </w:pPr>
            <w:r>
              <w:rPr>
                <w:rFonts w:ascii="Arial" w:cs="Arial" w:eastAsia="Arial" w:hAnsi="Arial"/>
                <w:sz w:val="18"/>
                <w:szCs w:val="18"/>
                <w:color w:val="auto"/>
                <w:w w:val="98"/>
              </w:rPr>
              <w:t>AFFIRMATIVE COVENANTS</w:t>
            </w:r>
          </w:p>
        </w:tc>
        <w:tc>
          <w:tcPr>
            <w:tcW w:w="176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6.01</w:t>
            </w:r>
          </w:p>
        </w:tc>
        <w:tc>
          <w:tcPr>
            <w:tcW w:w="8420" w:type="dxa"/>
            <w:vAlign w:val="bottom"/>
          </w:tcPr>
          <w:p>
            <w:pPr>
              <w:ind w:left="380"/>
              <w:spacing w:after="0"/>
              <w:rPr>
                <w:sz w:val="20"/>
                <w:szCs w:val="20"/>
                <w:color w:val="auto"/>
              </w:rPr>
            </w:pPr>
            <w:r>
              <w:rPr>
                <w:rFonts w:ascii="Arial" w:cs="Arial" w:eastAsia="Arial" w:hAnsi="Arial"/>
                <w:sz w:val="18"/>
                <w:szCs w:val="18"/>
                <w:color w:val="auto"/>
              </w:rPr>
              <w:t>Financial Statements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6.02</w:t>
            </w:r>
          </w:p>
        </w:tc>
        <w:tc>
          <w:tcPr>
            <w:tcW w:w="8420" w:type="dxa"/>
            <w:vAlign w:val="bottom"/>
          </w:tcPr>
          <w:p>
            <w:pPr>
              <w:ind w:left="380"/>
              <w:spacing w:after="0"/>
              <w:rPr>
                <w:sz w:val="20"/>
                <w:szCs w:val="20"/>
                <w:color w:val="auto"/>
              </w:rPr>
            </w:pPr>
            <w:r>
              <w:rPr>
                <w:rFonts w:ascii="Arial" w:cs="Arial" w:eastAsia="Arial" w:hAnsi="Arial"/>
                <w:sz w:val="18"/>
                <w:szCs w:val="18"/>
                <w:color w:val="auto"/>
              </w:rPr>
              <w:t>Certificates; Other Information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6.03</w:t>
            </w:r>
          </w:p>
        </w:tc>
        <w:tc>
          <w:tcPr>
            <w:tcW w:w="8420" w:type="dxa"/>
            <w:vAlign w:val="bottom"/>
          </w:tcPr>
          <w:p>
            <w:pPr>
              <w:ind w:left="380"/>
              <w:spacing w:after="0"/>
              <w:rPr>
                <w:sz w:val="20"/>
                <w:szCs w:val="20"/>
                <w:color w:val="auto"/>
              </w:rPr>
            </w:pPr>
            <w:r>
              <w:rPr>
                <w:rFonts w:ascii="Arial" w:cs="Arial" w:eastAsia="Arial" w:hAnsi="Arial"/>
                <w:sz w:val="18"/>
                <w:szCs w:val="18"/>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6.04</w:t>
            </w:r>
          </w:p>
        </w:tc>
        <w:tc>
          <w:tcPr>
            <w:tcW w:w="8420" w:type="dxa"/>
            <w:vAlign w:val="bottom"/>
          </w:tcPr>
          <w:p>
            <w:pPr>
              <w:ind w:left="380"/>
              <w:spacing w:after="0"/>
              <w:rPr>
                <w:sz w:val="20"/>
                <w:szCs w:val="20"/>
                <w:color w:val="auto"/>
              </w:rPr>
            </w:pPr>
            <w:r>
              <w:rPr>
                <w:rFonts w:ascii="Arial" w:cs="Arial" w:eastAsia="Arial" w:hAnsi="Arial"/>
                <w:sz w:val="18"/>
                <w:szCs w:val="18"/>
                <w:color w:val="auto"/>
              </w:rPr>
              <w:t>Payment of Taxes</w:t>
            </w:r>
          </w:p>
        </w:tc>
        <w:tc>
          <w:tcPr>
            <w:tcW w:w="17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6.05</w:t>
            </w:r>
          </w:p>
        </w:tc>
        <w:tc>
          <w:tcPr>
            <w:tcW w:w="8420" w:type="dxa"/>
            <w:vAlign w:val="bottom"/>
          </w:tcPr>
          <w:p>
            <w:pPr>
              <w:ind w:left="380"/>
              <w:spacing w:after="0"/>
              <w:rPr>
                <w:sz w:val="20"/>
                <w:szCs w:val="20"/>
                <w:color w:val="auto"/>
              </w:rPr>
            </w:pPr>
            <w:r>
              <w:rPr>
                <w:rFonts w:ascii="Arial" w:cs="Arial" w:eastAsia="Arial" w:hAnsi="Arial"/>
                <w:sz w:val="18"/>
                <w:szCs w:val="18"/>
                <w:color w:val="auto"/>
              </w:rPr>
              <w:t>Preservation of Existence, Etc.</w:t>
            </w:r>
          </w:p>
        </w:tc>
        <w:tc>
          <w:tcPr>
            <w:tcW w:w="17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6.06</w:t>
            </w:r>
          </w:p>
        </w:tc>
        <w:tc>
          <w:tcPr>
            <w:tcW w:w="8420" w:type="dxa"/>
            <w:vAlign w:val="bottom"/>
          </w:tcPr>
          <w:p>
            <w:pPr>
              <w:ind w:left="380"/>
              <w:spacing w:after="0"/>
              <w:rPr>
                <w:sz w:val="20"/>
                <w:szCs w:val="20"/>
                <w:color w:val="auto"/>
              </w:rPr>
            </w:pPr>
            <w:r>
              <w:rPr>
                <w:rFonts w:ascii="Arial" w:cs="Arial" w:eastAsia="Arial" w:hAnsi="Arial"/>
                <w:sz w:val="18"/>
                <w:szCs w:val="18"/>
                <w:color w:val="auto"/>
              </w:rPr>
              <w:t>Maintenance of Properties</w:t>
            </w:r>
          </w:p>
        </w:tc>
        <w:tc>
          <w:tcPr>
            <w:tcW w:w="17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6.07</w:t>
            </w:r>
          </w:p>
        </w:tc>
        <w:tc>
          <w:tcPr>
            <w:tcW w:w="8420" w:type="dxa"/>
            <w:vAlign w:val="bottom"/>
          </w:tcPr>
          <w:p>
            <w:pPr>
              <w:ind w:left="380"/>
              <w:spacing w:after="0"/>
              <w:rPr>
                <w:sz w:val="20"/>
                <w:szCs w:val="20"/>
                <w:color w:val="auto"/>
              </w:rPr>
            </w:pPr>
            <w:r>
              <w:rPr>
                <w:rFonts w:ascii="Arial" w:cs="Arial" w:eastAsia="Arial" w:hAnsi="Arial"/>
                <w:sz w:val="18"/>
                <w:szCs w:val="18"/>
                <w:color w:val="auto"/>
              </w:rPr>
              <w:t>Maintenance of Insurance</w:t>
            </w:r>
          </w:p>
        </w:tc>
        <w:tc>
          <w:tcPr>
            <w:tcW w:w="17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6.08</w:t>
            </w:r>
          </w:p>
        </w:tc>
        <w:tc>
          <w:tcPr>
            <w:tcW w:w="8420" w:type="dxa"/>
            <w:vAlign w:val="bottom"/>
          </w:tcPr>
          <w:p>
            <w:pPr>
              <w:ind w:left="380"/>
              <w:spacing w:after="0"/>
              <w:rPr>
                <w:sz w:val="20"/>
                <w:szCs w:val="20"/>
                <w:color w:val="auto"/>
              </w:rPr>
            </w:pPr>
            <w:r>
              <w:rPr>
                <w:rFonts w:ascii="Arial" w:cs="Arial" w:eastAsia="Arial" w:hAnsi="Arial"/>
                <w:sz w:val="18"/>
                <w:szCs w:val="18"/>
                <w:color w:val="auto"/>
              </w:rPr>
              <w:t>Compliance with Laws</w:t>
            </w:r>
          </w:p>
        </w:tc>
        <w:tc>
          <w:tcPr>
            <w:tcW w:w="176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-6836410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-6836410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4"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640" w:val="left"/>
          <w:tab w:leader="none" w:pos="1114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8"/>
          <w:szCs w:val="18"/>
          <w:color w:val="auto"/>
        </w:rPr>
        <w:t>Books and Records</w:t>
      </w:r>
      <w:r>
        <w:rPr>
          <w:sz w:val="20"/>
          <w:szCs w:val="20"/>
          <w:color w:val="auto"/>
        </w:rPr>
        <w:tab/>
      </w:r>
      <w:r>
        <w:rPr>
          <w:rFonts w:ascii="Arial" w:cs="Arial" w:eastAsia="Arial" w:hAnsi="Arial"/>
          <w:sz w:val="15"/>
          <w:szCs w:val="15"/>
          <w:color w:val="auto"/>
        </w:rPr>
        <w:t>113</w:t>
      </w:r>
    </w:p>
    <w:p>
      <w:pPr>
        <w:sectPr>
          <w:pgSz w:w="11900" w:h="16874" w:orient="portrait"/>
          <w:cols w:equalWidth="0" w:num="1">
            <w:col w:w="11460"/>
          </w:cols>
          <w:pgMar w:left="240" w:top="125" w:right="19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6.10</w:t>
            </w:r>
          </w:p>
        </w:tc>
        <w:tc>
          <w:tcPr>
            <w:tcW w:w="8120" w:type="dxa"/>
            <w:vAlign w:val="bottom"/>
          </w:tcPr>
          <w:p>
            <w:pPr>
              <w:ind w:left="340"/>
              <w:spacing w:after="0"/>
              <w:rPr>
                <w:sz w:val="20"/>
                <w:szCs w:val="20"/>
                <w:color w:val="auto"/>
              </w:rPr>
            </w:pPr>
            <w:r>
              <w:rPr>
                <w:rFonts w:ascii="Arial" w:cs="Arial" w:eastAsia="Arial" w:hAnsi="Arial"/>
                <w:sz w:val="18"/>
                <w:szCs w:val="18"/>
                <w:color w:val="auto"/>
              </w:rPr>
              <w:t>Inspection Rights</w:t>
            </w:r>
          </w:p>
        </w:tc>
        <w:tc>
          <w:tcPr>
            <w:tcW w:w="2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6.11</w:t>
            </w:r>
          </w:p>
        </w:tc>
        <w:tc>
          <w:tcPr>
            <w:tcW w:w="8120" w:type="dxa"/>
            <w:vAlign w:val="bottom"/>
          </w:tcPr>
          <w:p>
            <w:pPr>
              <w:ind w:left="340"/>
              <w:spacing w:after="0"/>
              <w:rPr>
                <w:sz w:val="20"/>
                <w:szCs w:val="20"/>
                <w:color w:val="auto"/>
              </w:rPr>
            </w:pPr>
            <w:r>
              <w:rPr>
                <w:rFonts w:ascii="Arial" w:cs="Arial" w:eastAsia="Arial" w:hAnsi="Arial"/>
                <w:sz w:val="18"/>
                <w:szCs w:val="18"/>
                <w:color w:val="auto"/>
              </w:rPr>
              <w:t>Additional Collateral; Additional Guarantors</w:t>
            </w:r>
          </w:p>
        </w:tc>
        <w:tc>
          <w:tcPr>
            <w:tcW w:w="20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6.12</w:t>
            </w:r>
          </w:p>
        </w:tc>
        <w:tc>
          <w:tcPr>
            <w:tcW w:w="8120" w:type="dxa"/>
            <w:vAlign w:val="bottom"/>
          </w:tcPr>
          <w:p>
            <w:pPr>
              <w:ind w:left="340"/>
              <w:spacing w:after="0"/>
              <w:rPr>
                <w:sz w:val="20"/>
                <w:szCs w:val="20"/>
                <w:color w:val="auto"/>
              </w:rPr>
            </w:pPr>
            <w:r>
              <w:rPr>
                <w:rFonts w:ascii="Arial" w:cs="Arial" w:eastAsia="Arial" w:hAnsi="Arial"/>
                <w:sz w:val="18"/>
                <w:szCs w:val="18"/>
                <w:color w:val="auto"/>
              </w:rPr>
              <w:t>Compliance with Environmental Laws</w:t>
            </w:r>
          </w:p>
        </w:tc>
        <w:tc>
          <w:tcPr>
            <w:tcW w:w="20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6.13</w:t>
            </w:r>
          </w:p>
        </w:tc>
        <w:tc>
          <w:tcPr>
            <w:tcW w:w="8120" w:type="dxa"/>
            <w:vAlign w:val="bottom"/>
          </w:tcPr>
          <w:p>
            <w:pPr>
              <w:ind w:left="340"/>
              <w:spacing w:after="0"/>
              <w:rPr>
                <w:sz w:val="20"/>
                <w:szCs w:val="20"/>
                <w:color w:val="auto"/>
              </w:rPr>
            </w:pPr>
            <w:r>
              <w:rPr>
                <w:rFonts w:ascii="Arial" w:cs="Arial" w:eastAsia="Arial" w:hAnsi="Arial"/>
                <w:sz w:val="18"/>
                <w:szCs w:val="18"/>
                <w:color w:val="auto"/>
              </w:rPr>
              <w:t>Further Assurances and Post-Closing Conditions</w:t>
            </w:r>
          </w:p>
        </w:tc>
        <w:tc>
          <w:tcPr>
            <w:tcW w:w="20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6.14</w:t>
            </w:r>
          </w:p>
        </w:tc>
        <w:tc>
          <w:tcPr>
            <w:tcW w:w="8120" w:type="dxa"/>
            <w:vAlign w:val="bottom"/>
          </w:tcPr>
          <w:p>
            <w:pPr>
              <w:ind w:left="340"/>
              <w:spacing w:after="0"/>
              <w:rPr>
                <w:sz w:val="20"/>
                <w:szCs w:val="20"/>
                <w:color w:val="auto"/>
              </w:rPr>
            </w:pPr>
            <w:r>
              <w:rPr>
                <w:rFonts w:ascii="Arial" w:cs="Arial" w:eastAsia="Arial" w:hAnsi="Arial"/>
                <w:sz w:val="18"/>
                <w:szCs w:val="18"/>
                <w:color w:val="auto"/>
              </w:rPr>
              <w:t>Designation of Subsidiaries</w:t>
            </w:r>
          </w:p>
        </w:tc>
        <w:tc>
          <w:tcPr>
            <w:tcW w:w="2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6.15</w:t>
            </w:r>
          </w:p>
        </w:tc>
        <w:tc>
          <w:tcPr>
            <w:tcW w:w="8120" w:type="dxa"/>
            <w:vAlign w:val="bottom"/>
          </w:tcPr>
          <w:p>
            <w:pPr>
              <w:ind w:left="340"/>
              <w:spacing w:after="0"/>
              <w:rPr>
                <w:sz w:val="20"/>
                <w:szCs w:val="20"/>
                <w:color w:val="auto"/>
              </w:rPr>
            </w:pPr>
            <w:r>
              <w:rPr>
                <w:rFonts w:ascii="Arial" w:cs="Arial" w:eastAsia="Arial" w:hAnsi="Arial"/>
                <w:sz w:val="18"/>
                <w:szCs w:val="18"/>
                <w:color w:val="auto"/>
              </w:rPr>
              <w:t>ERISA Reports</w:t>
            </w:r>
          </w:p>
        </w:tc>
        <w:tc>
          <w:tcPr>
            <w:tcW w:w="20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6.16</w:t>
            </w:r>
          </w:p>
        </w:tc>
        <w:tc>
          <w:tcPr>
            <w:tcW w:w="8120" w:type="dxa"/>
            <w:vAlign w:val="bottom"/>
          </w:tcPr>
          <w:p>
            <w:pPr>
              <w:ind w:left="340"/>
              <w:spacing w:after="0"/>
              <w:rPr>
                <w:sz w:val="20"/>
                <w:szCs w:val="20"/>
                <w:color w:val="auto"/>
              </w:rPr>
            </w:pPr>
            <w:r>
              <w:rPr>
                <w:rFonts w:ascii="Arial" w:cs="Arial" w:eastAsia="Arial" w:hAnsi="Arial"/>
                <w:sz w:val="18"/>
                <w:szCs w:val="18"/>
                <w:color w:val="auto"/>
              </w:rPr>
              <w:t>Use of Proceeds</w:t>
            </w:r>
          </w:p>
        </w:tc>
        <w:tc>
          <w:tcPr>
            <w:tcW w:w="20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6.17</w:t>
            </w:r>
          </w:p>
        </w:tc>
        <w:tc>
          <w:tcPr>
            <w:tcW w:w="8120" w:type="dxa"/>
            <w:vAlign w:val="bottom"/>
          </w:tcPr>
          <w:p>
            <w:pPr>
              <w:ind w:left="340"/>
              <w:spacing w:after="0"/>
              <w:rPr>
                <w:sz w:val="20"/>
                <w:szCs w:val="20"/>
                <w:color w:val="auto"/>
              </w:rPr>
            </w:pPr>
            <w:r>
              <w:rPr>
                <w:rFonts w:ascii="Arial" w:cs="Arial" w:eastAsia="Arial" w:hAnsi="Arial"/>
                <w:sz w:val="18"/>
                <w:szCs w:val="18"/>
                <w:color w:val="auto"/>
              </w:rPr>
              <w:t>Maintenance of Ratings</w:t>
            </w:r>
          </w:p>
        </w:tc>
        <w:tc>
          <w:tcPr>
            <w:tcW w:w="20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6.18</w:t>
            </w:r>
          </w:p>
        </w:tc>
        <w:tc>
          <w:tcPr>
            <w:tcW w:w="8120" w:type="dxa"/>
            <w:vAlign w:val="bottom"/>
          </w:tcPr>
          <w:p>
            <w:pPr>
              <w:ind w:left="340"/>
              <w:spacing w:after="0"/>
              <w:rPr>
                <w:sz w:val="20"/>
                <w:szCs w:val="20"/>
                <w:color w:val="auto"/>
              </w:rPr>
            </w:pPr>
            <w:r>
              <w:rPr>
                <w:rFonts w:ascii="Arial" w:cs="Arial" w:eastAsia="Arial" w:hAnsi="Arial"/>
                <w:sz w:val="18"/>
                <w:szCs w:val="18"/>
                <w:color w:val="auto"/>
              </w:rPr>
              <w:t>Lender Calls</w:t>
            </w:r>
          </w:p>
        </w:tc>
        <w:tc>
          <w:tcPr>
            <w:tcW w:w="20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6.19</w:t>
            </w:r>
          </w:p>
        </w:tc>
        <w:tc>
          <w:tcPr>
            <w:tcW w:w="8120" w:type="dxa"/>
            <w:vAlign w:val="bottom"/>
          </w:tcPr>
          <w:p>
            <w:pPr>
              <w:ind w:left="340"/>
              <w:spacing w:after="0"/>
              <w:rPr>
                <w:sz w:val="20"/>
                <w:szCs w:val="20"/>
                <w:color w:val="auto"/>
              </w:rPr>
            </w:pPr>
            <w:r>
              <w:rPr>
                <w:rFonts w:ascii="Arial" w:cs="Arial" w:eastAsia="Arial" w:hAnsi="Arial"/>
                <w:sz w:val="18"/>
                <w:szCs w:val="18"/>
                <w:color w:val="auto"/>
              </w:rPr>
              <w:t>Amber Holding</w:t>
            </w:r>
          </w:p>
        </w:tc>
        <w:tc>
          <w:tcPr>
            <w:tcW w:w="20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18"/>
        </w:trPr>
        <w:tc>
          <w:tcPr>
            <w:tcW w:w="1320" w:type="dxa"/>
            <w:vAlign w:val="bottom"/>
          </w:tcPr>
          <w:p>
            <w:pPr>
              <w:spacing w:after="0"/>
              <w:rPr>
                <w:sz w:val="24"/>
                <w:szCs w:val="24"/>
                <w:color w:val="auto"/>
              </w:rPr>
            </w:pPr>
          </w:p>
        </w:tc>
        <w:tc>
          <w:tcPr>
            <w:tcW w:w="8120" w:type="dxa"/>
            <w:vAlign w:val="bottom"/>
          </w:tcPr>
          <w:p>
            <w:pPr>
              <w:jc w:val="center"/>
              <w:ind w:left="590"/>
              <w:spacing w:after="0"/>
              <w:rPr>
                <w:sz w:val="20"/>
                <w:szCs w:val="20"/>
                <w:color w:val="auto"/>
              </w:rPr>
            </w:pPr>
            <w:r>
              <w:rPr>
                <w:rFonts w:ascii="Arial" w:cs="Arial" w:eastAsia="Arial" w:hAnsi="Arial"/>
                <w:sz w:val="18"/>
                <w:szCs w:val="18"/>
                <w:color w:val="auto"/>
                <w:w w:val="99"/>
              </w:rPr>
              <w:t>ARTICLE VII.</w:t>
            </w:r>
          </w:p>
        </w:tc>
        <w:tc>
          <w:tcPr>
            <w:tcW w:w="202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120" w:type="dxa"/>
            <w:vAlign w:val="bottom"/>
          </w:tcPr>
          <w:p>
            <w:pPr>
              <w:jc w:val="center"/>
              <w:ind w:left="570"/>
              <w:spacing w:after="0"/>
              <w:rPr>
                <w:sz w:val="20"/>
                <w:szCs w:val="20"/>
                <w:color w:val="auto"/>
              </w:rPr>
            </w:pPr>
            <w:r>
              <w:rPr>
                <w:rFonts w:ascii="Arial" w:cs="Arial" w:eastAsia="Arial" w:hAnsi="Arial"/>
                <w:sz w:val="18"/>
                <w:szCs w:val="18"/>
                <w:color w:val="auto"/>
                <w:w w:val="97"/>
              </w:rPr>
              <w:t>NEGATIVE COVENANTS</w:t>
            </w:r>
          </w:p>
        </w:tc>
        <w:tc>
          <w:tcPr>
            <w:tcW w:w="2020" w:type="dxa"/>
            <w:vAlign w:val="bottom"/>
          </w:tcPr>
          <w:p>
            <w:pPr>
              <w:spacing w:after="0"/>
              <w:rPr>
                <w:sz w:val="20"/>
                <w:szCs w:val="20"/>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Section 7.01</w:t>
            </w:r>
          </w:p>
        </w:tc>
        <w:tc>
          <w:tcPr>
            <w:tcW w:w="8120" w:type="dxa"/>
            <w:vAlign w:val="bottom"/>
          </w:tcPr>
          <w:p>
            <w:pPr>
              <w:ind w:left="340"/>
              <w:spacing w:after="0"/>
              <w:rPr>
                <w:sz w:val="20"/>
                <w:szCs w:val="20"/>
                <w:color w:val="auto"/>
              </w:rPr>
            </w:pPr>
            <w:r>
              <w:rPr>
                <w:rFonts w:ascii="Arial" w:cs="Arial" w:eastAsia="Arial" w:hAnsi="Arial"/>
                <w:sz w:val="18"/>
                <w:szCs w:val="18"/>
                <w:color w:val="auto"/>
              </w:rPr>
              <w:t>Liens</w:t>
            </w:r>
          </w:p>
        </w:tc>
        <w:tc>
          <w:tcPr>
            <w:tcW w:w="20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7.02</w:t>
            </w:r>
          </w:p>
        </w:tc>
        <w:tc>
          <w:tcPr>
            <w:tcW w:w="8120" w:type="dxa"/>
            <w:vAlign w:val="bottom"/>
          </w:tcPr>
          <w:p>
            <w:pPr>
              <w:ind w:left="340"/>
              <w:spacing w:after="0"/>
              <w:rPr>
                <w:sz w:val="20"/>
                <w:szCs w:val="20"/>
                <w:color w:val="auto"/>
              </w:rPr>
            </w:pPr>
            <w:r>
              <w:rPr>
                <w:rFonts w:ascii="Arial" w:cs="Arial" w:eastAsia="Arial" w:hAnsi="Arial"/>
                <w:sz w:val="18"/>
                <w:szCs w:val="18"/>
                <w:color w:val="auto"/>
              </w:rPr>
              <w:t>Incurrence of Indebtedness and Issuance of Disqualified Stock and Preferred Stock</w:t>
            </w:r>
          </w:p>
        </w:tc>
        <w:tc>
          <w:tcPr>
            <w:tcW w:w="20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7.03</w:t>
            </w:r>
          </w:p>
        </w:tc>
        <w:tc>
          <w:tcPr>
            <w:tcW w:w="8120" w:type="dxa"/>
            <w:vAlign w:val="bottom"/>
          </w:tcPr>
          <w:p>
            <w:pPr>
              <w:ind w:left="340"/>
              <w:spacing w:after="0"/>
              <w:rPr>
                <w:sz w:val="20"/>
                <w:szCs w:val="20"/>
                <w:color w:val="auto"/>
              </w:rPr>
            </w:pPr>
            <w:r>
              <w:rPr>
                <w:rFonts w:ascii="Arial" w:cs="Arial" w:eastAsia="Arial" w:hAnsi="Arial"/>
                <w:sz w:val="18"/>
                <w:szCs w:val="18"/>
                <w:color w:val="auto"/>
              </w:rPr>
              <w:t>Fundamental Changes</w:t>
            </w:r>
          </w:p>
        </w:tc>
        <w:tc>
          <w:tcPr>
            <w:tcW w:w="20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7.04</w:t>
            </w:r>
          </w:p>
        </w:tc>
        <w:tc>
          <w:tcPr>
            <w:tcW w:w="8120" w:type="dxa"/>
            <w:vAlign w:val="bottom"/>
          </w:tcPr>
          <w:p>
            <w:pPr>
              <w:ind w:left="340"/>
              <w:spacing w:after="0"/>
              <w:rPr>
                <w:sz w:val="20"/>
                <w:szCs w:val="20"/>
                <w:color w:val="auto"/>
              </w:rPr>
            </w:pPr>
            <w:r>
              <w:rPr>
                <w:rFonts w:ascii="Arial" w:cs="Arial" w:eastAsia="Arial" w:hAnsi="Arial"/>
                <w:sz w:val="18"/>
                <w:szCs w:val="18"/>
                <w:color w:val="auto"/>
              </w:rPr>
              <w:t>Dispositions</w:t>
            </w:r>
          </w:p>
        </w:tc>
        <w:tc>
          <w:tcPr>
            <w:tcW w:w="20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7.05</w:t>
            </w:r>
          </w:p>
        </w:tc>
        <w:tc>
          <w:tcPr>
            <w:tcW w:w="8120" w:type="dxa"/>
            <w:vAlign w:val="bottom"/>
          </w:tcPr>
          <w:p>
            <w:pPr>
              <w:ind w:left="340"/>
              <w:spacing w:after="0"/>
              <w:rPr>
                <w:sz w:val="20"/>
                <w:szCs w:val="20"/>
                <w:color w:val="auto"/>
              </w:rPr>
            </w:pPr>
            <w:r>
              <w:rPr>
                <w:rFonts w:ascii="Arial" w:cs="Arial" w:eastAsia="Arial" w:hAnsi="Arial"/>
                <w:sz w:val="18"/>
                <w:szCs w:val="18"/>
                <w:color w:val="auto"/>
              </w:rPr>
              <w:t>Restricted Payments</w:t>
            </w:r>
          </w:p>
        </w:tc>
        <w:tc>
          <w:tcPr>
            <w:tcW w:w="20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7.06</w:t>
            </w:r>
          </w:p>
        </w:tc>
        <w:tc>
          <w:tcPr>
            <w:tcW w:w="8120" w:type="dxa"/>
            <w:vAlign w:val="bottom"/>
          </w:tcPr>
          <w:p>
            <w:pPr>
              <w:ind w:left="340"/>
              <w:spacing w:after="0"/>
              <w:rPr>
                <w:sz w:val="20"/>
                <w:szCs w:val="20"/>
                <w:color w:val="auto"/>
              </w:rPr>
            </w:pPr>
            <w:r>
              <w:rPr>
                <w:rFonts w:ascii="Arial" w:cs="Arial" w:eastAsia="Arial" w:hAnsi="Arial"/>
                <w:sz w:val="18"/>
                <w:szCs w:val="18"/>
                <w:color w:val="auto"/>
              </w:rPr>
              <w:t>Change in Nature of Business</w:t>
            </w:r>
          </w:p>
        </w:tc>
        <w:tc>
          <w:tcPr>
            <w:tcW w:w="20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7.07</w:t>
            </w:r>
          </w:p>
        </w:tc>
        <w:tc>
          <w:tcPr>
            <w:tcW w:w="8120" w:type="dxa"/>
            <w:vAlign w:val="bottom"/>
          </w:tcPr>
          <w:p>
            <w:pPr>
              <w:ind w:left="340"/>
              <w:spacing w:after="0"/>
              <w:rPr>
                <w:sz w:val="20"/>
                <w:szCs w:val="20"/>
                <w:color w:val="auto"/>
              </w:rPr>
            </w:pPr>
            <w:r>
              <w:rPr>
                <w:rFonts w:ascii="Arial" w:cs="Arial" w:eastAsia="Arial" w:hAnsi="Arial"/>
                <w:sz w:val="18"/>
                <w:szCs w:val="18"/>
                <w:color w:val="auto"/>
              </w:rPr>
              <w:t>Transactions with Affiliates</w:t>
            </w:r>
          </w:p>
        </w:tc>
        <w:tc>
          <w:tcPr>
            <w:tcW w:w="20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7.08</w:t>
            </w:r>
          </w:p>
        </w:tc>
        <w:tc>
          <w:tcPr>
            <w:tcW w:w="8120" w:type="dxa"/>
            <w:vAlign w:val="bottom"/>
          </w:tcPr>
          <w:p>
            <w:pPr>
              <w:ind w:left="340"/>
              <w:spacing w:after="0"/>
              <w:rPr>
                <w:sz w:val="20"/>
                <w:szCs w:val="20"/>
                <w:color w:val="auto"/>
              </w:rPr>
            </w:pPr>
            <w:r>
              <w:rPr>
                <w:rFonts w:ascii="Arial" w:cs="Arial" w:eastAsia="Arial" w:hAnsi="Arial"/>
                <w:sz w:val="18"/>
                <w:szCs w:val="18"/>
                <w:color w:val="auto"/>
              </w:rPr>
              <w:t>Burdensome Agreements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7.09</w:t>
            </w:r>
          </w:p>
        </w:tc>
        <w:tc>
          <w:tcPr>
            <w:tcW w:w="8120" w:type="dxa"/>
            <w:vAlign w:val="bottom"/>
          </w:tcPr>
          <w:p>
            <w:pPr>
              <w:ind w:left="340"/>
              <w:spacing w:after="0"/>
              <w:rPr>
                <w:sz w:val="20"/>
                <w:szCs w:val="20"/>
                <w:color w:val="auto"/>
              </w:rPr>
            </w:pPr>
            <w:r>
              <w:rPr>
                <w:rFonts w:ascii="Arial" w:cs="Arial" w:eastAsia="Arial" w:hAnsi="Arial"/>
                <w:sz w:val="18"/>
                <w:szCs w:val="18"/>
                <w:color w:val="auto"/>
              </w:rPr>
              <w:t>Financial Covenant</w:t>
            </w:r>
          </w:p>
        </w:tc>
        <w:tc>
          <w:tcPr>
            <w:tcW w:w="20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7.10</w:t>
            </w:r>
          </w:p>
        </w:tc>
        <w:tc>
          <w:tcPr>
            <w:tcW w:w="8120" w:type="dxa"/>
            <w:vAlign w:val="bottom"/>
          </w:tcPr>
          <w:p>
            <w:pPr>
              <w:ind w:left="340"/>
              <w:spacing w:after="0"/>
              <w:rPr>
                <w:sz w:val="20"/>
                <w:szCs w:val="20"/>
                <w:color w:val="auto"/>
              </w:rPr>
            </w:pPr>
            <w:r>
              <w:rPr>
                <w:rFonts w:ascii="Arial" w:cs="Arial" w:eastAsia="Arial" w:hAnsi="Arial"/>
                <w:sz w:val="18"/>
                <w:szCs w:val="18"/>
                <w:color w:val="auto"/>
              </w:rPr>
              <w:t>Accounting Changes</w:t>
            </w:r>
          </w:p>
        </w:tc>
        <w:tc>
          <w:tcPr>
            <w:tcW w:w="20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418"/>
        </w:trPr>
        <w:tc>
          <w:tcPr>
            <w:tcW w:w="1320" w:type="dxa"/>
            <w:vAlign w:val="bottom"/>
          </w:tcPr>
          <w:p>
            <w:pPr>
              <w:spacing w:after="0"/>
              <w:rPr>
                <w:sz w:val="24"/>
                <w:szCs w:val="24"/>
                <w:color w:val="auto"/>
              </w:rPr>
            </w:pPr>
          </w:p>
        </w:tc>
        <w:tc>
          <w:tcPr>
            <w:tcW w:w="8120" w:type="dxa"/>
            <w:vAlign w:val="bottom"/>
          </w:tcPr>
          <w:p>
            <w:pPr>
              <w:jc w:val="center"/>
              <w:ind w:left="570"/>
              <w:spacing w:after="0"/>
              <w:rPr>
                <w:sz w:val="20"/>
                <w:szCs w:val="20"/>
                <w:color w:val="auto"/>
              </w:rPr>
            </w:pPr>
            <w:r>
              <w:rPr>
                <w:rFonts w:ascii="Arial" w:cs="Arial" w:eastAsia="Arial" w:hAnsi="Arial"/>
                <w:sz w:val="18"/>
                <w:szCs w:val="18"/>
                <w:color w:val="auto"/>
              </w:rPr>
              <w:t>ARTICLE VIII.</w:t>
            </w:r>
          </w:p>
        </w:tc>
        <w:tc>
          <w:tcPr>
            <w:tcW w:w="202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120" w:type="dxa"/>
            <w:vAlign w:val="bottom"/>
          </w:tcPr>
          <w:p>
            <w:pPr>
              <w:jc w:val="center"/>
              <w:ind w:left="570"/>
              <w:spacing w:after="0"/>
              <w:rPr>
                <w:sz w:val="20"/>
                <w:szCs w:val="20"/>
                <w:color w:val="auto"/>
              </w:rPr>
            </w:pPr>
            <w:r>
              <w:rPr>
                <w:rFonts w:ascii="Arial" w:cs="Arial" w:eastAsia="Arial" w:hAnsi="Arial"/>
                <w:sz w:val="18"/>
                <w:szCs w:val="18"/>
                <w:color w:val="auto"/>
                <w:w w:val="96"/>
              </w:rPr>
              <w:t>EVENTS OF DEFAULT AND REMEDIES</w:t>
            </w:r>
          </w:p>
        </w:tc>
        <w:tc>
          <w:tcPr>
            <w:tcW w:w="2020" w:type="dxa"/>
            <w:vAlign w:val="bottom"/>
          </w:tcPr>
          <w:p>
            <w:pPr>
              <w:spacing w:after="0"/>
              <w:rPr>
                <w:sz w:val="20"/>
                <w:szCs w:val="20"/>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Section 8.01</w:t>
            </w:r>
          </w:p>
        </w:tc>
        <w:tc>
          <w:tcPr>
            <w:tcW w:w="8120" w:type="dxa"/>
            <w:vAlign w:val="bottom"/>
          </w:tcPr>
          <w:p>
            <w:pPr>
              <w:ind w:left="340"/>
              <w:spacing w:after="0"/>
              <w:rPr>
                <w:sz w:val="20"/>
                <w:szCs w:val="20"/>
                <w:color w:val="auto"/>
              </w:rPr>
            </w:pPr>
            <w:r>
              <w:rPr>
                <w:rFonts w:ascii="Arial" w:cs="Arial" w:eastAsia="Arial" w:hAnsi="Arial"/>
                <w:sz w:val="18"/>
                <w:szCs w:val="18"/>
                <w:color w:val="auto"/>
              </w:rPr>
              <w:t>Events of Default</w:t>
            </w:r>
          </w:p>
        </w:tc>
        <w:tc>
          <w:tcPr>
            <w:tcW w:w="20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8.02</w:t>
            </w:r>
          </w:p>
        </w:tc>
        <w:tc>
          <w:tcPr>
            <w:tcW w:w="8120" w:type="dxa"/>
            <w:vAlign w:val="bottom"/>
          </w:tcPr>
          <w:p>
            <w:pPr>
              <w:ind w:left="340"/>
              <w:spacing w:after="0"/>
              <w:rPr>
                <w:sz w:val="20"/>
                <w:szCs w:val="20"/>
                <w:color w:val="auto"/>
              </w:rPr>
            </w:pPr>
            <w:r>
              <w:rPr>
                <w:rFonts w:ascii="Arial" w:cs="Arial" w:eastAsia="Arial" w:hAnsi="Arial"/>
                <w:sz w:val="18"/>
                <w:szCs w:val="18"/>
                <w:color w:val="auto"/>
              </w:rPr>
              <w:t>Remedies Upon Event of Default</w:t>
            </w:r>
          </w:p>
        </w:tc>
        <w:tc>
          <w:tcPr>
            <w:tcW w:w="20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8.03</w:t>
            </w:r>
          </w:p>
        </w:tc>
        <w:tc>
          <w:tcPr>
            <w:tcW w:w="8120" w:type="dxa"/>
            <w:vAlign w:val="bottom"/>
          </w:tcPr>
          <w:p>
            <w:pPr>
              <w:ind w:left="340"/>
              <w:spacing w:after="0"/>
              <w:rPr>
                <w:sz w:val="20"/>
                <w:szCs w:val="20"/>
                <w:color w:val="auto"/>
              </w:rPr>
            </w:pPr>
            <w:r>
              <w:rPr>
                <w:rFonts w:ascii="Arial" w:cs="Arial" w:eastAsia="Arial" w:hAnsi="Arial"/>
                <w:sz w:val="18"/>
                <w:szCs w:val="18"/>
                <w:color w:val="auto"/>
              </w:rPr>
              <w:t>Exclusion of Immaterial Subsidiaries</w:t>
            </w:r>
          </w:p>
        </w:tc>
        <w:tc>
          <w:tcPr>
            <w:tcW w:w="20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8.04</w:t>
            </w:r>
          </w:p>
        </w:tc>
        <w:tc>
          <w:tcPr>
            <w:tcW w:w="8120" w:type="dxa"/>
            <w:vAlign w:val="bottom"/>
          </w:tcPr>
          <w:p>
            <w:pPr>
              <w:ind w:left="340"/>
              <w:spacing w:after="0"/>
              <w:rPr>
                <w:sz w:val="20"/>
                <w:szCs w:val="20"/>
                <w:color w:val="auto"/>
              </w:rPr>
            </w:pPr>
            <w:r>
              <w:rPr>
                <w:rFonts w:ascii="Arial" w:cs="Arial" w:eastAsia="Arial" w:hAnsi="Arial"/>
                <w:sz w:val="18"/>
                <w:szCs w:val="18"/>
                <w:color w:val="auto"/>
              </w:rPr>
              <w:t>Application of Funds</w:t>
            </w:r>
          </w:p>
        </w:tc>
        <w:tc>
          <w:tcPr>
            <w:tcW w:w="20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418"/>
        </w:trPr>
        <w:tc>
          <w:tcPr>
            <w:tcW w:w="1320" w:type="dxa"/>
            <w:vAlign w:val="bottom"/>
          </w:tcPr>
          <w:p>
            <w:pPr>
              <w:spacing w:after="0"/>
              <w:rPr>
                <w:sz w:val="24"/>
                <w:szCs w:val="24"/>
                <w:color w:val="auto"/>
              </w:rPr>
            </w:pPr>
          </w:p>
        </w:tc>
        <w:tc>
          <w:tcPr>
            <w:tcW w:w="8120" w:type="dxa"/>
            <w:vAlign w:val="bottom"/>
          </w:tcPr>
          <w:p>
            <w:pPr>
              <w:jc w:val="center"/>
              <w:ind w:left="570"/>
              <w:spacing w:after="0"/>
              <w:rPr>
                <w:sz w:val="20"/>
                <w:szCs w:val="20"/>
                <w:color w:val="auto"/>
              </w:rPr>
            </w:pPr>
            <w:r>
              <w:rPr>
                <w:rFonts w:ascii="Arial" w:cs="Arial" w:eastAsia="Arial" w:hAnsi="Arial"/>
                <w:sz w:val="18"/>
                <w:szCs w:val="18"/>
                <w:color w:val="auto"/>
                <w:w w:val="98"/>
              </w:rPr>
              <w:t>ARTICLE IX.</w:t>
            </w:r>
          </w:p>
        </w:tc>
        <w:tc>
          <w:tcPr>
            <w:tcW w:w="202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120" w:type="dxa"/>
            <w:vAlign w:val="bottom"/>
          </w:tcPr>
          <w:p>
            <w:pPr>
              <w:jc w:val="center"/>
              <w:ind w:left="570"/>
              <w:spacing w:after="0"/>
              <w:rPr>
                <w:sz w:val="20"/>
                <w:szCs w:val="20"/>
                <w:color w:val="auto"/>
              </w:rPr>
            </w:pPr>
            <w:r>
              <w:rPr>
                <w:rFonts w:ascii="Arial" w:cs="Arial" w:eastAsia="Arial" w:hAnsi="Arial"/>
                <w:sz w:val="18"/>
                <w:szCs w:val="18"/>
                <w:color w:val="auto"/>
                <w:w w:val="98"/>
              </w:rPr>
              <w:t>ADMINISTRATIVE AGENT AND OTHER AGENTS</w:t>
            </w:r>
          </w:p>
        </w:tc>
        <w:tc>
          <w:tcPr>
            <w:tcW w:w="2020" w:type="dxa"/>
            <w:vAlign w:val="bottom"/>
          </w:tcPr>
          <w:p>
            <w:pPr>
              <w:spacing w:after="0"/>
              <w:rPr>
                <w:sz w:val="20"/>
                <w:szCs w:val="20"/>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Section 9.01</w:t>
            </w:r>
          </w:p>
        </w:tc>
        <w:tc>
          <w:tcPr>
            <w:tcW w:w="8120" w:type="dxa"/>
            <w:vAlign w:val="bottom"/>
          </w:tcPr>
          <w:p>
            <w:pPr>
              <w:ind w:left="340"/>
              <w:spacing w:after="0"/>
              <w:rPr>
                <w:sz w:val="20"/>
                <w:szCs w:val="20"/>
                <w:color w:val="auto"/>
              </w:rPr>
            </w:pPr>
            <w:r>
              <w:rPr>
                <w:rFonts w:ascii="Arial" w:cs="Arial" w:eastAsia="Arial" w:hAnsi="Arial"/>
                <w:sz w:val="18"/>
                <w:szCs w:val="18"/>
                <w:color w:val="auto"/>
              </w:rPr>
              <w:t>Appointment and Authority</w:t>
            </w:r>
          </w:p>
        </w:tc>
        <w:tc>
          <w:tcPr>
            <w:tcW w:w="20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9.02</w:t>
            </w:r>
          </w:p>
        </w:tc>
        <w:tc>
          <w:tcPr>
            <w:tcW w:w="8120" w:type="dxa"/>
            <w:vAlign w:val="bottom"/>
          </w:tcPr>
          <w:p>
            <w:pPr>
              <w:ind w:left="340"/>
              <w:spacing w:after="0"/>
              <w:rPr>
                <w:sz w:val="20"/>
                <w:szCs w:val="20"/>
                <w:color w:val="auto"/>
              </w:rPr>
            </w:pPr>
            <w:r>
              <w:rPr>
                <w:rFonts w:ascii="Arial" w:cs="Arial" w:eastAsia="Arial" w:hAnsi="Arial"/>
                <w:sz w:val="18"/>
                <w:szCs w:val="18"/>
                <w:color w:val="auto"/>
              </w:rPr>
              <w:t>Delegation of Duties</w:t>
            </w:r>
          </w:p>
        </w:tc>
        <w:tc>
          <w:tcPr>
            <w:tcW w:w="20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9.03</w:t>
            </w:r>
          </w:p>
        </w:tc>
        <w:tc>
          <w:tcPr>
            <w:tcW w:w="8120" w:type="dxa"/>
            <w:vAlign w:val="bottom"/>
          </w:tcPr>
          <w:p>
            <w:pPr>
              <w:ind w:left="340"/>
              <w:spacing w:after="0"/>
              <w:rPr>
                <w:sz w:val="20"/>
                <w:szCs w:val="20"/>
                <w:color w:val="auto"/>
              </w:rPr>
            </w:pPr>
            <w:r>
              <w:rPr>
                <w:rFonts w:ascii="Arial" w:cs="Arial" w:eastAsia="Arial" w:hAnsi="Arial"/>
                <w:sz w:val="18"/>
                <w:szCs w:val="18"/>
                <w:color w:val="auto"/>
              </w:rPr>
              <w:t>Exculpatory Provisions</w:t>
            </w:r>
          </w:p>
        </w:tc>
        <w:tc>
          <w:tcPr>
            <w:tcW w:w="20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9.04</w:t>
            </w:r>
          </w:p>
        </w:tc>
        <w:tc>
          <w:tcPr>
            <w:tcW w:w="8120" w:type="dxa"/>
            <w:vAlign w:val="bottom"/>
          </w:tcPr>
          <w:p>
            <w:pPr>
              <w:ind w:left="340"/>
              <w:spacing w:after="0"/>
              <w:rPr>
                <w:sz w:val="20"/>
                <w:szCs w:val="20"/>
                <w:color w:val="auto"/>
              </w:rPr>
            </w:pPr>
            <w:r>
              <w:rPr>
                <w:rFonts w:ascii="Arial" w:cs="Arial" w:eastAsia="Arial" w:hAnsi="Arial"/>
                <w:sz w:val="18"/>
                <w:szCs w:val="18"/>
                <w:color w:val="auto"/>
              </w:rPr>
              <w:t>Reliance by Administrative Agent</w:t>
            </w:r>
          </w:p>
        </w:tc>
        <w:tc>
          <w:tcPr>
            <w:tcW w:w="20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9.05</w:t>
            </w:r>
          </w:p>
        </w:tc>
        <w:tc>
          <w:tcPr>
            <w:tcW w:w="8120" w:type="dxa"/>
            <w:vAlign w:val="bottom"/>
          </w:tcPr>
          <w:p>
            <w:pPr>
              <w:ind w:left="340"/>
              <w:spacing w:after="0"/>
              <w:rPr>
                <w:sz w:val="20"/>
                <w:szCs w:val="20"/>
                <w:color w:val="auto"/>
              </w:rPr>
            </w:pPr>
            <w:r>
              <w:rPr>
                <w:rFonts w:ascii="Arial" w:cs="Arial" w:eastAsia="Arial" w:hAnsi="Arial"/>
                <w:sz w:val="18"/>
                <w:szCs w:val="18"/>
                <w:color w:val="auto"/>
              </w:rPr>
              <w:t>Non-Reliance on Administrative Agent and Other Lenders</w:t>
            </w:r>
          </w:p>
        </w:tc>
        <w:tc>
          <w:tcPr>
            <w:tcW w:w="20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9.06</w:t>
            </w:r>
          </w:p>
        </w:tc>
        <w:tc>
          <w:tcPr>
            <w:tcW w:w="8120" w:type="dxa"/>
            <w:vAlign w:val="bottom"/>
          </w:tcPr>
          <w:p>
            <w:pPr>
              <w:ind w:left="340"/>
              <w:spacing w:after="0"/>
              <w:rPr>
                <w:sz w:val="20"/>
                <w:szCs w:val="20"/>
                <w:color w:val="auto"/>
              </w:rPr>
            </w:pPr>
            <w:r>
              <w:rPr>
                <w:rFonts w:ascii="Arial" w:cs="Arial" w:eastAsia="Arial" w:hAnsi="Arial"/>
                <w:sz w:val="18"/>
                <w:szCs w:val="18"/>
                <w:color w:val="auto"/>
              </w:rPr>
              <w:t>Rights as a Lender</w:t>
            </w:r>
          </w:p>
        </w:tc>
        <w:tc>
          <w:tcPr>
            <w:tcW w:w="20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9.07</w:t>
            </w:r>
          </w:p>
        </w:tc>
        <w:tc>
          <w:tcPr>
            <w:tcW w:w="8120" w:type="dxa"/>
            <w:vAlign w:val="bottom"/>
          </w:tcPr>
          <w:p>
            <w:pPr>
              <w:ind w:left="340"/>
              <w:spacing w:after="0"/>
              <w:rPr>
                <w:sz w:val="20"/>
                <w:szCs w:val="20"/>
                <w:color w:val="auto"/>
              </w:rPr>
            </w:pPr>
            <w:r>
              <w:rPr>
                <w:rFonts w:ascii="Arial" w:cs="Arial" w:eastAsia="Arial" w:hAnsi="Arial"/>
                <w:sz w:val="18"/>
                <w:szCs w:val="18"/>
                <w:color w:val="auto"/>
              </w:rPr>
              <w:t>Resignation of Administrative Agent</w:t>
            </w:r>
          </w:p>
        </w:tc>
        <w:tc>
          <w:tcPr>
            <w:tcW w:w="20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9.08</w:t>
            </w:r>
          </w:p>
        </w:tc>
        <w:tc>
          <w:tcPr>
            <w:tcW w:w="8120" w:type="dxa"/>
            <w:vAlign w:val="bottom"/>
          </w:tcPr>
          <w:p>
            <w:pPr>
              <w:ind w:left="340"/>
              <w:spacing w:after="0"/>
              <w:rPr>
                <w:sz w:val="20"/>
                <w:szCs w:val="20"/>
                <w:color w:val="auto"/>
              </w:rPr>
            </w:pPr>
            <w:r>
              <w:rPr>
                <w:rFonts w:ascii="Arial" w:cs="Arial" w:eastAsia="Arial" w:hAnsi="Arial"/>
                <w:sz w:val="18"/>
                <w:szCs w:val="18"/>
                <w:color w:val="auto"/>
              </w:rPr>
              <w:t>Administrative Agent May File Proofs of Claim</w:t>
            </w:r>
          </w:p>
        </w:tc>
        <w:tc>
          <w:tcPr>
            <w:tcW w:w="20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9.09</w:t>
            </w:r>
          </w:p>
        </w:tc>
        <w:tc>
          <w:tcPr>
            <w:tcW w:w="8120" w:type="dxa"/>
            <w:vAlign w:val="bottom"/>
          </w:tcPr>
          <w:p>
            <w:pPr>
              <w:ind w:left="340"/>
              <w:spacing w:after="0"/>
              <w:rPr>
                <w:sz w:val="20"/>
                <w:szCs w:val="20"/>
                <w:color w:val="auto"/>
              </w:rPr>
            </w:pPr>
            <w:r>
              <w:rPr>
                <w:rFonts w:ascii="Arial" w:cs="Arial" w:eastAsia="Arial" w:hAnsi="Arial"/>
                <w:sz w:val="18"/>
                <w:szCs w:val="18"/>
                <w:color w:val="auto"/>
              </w:rPr>
              <w:t>Collateral and Guaranty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432"/>
        </w:trPr>
        <w:tc>
          <w:tcPr>
            <w:tcW w:w="1320" w:type="dxa"/>
            <w:vAlign w:val="bottom"/>
          </w:tcPr>
          <w:p>
            <w:pPr>
              <w:spacing w:after="0"/>
              <w:rPr>
                <w:sz w:val="24"/>
                <w:szCs w:val="24"/>
                <w:color w:val="auto"/>
              </w:rPr>
            </w:pPr>
          </w:p>
        </w:tc>
        <w:tc>
          <w:tcPr>
            <w:tcW w:w="8120" w:type="dxa"/>
            <w:vAlign w:val="bottom"/>
          </w:tcPr>
          <w:p>
            <w:pPr>
              <w:jc w:val="center"/>
              <w:ind w:left="570"/>
              <w:spacing w:after="0"/>
              <w:rPr>
                <w:sz w:val="20"/>
                <w:szCs w:val="20"/>
                <w:color w:val="auto"/>
              </w:rPr>
            </w:pPr>
            <w:r>
              <w:rPr>
                <w:rFonts w:ascii="Arial" w:cs="Arial" w:eastAsia="Arial" w:hAnsi="Arial"/>
                <w:sz w:val="18"/>
                <w:szCs w:val="18"/>
                <w:color w:val="auto"/>
              </w:rPr>
              <w:t>iii</w:t>
            </w:r>
          </w:p>
        </w:tc>
        <w:tc>
          <w:tcPr>
            <w:tcW w:w="2020" w:type="dxa"/>
            <w:vAlign w:val="bottom"/>
          </w:tcPr>
          <w:p>
            <w:pPr>
              <w:spacing w:after="0"/>
              <w:rPr>
                <w:sz w:val="24"/>
                <w:szCs w:val="24"/>
                <w:color w:val="auto"/>
              </w:rPr>
            </w:pPr>
          </w:p>
        </w:tc>
      </w:tr>
      <w:tr>
        <w:trPr>
          <w:trHeight w:val="132"/>
        </w:trPr>
        <w:tc>
          <w:tcPr>
            <w:tcW w:w="1320" w:type="dxa"/>
            <w:vAlign w:val="bottom"/>
            <w:tcBorders>
              <w:bottom w:val="single" w:sz="8" w:color="010101"/>
            </w:tcBorders>
          </w:tcPr>
          <w:p>
            <w:pPr>
              <w:spacing w:after="0"/>
              <w:rPr>
                <w:sz w:val="11"/>
                <w:szCs w:val="11"/>
                <w:color w:val="auto"/>
              </w:rPr>
            </w:pPr>
          </w:p>
        </w:tc>
        <w:tc>
          <w:tcPr>
            <w:tcW w:w="812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r>
      <w:tr>
        <w:trPr>
          <w:trHeight w:val="766"/>
        </w:trPr>
        <w:tc>
          <w:tcPr>
            <w:tcW w:w="1320" w:type="dxa"/>
            <w:vAlign w:val="bottom"/>
          </w:tcPr>
          <w:p>
            <w:pPr>
              <w:spacing w:after="0"/>
              <w:rPr>
                <w:sz w:val="20"/>
                <w:szCs w:val="20"/>
                <w:color w:val="auto"/>
              </w:rPr>
            </w:pPr>
            <w:r>
              <w:rPr>
                <w:rFonts w:ascii="Arial" w:cs="Arial" w:eastAsia="Arial" w:hAnsi="Arial"/>
                <w:sz w:val="18"/>
                <w:szCs w:val="18"/>
                <w:color w:val="auto"/>
              </w:rPr>
              <w:t>Section 9.10</w:t>
            </w:r>
          </w:p>
        </w:tc>
        <w:tc>
          <w:tcPr>
            <w:tcW w:w="8120" w:type="dxa"/>
            <w:vAlign w:val="bottom"/>
          </w:tcPr>
          <w:p>
            <w:pPr>
              <w:ind w:left="340"/>
              <w:spacing w:after="0"/>
              <w:rPr>
                <w:sz w:val="20"/>
                <w:szCs w:val="20"/>
                <w:color w:val="auto"/>
              </w:rPr>
            </w:pPr>
            <w:r>
              <w:rPr>
                <w:rFonts w:ascii="Arial" w:cs="Arial" w:eastAsia="Arial" w:hAnsi="Arial"/>
                <w:sz w:val="18"/>
                <w:szCs w:val="18"/>
                <w:color w:val="auto"/>
              </w:rPr>
              <w:t>No Other Duties, Etc.</w:t>
            </w:r>
          </w:p>
        </w:tc>
        <w:tc>
          <w:tcPr>
            <w:tcW w:w="20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9.11</w:t>
            </w:r>
          </w:p>
        </w:tc>
        <w:tc>
          <w:tcPr>
            <w:tcW w:w="8120" w:type="dxa"/>
            <w:vAlign w:val="bottom"/>
          </w:tcPr>
          <w:p>
            <w:pPr>
              <w:ind w:left="340"/>
              <w:spacing w:after="0"/>
              <w:rPr>
                <w:sz w:val="20"/>
                <w:szCs w:val="20"/>
                <w:color w:val="auto"/>
              </w:rPr>
            </w:pPr>
            <w:r>
              <w:rPr>
                <w:rFonts w:ascii="Arial" w:cs="Arial" w:eastAsia="Arial" w:hAnsi="Arial"/>
                <w:sz w:val="18"/>
                <w:szCs w:val="18"/>
                <w:color w:val="auto"/>
              </w:rPr>
              <w:t>Treasury Services Agreements and Secured Hedge Agreements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9.12</w:t>
            </w:r>
          </w:p>
        </w:tc>
        <w:tc>
          <w:tcPr>
            <w:tcW w:w="8120" w:type="dxa"/>
            <w:vAlign w:val="bottom"/>
          </w:tcPr>
          <w:p>
            <w:pPr>
              <w:ind w:left="340"/>
              <w:spacing w:after="0"/>
              <w:rPr>
                <w:sz w:val="20"/>
                <w:szCs w:val="20"/>
                <w:color w:val="auto"/>
              </w:rPr>
            </w:pPr>
            <w:r>
              <w:rPr>
                <w:rFonts w:ascii="Arial" w:cs="Arial" w:eastAsia="Arial" w:hAnsi="Arial"/>
                <w:sz w:val="18"/>
                <w:szCs w:val="18"/>
                <w:color w:val="auto"/>
              </w:rPr>
              <w:t>Withholding Tax</w:t>
            </w:r>
          </w:p>
        </w:tc>
        <w:tc>
          <w:tcPr>
            <w:tcW w:w="20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418"/>
        </w:trPr>
        <w:tc>
          <w:tcPr>
            <w:tcW w:w="1320" w:type="dxa"/>
            <w:vAlign w:val="bottom"/>
          </w:tcPr>
          <w:p>
            <w:pPr>
              <w:spacing w:after="0"/>
              <w:rPr>
                <w:sz w:val="24"/>
                <w:szCs w:val="24"/>
                <w:color w:val="auto"/>
              </w:rPr>
            </w:pPr>
          </w:p>
        </w:tc>
        <w:tc>
          <w:tcPr>
            <w:tcW w:w="8120" w:type="dxa"/>
            <w:vAlign w:val="bottom"/>
          </w:tcPr>
          <w:p>
            <w:pPr>
              <w:jc w:val="center"/>
              <w:ind w:left="570"/>
              <w:spacing w:after="0"/>
              <w:rPr>
                <w:sz w:val="20"/>
                <w:szCs w:val="20"/>
                <w:color w:val="auto"/>
              </w:rPr>
            </w:pPr>
            <w:r>
              <w:rPr>
                <w:rFonts w:ascii="Arial" w:cs="Arial" w:eastAsia="Arial" w:hAnsi="Arial"/>
                <w:sz w:val="18"/>
                <w:szCs w:val="18"/>
                <w:color w:val="auto"/>
                <w:w w:val="99"/>
              </w:rPr>
              <w:t>ARTICLE X.</w:t>
            </w:r>
          </w:p>
        </w:tc>
        <w:tc>
          <w:tcPr>
            <w:tcW w:w="202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8120" w:type="dxa"/>
            <w:vAlign w:val="bottom"/>
          </w:tcPr>
          <w:p>
            <w:pPr>
              <w:jc w:val="center"/>
              <w:ind w:left="570"/>
              <w:spacing w:after="0"/>
              <w:rPr>
                <w:sz w:val="20"/>
                <w:szCs w:val="20"/>
                <w:color w:val="auto"/>
              </w:rPr>
            </w:pPr>
            <w:r>
              <w:rPr>
                <w:rFonts w:ascii="Arial" w:cs="Arial" w:eastAsia="Arial" w:hAnsi="Arial"/>
                <w:sz w:val="18"/>
                <w:szCs w:val="18"/>
                <w:color w:val="auto"/>
                <w:w w:val="97"/>
              </w:rPr>
              <w:t>MISCELLANEOUS</w:t>
            </w:r>
          </w:p>
        </w:tc>
        <w:tc>
          <w:tcPr>
            <w:tcW w:w="2020" w:type="dxa"/>
            <w:vAlign w:val="bottom"/>
          </w:tcPr>
          <w:p>
            <w:pPr>
              <w:spacing w:after="0"/>
              <w:rPr>
                <w:sz w:val="20"/>
                <w:szCs w:val="20"/>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Section 10.01</w:t>
            </w:r>
          </w:p>
        </w:tc>
        <w:tc>
          <w:tcPr>
            <w:tcW w:w="8120" w:type="dxa"/>
            <w:vAlign w:val="bottom"/>
          </w:tcPr>
          <w:p>
            <w:pPr>
              <w:ind w:left="340"/>
              <w:spacing w:after="0"/>
              <w:rPr>
                <w:sz w:val="20"/>
                <w:szCs w:val="20"/>
                <w:color w:val="auto"/>
              </w:rPr>
            </w:pPr>
            <w:r>
              <w:rPr>
                <w:rFonts w:ascii="Arial" w:cs="Arial" w:eastAsia="Arial" w:hAnsi="Arial"/>
                <w:sz w:val="18"/>
                <w:szCs w:val="18"/>
                <w:color w:val="auto"/>
              </w:rPr>
              <w:t>Amendments, Etc.</w:t>
            </w:r>
          </w:p>
        </w:tc>
        <w:tc>
          <w:tcPr>
            <w:tcW w:w="20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10.02</w:t>
            </w:r>
          </w:p>
        </w:tc>
        <w:tc>
          <w:tcPr>
            <w:tcW w:w="8120" w:type="dxa"/>
            <w:vAlign w:val="bottom"/>
          </w:tcPr>
          <w:p>
            <w:pPr>
              <w:ind w:left="340"/>
              <w:spacing w:after="0"/>
              <w:rPr>
                <w:sz w:val="20"/>
                <w:szCs w:val="20"/>
                <w:color w:val="auto"/>
              </w:rPr>
            </w:pPr>
            <w:r>
              <w:rPr>
                <w:rFonts w:ascii="Arial" w:cs="Arial" w:eastAsia="Arial" w:hAnsi="Arial"/>
                <w:sz w:val="18"/>
                <w:szCs w:val="18"/>
                <w:color w:val="auto"/>
              </w:rPr>
              <w:t>Notices; Effectiveness; Electronic Communications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10.03</w:t>
            </w:r>
          </w:p>
        </w:tc>
        <w:tc>
          <w:tcPr>
            <w:tcW w:w="8120" w:type="dxa"/>
            <w:vAlign w:val="bottom"/>
          </w:tcPr>
          <w:p>
            <w:pPr>
              <w:ind w:left="340"/>
              <w:spacing w:after="0"/>
              <w:rPr>
                <w:sz w:val="20"/>
                <w:szCs w:val="20"/>
                <w:color w:val="auto"/>
              </w:rPr>
            </w:pPr>
            <w:r>
              <w:rPr>
                <w:rFonts w:ascii="Arial" w:cs="Arial" w:eastAsia="Arial" w:hAnsi="Arial"/>
                <w:sz w:val="18"/>
                <w:szCs w:val="18"/>
                <w:color w:val="auto"/>
              </w:rPr>
              <w:t>No Waiver; Cumulative Remedies; Enforcement</w:t>
            </w:r>
          </w:p>
        </w:tc>
        <w:tc>
          <w:tcPr>
            <w:tcW w:w="20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10.04</w:t>
            </w:r>
          </w:p>
        </w:tc>
        <w:tc>
          <w:tcPr>
            <w:tcW w:w="8120" w:type="dxa"/>
            <w:vAlign w:val="bottom"/>
          </w:tcPr>
          <w:p>
            <w:pPr>
              <w:ind w:left="340"/>
              <w:spacing w:after="0"/>
              <w:rPr>
                <w:sz w:val="20"/>
                <w:szCs w:val="20"/>
                <w:color w:val="auto"/>
              </w:rPr>
            </w:pPr>
            <w:r>
              <w:rPr>
                <w:rFonts w:ascii="Arial" w:cs="Arial" w:eastAsia="Arial" w:hAnsi="Arial"/>
                <w:sz w:val="18"/>
                <w:szCs w:val="18"/>
                <w:color w:val="auto"/>
              </w:rPr>
              <w:t>Expenses; Indemnity; Damage Waiver</w:t>
            </w:r>
          </w:p>
        </w:tc>
        <w:tc>
          <w:tcPr>
            <w:tcW w:w="20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10.05</w:t>
            </w:r>
          </w:p>
        </w:tc>
        <w:tc>
          <w:tcPr>
            <w:tcW w:w="8120" w:type="dxa"/>
            <w:vAlign w:val="bottom"/>
          </w:tcPr>
          <w:p>
            <w:pPr>
              <w:ind w:left="340"/>
              <w:spacing w:after="0"/>
              <w:rPr>
                <w:sz w:val="20"/>
                <w:szCs w:val="20"/>
                <w:color w:val="auto"/>
              </w:rPr>
            </w:pPr>
            <w:r>
              <w:rPr>
                <w:rFonts w:ascii="Arial" w:cs="Arial" w:eastAsia="Arial" w:hAnsi="Arial"/>
                <w:sz w:val="18"/>
                <w:szCs w:val="18"/>
                <w:color w:val="auto"/>
              </w:rPr>
              <w:t>Payments Set Aside</w:t>
            </w:r>
          </w:p>
        </w:tc>
        <w:tc>
          <w:tcPr>
            <w:tcW w:w="20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10.06</w:t>
            </w:r>
          </w:p>
        </w:tc>
        <w:tc>
          <w:tcPr>
            <w:tcW w:w="8120" w:type="dxa"/>
            <w:vAlign w:val="bottom"/>
          </w:tcPr>
          <w:p>
            <w:pPr>
              <w:ind w:left="340"/>
              <w:spacing w:after="0"/>
              <w:rPr>
                <w:sz w:val="20"/>
                <w:szCs w:val="20"/>
                <w:color w:val="auto"/>
              </w:rPr>
            </w:pPr>
            <w:r>
              <w:rPr>
                <w:rFonts w:ascii="Arial" w:cs="Arial" w:eastAsia="Arial" w:hAnsi="Arial"/>
                <w:sz w:val="18"/>
                <w:szCs w:val="18"/>
                <w:color w:val="auto"/>
              </w:rPr>
              <w:t>Successors and Assigns</w:t>
            </w:r>
          </w:p>
        </w:tc>
        <w:tc>
          <w:tcPr>
            <w:tcW w:w="20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10.07</w:t>
            </w:r>
          </w:p>
        </w:tc>
        <w:tc>
          <w:tcPr>
            <w:tcW w:w="8120" w:type="dxa"/>
            <w:vAlign w:val="bottom"/>
          </w:tcPr>
          <w:p>
            <w:pPr>
              <w:ind w:left="340"/>
              <w:spacing w:after="0"/>
              <w:rPr>
                <w:sz w:val="20"/>
                <w:szCs w:val="20"/>
                <w:color w:val="auto"/>
              </w:rPr>
            </w:pPr>
            <w:r>
              <w:rPr>
                <w:rFonts w:ascii="Arial" w:cs="Arial" w:eastAsia="Arial" w:hAnsi="Arial"/>
                <w:sz w:val="18"/>
                <w:szCs w:val="18"/>
                <w:color w:val="auto"/>
              </w:rPr>
              <w:t>Treatment of Certain Information; Confidentiality</w:t>
            </w:r>
          </w:p>
        </w:tc>
        <w:tc>
          <w:tcPr>
            <w:tcW w:w="20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10.08</w:t>
            </w:r>
          </w:p>
        </w:tc>
        <w:tc>
          <w:tcPr>
            <w:tcW w:w="8120" w:type="dxa"/>
            <w:vAlign w:val="bottom"/>
          </w:tcPr>
          <w:p>
            <w:pPr>
              <w:ind w:left="340"/>
              <w:spacing w:after="0"/>
              <w:rPr>
                <w:sz w:val="20"/>
                <w:szCs w:val="20"/>
                <w:color w:val="auto"/>
              </w:rPr>
            </w:pPr>
            <w:r>
              <w:rPr>
                <w:rFonts w:ascii="Arial" w:cs="Arial" w:eastAsia="Arial" w:hAnsi="Arial"/>
                <w:sz w:val="18"/>
                <w:szCs w:val="18"/>
                <w:color w:val="auto"/>
              </w:rPr>
              <w:t>Setoff</w:t>
            </w:r>
          </w:p>
        </w:tc>
        <w:tc>
          <w:tcPr>
            <w:tcW w:w="20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10.09</w:t>
            </w:r>
          </w:p>
        </w:tc>
        <w:tc>
          <w:tcPr>
            <w:tcW w:w="8120" w:type="dxa"/>
            <w:vAlign w:val="bottom"/>
          </w:tcPr>
          <w:p>
            <w:pPr>
              <w:ind w:left="340"/>
              <w:spacing w:after="0"/>
              <w:rPr>
                <w:sz w:val="20"/>
                <w:szCs w:val="20"/>
                <w:color w:val="auto"/>
              </w:rPr>
            </w:pPr>
            <w:r>
              <w:rPr>
                <w:rFonts w:ascii="Arial" w:cs="Arial" w:eastAsia="Arial" w:hAnsi="Arial"/>
                <w:sz w:val="18"/>
                <w:szCs w:val="18"/>
                <w:color w:val="auto"/>
              </w:rPr>
              <w:t>Interest Rate Limitation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10.10</w:t>
            </w:r>
          </w:p>
        </w:tc>
        <w:tc>
          <w:tcPr>
            <w:tcW w:w="8120" w:type="dxa"/>
            <w:vAlign w:val="bottom"/>
          </w:tcPr>
          <w:p>
            <w:pPr>
              <w:ind w:left="340"/>
              <w:spacing w:after="0"/>
              <w:rPr>
                <w:sz w:val="20"/>
                <w:szCs w:val="20"/>
                <w:color w:val="auto"/>
              </w:rPr>
            </w:pPr>
            <w:r>
              <w:rPr>
                <w:rFonts w:ascii="Arial" w:cs="Arial" w:eastAsia="Arial" w:hAnsi="Arial"/>
                <w:sz w:val="18"/>
                <w:szCs w:val="18"/>
                <w:color w:val="auto"/>
              </w:rPr>
              <w:t>Counterparts; Effectiveness</w:t>
            </w:r>
          </w:p>
        </w:tc>
        <w:tc>
          <w:tcPr>
            <w:tcW w:w="20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10.11</w:t>
            </w:r>
          </w:p>
        </w:tc>
        <w:tc>
          <w:tcPr>
            <w:tcW w:w="8120" w:type="dxa"/>
            <w:vAlign w:val="bottom"/>
          </w:tcPr>
          <w:p>
            <w:pPr>
              <w:ind w:left="340"/>
              <w:spacing w:after="0"/>
              <w:rPr>
                <w:sz w:val="20"/>
                <w:szCs w:val="20"/>
                <w:color w:val="auto"/>
              </w:rPr>
            </w:pPr>
            <w:r>
              <w:rPr>
                <w:rFonts w:ascii="Arial" w:cs="Arial" w:eastAsia="Arial" w:hAnsi="Arial"/>
                <w:sz w:val="18"/>
                <w:szCs w:val="18"/>
                <w:color w:val="auto"/>
              </w:rPr>
              <w:t>Integration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10.12</w:t>
            </w:r>
          </w:p>
        </w:tc>
        <w:tc>
          <w:tcPr>
            <w:tcW w:w="8120" w:type="dxa"/>
            <w:vAlign w:val="bottom"/>
          </w:tcPr>
          <w:p>
            <w:pPr>
              <w:ind w:left="340"/>
              <w:spacing w:after="0"/>
              <w:rPr>
                <w:sz w:val="20"/>
                <w:szCs w:val="20"/>
                <w:color w:val="auto"/>
              </w:rPr>
            </w:pPr>
            <w:r>
              <w:rPr>
                <w:rFonts w:ascii="Arial" w:cs="Arial" w:eastAsia="Arial" w:hAnsi="Arial"/>
                <w:sz w:val="18"/>
                <w:szCs w:val="18"/>
                <w:color w:val="auto"/>
              </w:rPr>
              <w:t>Survival of Representations and Warranties</w:t>
            </w:r>
          </w:p>
        </w:tc>
        <w:tc>
          <w:tcPr>
            <w:tcW w:w="20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10.13</w:t>
            </w:r>
          </w:p>
        </w:tc>
        <w:tc>
          <w:tcPr>
            <w:tcW w:w="8120" w:type="dxa"/>
            <w:vAlign w:val="bottom"/>
          </w:tcPr>
          <w:p>
            <w:pPr>
              <w:ind w:left="340"/>
              <w:spacing w:after="0"/>
              <w:rPr>
                <w:sz w:val="20"/>
                <w:szCs w:val="20"/>
                <w:color w:val="auto"/>
              </w:rPr>
            </w:pPr>
            <w:r>
              <w:rPr>
                <w:rFonts w:ascii="Arial" w:cs="Arial" w:eastAsia="Arial" w:hAnsi="Arial"/>
                <w:sz w:val="18"/>
                <w:szCs w:val="18"/>
                <w:color w:val="auto"/>
              </w:rPr>
              <w:t>Replacement of Lenders</w:t>
            </w:r>
          </w:p>
        </w:tc>
        <w:tc>
          <w:tcPr>
            <w:tcW w:w="20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10.14</w:t>
            </w:r>
          </w:p>
        </w:tc>
        <w:tc>
          <w:tcPr>
            <w:tcW w:w="812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10.15</w:t>
            </w:r>
          </w:p>
        </w:tc>
        <w:tc>
          <w:tcPr>
            <w:tcW w:w="812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20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10.16</w:t>
            </w:r>
          </w:p>
        </w:tc>
        <w:tc>
          <w:tcPr>
            <w:tcW w:w="8120" w:type="dxa"/>
            <w:vAlign w:val="bottom"/>
          </w:tcPr>
          <w:p>
            <w:pPr>
              <w:ind w:left="340"/>
              <w:spacing w:after="0"/>
              <w:rPr>
                <w:sz w:val="20"/>
                <w:szCs w:val="20"/>
                <w:color w:val="auto"/>
              </w:rPr>
            </w:pPr>
            <w:r>
              <w:rPr>
                <w:rFonts w:ascii="Arial" w:cs="Arial" w:eastAsia="Arial" w:hAnsi="Arial"/>
                <w:sz w:val="18"/>
                <w:szCs w:val="18"/>
                <w:color w:val="auto"/>
              </w:rPr>
              <w:t>WAIVER OF RIGHT TO TRIAL BY JURY</w:t>
            </w:r>
          </w:p>
        </w:tc>
        <w:tc>
          <w:tcPr>
            <w:tcW w:w="20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10.17</w:t>
            </w:r>
          </w:p>
        </w:tc>
        <w:tc>
          <w:tcPr>
            <w:tcW w:w="8120" w:type="dxa"/>
            <w:vAlign w:val="bottom"/>
          </w:tcPr>
          <w:p>
            <w:pPr>
              <w:ind w:left="340"/>
              <w:spacing w:after="0"/>
              <w:rPr>
                <w:sz w:val="20"/>
                <w:szCs w:val="20"/>
                <w:color w:val="auto"/>
              </w:rPr>
            </w:pPr>
            <w:r>
              <w:rPr>
                <w:rFonts w:ascii="Arial" w:cs="Arial" w:eastAsia="Arial" w:hAnsi="Arial"/>
                <w:sz w:val="18"/>
                <w:szCs w:val="18"/>
                <w:color w:val="auto"/>
              </w:rPr>
              <w:t>Binding Effect</w:t>
            </w:r>
          </w:p>
        </w:tc>
        <w:tc>
          <w:tcPr>
            <w:tcW w:w="20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10.18</w:t>
            </w:r>
          </w:p>
        </w:tc>
        <w:tc>
          <w:tcPr>
            <w:tcW w:w="8120" w:type="dxa"/>
            <w:vAlign w:val="bottom"/>
          </w:tcPr>
          <w:p>
            <w:pPr>
              <w:ind w:left="340"/>
              <w:spacing w:after="0"/>
              <w:rPr>
                <w:sz w:val="20"/>
                <w:szCs w:val="20"/>
                <w:color w:val="auto"/>
              </w:rPr>
            </w:pPr>
            <w:r>
              <w:rPr>
                <w:rFonts w:ascii="Arial" w:cs="Arial" w:eastAsia="Arial" w:hAnsi="Arial"/>
                <w:sz w:val="18"/>
                <w:szCs w:val="18"/>
                <w:color w:val="auto"/>
              </w:rPr>
              <w:t>No Advisory or Fiduciary Responsibility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10.19</w:t>
            </w:r>
          </w:p>
        </w:tc>
        <w:tc>
          <w:tcPr>
            <w:tcW w:w="8120" w:type="dxa"/>
            <w:vAlign w:val="bottom"/>
          </w:tcPr>
          <w:p>
            <w:pPr>
              <w:ind w:left="340"/>
              <w:spacing w:after="0"/>
              <w:rPr>
                <w:sz w:val="20"/>
                <w:szCs w:val="20"/>
                <w:color w:val="auto"/>
              </w:rPr>
            </w:pPr>
            <w:r>
              <w:rPr>
                <w:rFonts w:ascii="Arial" w:cs="Arial" w:eastAsia="Arial" w:hAnsi="Arial"/>
                <w:sz w:val="18"/>
                <w:szCs w:val="18"/>
                <w:color w:val="auto"/>
              </w:rPr>
              <w:t>Lender Action</w:t>
            </w:r>
          </w:p>
        </w:tc>
        <w:tc>
          <w:tcPr>
            <w:tcW w:w="2020" w:type="dxa"/>
            <w:vAlign w:val="bottom"/>
          </w:tcPr>
          <w:p>
            <w:pPr>
              <w:jc w:val="right"/>
              <w:spacing w:after="0"/>
              <w:rPr>
                <w:sz w:val="20"/>
                <w:szCs w:val="20"/>
                <w:color w:val="auto"/>
              </w:rPr>
            </w:pPr>
            <w:r>
              <w:rPr>
                <w:rFonts w:ascii="Arial" w:cs="Arial" w:eastAsia="Arial" w:hAnsi="Arial"/>
                <w:sz w:val="18"/>
                <w:szCs w:val="18"/>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-3954780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-3954780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10.20</w:t>
            </w:r>
          </w:p>
        </w:tc>
        <w:tc>
          <w:tcPr>
            <w:tcW w:w="7480" w:type="dxa"/>
            <w:vAlign w:val="bottom"/>
          </w:tcPr>
          <w:p>
            <w:pPr>
              <w:ind w:left="300"/>
              <w:spacing w:after="0"/>
              <w:rPr>
                <w:sz w:val="20"/>
                <w:szCs w:val="20"/>
                <w:color w:val="auto"/>
              </w:rPr>
            </w:pPr>
            <w:r>
              <w:rPr>
                <w:rFonts w:ascii="Arial" w:cs="Arial" w:eastAsia="Arial" w:hAnsi="Arial"/>
                <w:sz w:val="18"/>
                <w:szCs w:val="18"/>
                <w:color w:val="auto"/>
              </w:rPr>
              <w:t>USA Patriot Act</w:t>
            </w:r>
          </w:p>
        </w:tc>
        <w:tc>
          <w:tcPr>
            <w:tcW w:w="26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10.21</w:t>
            </w:r>
          </w:p>
        </w:tc>
        <w:tc>
          <w:tcPr>
            <w:tcW w:w="7480" w:type="dxa"/>
            <w:vAlign w:val="bottom"/>
          </w:tcPr>
          <w:p>
            <w:pPr>
              <w:ind w:left="300"/>
              <w:spacing w:after="0"/>
              <w:rPr>
                <w:sz w:val="20"/>
                <w:szCs w:val="20"/>
                <w:color w:val="auto"/>
              </w:rPr>
            </w:pPr>
            <w:r>
              <w:rPr>
                <w:rFonts w:ascii="Arial" w:cs="Arial" w:eastAsia="Arial" w:hAnsi="Arial"/>
                <w:sz w:val="18"/>
                <w:szCs w:val="18"/>
                <w:color w:val="auto"/>
              </w:rPr>
              <w:t>Electronic Execution of Assignments and Certain Other Documents</w:t>
            </w:r>
          </w:p>
        </w:tc>
        <w:tc>
          <w:tcPr>
            <w:tcW w:w="26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418"/>
        </w:trPr>
        <w:tc>
          <w:tcPr>
            <w:tcW w:w="1360" w:type="dxa"/>
            <w:vAlign w:val="bottom"/>
          </w:tcPr>
          <w:p>
            <w:pPr>
              <w:spacing w:after="0"/>
              <w:rPr>
                <w:sz w:val="24"/>
                <w:szCs w:val="24"/>
                <w:color w:val="auto"/>
              </w:rPr>
            </w:pPr>
          </w:p>
        </w:tc>
        <w:tc>
          <w:tcPr>
            <w:tcW w:w="7480" w:type="dxa"/>
            <w:vAlign w:val="bottom"/>
          </w:tcPr>
          <w:p>
            <w:pPr>
              <w:jc w:val="center"/>
              <w:ind w:left="1130"/>
              <w:spacing w:after="0"/>
              <w:rPr>
                <w:sz w:val="20"/>
                <w:szCs w:val="20"/>
                <w:color w:val="auto"/>
              </w:rPr>
            </w:pPr>
            <w:r>
              <w:rPr>
                <w:rFonts w:ascii="Arial" w:cs="Arial" w:eastAsia="Arial" w:hAnsi="Arial"/>
                <w:sz w:val="18"/>
                <w:szCs w:val="18"/>
                <w:color w:val="auto"/>
                <w:w w:val="98"/>
              </w:rPr>
              <w:t>ARTICLE XI.</w:t>
            </w:r>
          </w:p>
        </w:tc>
        <w:tc>
          <w:tcPr>
            <w:tcW w:w="262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7480" w:type="dxa"/>
            <w:vAlign w:val="bottom"/>
          </w:tcPr>
          <w:p>
            <w:pPr>
              <w:jc w:val="center"/>
              <w:ind w:left="1130"/>
              <w:spacing w:after="0"/>
              <w:rPr>
                <w:sz w:val="20"/>
                <w:szCs w:val="20"/>
                <w:color w:val="auto"/>
              </w:rPr>
            </w:pPr>
            <w:r>
              <w:rPr>
                <w:rFonts w:ascii="Arial" w:cs="Arial" w:eastAsia="Arial" w:hAnsi="Arial"/>
                <w:sz w:val="18"/>
                <w:szCs w:val="18"/>
                <w:color w:val="auto"/>
                <w:w w:val="98"/>
              </w:rPr>
              <w:t>GUARANTEE</w:t>
            </w:r>
          </w:p>
        </w:tc>
        <w:tc>
          <w:tcPr>
            <w:tcW w:w="2620" w:type="dxa"/>
            <w:vAlign w:val="bottom"/>
          </w:tcPr>
          <w:p>
            <w:pPr>
              <w:spacing w:after="0"/>
              <w:rPr>
                <w:sz w:val="20"/>
                <w:szCs w:val="20"/>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11.01</w:t>
            </w:r>
          </w:p>
        </w:tc>
        <w:tc>
          <w:tcPr>
            <w:tcW w:w="7480" w:type="dxa"/>
            <w:vAlign w:val="bottom"/>
          </w:tcPr>
          <w:p>
            <w:pPr>
              <w:ind w:left="300"/>
              <w:spacing w:after="0"/>
              <w:rPr>
                <w:sz w:val="20"/>
                <w:szCs w:val="20"/>
                <w:color w:val="auto"/>
              </w:rPr>
            </w:pPr>
            <w:r>
              <w:rPr>
                <w:rFonts w:ascii="Arial" w:cs="Arial" w:eastAsia="Arial" w:hAnsi="Arial"/>
                <w:sz w:val="18"/>
                <w:szCs w:val="18"/>
                <w:color w:val="auto"/>
              </w:rPr>
              <w:t>The Guarantee</w:t>
            </w:r>
          </w:p>
        </w:tc>
        <w:tc>
          <w:tcPr>
            <w:tcW w:w="26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11.02</w:t>
            </w:r>
          </w:p>
        </w:tc>
        <w:tc>
          <w:tcPr>
            <w:tcW w:w="7480" w:type="dxa"/>
            <w:vAlign w:val="bottom"/>
          </w:tcPr>
          <w:p>
            <w:pPr>
              <w:ind w:left="300"/>
              <w:spacing w:after="0"/>
              <w:rPr>
                <w:sz w:val="20"/>
                <w:szCs w:val="20"/>
                <w:color w:val="auto"/>
              </w:rPr>
            </w:pPr>
            <w:r>
              <w:rPr>
                <w:rFonts w:ascii="Arial" w:cs="Arial" w:eastAsia="Arial" w:hAnsi="Arial"/>
                <w:sz w:val="18"/>
                <w:szCs w:val="18"/>
                <w:color w:val="auto"/>
              </w:rPr>
              <w:t>Obligations Unconditional</w:t>
            </w:r>
          </w:p>
        </w:tc>
        <w:tc>
          <w:tcPr>
            <w:tcW w:w="26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11.03</w:t>
            </w:r>
          </w:p>
        </w:tc>
        <w:tc>
          <w:tcPr>
            <w:tcW w:w="7480" w:type="dxa"/>
            <w:vAlign w:val="bottom"/>
          </w:tcPr>
          <w:p>
            <w:pPr>
              <w:ind w:left="300"/>
              <w:spacing w:after="0"/>
              <w:rPr>
                <w:sz w:val="20"/>
                <w:szCs w:val="20"/>
                <w:color w:val="auto"/>
              </w:rPr>
            </w:pPr>
            <w:r>
              <w:rPr>
                <w:rFonts w:ascii="Arial" w:cs="Arial" w:eastAsia="Arial" w:hAnsi="Arial"/>
                <w:sz w:val="18"/>
                <w:szCs w:val="18"/>
                <w:color w:val="auto"/>
              </w:rPr>
              <w:t>Reinstatement</w:t>
            </w:r>
          </w:p>
        </w:tc>
        <w:tc>
          <w:tcPr>
            <w:tcW w:w="26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11.04</w:t>
            </w:r>
          </w:p>
        </w:tc>
        <w:tc>
          <w:tcPr>
            <w:tcW w:w="7480" w:type="dxa"/>
            <w:vAlign w:val="bottom"/>
          </w:tcPr>
          <w:p>
            <w:pPr>
              <w:ind w:left="300"/>
              <w:spacing w:after="0"/>
              <w:rPr>
                <w:sz w:val="20"/>
                <w:szCs w:val="20"/>
                <w:color w:val="auto"/>
              </w:rPr>
            </w:pPr>
            <w:r>
              <w:rPr>
                <w:rFonts w:ascii="Arial" w:cs="Arial" w:eastAsia="Arial" w:hAnsi="Arial"/>
                <w:sz w:val="18"/>
                <w:szCs w:val="18"/>
                <w:color w:val="auto"/>
              </w:rPr>
              <w:t>Subrogation; Subordination</w:t>
            </w:r>
          </w:p>
        </w:tc>
        <w:tc>
          <w:tcPr>
            <w:tcW w:w="26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11.05</w:t>
            </w:r>
          </w:p>
        </w:tc>
        <w:tc>
          <w:tcPr>
            <w:tcW w:w="7480" w:type="dxa"/>
            <w:vAlign w:val="bottom"/>
          </w:tcPr>
          <w:p>
            <w:pPr>
              <w:ind w:left="300"/>
              <w:spacing w:after="0"/>
              <w:rPr>
                <w:sz w:val="20"/>
                <w:szCs w:val="20"/>
                <w:color w:val="auto"/>
              </w:rPr>
            </w:pPr>
            <w:r>
              <w:rPr>
                <w:rFonts w:ascii="Arial" w:cs="Arial" w:eastAsia="Arial" w:hAnsi="Arial"/>
                <w:sz w:val="18"/>
                <w:szCs w:val="18"/>
                <w:color w:val="auto"/>
              </w:rPr>
              <w:t>Remedies</w:t>
            </w:r>
          </w:p>
        </w:tc>
        <w:tc>
          <w:tcPr>
            <w:tcW w:w="26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11.06</w:t>
            </w:r>
          </w:p>
        </w:tc>
        <w:tc>
          <w:tcPr>
            <w:tcW w:w="7480" w:type="dxa"/>
            <w:vAlign w:val="bottom"/>
          </w:tcPr>
          <w:p>
            <w:pPr>
              <w:ind w:left="300"/>
              <w:spacing w:after="0"/>
              <w:rPr>
                <w:sz w:val="20"/>
                <w:szCs w:val="20"/>
                <w:color w:val="auto"/>
              </w:rPr>
            </w:pPr>
            <w:r>
              <w:rPr>
                <w:rFonts w:ascii="Arial" w:cs="Arial" w:eastAsia="Arial" w:hAnsi="Arial"/>
                <w:sz w:val="18"/>
                <w:szCs w:val="18"/>
                <w:color w:val="auto"/>
              </w:rPr>
              <w:t>Instrument for the Payment of Money</w:t>
            </w:r>
          </w:p>
        </w:tc>
        <w:tc>
          <w:tcPr>
            <w:tcW w:w="26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11.07</w:t>
            </w:r>
          </w:p>
        </w:tc>
        <w:tc>
          <w:tcPr>
            <w:tcW w:w="7480" w:type="dxa"/>
            <w:vAlign w:val="bottom"/>
          </w:tcPr>
          <w:p>
            <w:pPr>
              <w:ind w:left="300"/>
              <w:spacing w:after="0"/>
              <w:rPr>
                <w:sz w:val="20"/>
                <w:szCs w:val="20"/>
                <w:color w:val="auto"/>
              </w:rPr>
            </w:pPr>
            <w:r>
              <w:rPr>
                <w:rFonts w:ascii="Arial" w:cs="Arial" w:eastAsia="Arial" w:hAnsi="Arial"/>
                <w:sz w:val="18"/>
                <w:szCs w:val="18"/>
                <w:color w:val="auto"/>
              </w:rPr>
              <w:t>Continuing Guarantee</w:t>
            </w:r>
          </w:p>
        </w:tc>
        <w:tc>
          <w:tcPr>
            <w:tcW w:w="26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11.08</w:t>
            </w:r>
          </w:p>
        </w:tc>
        <w:tc>
          <w:tcPr>
            <w:tcW w:w="7480" w:type="dxa"/>
            <w:vAlign w:val="bottom"/>
          </w:tcPr>
          <w:p>
            <w:pPr>
              <w:ind w:left="300"/>
              <w:spacing w:after="0"/>
              <w:rPr>
                <w:sz w:val="20"/>
                <w:szCs w:val="20"/>
                <w:color w:val="auto"/>
              </w:rPr>
            </w:pPr>
            <w:r>
              <w:rPr>
                <w:rFonts w:ascii="Arial" w:cs="Arial" w:eastAsia="Arial" w:hAnsi="Arial"/>
                <w:sz w:val="18"/>
                <w:szCs w:val="18"/>
                <w:color w:val="auto"/>
              </w:rPr>
              <w:t>General Limitation on Guarantee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11.09</w:t>
            </w:r>
          </w:p>
        </w:tc>
        <w:tc>
          <w:tcPr>
            <w:tcW w:w="7480" w:type="dxa"/>
            <w:vAlign w:val="bottom"/>
          </w:tcPr>
          <w:p>
            <w:pPr>
              <w:ind w:left="300"/>
              <w:spacing w:after="0"/>
              <w:rPr>
                <w:sz w:val="20"/>
                <w:szCs w:val="20"/>
                <w:color w:val="auto"/>
              </w:rPr>
            </w:pPr>
            <w:r>
              <w:rPr>
                <w:rFonts w:ascii="Arial" w:cs="Arial" w:eastAsia="Arial" w:hAnsi="Arial"/>
                <w:sz w:val="18"/>
                <w:szCs w:val="18"/>
                <w:color w:val="auto"/>
              </w:rPr>
              <w:t>Release of Guarantors</w:t>
            </w:r>
          </w:p>
        </w:tc>
        <w:tc>
          <w:tcPr>
            <w:tcW w:w="26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11.10</w:t>
            </w:r>
          </w:p>
        </w:tc>
        <w:tc>
          <w:tcPr>
            <w:tcW w:w="7480" w:type="dxa"/>
            <w:vAlign w:val="bottom"/>
          </w:tcPr>
          <w:p>
            <w:pPr>
              <w:ind w:left="300"/>
              <w:spacing w:after="0"/>
              <w:rPr>
                <w:sz w:val="20"/>
                <w:szCs w:val="20"/>
                <w:color w:val="auto"/>
              </w:rPr>
            </w:pPr>
            <w:r>
              <w:rPr>
                <w:rFonts w:ascii="Arial" w:cs="Arial" w:eastAsia="Arial" w:hAnsi="Arial"/>
                <w:sz w:val="18"/>
                <w:szCs w:val="18"/>
                <w:color w:val="auto"/>
              </w:rPr>
              <w:t>Right of Contribution</w:t>
            </w:r>
          </w:p>
        </w:tc>
        <w:tc>
          <w:tcPr>
            <w:tcW w:w="26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11.11</w:t>
            </w:r>
          </w:p>
        </w:tc>
        <w:tc>
          <w:tcPr>
            <w:tcW w:w="7480" w:type="dxa"/>
            <w:vAlign w:val="bottom"/>
          </w:tcPr>
          <w:p>
            <w:pPr>
              <w:ind w:left="300"/>
              <w:spacing w:after="0"/>
              <w:rPr>
                <w:sz w:val="20"/>
                <w:szCs w:val="20"/>
                <w:color w:val="auto"/>
              </w:rPr>
            </w:pPr>
            <w:r>
              <w:rPr>
                <w:rFonts w:ascii="Arial" w:cs="Arial" w:eastAsia="Arial" w:hAnsi="Arial"/>
                <w:sz w:val="18"/>
                <w:szCs w:val="18"/>
                <w:color w:val="auto"/>
              </w:rPr>
              <w:t>Subject to Intercreditor Agreement</w:t>
            </w:r>
          </w:p>
        </w:tc>
        <w:tc>
          <w:tcPr>
            <w:tcW w:w="26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11.12</w:t>
            </w:r>
          </w:p>
        </w:tc>
        <w:tc>
          <w:tcPr>
            <w:tcW w:w="7480" w:type="dxa"/>
            <w:vAlign w:val="bottom"/>
          </w:tcPr>
          <w:p>
            <w:pPr>
              <w:ind w:left="300"/>
              <w:spacing w:after="0"/>
              <w:rPr>
                <w:sz w:val="20"/>
                <w:szCs w:val="20"/>
                <w:color w:val="auto"/>
              </w:rPr>
            </w:pPr>
            <w:r>
              <w:rPr>
                <w:rFonts w:ascii="Arial" w:cs="Arial" w:eastAsia="Arial" w:hAnsi="Arial"/>
                <w:sz w:val="18"/>
                <w:szCs w:val="18"/>
                <w:color w:val="auto"/>
              </w:rPr>
              <w:t>Keepwell</w:t>
            </w:r>
          </w:p>
        </w:tc>
        <w:tc>
          <w:tcPr>
            <w:tcW w:w="26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432"/>
        </w:trPr>
        <w:tc>
          <w:tcPr>
            <w:tcW w:w="1360" w:type="dxa"/>
            <w:vAlign w:val="bottom"/>
          </w:tcPr>
          <w:p>
            <w:pPr>
              <w:spacing w:after="0"/>
              <w:rPr>
                <w:sz w:val="24"/>
                <w:szCs w:val="24"/>
                <w:color w:val="auto"/>
              </w:rPr>
            </w:pPr>
          </w:p>
        </w:tc>
        <w:tc>
          <w:tcPr>
            <w:tcW w:w="7480" w:type="dxa"/>
            <w:vAlign w:val="bottom"/>
          </w:tcPr>
          <w:p>
            <w:pPr>
              <w:jc w:val="center"/>
              <w:ind w:left="1130"/>
              <w:spacing w:after="0"/>
              <w:rPr>
                <w:sz w:val="20"/>
                <w:szCs w:val="20"/>
                <w:color w:val="auto"/>
              </w:rPr>
            </w:pPr>
            <w:r>
              <w:rPr>
                <w:rFonts w:ascii="Arial" w:cs="Arial" w:eastAsia="Arial" w:hAnsi="Arial"/>
                <w:sz w:val="18"/>
                <w:szCs w:val="18"/>
                <w:color w:val="auto"/>
              </w:rPr>
              <w:t>iv</w:t>
            </w:r>
          </w:p>
        </w:tc>
        <w:tc>
          <w:tcPr>
            <w:tcW w:w="2620" w:type="dxa"/>
            <w:vAlign w:val="bottom"/>
          </w:tcPr>
          <w:p>
            <w:pPr>
              <w:spacing w:after="0"/>
              <w:rPr>
                <w:sz w:val="24"/>
                <w:szCs w:val="24"/>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748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r>
      <w:tr>
        <w:trPr>
          <w:trHeight w:val="780"/>
        </w:trPr>
        <w:tc>
          <w:tcPr>
            <w:tcW w:w="1360" w:type="dxa"/>
            <w:vAlign w:val="bottom"/>
          </w:tcPr>
          <w:p>
            <w:pPr>
              <w:spacing w:after="0"/>
              <w:rPr>
                <w:sz w:val="20"/>
                <w:szCs w:val="20"/>
                <w:color w:val="auto"/>
              </w:rPr>
            </w:pPr>
            <w:r>
              <w:rPr>
                <w:rFonts w:ascii="Arial" w:cs="Arial" w:eastAsia="Arial" w:hAnsi="Arial"/>
                <w:sz w:val="18"/>
                <w:szCs w:val="18"/>
                <w:color w:val="auto"/>
              </w:rPr>
              <w:t>SCHEDULES</w:t>
            </w:r>
          </w:p>
        </w:tc>
        <w:tc>
          <w:tcPr>
            <w:tcW w:w="74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18"/>
        </w:trPr>
        <w:tc>
          <w:tcPr>
            <w:tcW w:w="1360" w:type="dxa"/>
            <w:vAlign w:val="bottom"/>
          </w:tcPr>
          <w:p>
            <w:pPr>
              <w:ind w:left="520"/>
              <w:spacing w:after="0"/>
              <w:rPr>
                <w:sz w:val="20"/>
                <w:szCs w:val="20"/>
                <w:color w:val="auto"/>
              </w:rPr>
            </w:pPr>
            <w:r>
              <w:rPr>
                <w:rFonts w:ascii="Arial" w:cs="Arial" w:eastAsia="Arial" w:hAnsi="Arial"/>
                <w:sz w:val="18"/>
                <w:szCs w:val="18"/>
                <w:color w:val="auto"/>
              </w:rPr>
              <w:t>1.01A</w:t>
            </w:r>
          </w:p>
        </w:tc>
        <w:tc>
          <w:tcPr>
            <w:tcW w:w="7480" w:type="dxa"/>
            <w:vAlign w:val="bottom"/>
          </w:tcPr>
          <w:p>
            <w:pPr>
              <w:ind w:left="480"/>
              <w:spacing w:after="0"/>
              <w:rPr>
                <w:sz w:val="20"/>
                <w:szCs w:val="20"/>
                <w:color w:val="auto"/>
              </w:rPr>
            </w:pPr>
            <w:r>
              <w:rPr>
                <w:rFonts w:ascii="Arial" w:cs="Arial" w:eastAsia="Arial" w:hAnsi="Arial"/>
                <w:sz w:val="18"/>
                <w:szCs w:val="18"/>
                <w:color w:val="auto"/>
              </w:rPr>
              <w:t>Commitments</w:t>
            </w:r>
          </w:p>
        </w:tc>
        <w:tc>
          <w:tcPr>
            <w:tcW w:w="2620" w:type="dxa"/>
            <w:vAlign w:val="bottom"/>
          </w:tcPr>
          <w:p>
            <w:pPr>
              <w:spacing w:after="0"/>
              <w:rPr>
                <w:sz w:val="24"/>
                <w:szCs w:val="24"/>
                <w:color w:val="auto"/>
              </w:rPr>
            </w:pPr>
          </w:p>
        </w:tc>
      </w:tr>
      <w:tr>
        <w:trPr>
          <w:trHeight w:val="216"/>
        </w:trPr>
        <w:tc>
          <w:tcPr>
            <w:tcW w:w="1360" w:type="dxa"/>
            <w:vAlign w:val="bottom"/>
          </w:tcPr>
          <w:p>
            <w:pPr>
              <w:ind w:left="520"/>
              <w:spacing w:after="0"/>
              <w:rPr>
                <w:sz w:val="20"/>
                <w:szCs w:val="20"/>
                <w:color w:val="auto"/>
              </w:rPr>
            </w:pPr>
            <w:r>
              <w:rPr>
                <w:rFonts w:ascii="Arial" w:cs="Arial" w:eastAsia="Arial" w:hAnsi="Arial"/>
                <w:sz w:val="18"/>
                <w:szCs w:val="18"/>
                <w:color w:val="auto"/>
              </w:rPr>
              <w:t>1.01E</w:t>
            </w:r>
          </w:p>
        </w:tc>
        <w:tc>
          <w:tcPr>
            <w:tcW w:w="7480" w:type="dxa"/>
            <w:vAlign w:val="bottom"/>
          </w:tcPr>
          <w:p>
            <w:pPr>
              <w:ind w:left="480"/>
              <w:spacing w:after="0"/>
              <w:rPr>
                <w:sz w:val="20"/>
                <w:szCs w:val="20"/>
                <w:color w:val="auto"/>
              </w:rPr>
            </w:pPr>
            <w:r>
              <w:rPr>
                <w:rFonts w:ascii="Arial" w:cs="Arial" w:eastAsia="Arial" w:hAnsi="Arial"/>
                <w:sz w:val="18"/>
                <w:szCs w:val="18"/>
                <w:color w:val="auto"/>
              </w:rPr>
              <w:t>Existing Investments</w:t>
            </w:r>
          </w:p>
        </w:tc>
        <w:tc>
          <w:tcPr>
            <w:tcW w:w="2620" w:type="dxa"/>
            <w:vAlign w:val="bottom"/>
          </w:tcPr>
          <w:p>
            <w:pPr>
              <w:spacing w:after="0"/>
              <w:rPr>
                <w:sz w:val="18"/>
                <w:szCs w:val="18"/>
                <w:color w:val="auto"/>
              </w:rPr>
            </w:pPr>
          </w:p>
        </w:tc>
      </w:tr>
      <w:tr>
        <w:trPr>
          <w:trHeight w:val="216"/>
        </w:trPr>
        <w:tc>
          <w:tcPr>
            <w:tcW w:w="1360" w:type="dxa"/>
            <w:vAlign w:val="bottom"/>
          </w:tcPr>
          <w:p>
            <w:pPr>
              <w:ind w:left="520"/>
              <w:spacing w:after="0"/>
              <w:rPr>
                <w:sz w:val="20"/>
                <w:szCs w:val="20"/>
                <w:color w:val="auto"/>
              </w:rPr>
            </w:pPr>
            <w:r>
              <w:rPr>
                <w:rFonts w:ascii="Arial" w:cs="Arial" w:eastAsia="Arial" w:hAnsi="Arial"/>
                <w:sz w:val="18"/>
                <w:szCs w:val="18"/>
                <w:color w:val="auto"/>
              </w:rPr>
              <w:t>4.01(a)</w:t>
            </w:r>
          </w:p>
        </w:tc>
        <w:tc>
          <w:tcPr>
            <w:tcW w:w="7480" w:type="dxa"/>
            <w:vAlign w:val="bottom"/>
          </w:tcPr>
          <w:p>
            <w:pPr>
              <w:ind w:left="480"/>
              <w:spacing w:after="0"/>
              <w:rPr>
                <w:sz w:val="20"/>
                <w:szCs w:val="20"/>
                <w:color w:val="auto"/>
              </w:rPr>
            </w:pPr>
            <w:r>
              <w:rPr>
                <w:rFonts w:ascii="Arial" w:cs="Arial" w:eastAsia="Arial" w:hAnsi="Arial"/>
                <w:sz w:val="18"/>
                <w:szCs w:val="18"/>
                <w:color w:val="auto"/>
              </w:rPr>
              <w:t>Post-Closing Requirements</w:t>
            </w:r>
          </w:p>
        </w:tc>
        <w:tc>
          <w:tcPr>
            <w:tcW w:w="2620" w:type="dxa"/>
            <w:vAlign w:val="bottom"/>
          </w:tcPr>
          <w:p>
            <w:pPr>
              <w:spacing w:after="0"/>
              <w:rPr>
                <w:sz w:val="18"/>
                <w:szCs w:val="18"/>
                <w:color w:val="auto"/>
              </w:rPr>
            </w:pPr>
          </w:p>
        </w:tc>
      </w:tr>
      <w:tr>
        <w:trPr>
          <w:trHeight w:val="216"/>
        </w:trPr>
        <w:tc>
          <w:tcPr>
            <w:tcW w:w="1360" w:type="dxa"/>
            <w:vAlign w:val="bottom"/>
          </w:tcPr>
          <w:p>
            <w:pPr>
              <w:ind w:left="520"/>
              <w:spacing w:after="0"/>
              <w:rPr>
                <w:sz w:val="20"/>
                <w:szCs w:val="20"/>
                <w:color w:val="auto"/>
              </w:rPr>
            </w:pPr>
            <w:r>
              <w:rPr>
                <w:rFonts w:ascii="Arial" w:cs="Arial" w:eastAsia="Arial" w:hAnsi="Arial"/>
                <w:sz w:val="18"/>
                <w:szCs w:val="18"/>
                <w:color w:val="auto"/>
              </w:rPr>
              <w:t>5.08</w:t>
            </w:r>
          </w:p>
        </w:tc>
        <w:tc>
          <w:tcPr>
            <w:tcW w:w="7480" w:type="dxa"/>
            <w:vAlign w:val="bottom"/>
          </w:tcPr>
          <w:p>
            <w:pPr>
              <w:ind w:left="480"/>
              <w:spacing w:after="0"/>
              <w:rPr>
                <w:sz w:val="20"/>
                <w:szCs w:val="20"/>
                <w:color w:val="auto"/>
              </w:rPr>
            </w:pPr>
            <w:r>
              <w:rPr>
                <w:rFonts w:ascii="Arial" w:cs="Arial" w:eastAsia="Arial" w:hAnsi="Arial"/>
                <w:sz w:val="18"/>
                <w:szCs w:val="18"/>
                <w:color w:val="auto"/>
              </w:rPr>
              <w:t>Ownership of Property</w:t>
            </w:r>
          </w:p>
        </w:tc>
        <w:tc>
          <w:tcPr>
            <w:tcW w:w="2620" w:type="dxa"/>
            <w:vAlign w:val="bottom"/>
          </w:tcPr>
          <w:p>
            <w:pPr>
              <w:spacing w:after="0"/>
              <w:rPr>
                <w:sz w:val="18"/>
                <w:szCs w:val="18"/>
                <w:color w:val="auto"/>
              </w:rPr>
            </w:pPr>
          </w:p>
        </w:tc>
      </w:tr>
      <w:tr>
        <w:trPr>
          <w:trHeight w:val="216"/>
        </w:trPr>
        <w:tc>
          <w:tcPr>
            <w:tcW w:w="1360" w:type="dxa"/>
            <w:vAlign w:val="bottom"/>
          </w:tcPr>
          <w:p>
            <w:pPr>
              <w:ind w:left="520"/>
              <w:spacing w:after="0"/>
              <w:rPr>
                <w:sz w:val="20"/>
                <w:szCs w:val="20"/>
                <w:color w:val="auto"/>
              </w:rPr>
            </w:pPr>
            <w:r>
              <w:rPr>
                <w:rFonts w:ascii="Arial" w:cs="Arial" w:eastAsia="Arial" w:hAnsi="Arial"/>
                <w:sz w:val="18"/>
                <w:szCs w:val="18"/>
                <w:color w:val="auto"/>
              </w:rPr>
              <w:t>5.09(b)</w:t>
            </w:r>
          </w:p>
        </w:tc>
        <w:tc>
          <w:tcPr>
            <w:tcW w:w="7480" w:type="dxa"/>
            <w:vAlign w:val="bottom"/>
          </w:tcPr>
          <w:p>
            <w:pPr>
              <w:ind w:left="480"/>
              <w:spacing w:after="0"/>
              <w:rPr>
                <w:sz w:val="20"/>
                <w:szCs w:val="20"/>
                <w:color w:val="auto"/>
              </w:rPr>
            </w:pPr>
            <w:r>
              <w:rPr>
                <w:rFonts w:ascii="Arial" w:cs="Arial" w:eastAsia="Arial" w:hAnsi="Arial"/>
                <w:sz w:val="18"/>
                <w:szCs w:val="18"/>
                <w:color w:val="auto"/>
              </w:rPr>
              <w:t>Environmental Matters</w:t>
            </w:r>
          </w:p>
        </w:tc>
        <w:tc>
          <w:tcPr>
            <w:tcW w:w="2620" w:type="dxa"/>
            <w:vAlign w:val="bottom"/>
          </w:tcPr>
          <w:p>
            <w:pPr>
              <w:spacing w:after="0"/>
              <w:rPr>
                <w:sz w:val="18"/>
                <w:szCs w:val="18"/>
                <w:color w:val="auto"/>
              </w:rPr>
            </w:pPr>
          </w:p>
        </w:tc>
      </w:tr>
      <w:tr>
        <w:trPr>
          <w:trHeight w:val="216"/>
        </w:trPr>
        <w:tc>
          <w:tcPr>
            <w:tcW w:w="1360" w:type="dxa"/>
            <w:vAlign w:val="bottom"/>
          </w:tcPr>
          <w:p>
            <w:pPr>
              <w:ind w:left="520"/>
              <w:spacing w:after="0"/>
              <w:rPr>
                <w:sz w:val="20"/>
                <w:szCs w:val="20"/>
                <w:color w:val="auto"/>
              </w:rPr>
            </w:pPr>
            <w:r>
              <w:rPr>
                <w:rFonts w:ascii="Arial" w:cs="Arial" w:eastAsia="Arial" w:hAnsi="Arial"/>
                <w:sz w:val="18"/>
                <w:szCs w:val="18"/>
                <w:color w:val="auto"/>
              </w:rPr>
              <w:t>5.09(d)</w:t>
            </w:r>
          </w:p>
        </w:tc>
        <w:tc>
          <w:tcPr>
            <w:tcW w:w="7480" w:type="dxa"/>
            <w:vAlign w:val="bottom"/>
          </w:tcPr>
          <w:p>
            <w:pPr>
              <w:ind w:left="480"/>
              <w:spacing w:after="0"/>
              <w:rPr>
                <w:sz w:val="20"/>
                <w:szCs w:val="20"/>
                <w:color w:val="auto"/>
              </w:rPr>
            </w:pPr>
            <w:r>
              <w:rPr>
                <w:rFonts w:ascii="Arial" w:cs="Arial" w:eastAsia="Arial" w:hAnsi="Arial"/>
                <w:sz w:val="18"/>
                <w:szCs w:val="18"/>
                <w:color w:val="auto"/>
              </w:rPr>
              <w:t>Environmental Actions</w:t>
            </w:r>
          </w:p>
        </w:tc>
        <w:tc>
          <w:tcPr>
            <w:tcW w:w="2620" w:type="dxa"/>
            <w:vAlign w:val="bottom"/>
          </w:tcPr>
          <w:p>
            <w:pPr>
              <w:spacing w:after="0"/>
              <w:rPr>
                <w:sz w:val="18"/>
                <w:szCs w:val="18"/>
                <w:color w:val="auto"/>
              </w:rPr>
            </w:pPr>
          </w:p>
        </w:tc>
      </w:tr>
      <w:tr>
        <w:trPr>
          <w:trHeight w:val="216"/>
        </w:trPr>
        <w:tc>
          <w:tcPr>
            <w:tcW w:w="1360" w:type="dxa"/>
            <w:vAlign w:val="bottom"/>
          </w:tcPr>
          <w:p>
            <w:pPr>
              <w:ind w:left="520"/>
              <w:spacing w:after="0"/>
              <w:rPr>
                <w:sz w:val="20"/>
                <w:szCs w:val="20"/>
                <w:color w:val="auto"/>
              </w:rPr>
            </w:pPr>
            <w:r>
              <w:rPr>
                <w:rFonts w:ascii="Arial" w:cs="Arial" w:eastAsia="Arial" w:hAnsi="Arial"/>
                <w:sz w:val="18"/>
                <w:szCs w:val="18"/>
                <w:color w:val="auto"/>
              </w:rPr>
              <w:t>5.12</w:t>
            </w:r>
          </w:p>
        </w:tc>
        <w:tc>
          <w:tcPr>
            <w:tcW w:w="7480" w:type="dxa"/>
            <w:vAlign w:val="bottom"/>
          </w:tcPr>
          <w:p>
            <w:pPr>
              <w:ind w:left="480"/>
              <w:spacing w:after="0"/>
              <w:rPr>
                <w:sz w:val="20"/>
                <w:szCs w:val="20"/>
                <w:color w:val="auto"/>
              </w:rPr>
            </w:pPr>
            <w:r>
              <w:rPr>
                <w:rFonts w:ascii="Arial" w:cs="Arial" w:eastAsia="Arial" w:hAnsi="Arial"/>
                <w:sz w:val="18"/>
                <w:szCs w:val="18"/>
                <w:color w:val="auto"/>
              </w:rPr>
              <w:t>Subsidiaries and Other Equity Investments</w:t>
            </w:r>
          </w:p>
        </w:tc>
        <w:tc>
          <w:tcPr>
            <w:tcW w:w="2620" w:type="dxa"/>
            <w:vAlign w:val="bottom"/>
          </w:tcPr>
          <w:p>
            <w:pPr>
              <w:spacing w:after="0"/>
              <w:rPr>
                <w:sz w:val="18"/>
                <w:szCs w:val="18"/>
                <w:color w:val="auto"/>
              </w:rPr>
            </w:pPr>
          </w:p>
        </w:tc>
      </w:tr>
      <w:tr>
        <w:trPr>
          <w:trHeight w:val="216"/>
        </w:trPr>
        <w:tc>
          <w:tcPr>
            <w:tcW w:w="1360" w:type="dxa"/>
            <w:vAlign w:val="bottom"/>
          </w:tcPr>
          <w:p>
            <w:pPr>
              <w:ind w:left="520"/>
              <w:spacing w:after="0"/>
              <w:rPr>
                <w:sz w:val="20"/>
                <w:szCs w:val="20"/>
                <w:color w:val="auto"/>
              </w:rPr>
            </w:pPr>
            <w:r>
              <w:rPr>
                <w:rFonts w:ascii="Arial" w:cs="Arial" w:eastAsia="Arial" w:hAnsi="Arial"/>
                <w:sz w:val="18"/>
                <w:szCs w:val="18"/>
                <w:color w:val="auto"/>
              </w:rPr>
              <w:t>6.13(a)</w:t>
            </w:r>
          </w:p>
        </w:tc>
        <w:tc>
          <w:tcPr>
            <w:tcW w:w="7480" w:type="dxa"/>
            <w:vAlign w:val="bottom"/>
          </w:tcPr>
          <w:p>
            <w:pPr>
              <w:ind w:left="480"/>
              <w:spacing w:after="0"/>
              <w:rPr>
                <w:sz w:val="20"/>
                <w:szCs w:val="20"/>
                <w:color w:val="auto"/>
              </w:rPr>
            </w:pPr>
            <w:r>
              <w:rPr>
                <w:rFonts w:ascii="Arial" w:cs="Arial" w:eastAsia="Arial" w:hAnsi="Arial"/>
                <w:sz w:val="18"/>
                <w:szCs w:val="18"/>
                <w:color w:val="auto"/>
              </w:rPr>
              <w:t>Certain Collateral Documents</w:t>
            </w:r>
          </w:p>
        </w:tc>
        <w:tc>
          <w:tcPr>
            <w:tcW w:w="2620" w:type="dxa"/>
            <w:vAlign w:val="bottom"/>
          </w:tcPr>
          <w:p>
            <w:pPr>
              <w:spacing w:after="0"/>
              <w:rPr>
                <w:sz w:val="18"/>
                <w:szCs w:val="18"/>
                <w:color w:val="auto"/>
              </w:rPr>
            </w:pPr>
          </w:p>
        </w:tc>
      </w:tr>
      <w:tr>
        <w:trPr>
          <w:trHeight w:val="216"/>
        </w:trPr>
        <w:tc>
          <w:tcPr>
            <w:tcW w:w="1360" w:type="dxa"/>
            <w:vAlign w:val="bottom"/>
          </w:tcPr>
          <w:p>
            <w:pPr>
              <w:ind w:left="520"/>
              <w:spacing w:after="0"/>
              <w:rPr>
                <w:sz w:val="20"/>
                <w:szCs w:val="20"/>
                <w:color w:val="auto"/>
              </w:rPr>
            </w:pPr>
            <w:r>
              <w:rPr>
                <w:rFonts w:ascii="Arial" w:cs="Arial" w:eastAsia="Arial" w:hAnsi="Arial"/>
                <w:sz w:val="18"/>
                <w:szCs w:val="18"/>
                <w:color w:val="auto"/>
              </w:rPr>
              <w:t>7.01(b)</w:t>
            </w:r>
          </w:p>
        </w:tc>
        <w:tc>
          <w:tcPr>
            <w:tcW w:w="7480" w:type="dxa"/>
            <w:vAlign w:val="bottom"/>
          </w:tcPr>
          <w:p>
            <w:pPr>
              <w:ind w:left="480"/>
              <w:spacing w:after="0"/>
              <w:rPr>
                <w:sz w:val="20"/>
                <w:szCs w:val="20"/>
                <w:color w:val="auto"/>
              </w:rPr>
            </w:pPr>
            <w:r>
              <w:rPr>
                <w:rFonts w:ascii="Arial" w:cs="Arial" w:eastAsia="Arial" w:hAnsi="Arial"/>
                <w:sz w:val="18"/>
                <w:szCs w:val="18"/>
                <w:color w:val="auto"/>
              </w:rPr>
              <w:t>Existing Liens</w:t>
            </w:r>
          </w:p>
        </w:tc>
        <w:tc>
          <w:tcPr>
            <w:tcW w:w="2620" w:type="dxa"/>
            <w:vAlign w:val="bottom"/>
          </w:tcPr>
          <w:p>
            <w:pPr>
              <w:spacing w:after="0"/>
              <w:rPr>
                <w:sz w:val="18"/>
                <w:szCs w:val="18"/>
                <w:color w:val="auto"/>
              </w:rPr>
            </w:pPr>
          </w:p>
        </w:tc>
      </w:tr>
      <w:tr>
        <w:trPr>
          <w:trHeight w:val="216"/>
        </w:trPr>
        <w:tc>
          <w:tcPr>
            <w:tcW w:w="1360" w:type="dxa"/>
            <w:vAlign w:val="bottom"/>
          </w:tcPr>
          <w:p>
            <w:pPr>
              <w:ind w:left="520"/>
              <w:spacing w:after="0"/>
              <w:rPr>
                <w:sz w:val="20"/>
                <w:szCs w:val="20"/>
                <w:color w:val="auto"/>
              </w:rPr>
            </w:pPr>
            <w:r>
              <w:rPr>
                <w:rFonts w:ascii="Arial" w:cs="Arial" w:eastAsia="Arial" w:hAnsi="Arial"/>
                <w:sz w:val="18"/>
                <w:szCs w:val="18"/>
                <w:color w:val="auto"/>
              </w:rPr>
              <w:t>7.02(b)</w:t>
            </w:r>
          </w:p>
        </w:tc>
        <w:tc>
          <w:tcPr>
            <w:tcW w:w="7480" w:type="dxa"/>
            <w:vAlign w:val="bottom"/>
          </w:tcPr>
          <w:p>
            <w:pPr>
              <w:ind w:left="480"/>
              <w:spacing w:after="0"/>
              <w:rPr>
                <w:sz w:val="20"/>
                <w:szCs w:val="20"/>
                <w:color w:val="auto"/>
              </w:rPr>
            </w:pPr>
            <w:r>
              <w:rPr>
                <w:rFonts w:ascii="Arial" w:cs="Arial" w:eastAsia="Arial" w:hAnsi="Arial"/>
                <w:sz w:val="18"/>
                <w:szCs w:val="18"/>
                <w:color w:val="auto"/>
              </w:rPr>
              <w:t>Existing Indebtedness</w:t>
            </w:r>
          </w:p>
        </w:tc>
        <w:tc>
          <w:tcPr>
            <w:tcW w:w="2620" w:type="dxa"/>
            <w:vAlign w:val="bottom"/>
          </w:tcPr>
          <w:p>
            <w:pPr>
              <w:spacing w:after="0"/>
              <w:rPr>
                <w:sz w:val="18"/>
                <w:szCs w:val="18"/>
                <w:color w:val="auto"/>
              </w:rPr>
            </w:pPr>
          </w:p>
        </w:tc>
      </w:tr>
      <w:tr>
        <w:trPr>
          <w:trHeight w:val="230"/>
        </w:trPr>
        <w:tc>
          <w:tcPr>
            <w:tcW w:w="1360" w:type="dxa"/>
            <w:vAlign w:val="bottom"/>
          </w:tcPr>
          <w:p>
            <w:pPr>
              <w:ind w:left="520"/>
              <w:spacing w:after="0"/>
              <w:rPr>
                <w:sz w:val="20"/>
                <w:szCs w:val="20"/>
                <w:color w:val="auto"/>
              </w:rPr>
            </w:pPr>
            <w:r>
              <w:rPr>
                <w:rFonts w:ascii="Arial" w:cs="Arial" w:eastAsia="Arial" w:hAnsi="Arial"/>
                <w:sz w:val="18"/>
                <w:szCs w:val="18"/>
                <w:color w:val="auto"/>
              </w:rPr>
              <w:t>10.02</w:t>
            </w:r>
          </w:p>
        </w:tc>
        <w:tc>
          <w:tcPr>
            <w:tcW w:w="7480" w:type="dxa"/>
            <w:vAlign w:val="bottom"/>
          </w:tcPr>
          <w:p>
            <w:pPr>
              <w:ind w:left="480"/>
              <w:spacing w:after="0"/>
              <w:rPr>
                <w:sz w:val="20"/>
                <w:szCs w:val="20"/>
                <w:color w:val="auto"/>
              </w:rPr>
            </w:pPr>
            <w:r>
              <w:rPr>
                <w:rFonts w:ascii="Arial" w:cs="Arial" w:eastAsia="Arial" w:hAnsi="Arial"/>
                <w:sz w:val="18"/>
                <w:szCs w:val="18"/>
                <w:color w:val="auto"/>
              </w:rPr>
              <w:t>Administrative Agent’s Office, Certain Addresses for Notices</w:t>
            </w:r>
          </w:p>
        </w:tc>
        <w:tc>
          <w:tcPr>
            <w:tcW w:w="2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-2171065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-2171065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Form of</w:t>
      </w:r>
    </w:p>
    <w:p>
      <w:pPr>
        <w:spacing w:after="0" w:line="225" w:lineRule="exact"/>
        <w:rPr>
          <w:sz w:val="20"/>
          <w:szCs w:val="20"/>
          <w:color w:val="auto"/>
        </w:rPr>
      </w:pPr>
    </w:p>
    <w:p>
      <w:pPr>
        <w:ind w:left="1840" w:hanging="1319"/>
        <w:spacing w:after="0"/>
        <w:tabs>
          <w:tab w:leader="none" w:pos="1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1840" w:hanging="1319"/>
        <w:spacing w:after="0"/>
        <w:tabs>
          <w:tab w:leader="none" w:pos="1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Swing Line Loan Notice</w:t>
      </w:r>
    </w:p>
    <w:p>
      <w:pPr>
        <w:spacing w:after="0" w:line="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C-1</w:t>
            </w:r>
          </w:p>
        </w:tc>
        <w:tc>
          <w:tcPr>
            <w:tcW w:w="2160" w:type="dxa"/>
            <w:vAlign w:val="bottom"/>
          </w:tcPr>
          <w:p>
            <w:pPr>
              <w:ind w:left="520"/>
              <w:spacing w:after="0"/>
              <w:rPr>
                <w:sz w:val="20"/>
                <w:szCs w:val="20"/>
                <w:color w:val="auto"/>
              </w:rPr>
            </w:pPr>
            <w:r>
              <w:rPr>
                <w:rFonts w:ascii="Arial" w:cs="Arial" w:eastAsia="Arial" w:hAnsi="Arial"/>
                <w:sz w:val="18"/>
                <w:szCs w:val="18"/>
                <w:color w:val="auto"/>
              </w:rPr>
              <w:t>Term Note</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C-2</w:t>
            </w:r>
          </w:p>
        </w:tc>
        <w:tc>
          <w:tcPr>
            <w:tcW w:w="2160" w:type="dxa"/>
            <w:vAlign w:val="bottom"/>
          </w:tcPr>
          <w:p>
            <w:pPr>
              <w:ind w:left="520"/>
              <w:spacing w:after="0"/>
              <w:rPr>
                <w:sz w:val="20"/>
                <w:szCs w:val="20"/>
                <w:color w:val="auto"/>
              </w:rPr>
            </w:pPr>
            <w:r>
              <w:rPr>
                <w:rFonts w:ascii="Arial" w:cs="Arial" w:eastAsia="Arial" w:hAnsi="Arial"/>
                <w:sz w:val="18"/>
                <w:szCs w:val="18"/>
                <w:color w:val="auto"/>
                <w:w w:val="92"/>
              </w:rPr>
              <w:t>Revolving Credit Note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C-3</w:t>
            </w:r>
          </w:p>
        </w:tc>
        <w:tc>
          <w:tcPr>
            <w:tcW w:w="2160" w:type="dxa"/>
            <w:vAlign w:val="bottom"/>
          </w:tcPr>
          <w:p>
            <w:pPr>
              <w:ind w:left="520"/>
              <w:spacing w:after="0"/>
              <w:rPr>
                <w:sz w:val="20"/>
                <w:szCs w:val="20"/>
                <w:color w:val="auto"/>
              </w:rPr>
            </w:pPr>
            <w:r>
              <w:rPr>
                <w:rFonts w:ascii="Arial" w:cs="Arial" w:eastAsia="Arial" w:hAnsi="Arial"/>
                <w:sz w:val="18"/>
                <w:szCs w:val="18"/>
                <w:color w:val="auto"/>
              </w:rPr>
              <w:t>Swing Line Note</w:t>
            </w:r>
          </w:p>
        </w:tc>
      </w:tr>
    </w:tbl>
    <w:p>
      <w:pPr>
        <w:ind w:left="1840" w:hanging="1319"/>
        <w:spacing w:after="0"/>
        <w:tabs>
          <w:tab w:leader="none" w:pos="1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1840" w:hanging="1319"/>
        <w:spacing w:after="0"/>
        <w:tabs>
          <w:tab w:leader="none" w:pos="1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9" w:lineRule="exact"/>
        <w:rPr>
          <w:sz w:val="20"/>
          <w:szCs w:val="20"/>
          <w:color w:val="auto"/>
        </w:rPr>
      </w:pPr>
    </w:p>
    <w:p>
      <w:pPr>
        <w:ind w:left="1840" w:hanging="1319"/>
        <w:spacing w:after="0"/>
        <w:tabs>
          <w:tab w:leader="none" w:pos="1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Security Agreement</w:t>
      </w:r>
    </w:p>
    <w:p>
      <w:pPr>
        <w:spacing w:after="0" w:line="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G-1</w:t>
            </w:r>
          </w:p>
        </w:tc>
        <w:tc>
          <w:tcPr>
            <w:tcW w:w="2980" w:type="dxa"/>
            <w:vAlign w:val="bottom"/>
          </w:tcPr>
          <w:p>
            <w:pPr>
              <w:ind w:left="520"/>
              <w:spacing w:after="0"/>
              <w:rPr>
                <w:sz w:val="20"/>
                <w:szCs w:val="20"/>
                <w:color w:val="auto"/>
              </w:rPr>
            </w:pPr>
            <w:r>
              <w:rPr>
                <w:rFonts w:ascii="Arial" w:cs="Arial" w:eastAsia="Arial" w:hAnsi="Arial"/>
                <w:sz w:val="18"/>
                <w:szCs w:val="18"/>
                <w:color w:val="auto"/>
              </w:rPr>
              <w:t>Perfection Certificate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G-2</w:t>
            </w:r>
          </w:p>
        </w:tc>
        <w:tc>
          <w:tcPr>
            <w:tcW w:w="2980" w:type="dxa"/>
            <w:vAlign w:val="bottom"/>
          </w:tcPr>
          <w:p>
            <w:pPr>
              <w:ind w:left="520"/>
              <w:spacing w:after="0"/>
              <w:rPr>
                <w:sz w:val="20"/>
                <w:szCs w:val="20"/>
                <w:color w:val="auto"/>
              </w:rPr>
            </w:pPr>
            <w:r>
              <w:rPr>
                <w:rFonts w:ascii="Arial" w:cs="Arial" w:eastAsia="Arial" w:hAnsi="Arial"/>
                <w:sz w:val="18"/>
                <w:szCs w:val="18"/>
                <w:color w:val="auto"/>
                <w:w w:val="90"/>
              </w:rPr>
              <w:t>Perfection Certificate Supplement</w:t>
            </w:r>
          </w:p>
        </w:tc>
      </w:tr>
    </w:tbl>
    <w:p>
      <w:pPr>
        <w:ind w:left="1840" w:hanging="1319"/>
        <w:spacing w:after="0"/>
        <w:tabs>
          <w:tab w:leader="none" w:pos="1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Intercompany Note</w:t>
      </w:r>
    </w:p>
    <w:p>
      <w:pPr>
        <w:spacing w:after="0" w:line="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I-1</w:t>
            </w:r>
          </w:p>
        </w:tc>
        <w:tc>
          <w:tcPr>
            <w:tcW w:w="3260" w:type="dxa"/>
            <w:vAlign w:val="bottom"/>
          </w:tcPr>
          <w:p>
            <w:pPr>
              <w:ind w:left="560"/>
              <w:spacing w:after="0"/>
              <w:rPr>
                <w:sz w:val="20"/>
                <w:szCs w:val="20"/>
                <w:color w:val="auto"/>
              </w:rPr>
            </w:pPr>
            <w:r>
              <w:rPr>
                <w:rFonts w:ascii="Arial" w:cs="Arial" w:eastAsia="Arial" w:hAnsi="Arial"/>
                <w:sz w:val="18"/>
                <w:szCs w:val="18"/>
                <w:color w:val="auto"/>
              </w:rPr>
              <w:t>Intercreditor Agreement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I-2</w:t>
            </w:r>
          </w:p>
        </w:tc>
        <w:tc>
          <w:tcPr>
            <w:tcW w:w="3260" w:type="dxa"/>
            <w:vAlign w:val="bottom"/>
          </w:tcPr>
          <w:p>
            <w:pPr>
              <w:ind w:left="560"/>
              <w:spacing w:after="0"/>
              <w:rPr>
                <w:sz w:val="20"/>
                <w:szCs w:val="20"/>
                <w:color w:val="auto"/>
              </w:rPr>
            </w:pPr>
            <w:r>
              <w:rPr>
                <w:rFonts w:ascii="Arial" w:cs="Arial" w:eastAsia="Arial" w:hAnsi="Arial"/>
                <w:sz w:val="18"/>
                <w:szCs w:val="18"/>
                <w:color w:val="auto"/>
                <w:w w:val="91"/>
              </w:rPr>
              <w:t>Second Lien Intercreditor Agreement</w:t>
            </w:r>
          </w:p>
        </w:tc>
      </w:tr>
    </w:tbl>
    <w:p>
      <w:pPr>
        <w:ind w:left="1840" w:hanging="1319"/>
        <w:spacing w:after="0"/>
        <w:tabs>
          <w:tab w:leader="none" w:pos="1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United States Tax Compliance Certificate</w:t>
      </w:r>
    </w:p>
    <w:p>
      <w:pPr>
        <w:spacing w:after="0" w:line="9" w:lineRule="exact"/>
        <w:rPr>
          <w:sz w:val="20"/>
          <w:szCs w:val="20"/>
          <w:color w:val="auto"/>
        </w:rPr>
      </w:pPr>
    </w:p>
    <w:p>
      <w:pPr>
        <w:ind w:left="1840" w:hanging="1319"/>
        <w:spacing w:after="0"/>
        <w:tabs>
          <w:tab w:leader="none" w:pos="1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Solvency Certificate</w:t>
      </w:r>
    </w:p>
    <w:p>
      <w:pPr>
        <w:spacing w:after="0" w:line="9" w:lineRule="exact"/>
        <w:rPr>
          <w:sz w:val="20"/>
          <w:szCs w:val="20"/>
          <w:color w:val="auto"/>
        </w:rPr>
      </w:pPr>
    </w:p>
    <w:p>
      <w:pPr>
        <w:ind w:left="1840" w:hanging="1319"/>
        <w:spacing w:after="0"/>
        <w:tabs>
          <w:tab w:leader="none" w:pos="1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Loan Offer Provisions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5"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This CREDIT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October 11, 2013, among Activision Blizzard, Inc. (together with its successors and assigns, the “</w:t>
      </w:r>
      <w:r>
        <w:rPr>
          <w:rFonts w:ascii="Arial" w:cs="Arial" w:eastAsia="Arial" w:hAnsi="Arial"/>
          <w:sz w:val="18"/>
          <w:szCs w:val="18"/>
          <w:b w:val="1"/>
          <w:bCs w:val="1"/>
          <w:color w:val="auto"/>
        </w:rPr>
        <w:t>Borrower</w:t>
      </w:r>
      <w:r>
        <w:rPr>
          <w:rFonts w:ascii="Arial" w:cs="Arial" w:eastAsia="Arial" w:hAnsi="Arial"/>
          <w:sz w:val="18"/>
          <w:szCs w:val="18"/>
          <w:color w:val="auto"/>
        </w:rPr>
        <w:t>”), the Guarantors party hereto from time to time, BANK OF AMERICA, N.A., as Administrative Agent, Collateral Agent, the Swing Line Lender and an L/C Issuer, JPMORGAN CHASE BANK, N.A., as an L/C Issuer, and each lender from time to time party hereto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individually, a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PRELIMINARY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Borrower has requested that (i) on the Closing Date, the Term Lenders lend to the Borrower Term Loans in an initial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$2,500,000,000 in order to pay for the Stock Buy-Back and to finance costs and expenses incurred in connection with the Transaction and (ii)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the Revolving Credit Lenders make Revolving Credit Loans and Swing Line Loans to the Borrower and the L/C Issuers issue on the account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Borrower and its Subsidiaries Letters of Credit.</w:t>
      </w:r>
    </w:p>
    <w:p>
      <w:pPr>
        <w:sectPr>
          <w:pgSz w:w="11900" w:h="16838" w:orient="portrait"/>
          <w:cols w:equalWidth="0" w:num="1">
            <w:col w:w="11460"/>
          </w:cols>
          <w:pgMar w:left="240" w:top="125" w:right="199" w:bottom="0" w:gutter="0" w:footer="0" w:header="0"/>
        </w:sectPr>
      </w:pPr>
    </w:p>
    <w:bookmarkStart w:id="22" w:name="page23"/>
    <w:bookmarkEnd w:id="22"/>
    <w:p>
      <w:pPr>
        <w:ind w:right="340" w:firstLine="648"/>
        <w:spacing w:after="0" w:line="277" w:lineRule="auto"/>
        <w:rPr>
          <w:sz w:val="20"/>
          <w:szCs w:val="20"/>
          <w:color w:val="auto"/>
        </w:rPr>
      </w:pPr>
      <w:r>
        <w:rPr>
          <w:rFonts w:ascii="Arial" w:cs="Arial" w:eastAsia="Arial" w:hAnsi="Arial"/>
          <w:sz w:val="18"/>
          <w:szCs w:val="18"/>
          <w:color w:val="auto"/>
        </w:rPr>
        <w:t>The applicable Lenders have indicated their willingness to lend, and the L/C Issuers have indicated their willingness to issue Letters of Credit, in each case,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Accounting Terms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Opinion</w:t>
      </w:r>
      <w:r>
        <w:rPr>
          <w:rFonts w:ascii="Arial" w:cs="Arial" w:eastAsia="Arial" w:hAnsi="Arial"/>
          <w:sz w:val="18"/>
          <w:szCs w:val="18"/>
          <w:color w:val="auto"/>
        </w:rPr>
        <w:t>” has the meaning set forth in Section 6.01(a).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Indebtedness</w:t>
      </w:r>
      <w:r>
        <w:rPr>
          <w:rFonts w:ascii="Arial" w:cs="Arial" w:eastAsia="Arial" w:hAnsi="Arial"/>
          <w:sz w:val="18"/>
          <w:szCs w:val="18"/>
          <w:color w:val="auto"/>
        </w:rPr>
        <w:t>” means, with respect to any specified Person,</w:t>
      </w:r>
    </w:p>
    <w:p>
      <w:pPr>
        <w:spacing w:after="0" w:line="229" w:lineRule="exact"/>
        <w:rPr>
          <w:sz w:val="20"/>
          <w:szCs w:val="20"/>
          <w:color w:val="auto"/>
        </w:rPr>
      </w:pPr>
    </w:p>
    <w:p>
      <w:pPr>
        <w:ind w:left="660" w:firstLine="645"/>
        <w:spacing w:after="0" w:line="264" w:lineRule="auto"/>
        <w:tabs>
          <w:tab w:leader="none" w:pos="19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Restricted Subsidiary of such specified Person, including Indebtedness incurred in connection with, or in contemplation of, such other Person merging with or into or becoming a Restricted Subsidiary of such specified Person,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w:t>
      </w:r>
      <w:r>
        <w:rPr>
          <w:rFonts w:ascii="Arial" w:cs="Arial" w:eastAsia="Arial" w:hAnsi="Arial"/>
          <w:sz w:val="18"/>
          <w:szCs w:val="18"/>
          <w:color w:val="auto"/>
        </w:rPr>
        <w:t>” has the meaning set forth in Section 2.14(a).</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Refinancing Lender</w:t>
      </w:r>
      <w:r>
        <w:rPr>
          <w:rFonts w:ascii="Arial" w:cs="Arial" w:eastAsia="Arial" w:hAnsi="Arial"/>
          <w:sz w:val="18"/>
          <w:szCs w:val="18"/>
          <w:color w:val="auto"/>
        </w:rPr>
        <w:t>” means, at any time, any bank, financial institution or other institutional lender or investor that, in any case, is not an existing Lender and that agrees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provide any portion of Credit Agreement Refinancing Indebtedness pursuant to a Refinancing Amendment in accordance with Section 2.15,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Additional Refinancing Lender shall be subject to the approval of the Administrative Agent, such approval not to be unreasonably withheld or delayed, to the extent that any such consent would be required from the Administrative Agent under Section 10.06(b)(iii)(B) for an assignment of Loans to such Additional Refinancing Lender and in the case of Other Revolving Credit Commitments with respect to the Revolving Credit Facility, the Swing Line Lender and L/C Issuer, solely to the extent such consent would be required for any assignment to such Lender.</w:t>
      </w:r>
    </w:p>
    <w:p>
      <w:pPr>
        <w:spacing w:after="0" w:line="169"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Bank of America, N.A., in its capacity as administrative agent under any of the Loan Documents, or any successor administrative agent.</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means the Administrative Agent’s address and account as set forth on Schedule 10.02, or such other address or account as the Administrative Agent may from time to time notify the Borrower and the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right="1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has the meaning set forth in Section 10.02(c).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means, collectively, the Administrative Agent, the Collateral Agent and the Syndication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credit agreement, as the same may be amended, amended and restated, supplemented or otherwise modified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Amber Holding</w:t>
      </w:r>
      <w:r>
        <w:rPr>
          <w:rFonts w:ascii="Arial" w:cs="Arial" w:eastAsia="Arial" w:hAnsi="Arial"/>
          <w:sz w:val="18"/>
          <w:szCs w:val="18"/>
          <w:color w:val="auto"/>
        </w:rPr>
        <w:t>” means Amber Holding Subsidiary Co.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has the meaning set forth in Section 5.15.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Indebtedness</w:t>
      </w:r>
      <w:r>
        <w:rPr>
          <w:rFonts w:ascii="Arial" w:cs="Arial" w:eastAsia="Arial" w:hAnsi="Arial"/>
          <w:sz w:val="18"/>
          <w:szCs w:val="18"/>
          <w:color w:val="auto"/>
        </w:rPr>
        <w:t>” has the meaning set forth in the definition of “Weighted Average Life to Maturity.”</w:t>
      </w:r>
    </w:p>
    <w:p>
      <w:pPr>
        <w:spacing w:after="0" w:line="225" w:lineRule="exact"/>
        <w:rPr>
          <w:sz w:val="20"/>
          <w:szCs w:val="20"/>
          <w:color w:val="auto"/>
        </w:rPr>
      </w:pPr>
    </w:p>
    <w:p>
      <w:pPr>
        <w:ind w:right="8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Percentage</w:t>
      </w:r>
      <w:r>
        <w:rPr>
          <w:rFonts w:ascii="Arial" w:cs="Arial" w:eastAsia="Arial" w:hAnsi="Arial"/>
          <w:sz w:val="16"/>
          <w:szCs w:val="16"/>
          <w:color w:val="auto"/>
        </w:rPr>
        <w:t>” means with respect to any Revolving Credit Lender, the percentage of the total Revolving Credit Commitments represented by such Revolving Credit Lender’s Revolving Credit Commitment. If the Revolving Credit Commitments have terminated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expired, the Applicable Percentages shall be determined based upon the Revolving Credit Commitments most recently in effect, giving effect to any assignments.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Period</w:t>
      </w:r>
      <w:r>
        <w:rPr>
          <w:rFonts w:ascii="Arial" w:cs="Arial" w:eastAsia="Arial" w:hAnsi="Arial"/>
          <w:sz w:val="18"/>
          <w:szCs w:val="18"/>
          <w:color w:val="auto"/>
        </w:rPr>
        <w:t>” has the meaning set forth in the definition of “Applicable Rate.”</w:t>
      </w:r>
    </w:p>
    <w:p>
      <w:pPr>
        <w:sectPr>
          <w:pgSz w:w="11900" w:h="16838" w:orient="portrait"/>
          <w:cols w:equalWidth="0" w:num="1">
            <w:col w:w="11420"/>
          </w:cols>
          <w:pgMar w:left="240" w:top="125" w:right="239" w:bottom="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Rate</w:t>
      </w:r>
      <w:r>
        <w:rPr>
          <w:rFonts w:ascii="Arial" w:cs="Arial" w:eastAsia="Arial" w:hAnsi="Arial"/>
          <w:sz w:val="18"/>
          <w:szCs w:val="18"/>
          <w:color w:val="auto"/>
        </w:rPr>
        <w:t>” means a percentage per annum equal to:</w:t>
      </w:r>
    </w:p>
    <w:p>
      <w:pPr>
        <w:spacing w:after="0" w:line="229" w:lineRule="exact"/>
        <w:rPr>
          <w:sz w:val="20"/>
          <w:szCs w:val="20"/>
          <w:color w:val="auto"/>
        </w:rPr>
      </w:pPr>
    </w:p>
    <w:p>
      <w:pPr>
        <w:ind w:left="1940" w:hanging="635"/>
        <w:spacing w:after="0"/>
        <w:tabs>
          <w:tab w:leader="none" w:pos="1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Term Loans, 2.50% in the case of Eurodollar Rate Loans and 1.50% in the case of Base Rate Loans.</w:t>
      </w:r>
    </w:p>
    <w:p>
      <w:pPr>
        <w:spacing w:after="0" w:line="225" w:lineRule="exact"/>
        <w:rPr>
          <w:rFonts w:ascii="Arial" w:cs="Arial" w:eastAsia="Arial" w:hAnsi="Arial"/>
          <w:sz w:val="18"/>
          <w:szCs w:val="18"/>
          <w:color w:val="auto"/>
        </w:rPr>
      </w:pPr>
    </w:p>
    <w:p>
      <w:pPr>
        <w:ind w:left="660" w:right="20" w:firstLine="645"/>
        <w:spacing w:after="0" w:line="255" w:lineRule="auto"/>
        <w:tabs>
          <w:tab w:leader="none" w:pos="19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Revolving Credit Loans, unused Revolving Credit Commitments and Letter of Credit fees, (i) until delivery of financial statements for the first full fiscal quarter commencing on or after the Closing Date pursuant to Section 6.01, (A) for Eurodollar Rate Loans, 2.25%, (B) for Base Rate Loans, 1.25%, (C) for Letter of Credit fees, 2.25% and (D) for unused commitment fees, 0.250% and (ii) thereafter, the following percentages per annum (less, in the case of Letter of Credit fees, the fronting fee payable in respect of the applicable Letter of Credit), based upon the Consolidated Secured Debt Ratio as set forth in the most recent Compliance Certificate received by the Administrative Agent pursuant to Section 6.02(a):</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Applicable Rate</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Pricing</w:t>
            </w:r>
          </w:p>
        </w:tc>
        <w:tc>
          <w:tcPr>
            <w:tcW w:w="218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Consolidated Secured</w:t>
            </w:r>
          </w:p>
        </w:tc>
        <w:tc>
          <w:tcPr>
            <w:tcW w:w="136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Eurodollar</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Unused</w:t>
            </w:r>
          </w:p>
        </w:tc>
        <w:tc>
          <w:tcPr>
            <w:tcW w:w="0" w:type="dxa"/>
            <w:vAlign w:val="bottom"/>
          </w:tcPr>
          <w:p>
            <w:pPr>
              <w:spacing w:after="0"/>
              <w:rPr>
                <w:sz w:val="1"/>
                <w:szCs w:val="1"/>
                <w:color w:val="auto"/>
              </w:rPr>
            </w:pPr>
          </w:p>
        </w:tc>
      </w:tr>
      <w:tr>
        <w:trPr>
          <w:trHeight w:val="149"/>
        </w:trPr>
        <w:tc>
          <w:tcPr>
            <w:tcW w:w="2840" w:type="dxa"/>
            <w:vAlign w:val="bottom"/>
            <w:gridSpan w:val="2"/>
            <w:vMerge w:val="continue"/>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13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6"/>
              </w:rPr>
              <w:t>Rate and Letter</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Base Rate</w:t>
            </w:r>
          </w:p>
        </w:tc>
        <w:tc>
          <w:tcPr>
            <w:tcW w:w="260" w:type="dxa"/>
            <w:vAlign w:val="bottom"/>
            <w:vMerge w:val="restart"/>
          </w:tcPr>
          <w:p>
            <w:pPr>
              <w:spacing w:after="0"/>
              <w:rPr>
                <w:sz w:val="12"/>
                <w:szCs w:val="12"/>
                <w:color w:val="auto"/>
              </w:rPr>
            </w:pPr>
          </w:p>
        </w:tc>
        <w:tc>
          <w:tcPr>
            <w:tcW w:w="1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7"/>
              </w:rPr>
              <w:t>Debt Ratio</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2"/>
              </w:rPr>
              <w:t>of Credit Fees</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&lt;2.00:1.00</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2.25%</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176"/>
        </w:trPr>
        <w:tc>
          <w:tcPr>
            <w:tcW w:w="2580" w:type="dxa"/>
            <w:vAlign w:val="bottom"/>
          </w:tcPr>
          <w:p>
            <w:pPr>
              <w:jc w:val="right"/>
              <w:ind w:right="1159"/>
              <w:spacing w:after="0" w:line="176"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gridSpan w:val="2"/>
          </w:tcPr>
          <w:p>
            <w:pPr>
              <w:jc w:val="center"/>
              <w:ind w:right="580"/>
              <w:spacing w:after="0" w:line="176" w:lineRule="exact"/>
              <w:rPr>
                <w:sz w:val="20"/>
                <w:szCs w:val="20"/>
                <w:color w:val="auto"/>
              </w:rPr>
            </w:pPr>
            <w:r>
              <w:rPr>
                <w:rFonts w:ascii="Arial" w:cs="Arial" w:eastAsia="Arial" w:hAnsi="Arial"/>
                <w:sz w:val="18"/>
                <w:szCs w:val="18"/>
                <w:color w:val="auto"/>
                <w:w w:val="91"/>
              </w:rPr>
              <w:t>&gt;2.00:1.00</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w w:val="93"/>
              </w:rPr>
              <w:t>2.50%</w:t>
            </w:r>
          </w:p>
        </w:tc>
        <w:tc>
          <w:tcPr>
            <w:tcW w:w="18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1.50%</w:t>
            </w:r>
          </w:p>
        </w:tc>
        <w:tc>
          <w:tcPr>
            <w:tcW w:w="17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Any increase or decrease in the Applicable Rate resulting from a change in the Consolidated Secured Debt Ratio shall become effective as of the first Business Day immediately following the date a Compliance Certificate is delivered pursuant to Section 6.02(a);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the request of the Required Lenders, the highest Pricing Level shall apply (x) as of the first Business Day after the date on which a Compliance Certificate was required to have been delivered but was not delivered, and shall continue to so apply up to and including the date on which such Compliance Certificate is so delivered (and thereafter the Pricing Level otherwise determined in accordance with this definition shall apply) and (y) as of the first Business Day after an Event of Default under Section 8.01(a) shall have occurred and be continuing, and shall continue to so apply up to but excluding the date on which such Event of Default is cured or waived (and thereafter the Pricing Level otherwise determined in accordance with this definition shall apply).</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event that any Compliance Certificate is shown by the Administrative Agent to be inaccurate (whether as a result of an inaccuracy in the financial statements on which such Compliance Certificate is based, a mistake in calculating the applicable Consolidated Secured Debt Ratio or otherwise) at any time that this Agreement is in effect and any Loans or Commitments are outstanding such that the Applicable Rate for any period (an “</w:t>
      </w:r>
      <w:r>
        <w:rPr>
          <w:rFonts w:ascii="Arial" w:cs="Arial" w:eastAsia="Arial" w:hAnsi="Arial"/>
          <w:sz w:val="18"/>
          <w:szCs w:val="18"/>
          <w:b w:val="1"/>
          <w:bCs w:val="1"/>
          <w:color w:val="auto"/>
        </w:rPr>
        <w:t>Applicable</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should have been higher than the Applicable Rate applied for such Applicable Period, then (i) the Borrower shall promptly (and in no event later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five (5) Business Days thereafter) deliver to the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Administrative Agent a corrected Compliance Certificate for such Applicable Period, (ii) the Applicable Rate shall be determined by reference to the corrected Compliance Certificate (but in no event shall the Lenders owe any amounts to the Borrower), and (iii) the Borrower shall pay to the Administrative Agent promptly upon demand (and in no event later than five (5) Business Days after demand) any additional interest owing as a result of such increased Applicable Rate for such Applicable Period, which payment shall be promptly applied by the Administrative Agent in accordance with the terms hereof. Notwithstanding anything to the contrary in this Agreement, any additional interest hereunder shall not be due and payable until demand is made for such payment pursuant to clause (iii) above and accordingly, any nonpayment of such interest as a result of any such inaccuracy shall not constitute a Default (whether retroactively or otherwise), and no such amounts shall be deemed overdue (and no amounts shall accrue interest at the Default Rate), at any time prior to the date that is five (5) Business Days following such demand. The Borrower’s Obligations under this paragraph shall survive the termination of the Aggregate Commitments and the repayment of all other Obligations hereunder.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Appropriate Lender</w:t>
      </w:r>
      <w:r>
        <w:rPr>
          <w:rFonts w:ascii="Arial" w:cs="Arial" w:eastAsia="Arial" w:hAnsi="Arial"/>
          <w:sz w:val="16"/>
          <w:szCs w:val="16"/>
          <w:color w:val="auto"/>
        </w:rPr>
        <w:t>” means, at any time, (a) with respect to Loans of any Class, the Lenders of such Class, (b) with respect to Letters of Credit,</w:t>
      </w:r>
    </w:p>
    <w:p>
      <w:pPr>
        <w:spacing w:after="0" w:line="50" w:lineRule="exact"/>
        <w:rPr>
          <w:sz w:val="20"/>
          <w:szCs w:val="20"/>
          <w:color w:val="auto"/>
        </w:rPr>
      </w:pPr>
    </w:p>
    <w:p>
      <w:pPr>
        <w:ind w:firstLine="8"/>
        <w:spacing w:after="0" w:line="261" w:lineRule="auto"/>
        <w:tabs>
          <w:tab w:leader="none" w:pos="2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relevant L/C Issuers and (ii) the Revolving Credit Lenders and (c) with respect to the Swing Line Facility, (i) the relevant Swing Line Lender and (ii) if any Swing Line Loans are outstanding pursuant to Section 2.04(a), the Revolving Credit Lenders.</w:t>
      </w:r>
    </w:p>
    <w:p>
      <w:pPr>
        <w:spacing w:after="0" w:line="180"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advised or managed by (a) a Lender, (b) an Affiliate of a Lender or (c) an entity or an Affiliate of an entity that administers, advises or manages a Lender.</w:t>
      </w:r>
    </w:p>
    <w:p>
      <w:pPr>
        <w:spacing w:after="0" w:line="1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Arrangers</w:t>
      </w:r>
      <w:r>
        <w:rPr>
          <w:rFonts w:ascii="Arial" w:cs="Arial" w:eastAsia="Arial" w:hAnsi="Arial"/>
          <w:sz w:val="18"/>
          <w:szCs w:val="18"/>
          <w:color w:val="auto"/>
        </w:rPr>
        <w:t>” means Bank of America, N.A., an affiliate of Merrill Lynch, Pierce, Fenner &amp; Smith Incorporated and J.P. Morgan Securities LLC, in their capacities as lead arranger and lead bookrunners.</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Assignees</w:t>
      </w:r>
      <w:r>
        <w:rPr>
          <w:rFonts w:ascii="Arial" w:cs="Arial" w:eastAsia="Arial" w:hAnsi="Arial"/>
          <w:sz w:val="18"/>
          <w:szCs w:val="18"/>
          <w:color w:val="auto"/>
        </w:rPr>
        <w:t>” has the meaning set forth in Section 10.06(b).</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and Assumption</w:t>
      </w:r>
      <w:r>
        <w:rPr>
          <w:rFonts w:ascii="Arial" w:cs="Arial" w:eastAsia="Arial" w:hAnsi="Arial"/>
          <w:sz w:val="17"/>
          <w:szCs w:val="17"/>
          <w:color w:val="auto"/>
        </w:rPr>
        <w:t>” means an assignment and assumption entered into by a Lender and an Eligible Assignee (with the consent of any party whose consent is required by Section 10.06(b)(iii), and accepted by the Administrative Agent, in substantially the form of Exhibit E hereto or any other form (including electronic documentation generated by MarkitClear or other electronic platform) approved by the Administrative Agent.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Attorney Costs</w:t>
      </w:r>
      <w:r>
        <w:rPr>
          <w:rFonts w:ascii="Arial" w:cs="Arial" w:eastAsia="Arial" w:hAnsi="Arial"/>
          <w:sz w:val="17"/>
          <w:szCs w:val="17"/>
          <w:color w:val="auto"/>
        </w:rPr>
        <w:t>” means and includes all reasonable fees, expenses and disbursements of any law firm or other external legal counsel.</w:t>
      </w:r>
    </w:p>
    <w:p>
      <w:pPr>
        <w:spacing w:after="0" w:line="237"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means, on any date, in respect of any Capitalized Lease of any Person, the capitalized amount thereof that would appear on a balance sheet of such Person prepared as of such date in accordance with GAAP.</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721" w:gutter="0" w:footer="0" w:header="0"/>
        </w:sectPr>
      </w:pPr>
    </w:p>
    <w:bookmarkStart w:id="24" w:name="page25"/>
    <w:bookmarkEnd w:id="24"/>
    <w:p>
      <w:pPr>
        <w:jc w:val="both"/>
        <w:ind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means the audited consolidated balance sheet of the Borrower and its Subsidiaries as of each of December 31, 2012 and 2011, and the related audited consolidated statements of income, of changes in shareholders’ equity and of cash flows for the Borrower and its Subsidiaries for the fiscal years ended December 31, 2012, 2011 and 2010, respectively.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has the meaning set forth in Section 2.03(b)(iii).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Rate</w:t>
      </w:r>
      <w:r>
        <w:rPr>
          <w:rFonts w:ascii="Arial" w:cs="Arial" w:eastAsia="Arial" w:hAnsi="Arial"/>
          <w:sz w:val="17"/>
          <w:szCs w:val="17"/>
          <w:color w:val="auto"/>
        </w:rPr>
        <w:t xml:space="preserve">” means for any day a fluctuating rate per annum equal to the highest of (a) the Federal Funds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1/2 of 1%, (b) the rate of interest in effect for such day as publicly announced from time to time by Bank of America as its “prime rate,” and (c) the Eurodollar Rate plus 1.00%;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this clause (c), the Base Rate with respect to Term Loans will be deemed not to be less than 1.75%.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has the meaning assigned to such term in Section 6.02.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means a Revolving Credit Borrowing, a Swing Line Borrowing, or a Term Borrowing, as the context may require.</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interest rate settings as to a Eurodollar Rate Loan, any fundings, disbursements, settlements and payments in respect of any such Eurodollar Rate Loan, or any other dealings to be carried out pursuant to this Agreement in respect of any such Eurodollar Rate Loan, means any such day on which dealings in deposits are conducted by and between banks in the London interbank eurodollar 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w:t>
      </w:r>
    </w:p>
    <w:p>
      <w:pPr>
        <w:spacing w:after="0" w:line="229" w:lineRule="exact"/>
        <w:rPr>
          <w:sz w:val="20"/>
          <w:szCs w:val="20"/>
          <w:color w:val="auto"/>
        </w:rPr>
      </w:pPr>
    </w:p>
    <w:p>
      <w:pPr>
        <w:ind w:left="1940" w:hanging="635"/>
        <w:spacing w:after="0"/>
        <w:tabs>
          <w:tab w:leader="none" w:pos="1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5660" w:right="380" w:hanging="4355"/>
        <w:spacing w:after="0" w:line="528" w:lineRule="auto"/>
        <w:tabs>
          <w:tab w:leader="none" w:pos="19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 5</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firstLine="645"/>
        <w:spacing w:after="0" w:line="277" w:lineRule="auto"/>
        <w:tabs>
          <w:tab w:leader="none" w:pos="1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means, at the time any determination thereof is to be made, the amount of the liability in respect of a capital lease that would at such time be required to be capitalized and reflected as a liability on a balance sheet (excluding the footnotes thereto) in accordance with GAAP as in effect on the Closing Date.</w:t>
      </w:r>
    </w:p>
    <w:p>
      <w:pPr>
        <w:spacing w:after="0" w:line="176"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Leases</w:t>
      </w:r>
      <w:r>
        <w:rPr>
          <w:rFonts w:ascii="Arial" w:cs="Arial" w:eastAsia="Arial" w:hAnsi="Arial"/>
          <w:sz w:val="18"/>
          <w:szCs w:val="18"/>
          <w:color w:val="auto"/>
        </w:rPr>
        <w:t xml:space="preserve">” means all leases that have been or should be, in accordance with GAAP, recorded as capitalized leases;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all purposes hereunder the amount of obligations under any Capitalized Lease shall be the amount thereof accounted for as a liability in accordance with GAAP as in effect on the Closing Date.</w:t>
      </w:r>
    </w:p>
    <w:p>
      <w:pPr>
        <w:spacing w:after="0" w:line="17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Software Expenditures</w:t>
      </w:r>
      <w:r>
        <w:rPr>
          <w:rFonts w:ascii="Arial" w:cs="Arial" w:eastAsia="Arial" w:hAnsi="Arial"/>
          <w:sz w:val="17"/>
          <w:szCs w:val="17"/>
          <w:color w:val="auto"/>
        </w:rPr>
        <w:t>” means, for any period, the aggregate of all expenditures (whether paid in cash or accrued as liabilities) by a Person and its Restricted Subsidiaries during such period in respect of purchased software or internally developed software and software enhancements that, in conformity with GAAP, are or are required to be reflected as capitalized costs on the consolidated balance sheet of such Person and such Subsidiaries (for the avoidance doubt, this excludes software development costs in accordance with FASB guidance for costs of computer software to be sold, leased, or otherwise marketed under Accounting Standards Codification Subtopic 985-20).</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w:t>
      </w:r>
      <w:r>
        <w:rPr>
          <w:rFonts w:ascii="Arial" w:cs="Arial" w:eastAsia="Arial" w:hAnsi="Arial"/>
          <w:sz w:val="18"/>
          <w:szCs w:val="18"/>
          <w:color w:val="auto"/>
        </w:rPr>
        <w:t>” has the meaning specified in Section 2.03(g).</w:t>
      </w:r>
    </w:p>
    <w:p>
      <w:pPr>
        <w:spacing w:after="0" w:line="225"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means a blocked account at Bank of America, N.A. (or another commercial bank selected in compliance with Section 9.09) in the name of the Administrative Agent and under the sole dominion and control of the Administrative Agent, and otherwise established in a manner satisfactory to the Administrative Agent.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has the meaning specified in Section 2.03(g).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w:t>
      </w:r>
    </w:p>
    <w:p>
      <w:pPr>
        <w:spacing w:after="0" w:line="229" w:lineRule="exact"/>
        <w:rPr>
          <w:sz w:val="20"/>
          <w:szCs w:val="20"/>
          <w:color w:val="auto"/>
        </w:rPr>
      </w:pPr>
    </w:p>
    <w:p>
      <w:pPr>
        <w:ind w:left="1940" w:hanging="635"/>
        <w:spacing w:after="0"/>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euro, or any national currency of any participating member state of the EMU; or</w:t>
      </w:r>
    </w:p>
    <w:p>
      <w:pPr>
        <w:spacing w:after="0" w:line="225" w:lineRule="exact"/>
        <w:rPr>
          <w:rFonts w:ascii="Arial" w:cs="Arial" w:eastAsia="Arial" w:hAnsi="Arial"/>
          <w:sz w:val="18"/>
          <w:szCs w:val="18"/>
          <w:color w:val="auto"/>
        </w:rPr>
      </w:pPr>
    </w:p>
    <w:p>
      <w:pPr>
        <w:ind w:left="1300" w:right="60" w:firstLine="653"/>
        <w:spacing w:after="0" w:line="277" w:lineRule="auto"/>
        <w:tabs>
          <w:tab w:leader="none" w:pos="2607"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the case of any Foreign Subsidiary that is a Restricted Subsidiary, such local currencies held by them from time to time in the ordinary course of business;</w:t>
      </w:r>
    </w:p>
    <w:p>
      <w:pPr>
        <w:sectPr>
          <w:pgSz w:w="11900" w:h="16838" w:orient="portrait"/>
          <w:cols w:equalWidth="0" w:num="1">
            <w:col w:w="11420"/>
          </w:cols>
          <w:pgMar w:left="240" w:top="121" w:right="239" w:bottom="0" w:gutter="0" w:footer="0" w:header="0"/>
        </w:sectPr>
      </w:pPr>
    </w:p>
    <w:bookmarkStart w:id="25" w:name="page26"/>
    <w:bookmarkEnd w:id="25"/>
    <w:p>
      <w:pPr>
        <w:spacing w:after="0" w:line="82" w:lineRule="exact"/>
        <w:rPr>
          <w:sz w:val="20"/>
          <w:szCs w:val="20"/>
          <w:color w:val="auto"/>
        </w:rPr>
      </w:pPr>
    </w:p>
    <w:p>
      <w:pPr>
        <w:ind w:left="660" w:right="40" w:firstLine="645"/>
        <w:spacing w:after="0" w:line="264" w:lineRule="auto"/>
        <w:tabs>
          <w:tab w:leader="none" w:pos="19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59" w:lineRule="auto"/>
        <w:tabs>
          <w:tab w:leader="none" w:pos="19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certificates of deposit, time deposits and dollar time deposits with maturities of one year or less from the date of acquisition, bankers’ acceptances with maturities not exceeding one year and overnight bank deposits, in each case with any commercial bank having capital and surplus of not less than $500.0 million in the case of U.S. banks and $100.0 million (or the U.S. dollar equivalent as of the date of determination) in the case of non-U.S. banks;</w:t>
      </w:r>
    </w:p>
    <w:p>
      <w:pPr>
        <w:spacing w:after="0" w:line="186" w:lineRule="exact"/>
        <w:rPr>
          <w:rFonts w:ascii="Arial" w:cs="Arial" w:eastAsia="Arial" w:hAnsi="Arial"/>
          <w:sz w:val="18"/>
          <w:szCs w:val="18"/>
          <w:color w:val="auto"/>
        </w:rPr>
      </w:pPr>
    </w:p>
    <w:p>
      <w:pPr>
        <w:ind w:left="660" w:right="600" w:firstLine="645"/>
        <w:spacing w:after="0" w:line="277" w:lineRule="auto"/>
        <w:tabs>
          <w:tab w:leader="none" w:pos="1967"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repurchase obligations for underlying securities of the types described in clauses (c) and (d) entered into with any financial institution meeting the qualifications specified in clause (d) above;</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1"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commercial paper rated at least P-1 by Moody’s or at least A-1 by S&amp;P and in each case maturing within 24 months after the date of creation thereof;</w:t>
      </w:r>
    </w:p>
    <w:p>
      <w:pPr>
        <w:spacing w:after="0" w:line="170" w:lineRule="exact"/>
        <w:rPr>
          <w:rFonts w:ascii="Arial" w:cs="Arial" w:eastAsia="Arial" w:hAnsi="Arial"/>
          <w:sz w:val="18"/>
          <w:szCs w:val="18"/>
          <w:color w:val="auto"/>
        </w:rPr>
      </w:pPr>
    </w:p>
    <w:p>
      <w:pPr>
        <w:ind w:left="660" w:right="240" w:firstLine="645"/>
        <w:spacing w:after="0" w:line="264" w:lineRule="auto"/>
        <w:tabs>
          <w:tab w:leader="none" w:pos="1977" w:val="left"/>
        </w:tabs>
        <w:numPr>
          <w:ilvl w:val="1"/>
          <w:numId w:val="57"/>
        </w:numPr>
        <w:rPr>
          <w:rFonts w:ascii="Arial" w:cs="Arial" w:eastAsia="Arial" w:hAnsi="Arial"/>
          <w:sz w:val="18"/>
          <w:szCs w:val="18"/>
          <w:color w:val="auto"/>
        </w:rPr>
      </w:pPr>
      <w:r>
        <w:rPr>
          <w:rFonts w:ascii="Arial" w:cs="Arial" w:eastAsia="Arial" w:hAnsi="Arial"/>
          <w:sz w:val="18"/>
          <w:szCs w:val="18"/>
          <w:color w:val="auto"/>
        </w:rPr>
        <w:t>marketable short-term money market and similar securities having a rating of at least P-2 or A-2 from either Moody’s or S&amp;P, respectively (or, if at any time neither Moody’s nor S&amp;P shall be rating such obligations, an equivalent rating from another Rating Agency) and in each case maturing within 24 months after the date of creation thereof;</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investment funds investing 95% of their assets in securities of the types described in clauses (a) through (g) above and (i) through</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below);</w:t>
      </w:r>
    </w:p>
    <w:p>
      <w:pPr>
        <w:spacing w:after="0" w:line="210" w:lineRule="exact"/>
        <w:rPr>
          <w:rFonts w:ascii="Arial" w:cs="Arial" w:eastAsia="Arial" w:hAnsi="Arial"/>
          <w:sz w:val="18"/>
          <w:szCs w:val="18"/>
          <w:color w:val="auto"/>
        </w:rPr>
      </w:pPr>
    </w:p>
    <w:p>
      <w:pPr>
        <w:ind w:left="660" w:right="240" w:firstLine="645"/>
        <w:spacing w:after="0" w:line="264" w:lineRule="auto"/>
        <w:tabs>
          <w:tab w:leader="none" w:pos="1978"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commonwealth or territory of the United States or any political subdivision or taxing authority thereof having an Investment Grade Rating from either Moody’s or S&amp;P with maturities of 24 months or less from the date of acquisition;</w:t>
      </w:r>
    </w:p>
    <w:p>
      <w:pPr>
        <w:spacing w:after="0" w:line="181"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 or higher from S&amp;P or “A2” or higher from Moody’s with maturities of 24 months or less from the date of acquisition; and</w:t>
      </w:r>
    </w:p>
    <w:p>
      <w:pPr>
        <w:spacing w:after="0" w:line="170" w:lineRule="exact"/>
        <w:rPr>
          <w:rFonts w:ascii="Arial" w:cs="Arial" w:eastAsia="Arial" w:hAnsi="Arial"/>
          <w:sz w:val="18"/>
          <w:szCs w:val="18"/>
          <w:color w:val="auto"/>
        </w:rPr>
      </w:pPr>
    </w:p>
    <w:p>
      <w:pPr>
        <w:ind w:left="660" w:right="180" w:firstLine="645"/>
        <w:spacing w:after="0" w:line="277" w:lineRule="auto"/>
        <w:tabs>
          <w:tab w:leader="none" w:pos="19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Investments with average maturities of 24 months or less from the date of acquisition in money market funds rated AAA- (or the equivalent thereof) or better by S&amp;P or Aaa3 (or the equivalent thereof) or better by Moody’s.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Notwithstanding the foregoing, Cash Equivalents shall include amounts denominated in currencies other than those set forth in clauses (a) and</w:t>
      </w:r>
    </w:p>
    <w:p>
      <w:pPr>
        <w:spacing w:after="0" w:line="35" w:lineRule="exact"/>
        <w:rPr>
          <w:sz w:val="20"/>
          <w:szCs w:val="20"/>
          <w:color w:val="auto"/>
        </w:rPr>
      </w:pPr>
    </w:p>
    <w:p>
      <w:pPr>
        <w:ind w:right="420" w:firstLine="8"/>
        <w:spacing w:after="0" w:line="261"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amounts are converted into any currency listed in clauses (a) and (b) as promptly as practicable and in any event within ten Business Days following the receipt of such amounts.</w:t>
      </w:r>
    </w:p>
    <w:p>
      <w:pPr>
        <w:spacing w:after="0" w:line="180"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Event</w:t>
      </w:r>
      <w:r>
        <w:rPr>
          <w:rFonts w:ascii="Arial" w:cs="Arial" w:eastAsia="Arial" w:hAnsi="Arial"/>
          <w:sz w:val="18"/>
          <w:szCs w:val="18"/>
          <w:color w:val="auto"/>
        </w:rPr>
        <w:t>” means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means the Comprehensive Environmental Response, Compensation and Liability Act of 1980, as subsequently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CERCLIS</w:t>
      </w:r>
      <w:r>
        <w:rPr>
          <w:rFonts w:ascii="Arial" w:cs="Arial" w:eastAsia="Arial" w:hAnsi="Arial"/>
          <w:sz w:val="17"/>
          <w:szCs w:val="17"/>
          <w:color w:val="auto"/>
        </w:rPr>
        <w:t>” means the Comprehensive Environmental Response, Compensation and Liability Information System maintained by the U.S.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Protection Agency.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CFC Holdco</w:t>
      </w:r>
      <w:r>
        <w:rPr>
          <w:rFonts w:ascii="Arial" w:cs="Arial" w:eastAsia="Arial" w:hAnsi="Arial"/>
          <w:sz w:val="16"/>
          <w:szCs w:val="16"/>
          <w:color w:val="auto"/>
        </w:rPr>
        <w:t>” means a Domestic Subsidiary that has no material assets other than the equity of one or more Foreign Subsidiaries that are CFCs.</w:t>
      </w:r>
    </w:p>
    <w:p>
      <w:pPr>
        <w:spacing w:after="0" w:line="248"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of the following:</w:t>
      </w:r>
    </w:p>
    <w:p>
      <w:pPr>
        <w:spacing w:after="0" w:line="229" w:lineRule="exact"/>
        <w:rPr>
          <w:sz w:val="20"/>
          <w:szCs w:val="20"/>
          <w:color w:val="auto"/>
        </w:rPr>
      </w:pPr>
    </w:p>
    <w:p>
      <w:pPr>
        <w:ind w:left="660" w:right="280" w:firstLine="645"/>
        <w:spacing w:after="0" w:line="277" w:lineRule="auto"/>
        <w:tabs>
          <w:tab w:leader="none" w:pos="195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sale, lease or transfer, in one or a series of related transactions, of all or substantially all of the assets of the Borrower and its Subsidiaries, taken as a whole, to any Person;</w:t>
      </w:r>
    </w:p>
    <w:p>
      <w:pPr>
        <w:spacing w:after="0" w:line="170" w:lineRule="exact"/>
        <w:rPr>
          <w:rFonts w:ascii="Arial" w:cs="Arial" w:eastAsia="Arial" w:hAnsi="Arial"/>
          <w:sz w:val="18"/>
          <w:szCs w:val="18"/>
          <w:color w:val="auto"/>
        </w:rPr>
      </w:pPr>
    </w:p>
    <w:p>
      <w:pPr>
        <w:ind w:left="660" w:firstLine="645"/>
        <w:spacing w:after="0" w:line="273" w:lineRule="auto"/>
        <w:tabs>
          <w:tab w:leader="none" w:pos="1964"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Borrower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securities (within the meaning of Rule 13d-5(b)(1) under the Exchange Act, or any successor provision) in a single transaction or in a related series of transactions, by way of merger, consolidation or other business combination or purchase of beneficial ownership (within the meaning of Rule 13d-3 under the Exchange Act, or any successor provision) of a majority or more of the total voting power of the Voting Stock of the Borrower;</w:t>
      </w:r>
    </w:p>
    <w:p>
      <w:pPr>
        <w:sectPr>
          <w:pgSz w:w="11900" w:h="16921" w:orient="portrait"/>
          <w:cols w:equalWidth="0" w:num="1">
            <w:col w:w="11420"/>
          </w:cols>
          <w:pgMar w:left="240" w:top="125" w:right="239" w:bottom="0" w:gutter="0" w:footer="0" w:header="0"/>
        </w:sectPr>
      </w:pPr>
    </w:p>
    <w:bookmarkStart w:id="26" w:name="page27"/>
    <w:bookmarkEnd w:id="26"/>
    <w:p>
      <w:pPr>
        <w:spacing w:after="0" w:line="20" w:lineRule="exact"/>
        <w:rPr>
          <w:sz w:val="20"/>
          <w:szCs w:val="20"/>
          <w:color w:val="auto"/>
        </w:rPr>
      </w:pPr>
    </w:p>
    <w:p>
      <w:pPr>
        <w:ind w:left="5660" w:right="2960" w:hanging="4355"/>
        <w:spacing w:after="0" w:line="528" w:lineRule="auto"/>
        <w:tabs>
          <w:tab w:leader="none" w:pos="19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approval of any plan or proposal for the winding up or liquidation of the Borrower; or 8</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firstLine="645"/>
        <w:spacing w:after="0" w:line="264" w:lineRule="auto"/>
        <w:tabs>
          <w:tab w:leader="none" w:pos="1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“change of control” (or similar event) shall occur under the Senior Notes, any Indebtedness for borrowed money permitted under Section 7.02 with an aggregate principal amount in excess of the Threshold Amount or any Permitted Refinancing Indebtedness in respect of any of the foregoing or any Disqualified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-812165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For purposes of this definition, any direct or indirect holding company of the Borrower shall not itself be considered a “Person” or “group” for purposes of clause (b)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“Person” or “group” beneficially owns, directly or indirectly, more than a majority of the total voting power of the Voting Stock of such holding company.</w:t>
      </w:r>
    </w:p>
    <w:p>
      <w:pPr>
        <w:spacing w:after="0" w:line="177"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w:t>
      </w:r>
      <w:r>
        <w:rPr>
          <w:rFonts w:ascii="Arial" w:cs="Arial" w:eastAsia="Arial" w:hAnsi="Arial"/>
          <w:sz w:val="16"/>
          <w:szCs w:val="16"/>
          <w:color w:val="auto"/>
        </w:rPr>
        <w:t>” (a) when used with respect to Lenders, refers to whether such Lenders are Revolving Credit Lenders or Term Lenders, (b) when used with respect to Commitments, refers to whether such Commitments are Revolving Credit Commitments or Term Commitments, and (c) when used with respect to Loans or a Borrowing, refers to whether such Loans, or the Loans comprising such Borrowing, are Revolving Credit Loans or Term Loans.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October 11,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Fee</w:t>
      </w:r>
      <w:r>
        <w:rPr>
          <w:rFonts w:ascii="Arial" w:cs="Arial" w:eastAsia="Arial" w:hAnsi="Arial"/>
          <w:sz w:val="18"/>
          <w:szCs w:val="18"/>
          <w:color w:val="auto"/>
        </w:rPr>
        <w:t>” has the meaning set forth in Section 2.09(b).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the “Collateral” as defined in the Security Agreement, all the “Collateral” or “Pledged Assets” as defined in any other Collateral Document and any other assets a Lien in which is granted or purported to be granted pursuant to any Collateral Documents.</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means Bank of America, in its capacity as collateral agent or pledgee in its own name under any of the Loan Documents, or any successor collateral agent.</w:t>
      </w:r>
    </w:p>
    <w:p>
      <w:pPr>
        <w:spacing w:after="0" w:line="162"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means, collectively, the Security Agreement, each of the Mortgages, collateral assignments, security agreements, pledge agreements, the Intellectual Property Security Agreements or other similar agreements delivered to the Administrative Agent and the Lenders pursuant to Section 6.11 or Section 6.13, and each of the other agreements, instruments or documents that creates or purports to create a Lien in favor of the Collateral Agent for the benefit of the Secured Parties.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Commitment</w:t>
      </w:r>
      <w:r>
        <w:rPr>
          <w:rFonts w:ascii="Arial" w:cs="Arial" w:eastAsia="Arial" w:hAnsi="Arial"/>
          <w:sz w:val="16"/>
          <w:szCs w:val="16"/>
          <w:color w:val="auto"/>
        </w:rPr>
        <w:t>” means a Term Commitment or a Revolving Credit Commitment of any Class or of multiple Classes, as the context may require.</w:t>
      </w:r>
    </w:p>
    <w:p>
      <w:pPr>
        <w:spacing w:after="0" w:line="248" w:lineRule="exact"/>
        <w:rPr>
          <w:sz w:val="20"/>
          <w:szCs w:val="20"/>
          <w:color w:val="auto"/>
        </w:rPr>
      </w:pPr>
    </w:p>
    <w:p>
      <w:pPr>
        <w:ind w:right="5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Committed Loan Notice</w:t>
      </w:r>
      <w:r>
        <w:rPr>
          <w:rFonts w:ascii="Arial" w:cs="Arial" w:eastAsia="Arial" w:hAnsi="Arial"/>
          <w:sz w:val="17"/>
          <w:szCs w:val="17"/>
          <w:color w:val="auto"/>
        </w:rPr>
        <w:t>” means a notice of (a) a Borrowing, (b) a conversion of Loans from one Type to the other, or (c) a continuation of Eurodollar Rate Loans, pursuant to Section 2.02(a), which, if in writing, shall be substantially in the form of Exhibit A hereto.</w:t>
      </w:r>
    </w:p>
    <w:p>
      <w:pPr>
        <w:spacing w:after="0" w:line="138"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xml:space="preserve">” means any fact, effect, change, event or circumstance that (i) materially adversely affects the business, financial condition or results of operations of the Borrower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fact, effect, change, event or circumstance arising from or related to (except, in the case of clauses (a), (b), (c), (d), (e), (f) or (i) below, to the extent disproportionately affecting the Borrower and its Subsidiaries, taken as a whole, relative to other companies in the industries in which the Borrower and its Subsidiaries operate, in which case only the incremental disproportionate effect shall be taken into account): (a) conditions affecting the United States economy, or any other national or regional economy or the global economy generally, (b) 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of the world occurring after the date hereof, (c) changes in the financial, credit, banking or securities markets in the United States or any other country or region in the world (including any disruption thereof and any decline in the price of any security or any market index),</w:t>
      </w:r>
    </w:p>
    <w:p>
      <w:pPr>
        <w:spacing w:after="0" w:line="4" w:lineRule="exact"/>
        <w:rPr>
          <w:sz w:val="20"/>
          <w:szCs w:val="20"/>
          <w:color w:val="auto"/>
        </w:rPr>
      </w:pPr>
    </w:p>
    <w:p>
      <w:pPr>
        <w:ind w:right="20" w:firstLine="8"/>
        <w:spacing w:after="0" w:line="267" w:lineRule="auto"/>
        <w:tabs>
          <w:tab w:leader="none" w:pos="2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changes required by United States generally accepted accounting principles or other accounting standards (or interpretations thereof), (e) changes in any laws or other binding directives issued by any governmental entity (or interpretations thereof), (f) changes that are generally applicable to the industries in which the Borrower and its Subsidiaries operate, (g) any failure by the Borrower to meet any internal or published projections, forecasts or revenue or earnings predictions for any period ending on or after the date of the Stock Purchase Agreement or any decline in the market price or trading volume of the Borrower’s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underlying causes of any such failure or decline may be considered in determining whether a Company Material Adverse Effect has occurred or would reasonably be expected to occur to the extent not otherwise excluded by another exception herein), (h) the public announcement or consummation of the Stock Buy-Back or any of the transactions contemplated by the Stock Purchase Agreement (including as to the identity of the parties thereto), (i) the occurrence of natural disasters or (j) any action required by the terms of the Stock Purchase Agreement or with the prior written consent or at the direction of the other parties thereto and the Arrangers, shall not be taken into account in determining whether a Company Material Adverse Effect has occurred or would reasonably be expected to occur, or (ii) would prevent the Borrower from consummating the transactions contemplated by the Stock Purchase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of Exhibit D hereto.</w:t>
      </w:r>
    </w:p>
    <w:p>
      <w:pPr>
        <w:spacing w:after="0" w:line="225"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Depreciation and Amortization Expense</w:t>
      </w:r>
      <w:r>
        <w:rPr>
          <w:rFonts w:ascii="Arial" w:cs="Arial" w:eastAsia="Arial" w:hAnsi="Arial"/>
          <w:sz w:val="18"/>
          <w:szCs w:val="18"/>
          <w:color w:val="auto"/>
        </w:rPr>
        <w:t>” means, with respect to any Person, for any period, the total amount of depreciation and amortization expense, including the amortization of deferred financing fees and Capitalized Software Expenditures and amortization of unrecognized prior service costs and actuarial gains and losses related to pensions and other post-employment benefits, of such Person and its Restricted Subsidiaries for such period on a consolidated basis and otherwise determined in accordance with GAAP.</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means, with respect to any Person for any period, the Consolidated Net Income of such Person for such period:</w:t>
      </w:r>
    </w:p>
    <w:p>
      <w:pPr>
        <w:sectPr>
          <w:pgSz w:w="11900" w:h="16858" w:orient="portrait"/>
          <w:cols w:equalWidth="0" w:num="1">
            <w:col w:w="11380"/>
          </w:cols>
          <w:pgMar w:left="240" w:top="341" w:right="279" w:bottom="0" w:gutter="0" w:footer="0" w:header="0"/>
        </w:sectPr>
      </w:pPr>
    </w:p>
    <w:bookmarkStart w:id="27" w:name="page28"/>
    <w:bookmarkEnd w:id="27"/>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hanging="635"/>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increased (without duplication) by:</w:t>
      </w:r>
    </w:p>
    <w:p>
      <w:pPr>
        <w:spacing w:after="0" w:line="225" w:lineRule="exact"/>
        <w:rPr>
          <w:rFonts w:ascii="Arial" w:cs="Arial" w:eastAsia="Arial" w:hAnsi="Arial"/>
          <w:sz w:val="18"/>
          <w:szCs w:val="18"/>
          <w:color w:val="auto"/>
        </w:rPr>
      </w:pPr>
    </w:p>
    <w:p>
      <w:pPr>
        <w:ind w:left="100" w:right="60" w:firstLine="653"/>
        <w:spacing w:after="0" w:line="259" w:lineRule="auto"/>
        <w:tabs>
          <w:tab w:leader="none" w:pos="1417"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capital gains, including, without limitation, federal, state, non-U.S. franchise, excise, value added and similar taxes and foreign withholding taxes of such Person paid or accrued during such period, including any penalties and interest relating to such taxes or arising from any tax examinations, deducted (and not added back) in computing Consolidated Net Income;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100" w:right="40" w:firstLine="653"/>
        <w:spacing w:after="0" w:line="257" w:lineRule="auto"/>
        <w:tabs>
          <w:tab w:leader="none" w:pos="1407"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Fixed Charges of such Person for such period (including (x) net losses on Hedging Obligations or other derivative instruments entered into for the purpose of hedging interest rate risk and (y) costs of surety bonds in connection with financing activities, in each case, to the extent included in Fixed Charges), together with items excluded from the definition of “Consolidated Interest Expense” pursuant to clauses (a)(A) through (a)(C) thereof, to the extent the same was deducted (and not added back) in calculating such Consolidated Net Income; </w:t>
      </w:r>
      <w:r>
        <w:rPr>
          <w:rFonts w:ascii="Arial" w:cs="Arial" w:eastAsia="Arial" w:hAnsi="Arial"/>
          <w:sz w:val="18"/>
          <w:szCs w:val="18"/>
          <w:i w:val="1"/>
          <w:iCs w:val="1"/>
          <w:color w:val="auto"/>
        </w:rPr>
        <w:t>plus</w:t>
      </w:r>
    </w:p>
    <w:p>
      <w:pPr>
        <w:spacing w:after="0" w:line="188" w:lineRule="exact"/>
        <w:rPr>
          <w:rFonts w:ascii="Arial" w:cs="Arial" w:eastAsia="Arial" w:hAnsi="Arial"/>
          <w:sz w:val="18"/>
          <w:szCs w:val="18"/>
          <w:color w:val="auto"/>
        </w:rPr>
      </w:pPr>
    </w:p>
    <w:p>
      <w:pPr>
        <w:ind w:left="100" w:right="660" w:firstLine="653"/>
        <w:spacing w:after="0" w:line="277" w:lineRule="auto"/>
        <w:tabs>
          <w:tab w:leader="none" w:pos="1407"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to the extent the same were deducted (and not added back) in computing Consolidated Net Income;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00" w:right="40" w:firstLine="653"/>
        <w:spacing w:after="0" w:line="293" w:lineRule="auto"/>
        <w:tabs>
          <w:tab w:leader="none" w:pos="1417"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any fees, expenses or charges (other than depreciation or amortization expense) related to any Equity Offering, Permitted Investment, acquisition, disposition, recapitalization or the incurrence or repayment of Indebtedness permitted to be incurred in accordance with this Agreement (including a refinancing thereof) (whether or not successful), including (i) such fees, expenses or charges related to the offering of the Senior Notes and the initial Credit Extensions hereunder, (ii) any amendment or other modification of the Senior Notes, and, in each case, deducted (and not added back) in computing Consolidated Net Income and (iii) commissions, discounts, yield and other fees and charges (including any interest expense) related to any Receivables Facility; </w:t>
      </w:r>
      <w:r>
        <w:rPr>
          <w:rFonts w:ascii="Arial" w:cs="Arial" w:eastAsia="Arial" w:hAnsi="Arial"/>
          <w:sz w:val="16"/>
          <w:szCs w:val="16"/>
          <w:i w:val="1"/>
          <w:iCs w:val="1"/>
          <w:color w:val="auto"/>
        </w:rPr>
        <w:t>plus</w:t>
      </w:r>
    </w:p>
    <w:p>
      <w:pPr>
        <w:spacing w:after="0" w:line="164" w:lineRule="exact"/>
        <w:rPr>
          <w:rFonts w:ascii="Arial" w:cs="Arial" w:eastAsia="Arial" w:hAnsi="Arial"/>
          <w:sz w:val="16"/>
          <w:szCs w:val="16"/>
          <w:color w:val="auto"/>
        </w:rPr>
      </w:pPr>
    </w:p>
    <w:p>
      <w:pPr>
        <w:ind w:left="100" w:right="300" w:firstLine="653"/>
        <w:spacing w:after="0" w:line="302" w:lineRule="auto"/>
        <w:tabs>
          <w:tab w:leader="none" w:pos="1410"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the amount of any restructuring charge or reserve deducted (and not added back) in such period in computing Consolidated Net Income, including any restructuring costs incurred in connection with acquisitions, mergers or consolidations after the Closing Date, costs related to the closure and/or consolidation of facilities, retention charges, systems establishment costs and excess pension charges, excluding, for the avoidance of doubt, development costs in connection with unreleased products; </w:t>
      </w:r>
      <w:r>
        <w:rPr>
          <w:rFonts w:ascii="Arial" w:cs="Arial" w:eastAsia="Arial" w:hAnsi="Arial"/>
          <w:sz w:val="16"/>
          <w:szCs w:val="16"/>
          <w:i w:val="1"/>
          <w:iCs w:val="1"/>
          <w:color w:val="auto"/>
        </w:rPr>
        <w:t>plus</w:t>
      </w:r>
    </w:p>
    <w:p>
      <w:pPr>
        <w:spacing w:after="0" w:line="154" w:lineRule="exact"/>
        <w:rPr>
          <w:rFonts w:ascii="Arial" w:cs="Arial" w:eastAsia="Arial" w:hAnsi="Arial"/>
          <w:sz w:val="16"/>
          <w:szCs w:val="16"/>
          <w:color w:val="auto"/>
        </w:rPr>
      </w:pPr>
    </w:p>
    <w:p>
      <w:pPr>
        <w:ind w:left="1420" w:hanging="667"/>
        <w:spacing w:after="0"/>
        <w:tabs>
          <w:tab w:leader="none" w:pos="14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other non-cash charges, including any write offs or write downs, reducing Consolidated Net Income for such period</w:t>
      </w:r>
    </w:p>
    <w:p>
      <w:pPr>
        <w:spacing w:after="0" w:line="46" w:lineRule="exact"/>
        <w:rPr>
          <w:sz w:val="20"/>
          <w:szCs w:val="20"/>
          <w:color w:val="auto"/>
        </w:rPr>
      </w:pPr>
    </w:p>
    <w:p>
      <w:pPr>
        <w:ind w:left="10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non-cash charges represent an accrual or reserve for potential cash items in any future period, the cash payment in respect thereof in such future period shall be subtracted from Consolidated EBITDA in such future period to the extent paid,</w:t>
      </w:r>
    </w:p>
    <w:p>
      <w:pPr>
        <w:spacing w:after="0" w:line="1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but excluding from this proviso, for the avoidance of doubt, amortization of a prepaid cash item that was paid in a prior period); </w:t>
      </w:r>
      <w:r>
        <w:rPr>
          <w:rFonts w:ascii="Arial" w:cs="Arial" w:eastAsia="Arial" w:hAnsi="Arial"/>
          <w:sz w:val="17"/>
          <w:szCs w:val="17"/>
          <w:i w:val="1"/>
          <w:iCs w:val="1"/>
          <w:color w:val="auto"/>
        </w:rPr>
        <w:t>plus</w:t>
      </w:r>
    </w:p>
    <w:p>
      <w:pPr>
        <w:spacing w:after="0" w:line="237" w:lineRule="exact"/>
        <w:rPr>
          <w:sz w:val="20"/>
          <w:szCs w:val="20"/>
          <w:color w:val="auto"/>
        </w:rPr>
      </w:pPr>
    </w:p>
    <w:p>
      <w:pPr>
        <w:jc w:val="both"/>
        <w:ind w:left="100" w:right="160" w:firstLine="653"/>
        <w:spacing w:after="0" w:line="264" w:lineRule="auto"/>
        <w:tabs>
          <w:tab w:leader="none" w:pos="1417"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the amount of any minority interest expense consisting of Subsidiary income attributable to minority equity interests of third parties in any non-Wholly-Owned Subsidiary deducted (and not added back) in such period in calculating Consolidated Net Income; </w:t>
      </w:r>
      <w:r>
        <w:rPr>
          <w:rFonts w:ascii="Arial" w:cs="Arial" w:eastAsia="Arial" w:hAnsi="Arial"/>
          <w:sz w:val="18"/>
          <w:szCs w:val="18"/>
          <w:i w:val="1"/>
          <w:iCs w:val="1"/>
          <w:color w:val="auto"/>
        </w:rPr>
        <w:t>plus</w:t>
      </w:r>
    </w:p>
    <w:p>
      <w:pPr>
        <w:spacing w:after="0" w:line="181" w:lineRule="exact"/>
        <w:rPr>
          <w:rFonts w:ascii="Arial" w:cs="Arial" w:eastAsia="Arial" w:hAnsi="Arial"/>
          <w:sz w:val="18"/>
          <w:szCs w:val="18"/>
          <w:color w:val="auto"/>
        </w:rPr>
      </w:pPr>
    </w:p>
    <w:p>
      <w:pPr>
        <w:ind w:left="100" w:right="880" w:firstLine="653"/>
        <w:spacing w:after="0" w:line="277" w:lineRule="auto"/>
        <w:tabs>
          <w:tab w:leader="none" w:pos="1403"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the amount of loss on sale of receivables and related assets to the Receivables Subsidiary in connection with a Receivables Facility;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00" w:right="200" w:firstLine="653"/>
        <w:spacing w:after="0" w:line="257" w:lineRule="auto"/>
        <w:tabs>
          <w:tab w:leader="none" w:pos="1401"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any costs or expense incurred by the Borrower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the Borrower or net cash proceeds of an issuance of Equity Interest of the Borrower (other than Disqualified Stock) solely to the extent that such net cash proceeds are excluded from the calculation set forth in Section 7.05(a)(3); </w:t>
      </w:r>
      <w:r>
        <w:rPr>
          <w:rFonts w:ascii="Arial" w:cs="Arial" w:eastAsia="Arial" w:hAnsi="Arial"/>
          <w:sz w:val="18"/>
          <w:szCs w:val="18"/>
          <w:i w:val="1"/>
          <w:iCs w:val="1"/>
          <w:color w:val="auto"/>
        </w:rPr>
        <w:t>plus</w:t>
      </w:r>
    </w:p>
    <w:p>
      <w:pPr>
        <w:spacing w:after="0" w:line="188" w:lineRule="exact"/>
        <w:rPr>
          <w:rFonts w:ascii="Arial" w:cs="Arial" w:eastAsia="Arial" w:hAnsi="Arial"/>
          <w:sz w:val="18"/>
          <w:szCs w:val="18"/>
          <w:color w:val="auto"/>
        </w:rPr>
      </w:pPr>
    </w:p>
    <w:p>
      <w:pPr>
        <w:ind w:left="100" w:right="100" w:firstLine="653"/>
        <w:spacing w:after="0" w:line="272" w:lineRule="auto"/>
        <w:tabs>
          <w:tab w:leader="none" w:pos="1411"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the amount of cost savings, operating expense reductions, other operating improvements and initiatives and synergies projected by the Borrower in good faith to be reasonably anticipated to be realizable or a plan for realization shall have been established within 18 months of the date thereof (which will be added to Consolidated EBITDA as so projected until fully realized and calculated on a pro forma basis as though such cost savings, operating expense reductions, other operating improvements and initiatives and synergies had been realized on the first day of such period), net of the amount of actual benefits realized during such period from such 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steps have been taken for realizing such cost savings and such cost savings are reasonably identifiable and factually supportable (in the good faith determination of the Borrower);</w:t>
      </w:r>
    </w:p>
    <w:p>
      <w:pPr>
        <w:spacing w:after="0" w:line="177" w:lineRule="exact"/>
        <w:rPr>
          <w:rFonts w:ascii="Arial" w:cs="Arial" w:eastAsia="Arial" w:hAnsi="Arial"/>
          <w:sz w:val="17"/>
          <w:szCs w:val="17"/>
          <w:color w:val="auto"/>
        </w:rPr>
      </w:pPr>
    </w:p>
    <w:p>
      <w:pPr>
        <w:jc w:val="both"/>
        <w:ind w:left="-540" w:right="100" w:firstLine="645"/>
        <w:spacing w:after="0" w:line="264" w:lineRule="auto"/>
        <w:tabs>
          <w:tab w:leader="none" w:pos="7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decreased by (without duplication) non-cash gains increasing Consolidated Net Income of such Person for such period, excluding any non-cash gains to the extent they represent the reversal of an accrual or reserve for a potential cash item that reduced Consolidated EBITDA in any prior period; and</w:t>
      </w:r>
    </w:p>
    <w:p>
      <w:pPr>
        <w:spacing w:after="0" w:line="181" w:lineRule="exact"/>
        <w:rPr>
          <w:rFonts w:ascii="Arial" w:cs="Arial" w:eastAsia="Arial" w:hAnsi="Arial"/>
          <w:sz w:val="18"/>
          <w:szCs w:val="18"/>
          <w:color w:val="auto"/>
        </w:rPr>
      </w:pPr>
    </w:p>
    <w:p>
      <w:pPr>
        <w:ind w:left="760" w:hanging="655"/>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increased or decreased by (without duplication):</w:t>
      </w:r>
    </w:p>
    <w:p>
      <w:pPr>
        <w:spacing w:after="0" w:line="225" w:lineRule="exact"/>
        <w:rPr>
          <w:rFonts w:ascii="Arial" w:cs="Arial" w:eastAsia="Arial" w:hAnsi="Arial"/>
          <w:sz w:val="18"/>
          <w:szCs w:val="18"/>
          <w:color w:val="auto"/>
        </w:rPr>
      </w:pPr>
    </w:p>
    <w:p>
      <w:pPr>
        <w:ind w:left="100" w:right="480" w:firstLine="653"/>
        <w:spacing w:after="0" w:line="277" w:lineRule="auto"/>
        <w:tabs>
          <w:tab w:leader="none" w:pos="141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Hedging Obligations and the application of Financial Accounting Codification No. 815-Derivatives and Hedging; plus or minus, as applicable, and</w:t>
      </w:r>
    </w:p>
    <w:p>
      <w:pPr>
        <w:spacing w:after="0" w:line="170" w:lineRule="exact"/>
        <w:rPr>
          <w:rFonts w:ascii="Arial" w:cs="Arial" w:eastAsia="Arial" w:hAnsi="Arial"/>
          <w:sz w:val="18"/>
          <w:szCs w:val="18"/>
          <w:color w:val="auto"/>
        </w:rPr>
      </w:pPr>
    </w:p>
    <w:p>
      <w:pPr>
        <w:ind w:left="100" w:right="80" w:firstLine="653"/>
        <w:spacing w:after="0" w:line="277" w:lineRule="auto"/>
        <w:tabs>
          <w:tab w:leader="none" w:pos="140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currency translation gains or losses related to currency remeasurements of Indebtedness (including</w:t>
      </w:r>
    </w:p>
    <w:p>
      <w:pPr>
        <w:sectPr>
          <w:pgSz w:w="11900" w:h="16838" w:orient="portrait"/>
          <w:cols w:equalWidth="0" w:num="1">
            <w:col w:w="10200"/>
          </w:cols>
          <w:pgMar w:left="1440" w:top="341" w:right="259" w:bottom="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net loss or gain resulting from hedge agreements for currency exchange risk).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means, with respect to any Person for any period, without duplication, the sum of:</w:t>
      </w:r>
    </w:p>
    <w:p>
      <w:pPr>
        <w:spacing w:after="0" w:line="229" w:lineRule="exact"/>
        <w:rPr>
          <w:sz w:val="20"/>
          <w:szCs w:val="20"/>
          <w:color w:val="auto"/>
        </w:rPr>
      </w:pPr>
    </w:p>
    <w:p>
      <w:pPr>
        <w:ind w:left="660" w:right="140" w:firstLine="645"/>
        <w:spacing w:after="0" w:line="284" w:lineRule="auto"/>
        <w:tabs>
          <w:tab w:leader="none" w:pos="1954" w:val="left"/>
        </w:tabs>
        <w:numPr>
          <w:ilvl w:val="1"/>
          <w:numId w:val="66"/>
        </w:numPr>
        <w:rPr>
          <w:rFonts w:ascii="Arial" w:cs="Arial" w:eastAsia="Arial" w:hAnsi="Arial"/>
          <w:sz w:val="16"/>
          <w:szCs w:val="16"/>
          <w:color w:val="auto"/>
        </w:rPr>
      </w:pPr>
      <w:r>
        <w:rPr>
          <w:rFonts w:ascii="Arial" w:cs="Arial" w:eastAsia="Arial" w:hAnsi="Arial"/>
          <w:sz w:val="16"/>
          <w:szCs w:val="16"/>
          <w:color w:val="auto"/>
        </w:rPr>
        <w:t>consolidated interest expense of such Person and its Restricted Subsidiaries for such period, to the extent such expense was deducted (and not added back) in computing Consolidated Net Income (including (i) amortization of original issue discount resulting from the issuance of Indebtedness at less than par, (ii) all commissions, discounts and other fees and charges owed with respect to letters of credit or bankers acceptances, (iii) non-cash interest expense (but excluding any non-cash interest expense attributable to the movement in the mark to market valuation of Hedging Obligations or other derivative instruments pursuant to GAAP), (iv) the interest component of Capitalized Lease Obligations, and (v) net payments, if any, pursuant to interest rate Hedging Obligations with respect to Indebtedness, and excluding (A) amortization of deferred financing fees, debt issuance costs, commissions, fees and expenses, (B) any expensing of bridge, commitment and other financing fees and</w:t>
      </w:r>
    </w:p>
    <w:p>
      <w:pPr>
        <w:spacing w:after="0" w:line="2" w:lineRule="exact"/>
        <w:rPr>
          <w:rFonts w:ascii="Arial" w:cs="Arial" w:eastAsia="Arial" w:hAnsi="Arial"/>
          <w:sz w:val="16"/>
          <w:szCs w:val="16"/>
          <w:color w:val="auto"/>
        </w:rPr>
      </w:pPr>
    </w:p>
    <w:p>
      <w:pPr>
        <w:ind w:left="940" w:hanging="284"/>
        <w:spacing w:after="0"/>
        <w:tabs>
          <w:tab w:leader="none" w:pos="9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commissions, discounts, yield and other fees and charges (including any interest expense) related to any Receivables Facility); </w:t>
      </w:r>
      <w:r>
        <w:rPr>
          <w:rFonts w:ascii="Arial" w:cs="Arial" w:eastAsia="Arial" w:hAnsi="Arial"/>
          <w:sz w:val="18"/>
          <w:szCs w:val="18"/>
          <w:i w:val="1"/>
          <w:iCs w:val="1"/>
          <w:color w:val="auto"/>
        </w:rPr>
        <w:t>plus</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consolidated capitalized interest of such Person and such Subsidiaries for such period, whether paid or accrued; </w:t>
      </w:r>
      <w:r>
        <w:rPr>
          <w:rFonts w:ascii="Arial" w:cs="Arial" w:eastAsia="Arial" w:hAnsi="Arial"/>
          <w:sz w:val="18"/>
          <w:szCs w:val="18"/>
          <w:i w:val="1"/>
          <w:iCs w:val="1"/>
          <w:color w:val="auto"/>
        </w:rPr>
        <w:t>less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interest income of such Person and such Subsidiaries for such period.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66" w:lineRule="exact"/>
        <w:rPr>
          <w:sz w:val="20"/>
          <w:szCs w:val="20"/>
          <w:color w:val="auto"/>
        </w:rPr>
      </w:pPr>
    </w:p>
    <w:p>
      <w:pPr>
        <w:ind w:right="3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means, with respect to any Person for any period, the Net Income of such Person and its Restricted Subsidiaries for such period, on a consolidated basis, and otherwise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without duplication:</w:t>
      </w:r>
    </w:p>
    <w:p>
      <w:pPr>
        <w:spacing w:after="0" w:line="120" w:lineRule="exact"/>
        <w:rPr>
          <w:sz w:val="20"/>
          <w:szCs w:val="20"/>
          <w:color w:val="auto"/>
        </w:rPr>
      </w:pPr>
    </w:p>
    <w:p>
      <w:pPr>
        <w:jc w:val="both"/>
        <w:ind w:left="660" w:right="600" w:firstLine="645"/>
        <w:spacing w:after="0" w:line="264" w:lineRule="auto"/>
        <w:tabs>
          <w:tab w:leader="none" w:pos="19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after-tax effect of extraordinary, non-recurring or unusual gains or losses (less all fees and expenses relating thereto) or expenses (including relating to the Transaction), severance, relocation costs and curtailments or modifications to pension and post-retirement employee benefit plans shall be excluded,</w:t>
      </w:r>
    </w:p>
    <w:p>
      <w:pPr>
        <w:spacing w:after="0" w:line="181" w:lineRule="exact"/>
        <w:rPr>
          <w:rFonts w:ascii="Arial" w:cs="Arial" w:eastAsia="Arial" w:hAnsi="Arial"/>
          <w:sz w:val="18"/>
          <w:szCs w:val="18"/>
          <w:color w:val="auto"/>
        </w:rPr>
      </w:pPr>
    </w:p>
    <w:p>
      <w:pPr>
        <w:ind w:left="660" w:right="340" w:firstLine="645"/>
        <w:spacing w:after="0" w:line="277" w:lineRule="auto"/>
        <w:tabs>
          <w:tab w:leader="none" w:pos="1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Net Income for such period shall not include the cumulative effect of a change in accounting principles during such period, including changes from international financial reporting standards to United States financial reporting standards,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firstLine="645"/>
        <w:spacing w:after="0" w:line="277" w:lineRule="auto"/>
        <w:tabs>
          <w:tab w:leader="none" w:pos="19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after-tax effect of income (loss) from disposed or discontinued operations and any net after-tax gains or losses on disposal of disposed, abandoned or discontinued operations shall be excluded,</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after-tax effect of gains or losses (less all fees and expenses relating thereto) attributable to asset dispositions other than in the ordinary course of business, as determined in good faith by the Borrower, shall be excluded,</w:t>
      </w:r>
    </w:p>
    <w:p>
      <w:pPr>
        <w:spacing w:after="0" w:line="170" w:lineRule="exact"/>
        <w:rPr>
          <w:rFonts w:ascii="Arial" w:cs="Arial" w:eastAsia="Arial" w:hAnsi="Arial"/>
          <w:sz w:val="18"/>
          <w:szCs w:val="18"/>
          <w:color w:val="auto"/>
        </w:rPr>
      </w:pPr>
    </w:p>
    <w:p>
      <w:pPr>
        <w:ind w:left="660" w:right="100" w:firstLine="645"/>
        <w:spacing w:after="0" w:line="259" w:lineRule="auto"/>
        <w:tabs>
          <w:tab w:leader="none" w:pos="19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Net Income for such period of any Person that is not a Subsidiary, or is an Unrestricted Subsidiary, or that is accounted for by the equity method of accounting, shall be excluded;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Consolidated Net Income of the Borrower shall be increased by the amount of dividends or distributions or other payments that are actually paid in cash (or to the extent converted into cash or Cash Equivalents) to the Borrower or a Restricted Subsidiary in respect of such period,</w:t>
      </w:r>
    </w:p>
    <w:p>
      <w:pPr>
        <w:spacing w:after="0" w:line="186" w:lineRule="exact"/>
        <w:rPr>
          <w:rFonts w:ascii="Arial" w:cs="Arial" w:eastAsia="Arial" w:hAnsi="Arial"/>
          <w:sz w:val="18"/>
          <w:szCs w:val="18"/>
          <w:color w:val="auto"/>
        </w:rPr>
      </w:pPr>
    </w:p>
    <w:p>
      <w:pPr>
        <w:ind w:left="660" w:firstLine="645"/>
        <w:spacing w:after="0" w:line="290" w:lineRule="auto"/>
        <w:tabs>
          <w:tab w:leader="none" w:pos="1961"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solely for the purpose of determining the amount available for Restricted Payments under Section 7.05(a)(3), the Net Income for such period of any Restricted Subsidiary (other than any Guarantor) shall be excluded if the declaration or payment of dividends or similar distributions by that Restricted Subsidiary of its Net Income is not at the date of determination wholly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Consolidated Net Income of the Borrower will be increased by the amount of dividends or other distributions or other payments actually paid in cash (or to the extent converted into cash or Cash Equivalents) to the Borrower or a Restricted Subsidiary thereof in respect of such period, to the extent not already included therein,</w:t>
      </w:r>
    </w:p>
    <w:p>
      <w:pPr>
        <w:spacing w:after="0" w:line="166" w:lineRule="exact"/>
        <w:rPr>
          <w:rFonts w:ascii="Arial" w:cs="Arial" w:eastAsia="Arial" w:hAnsi="Arial"/>
          <w:sz w:val="16"/>
          <w:szCs w:val="16"/>
          <w:color w:val="auto"/>
        </w:rPr>
      </w:pPr>
    </w:p>
    <w:p>
      <w:pPr>
        <w:ind w:left="660" w:right="540" w:firstLine="645"/>
        <w:spacing w:after="0" w:line="312" w:lineRule="auto"/>
        <w:tabs>
          <w:tab w:leader="none" w:pos="1977" w:val="left"/>
        </w:tabs>
        <w:numPr>
          <w:ilvl w:val="0"/>
          <w:numId w:val="69"/>
        </w:numPr>
        <w:rPr>
          <w:rFonts w:ascii="Arial" w:cs="Arial" w:eastAsia="Arial" w:hAnsi="Arial"/>
          <w:sz w:val="16"/>
          <w:szCs w:val="16"/>
          <w:color w:val="auto"/>
        </w:rPr>
      </w:pPr>
      <w:r>
        <w:rPr>
          <w:rFonts w:ascii="Arial" w:cs="Arial" w:eastAsia="Arial" w:hAnsi="Arial"/>
          <w:sz w:val="16"/>
          <w:szCs w:val="16"/>
          <w:color w:val="auto"/>
        </w:rPr>
        <w:t>effects of purchase accounting adjustments (including the effects of such adjustments pushed down to such Person and such Subsidiaries) in component amounts required or permitted by GAAP, resulting from the application of purchase accounting in relation to the Transaction or any consummated acquisition or the amortization or write-off of any amounts thereof, net of taxes, shall be excluded,</w:t>
      </w:r>
    </w:p>
    <w:p>
      <w:pPr>
        <w:spacing w:after="0" w:line="146" w:lineRule="exact"/>
        <w:rPr>
          <w:rFonts w:ascii="Arial" w:cs="Arial" w:eastAsia="Arial" w:hAnsi="Arial"/>
          <w:sz w:val="16"/>
          <w:szCs w:val="16"/>
          <w:color w:val="auto"/>
        </w:rPr>
      </w:pPr>
    </w:p>
    <w:p>
      <w:pPr>
        <w:ind w:left="660" w:right="360" w:firstLine="645"/>
        <w:spacing w:after="0" w:line="277" w:lineRule="auto"/>
        <w:tabs>
          <w:tab w:leader="none" w:pos="1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after-tax effect of income (loss) from the early extinguishment of Indebtedness or Hedging Obligations or other derivative instruments shall be excluded,</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7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impairment charge or asset write-off, in each case, pursuant to GAAP and the amortization of intangibles arising pursuant to GAAP shall be excluded,</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non-cash compensation expense recorded from grants of stock appreciation or similar rights, stock options, restricted stock or other rights shall be excluded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fees and expenses incurred during such period, or any amortization thereof for such period, in connection with the Transaction and any acquisition,</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9" w:name="page30"/>
    <w:bookmarkEnd w:id="29"/>
    <w:p>
      <w:pPr>
        <w:jc w:val="both"/>
        <w:ind w:left="660" w:right="40"/>
        <w:spacing w:after="0" w:line="312" w:lineRule="auto"/>
        <w:rPr>
          <w:sz w:val="20"/>
          <w:szCs w:val="20"/>
          <w:color w:val="auto"/>
        </w:rPr>
      </w:pPr>
      <w:r>
        <w:rPr>
          <w:rFonts w:ascii="Arial" w:cs="Arial" w:eastAsia="Arial" w:hAnsi="Arial"/>
          <w:sz w:val="16"/>
          <w:szCs w:val="16"/>
          <w:color w:val="auto"/>
        </w:rPr>
        <w:t>Investment, Disposition, issuance or repayment of Indebtedness, issuance of Equity Interests, refinancing transaction or amendment or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shall be excluded, and</w:t>
      </w:r>
    </w:p>
    <w:p>
      <w:pPr>
        <w:spacing w:after="0" w:line="147" w:lineRule="exact"/>
        <w:rPr>
          <w:sz w:val="20"/>
          <w:szCs w:val="20"/>
          <w:color w:val="auto"/>
        </w:rPr>
      </w:pPr>
    </w:p>
    <w:p>
      <w:pPr>
        <w:ind w:left="660" w:right="320" w:firstLine="645"/>
        <w:spacing w:after="0" w:line="264" w:lineRule="auto"/>
        <w:tabs>
          <w:tab w:leader="none" w:pos="197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adjustment of the nature used in connection with the calculation of “Adjusted EBITDA” as set forth in footnotes (b) to the “Summary Historical and Pro forma Financial Information” under “Summary” in the Notes Offering Memorandum to the extent any such adjustment, without duplication, continues to be applicable during such period, shall be included.</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Notwithstanding the foregoing, for the purpose of Section 7.05 only (other than Section 7.05(a)(3)(D)), there shall be excluded from Consolidated Net Income any income arising from any sale or other disposition of Restricted Investments made by the Borrower and its Restricted Subsidiaries, any repurchases and redemptions of Restricted Investments from the Borrower and its Restricted Subsidiaries, any repayments of loans and advances which constitute Restricted Investments by the Borrower or any of its Restricted Subsidiaries, any sale of the stock of an Unrestricted Subsidiary or any distribution or dividend from an Unrestricted Subsidiary, in each case only to the extent such amounts increase the amount of Restricted Payments permitted pursuant to Section 7.05(a)(3)(D).</w:t>
      </w:r>
    </w:p>
    <w:p>
      <w:pPr>
        <w:spacing w:after="0" w:line="189"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Secured Debt Ratio</w:t>
      </w:r>
      <w:r>
        <w:rPr>
          <w:rFonts w:ascii="Arial" w:cs="Arial" w:eastAsia="Arial" w:hAnsi="Arial"/>
          <w:sz w:val="18"/>
          <w:szCs w:val="18"/>
          <w:color w:val="auto"/>
        </w:rPr>
        <w:t>” means, as of the date of determination, the ratio of (a) the Consolidated Total Net Debt of the Borrower and its Restricted Subsidiaries on such date that is secured by Liens, to (b) Consolidated EBITDA of the Borrower and its Restricted Subsidiaries for the period of the most recently ended four fiscal quarters for which financial statements are available.</w:t>
      </w:r>
    </w:p>
    <w:p>
      <w:pPr>
        <w:spacing w:after="0" w:line="176" w:lineRule="exact"/>
        <w:rPr>
          <w:sz w:val="20"/>
          <w:szCs w:val="20"/>
          <w:color w:val="auto"/>
        </w:rPr>
      </w:pPr>
    </w:p>
    <w:p>
      <w:pPr>
        <w:ind w:right="4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Net Debt</w:t>
      </w:r>
      <w:r>
        <w:rPr>
          <w:rFonts w:ascii="Arial" w:cs="Arial" w:eastAsia="Arial" w:hAnsi="Arial"/>
          <w:sz w:val="16"/>
          <w:szCs w:val="16"/>
          <w:color w:val="auto"/>
        </w:rPr>
        <w:t xml:space="preserve">” shall mean, as of any date of determination, the aggregate principal amount of Indebtedness of the Borrower and its Restricted Subsidiaries outstanding on such date, determined on a consolidated basis in accordance with GAAP, consisting of Indebtedness for borrowed money and Attributable Indebtedness, less up to $1,000,000,000 of cash and Cash Equivalents (which are not Restricted Cash) that would be stated on the balance sheet of the Borrower and its Restricted Subsidiaries as of such date of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only 50% of the cash and Cash Equivalents of Foreign Subsidiaries will be included in this calculation;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for purposes of determining the Consolidated Secured Debt Ratio for purposes of Sections 2.14 and 7.02(b)(20) only, the cash proceeds of any Incremental Term Loan, Revolving Commitment Increase and/or Permitted Debt Offering shall not be deemed to be included on the consolidated balance sheet of the Borrower and its Restricted Subsidiaries.</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Obligations</w:t>
      </w:r>
      <w:r>
        <w:rPr>
          <w:rFonts w:ascii="Arial" w:cs="Arial" w:eastAsia="Arial" w:hAnsi="Arial"/>
          <w:sz w:val="18"/>
          <w:szCs w:val="18"/>
          <w:color w:val="auto"/>
        </w:rPr>
        <w:t>” means, with respect to any Person, any obligation of such Person guaranteeing any leases, dividends or other obligations that do not constitute Indebtedness (“</w:t>
      </w:r>
      <w:r>
        <w:rPr>
          <w:rFonts w:ascii="Arial" w:cs="Arial" w:eastAsia="Arial" w:hAnsi="Arial"/>
          <w:sz w:val="18"/>
          <w:szCs w:val="18"/>
          <w:b w:val="1"/>
          <w:bCs w:val="1"/>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in any manner, whether directly or indirectly, including, without limitation, any obligation of such Person, whether or not contingent: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the purchase or payment of any such primary obligation, or</w:t>
      </w:r>
    </w:p>
    <w:p>
      <w:pPr>
        <w:spacing w:after="0" w:line="225" w:lineRule="exact"/>
        <w:rPr>
          <w:rFonts w:ascii="Arial" w:cs="Arial" w:eastAsia="Arial" w:hAnsi="Arial"/>
          <w:sz w:val="18"/>
          <w:szCs w:val="18"/>
          <w:color w:val="auto"/>
        </w:rPr>
      </w:pPr>
    </w:p>
    <w:p>
      <w:pPr>
        <w:ind w:left="1300" w:right="80" w:firstLine="653"/>
        <w:spacing w:after="0" w:line="277" w:lineRule="auto"/>
        <w:tabs>
          <w:tab w:leader="none" w:pos="260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maintain working capital or equity capital of the primary obligor or otherwise to maintain the net worth or solvency of the primary obligor, or</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66"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has the meaning specified in the definition of “Affiliate.”</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 Refinancing Indebtedness</w:t>
      </w:r>
      <w:r>
        <w:rPr>
          <w:rFonts w:ascii="Arial" w:cs="Arial" w:eastAsia="Arial" w:hAnsi="Arial"/>
          <w:sz w:val="16"/>
          <w:szCs w:val="16"/>
          <w:color w:val="auto"/>
        </w:rPr>
        <w:t>” means any (a) Permitted Pari Passu Secured Refinancing Debt, (b) Permitted Junior Secured Refinancing Debt, (c) Permitted Unsecured Refinancing Debt or (d) other Indebtedness incurred pursuant to a Refinancing Amendment (other than any Credit Agreement Refinancing Indebtedness incurred in the form of term loans, which shall not be secured by a first priority Lien on the Collateral), in each case, issued, incurred or otherwise obtained (including by means of the extension or renewal of existing Indebtedness) in exchange for, or to extend, renew, replace, repurchase, retire or refinance, in whole or part, existing Loans or Commitments hereunder, or any then-existing Credit Agreement Refinancing Indebtedness (“</w:t>
      </w:r>
      <w:r>
        <w:rPr>
          <w:rFonts w:ascii="Arial" w:cs="Arial" w:eastAsia="Arial" w:hAnsi="Arial"/>
          <w:sz w:val="16"/>
          <w:szCs w:val="16"/>
          <w:b w:val="1"/>
          <w:bCs w:val="1"/>
          <w:color w:val="auto"/>
        </w:rPr>
        <w:t>Refinanced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exchanging, extending, renewing, replacing, repurchasing, retiring or refinancing Indebtedness is in an original aggregate principal amount not greater than the aggregate principal amount of the Refinanced Debt except by an amount equal to unpaid accrued interest and premium (including tender premium) and penalties thereon plus reasonable upfront fees and OID on such exchanging, extending, renewing, replacing, repurchasing, retiring or refinancing Indebtedness, plus other reasonable and customary fees and expenses in connection with such exchange, modification, refinancing, refunding, renewal, replacement, repurchase, retirement or extension, (ii) such Indebtedness has a maturity no earlier, and a Weighted Average Life to Maturity equal to or greater, than the Refinanced Debt, (iii) the terms and conditions of such Indebtedness (except as otherwise provided in clause</w:t>
      </w:r>
    </w:p>
    <w:p>
      <w:pPr>
        <w:ind w:right="180" w:firstLine="8"/>
        <w:spacing w:after="0" w:line="292" w:lineRule="auto"/>
        <w:tabs>
          <w:tab w:leader="none" w:pos="26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above and with respect to pricing, premiums and optional prepayment or redemption terms) are substantially identical to, or (taken as a whole) are no more favorable to the lenders or holders providing such Indebtedness, than those applicable to the Refinanced Debt (taken as a whole) being refinanced (except for covenants or other provisions applicable only to periods after the Latest Maturity Date at the time of incurrence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certificate of a Responsible Officer delivered to the Administrative Agent at least five (5) Business Days prior to the incurrence of such Indebtedness, together with a reasonably detailed description of the material terms and conditions of such Indebtedness or drafts of the documentation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505" w:gutter="0" w:footer="0" w:header="0"/>
        </w:sectPr>
      </w:pPr>
    </w:p>
    <w:bookmarkStart w:id="30" w:name="page31"/>
    <w:bookmarkEnd w:id="30"/>
    <w:p>
      <w:pPr>
        <w:spacing w:after="0" w:line="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relating thereto, stating that the Borrower has determined in good faith that such terms and conditions satisfy the requirement of this clause (iii) shall be conclusive evidence that such terms and conditions satisfy such requirement), and (iv) such Refinanced Debt shall be repaid, repurchased, retired, defeased or satisfied and discharged, and all accrued interest, fees, premiums (if any) and penalties in connection therewith shall be paid, substantially concurrently with the date such Credit Agreement Refinancing Indebtedness is issued, incurred or obtained.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Proceeds</w:t>
      </w:r>
      <w:r>
        <w:rPr>
          <w:rFonts w:ascii="Arial" w:cs="Arial" w:eastAsia="Arial" w:hAnsi="Arial"/>
          <w:sz w:val="18"/>
          <w:szCs w:val="18"/>
          <w:color w:val="auto"/>
        </w:rPr>
        <w:t>” has the meaning set forth in Section 2.05(b)(v).</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Rate</w:t>
      </w:r>
      <w:r>
        <w:rPr>
          <w:rFonts w:ascii="Arial" w:cs="Arial" w:eastAsia="Arial" w:hAnsi="Arial"/>
          <w:sz w:val="17"/>
          <w:szCs w:val="17"/>
          <w:color w:val="auto"/>
        </w:rPr>
        <w:t xml:space="preserve">” means an interest rate equal to (a) the Base Rate plus (b) the Applicable Rate, if any, applicable to Base Rate Loans plus (c) 2.0% per annum;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 Eurodollar Rate Loan, the Default Rate shall be an interest rate equal to the interest rate (including any Applicable Rate) otherwise applicable to such Loan plus 2.0% per annum, in each case, to the fullest extent permitted by applicable Laws.</w:t>
      </w:r>
    </w:p>
    <w:p>
      <w:pPr>
        <w:spacing w:after="0" w:line="158"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means any Lender that (a) has failed to fund any portion of the Term Loans, Revolving Credit Loans, participations in L/C Obligations or participations in Swing Line Loans required to be funded by it hereunder within one (1) Business Day of the date required to be funded by it hereunder, unless subsequently cured, (b) has otherwise failed to pay over to the Administrative Agent or any other Lender any other amount required to be paid by it hereunder within one (1) Business Day of the date when due, unless the subject of a good faith dispute or subsequently cured, (c) has notified the Borrower or the Administrative Agent that it does not intend to comply with its funding obligations or has made a public statement to that effect with respect to its funding obligations hereunder or generally under other agreements in which it commits to extend credit, (d) has failed, within three Business Days after request by the Administrative Agent, to confirm in a manner satisfactory to the Administrative Agent that it will comply with its funding obligations, or</w:t>
      </w:r>
    </w:p>
    <w:p>
      <w:pPr>
        <w:spacing w:after="0" w:line="2"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has, or has a direct or indirect parent company that has, (i) become the subject of a proceeding under any Debtor Relief Law, (ii) had a receiver,</w:t>
      </w:r>
    </w:p>
    <w:p>
      <w:pPr>
        <w:spacing w:after="0" w:line="20" w:lineRule="exact"/>
        <w:rPr>
          <w:rFonts w:ascii="Arial" w:cs="Arial" w:eastAsia="Arial" w:hAnsi="Arial"/>
          <w:sz w:val="17"/>
          <w:szCs w:val="17"/>
          <w:color w:val="auto"/>
        </w:rPr>
      </w:pPr>
    </w:p>
    <w:p>
      <w:pPr>
        <w:ind w:right="80"/>
        <w:spacing w:after="0" w:line="254" w:lineRule="auto"/>
        <w:rPr>
          <w:rFonts w:ascii="Arial" w:cs="Arial" w:eastAsia="Arial" w:hAnsi="Arial"/>
          <w:sz w:val="17"/>
          <w:szCs w:val="17"/>
          <w:color w:val="auto"/>
        </w:rPr>
      </w:pPr>
      <w:r>
        <w:rPr>
          <w:rFonts w:ascii="Arial" w:cs="Arial" w:eastAsia="Arial" w:hAnsi="Arial"/>
          <w:sz w:val="18"/>
          <w:szCs w:val="18"/>
          <w:color w:val="auto"/>
        </w:rPr>
        <w:t>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provided that a Lender shall not be a Defaulting Lender solely by virtue of (x) the ownership or acquisition of any equity interest in that Lender or any direct or indirect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parent company thereof by a Governmental Authority or (y) an undisclosed administration pursuant to the laws of the Netherlands.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Jurisdiction</w:t>
      </w:r>
      <w:r>
        <w:rPr>
          <w:rFonts w:ascii="Arial" w:cs="Arial" w:eastAsia="Arial" w:hAnsi="Arial"/>
          <w:sz w:val="17"/>
          <w:szCs w:val="17"/>
          <w:color w:val="auto"/>
        </w:rPr>
        <w:t>” means any country or territory to the extent that such country or territory itself is the subject of any Sanction.</w:t>
      </w:r>
    </w:p>
    <w:p>
      <w:pPr>
        <w:spacing w:after="0" w:line="237"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Non-cash Consideration</w:t>
      </w:r>
      <w:r>
        <w:rPr>
          <w:rFonts w:ascii="Arial" w:cs="Arial" w:eastAsia="Arial" w:hAnsi="Arial"/>
          <w:sz w:val="17"/>
          <w:szCs w:val="17"/>
          <w:color w:val="auto"/>
        </w:rPr>
        <w:t>” means the fair market value (as determined in good faith by the Borrower) of non-cash consideration received by the Borrower or any of its Restricted Subsidiaries in connection with an Disposition that is so designated as Designated Non-cash Consideration pursuant to an officer’s certificate, setting forth the basis of such valuation, executed by the principal financial officer of the Borrower, less the amount of cash or Cash Equivalents received in connection with a subsequent sale of or collection on such Designated Non-cash Consideration.</w:t>
      </w:r>
    </w:p>
    <w:p>
      <w:pPr>
        <w:spacing w:after="0" w:line="16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Preferred Stock</w:t>
      </w:r>
      <w:r>
        <w:rPr>
          <w:rFonts w:ascii="Arial" w:cs="Arial" w:eastAsia="Arial" w:hAnsi="Arial"/>
          <w:sz w:val="18"/>
          <w:szCs w:val="18"/>
          <w:color w:val="auto"/>
        </w:rPr>
        <w:t>” means Preferred Stock of the Borrower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executed by the principal financial officer of the Borrower, on the issuance date thereof, the cash proceeds of which are excluded from the calculation set forth in Section 7.05(a)(3).</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or “</w:t>
      </w:r>
      <w:r>
        <w:rPr>
          <w:rFonts w:ascii="Arial" w:cs="Arial" w:eastAsia="Arial" w:hAnsi="Arial"/>
          <w:sz w:val="18"/>
          <w:szCs w:val="18"/>
          <w:b w:val="1"/>
          <w:bCs w:val="1"/>
          <w:color w:val="auto"/>
        </w:rPr>
        <w:t>Dispose</w:t>
      </w:r>
      <w:r>
        <w:rPr>
          <w:rFonts w:ascii="Arial" w:cs="Arial" w:eastAsia="Arial" w:hAnsi="Arial"/>
          <w:sz w:val="18"/>
          <w:szCs w:val="18"/>
          <w:color w:val="auto"/>
        </w:rPr>
        <w:t>” means:</w:t>
      </w:r>
    </w:p>
    <w:p>
      <w:pPr>
        <w:spacing w:after="0" w:line="229" w:lineRule="exact"/>
        <w:rPr>
          <w:sz w:val="20"/>
          <w:szCs w:val="20"/>
          <w:color w:val="auto"/>
        </w:rPr>
      </w:pPr>
    </w:p>
    <w:p>
      <w:pPr>
        <w:ind w:left="660" w:right="120" w:firstLine="645"/>
        <w:spacing w:after="0" w:line="264" w:lineRule="auto"/>
        <w:tabs>
          <w:tab w:leader="none" w:pos="195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by way of a Sale and Lease-Back Transaction) of the Borrower or any of its Restricted Subsidiaries (each referred to in this definition as a “disposition”); or</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issuance or sale of Equity Interests of any Restricted Subsidiary (other than Preferred Stock of Restricted Subsidiaries issued in compliance with Section 7.02), whether in a single transaction or a series of related transactions.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Stock</w:t>
      </w:r>
      <w:r>
        <w:rPr>
          <w:rFonts w:ascii="Arial" w:cs="Arial" w:eastAsia="Arial" w:hAnsi="Arial"/>
          <w:sz w:val="18"/>
          <w:szCs w:val="18"/>
          <w:color w:val="auto"/>
        </w:rPr>
        <w:t xml:space="preserve">”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Latest Maturity Date at the time of issuance of such Capital Stock or the date such Loans are no longer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 lawful money of the United States.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7"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Cash</w:t>
      </w:r>
      <w:r>
        <w:rPr>
          <w:rFonts w:ascii="Arial" w:cs="Arial" w:eastAsia="Arial" w:hAnsi="Arial"/>
          <w:sz w:val="16"/>
          <w:szCs w:val="16"/>
          <w:color w:val="auto"/>
        </w:rPr>
        <w:t>” has the meaning set forth in Section 4.01(a)(xii).</w:t>
      </w:r>
    </w:p>
    <w:p>
      <w:pPr>
        <w:sectPr>
          <w:pgSz w:w="11900" w:h="16847" w:orient="portrait"/>
          <w:cols w:equalWidth="0" w:num="1">
            <w:col w:w="11420"/>
          </w:cols>
          <w:pgMar w:left="240" w:top="125" w:right="239" w:bottom="0" w:gutter="0" w:footer="0" w:header="0"/>
          <w:type w:val="continuous"/>
        </w:sectPr>
      </w:pPr>
    </w:p>
    <w:bookmarkStart w:id="31" w:name="page32"/>
    <w:bookmarkEnd w:id="31"/>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Subsidiary of the Borrower that is organized or existing under the laws of the United States, any state thereof, the District of Columbia, or any territory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Electing Lender</w:t>
      </w:r>
      <w:r>
        <w:rPr>
          <w:rFonts w:ascii="Arial" w:cs="Arial" w:eastAsia="Arial" w:hAnsi="Arial"/>
          <w:sz w:val="18"/>
          <w:szCs w:val="18"/>
          <w:color w:val="auto"/>
        </w:rPr>
        <w:t>” has the meaning specified in Section 2.16(f)(i).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has the meaning set forth in Section 10.06(a).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EMU</w:t>
      </w:r>
      <w:r>
        <w:rPr>
          <w:rFonts w:ascii="Arial" w:cs="Arial" w:eastAsia="Arial" w:hAnsi="Arial"/>
          <w:sz w:val="18"/>
          <w:szCs w:val="18"/>
          <w:color w:val="auto"/>
        </w:rPr>
        <w:t>” means economic and monetary union as contemplated in the Treaty on European Union.</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indoor air, ambient air, surface water, groundwater, drinking water, land surface, subsurface strata, and natural resources such as wetlands, flora and fauna.</w:t>
      </w:r>
    </w:p>
    <w:p>
      <w:pPr>
        <w:spacing w:after="0" w:line="16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the common law and any and all Federal, state, local, and foreign statutes, Laws, regulations, ordinances, rules, judgments, orders, decrees, permits, concessions, grants, franchises, licenses, agreements or governmental restrictions relating to pollution, the protection of the Environment or, to the extent relating to exposure to Hazardous Materials, human health or to the Release or threat of Release of Hazardous Materials into the Environment.</w:t>
      </w:r>
    </w:p>
    <w:p>
      <w:pPr>
        <w:spacing w:after="0" w:line="180"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Liability</w:t>
      </w:r>
      <w:r>
        <w:rPr>
          <w:rFonts w:ascii="Arial" w:cs="Arial" w:eastAsia="Arial" w:hAnsi="Arial"/>
          <w:sz w:val="17"/>
          <w:szCs w:val="17"/>
          <w:color w:val="auto"/>
        </w:rPr>
        <w:t>” means any liability, contingent or otherwise (including any liability for damages, costs of investigation and remediation, fines, penalties or indemnities), of the Loan Parties or any Restricted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8"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Offering</w:t>
      </w:r>
      <w:r>
        <w:rPr>
          <w:rFonts w:ascii="Arial" w:cs="Arial" w:eastAsia="Arial" w:hAnsi="Arial"/>
          <w:sz w:val="16"/>
          <w:szCs w:val="16"/>
          <w:color w:val="auto"/>
        </w:rPr>
        <w:t>” means any public or private sale of common stock or Preferred Stock of the Borrower (excluding Disqualified Stock), other than:</w:t>
      </w:r>
    </w:p>
    <w:p>
      <w:pPr>
        <w:spacing w:after="0" w:line="252" w:lineRule="exact"/>
        <w:rPr>
          <w:sz w:val="20"/>
          <w:szCs w:val="20"/>
          <w:color w:val="auto"/>
        </w:rPr>
      </w:pPr>
    </w:p>
    <w:p>
      <w:pPr>
        <w:ind w:left="1940" w:hanging="635"/>
        <w:spacing w:after="0"/>
        <w:tabs>
          <w:tab w:leader="none" w:pos="19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public offerings with respect to any such Person’s common stock registered on Form S-8;</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issuances to any Subsidiary of the Borrower;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Refunding Capital Stock.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trade or business (whether or not incorporated) that is under common control with a Loan Party or any Restricted Subsidiary within the meaning of Section 414 of the Code or Section 4001 of ERISA.</w:t>
      </w:r>
    </w:p>
    <w:p>
      <w:pPr>
        <w:spacing w:after="0" w:line="162"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 a Reportable Event with respect to a Pension Plan; (b) with respect to any Pension Plan, the failure to satisfy the minimum funding standards under Section 412 of the code or Section 302 of ERISA, whether or not waived; (c) a withdrawal by a Loan Party, any Restricted Subsidiary or any ERISA Affiliate from a Pension Plan subject to Section 4063 of ERISA during a plan year in which it was a substantial employer (as defined in Section 4001(a)(2) of ERISA) or a cessation of operations that is treated as such a withdrawal under Section 4062(e) of ERISA; (d) a complete or partial withdrawal by a Loan Party, any Restricted Subsidiary or any ERISA Affiliate from a Multiemployer Plan or notification that a Multiemployer Plan is insolvent or in reorganization, within the meaning of Title IV of ERISA, or in endangered or critical status, within the meaning of Section 432 of the Code or Section 305 of ERISA; (e) the filing of a notice of intent to terminate, the treatment of a plan amendment as a termination under Sections 4041 or 4041A of ERISA, or the commencement of proceedings by the PBGC to terminate a Pension Plan or Multiemployer Plan; (f) an event or condition which constitutes grounds under Section 4042 of ERISA for the termination of, or the appointment of a trustee to administer, any Pension Plan or Multiemployer Plan; or</w:t>
      </w:r>
    </w:p>
    <w:p>
      <w:pPr>
        <w:spacing w:after="0" w:line="4" w:lineRule="exact"/>
        <w:rPr>
          <w:sz w:val="20"/>
          <w:szCs w:val="20"/>
          <w:color w:val="auto"/>
        </w:rPr>
      </w:pPr>
    </w:p>
    <w:p>
      <w:pPr>
        <w:ind w:right="400" w:firstLine="8"/>
        <w:spacing w:after="0" w:line="261"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imposition of any liability under Title IV of ERISA, other than for PBGC premiums due but not delinquent under Section 4007 of ERISA, upon a Loan Party, any Restricted Subsidiary or any ERISA Affiliate with respect to any Pension Plan or Multiemployer Plan.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means the single currency of participating member states of the EMU.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Eurodollar Rate</w:t>
      </w:r>
      <w:r>
        <w:rPr>
          <w:rFonts w:ascii="Arial" w:cs="Arial" w:eastAsia="Arial" w:hAnsi="Arial"/>
          <w:sz w:val="18"/>
          <w:szCs w:val="18"/>
          <w:color w:val="auto"/>
        </w:rPr>
        <w:t>” means: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for any Interest Period with respect to a Eurodollar Rate Loan, the rate per annum equal to the London Interbank Offered Rate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w:t>
      </w:r>
      <w:r>
        <w:rPr>
          <w:rFonts w:ascii="Arial" w:cs="Arial" w:eastAsia="Arial" w:hAnsi="Arial"/>
          <w:sz w:val="16"/>
          <w:szCs w:val="16"/>
          <w:color w:val="auto"/>
        </w:rPr>
        <w:t>”) or a comparable or successor rate, which rate is approved by the Administrative Agent, as published on the applicable Reuters screen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page (or such other commercially available source providing such quotations as may be reasonably designated by the Administrative Agent from</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time to time) at approximately 11:00 a.m., London time, two Business Days prior to the commencement of such Interest Period, for Dollar deposits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delivery on the first day of such Interest Period) with a term equivalent to such Interest Period; and</w:t>
      </w:r>
    </w:p>
    <w:p>
      <w:pPr>
        <w:spacing w:after="0" w:line="211" w:lineRule="exact"/>
        <w:rPr>
          <w:sz w:val="20"/>
          <w:szCs w:val="20"/>
          <w:color w:val="auto"/>
        </w:rPr>
      </w:pPr>
    </w:p>
    <w:p>
      <w:pPr>
        <w:ind w:left="1960" w:hanging="655"/>
        <w:spacing w:after="0"/>
        <w:tabs>
          <w:tab w:leader="none" w:pos="19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for any interest calculation with respect to a Base Rate Loan on any date, the rate per annum equal to LIBOR, at or about</w:t>
      </w:r>
    </w:p>
    <w:p>
      <w:pPr>
        <w:spacing w:after="0" w:line="35"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11:00 a.m., London time determined two Business Days prior to such date for U.S. Dollar deposits with a term of one month commencing that day;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532" w:gutter="0" w:footer="0" w:header="0"/>
        </w:sectPr>
      </w:pPr>
    </w:p>
    <w:bookmarkStart w:id="32" w:name="page33"/>
    <w:bookmarkEnd w:id="32"/>
    <w:p>
      <w:pPr>
        <w:ind w:right="60"/>
        <w:spacing w:after="0" w:line="30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to the extent a comparable or successor rate is approved by the Administrative Agent in connection herewith, the approved rate shall be applied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a manner consistent with market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to the extent such market practice is not administratively feasible for the Administrative Agent, such approved rate shall be applied in a manner as otherwise reasonably determined by the Administrative Agent;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Eurodollar Rate with respect to Term Loans that bear interest at a rate based on clause (a) of this definition will be deemed not to be less than 0.75% per annum.</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Eurodollar Rate Loan</w:t>
      </w:r>
      <w:r>
        <w:rPr>
          <w:rFonts w:ascii="Arial" w:cs="Arial" w:eastAsia="Arial" w:hAnsi="Arial"/>
          <w:sz w:val="18"/>
          <w:szCs w:val="18"/>
          <w:color w:val="auto"/>
        </w:rPr>
        <w:t>” means a Loan that bears interest at a rate based on the Eurodollar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Section 8.01.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SEC promulgated thereunder.</w:t>
      </w:r>
    </w:p>
    <w:p>
      <w:pPr>
        <w:spacing w:after="0" w:line="23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xml:space="preserve">” means (a) any Subsidiary that is not a Wholly-Owned Subsidiary, (b) any Subsidiary of the Borrower that does not have assets (after intercompany eliminations) in excess of $50,000,000 or annual revenues in excess of $25,000,000, in each case as determined as of the date of the most recent financial statements delivered pursuant to Section 6.01(a), (c) any Subsidiary that is prohibited by applicable Law or Contractual Obligations existing on the Closing Date from guaranteeing the Obligations or would require the approval, consent, license or authorization of any Governmental Authority in order to guarantee the Obligations (unless such approval, consent, license or authorization has been received) (or in the case of any future acquisition, of the acquired company and as in effect as of the closing date of such acquisition), so long as, in the case of any such Contractual Obligation, such prohibition is not incurred in contemplation of such acquisition, (d) any Restricted Subsidiary acquired pursuant to a Permitted Acquisition that has Indebtedness permitted by Section 7.02(b)(13) and each Restricted Subsidiary thereof that guarantees such Indebtedness, in each case to the extent such secured Indebtedness prohibits such Restricted Subsidiary from guaranteeing the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(x) such Indebtedness was not incurred in contemplation of such acquisition and (y) that each such Restricted Subsidiary shall cease to be an Excluded Subsidiary under this clause (d) if such secured Indebtedness is repaid or if such Restricted Subsidiary ceases to guarantee such secured Indebtedness, as applicable, (e) any other Subsidiary with respect to which, in the reasonable judgment of the Administrative Agent and the Borrower, the cost or other consequences (including any adverse tax consequences) of providing a Guarantee shall be excessive in view of the benefits to be obtained by the Lenders therefrom, (f) any special purpose entity, including any Receivables Subsidiary, (g) any Foreign Subsidiary, (h) any Unrestricted Subsidiary, (i) any CFC Holdco, (j) any Domestic Subsidiary of a Foreign Subsidiary that is a CFC and (k) Amber Holding.</w:t>
      </w:r>
    </w:p>
    <w:p>
      <w:pPr>
        <w:spacing w:after="0" w:line="183"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Swap Obligation</w:t>
      </w:r>
      <w:r>
        <w:rPr>
          <w:rFonts w:ascii="Arial" w:cs="Arial" w:eastAsia="Arial" w:hAnsi="Arial"/>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any thereof) by virtue of such Guarantor’s failure for any reason not to constitute an “eligible contract participant” as defined in the Commodity Exchange Act at the time the Guarantee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means, with respect to the Administrative Agent, any Lender or any other recipient of any payments to be made by or on account of any obligation of any Loan Party hereunder or under any other Loan Document, (a) any Tax on such recipient’s net income or profits (or franchise Tax imposed in lieu of a Tax on net income or profits) imposed by a jurisdiction as a result of such recipient being organized or having its principal office or applicable Lending Office in such jurisdiction or as a result of any other present or former connection between such recipient and such jurisdiction, other than any connection arising solely from such recipient having executed, delivered, enforced, become a party to, performed its obligations under, received payments under, received or perfected a security interest under, engaged in any other transaction pursuant to, and/or enforced, any Loan Documents), (b) any branch profits tax under Section 884(a) of the Code, or any similar tax, imposed by any other jurisdiction described in (a), (c) with respect to any Loan made by a Foreign Lender other than any Foreign Lender becoming a party hereto pursuant to the Borrower’s request under Section 10.13), any U.S. federal withholding tax that is imposed on amounts payable to such Foreign Lender pursuant to a Law in effect at the time such Foreign Lender becomes a party hereto (or designates a new Lending Office), except to the extent that such Foreign Lender (or its assignor, if any) was entitled, immediately prior to the time of designation of a new Lending Office (or assignment), to receive additional amounts from a Loan Party with respect to such U.S. federal withholding tax pursuant to Section 3.01, (d) any withholding tax attributable to such recipient’s failure to comply with Section 3.01(d) or (e) any U.S. federal withholding tax imposed pursuant to FATCA.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has the meaning set forth in Section 5.15.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Commitment</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w:t>
      </w:r>
      <w:r>
        <w:rPr>
          <w:rFonts w:ascii="Arial" w:cs="Arial" w:eastAsia="Arial" w:hAnsi="Arial"/>
          <w:sz w:val="17"/>
          <w:szCs w:val="17"/>
          <w:color w:val="auto"/>
        </w:rPr>
        <w:t>” means the Term Loans, the Revolving Credit Facility, the Swing Line Sublimit or the Letter of Credit Sublimit, as the context may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means Foreign Corrupt Practices Act of 1977, as amended, and the rules and regulations thereunder.</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shall mean Sections 1471 through 1474 of the Code as of the date hereof (and any amended or successor version that is substantively comparable and not materially more</w:t>
      </w:r>
    </w:p>
    <w:p>
      <w:pPr>
        <w:sectPr>
          <w:pgSz w:w="11900" w:h="16838" w:orient="portrait"/>
          <w:cols w:equalWidth="0" w:num="1">
            <w:col w:w="11420"/>
          </w:cols>
          <w:pgMar w:left="240" w:top="125" w:right="239" w:bottom="123"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33" w:name="page34"/>
    <w:bookmarkEnd w:id="33"/>
    <w:p>
      <w:pPr>
        <w:ind w:right="320"/>
        <w:spacing w:after="0" w:line="277" w:lineRule="auto"/>
        <w:rPr>
          <w:sz w:val="20"/>
          <w:szCs w:val="20"/>
          <w:color w:val="auto"/>
        </w:rPr>
      </w:pPr>
      <w:r>
        <w:rPr>
          <w:rFonts w:ascii="Arial" w:cs="Arial" w:eastAsia="Arial" w:hAnsi="Arial"/>
          <w:sz w:val="18"/>
          <w:szCs w:val="18"/>
          <w:color w:val="auto"/>
        </w:rPr>
        <w:t>onerous to comply with), any agreements entered into pursuant to current Section 1471(b)(1) of the Code (or any amended or successor version described above) and any current or future Treasury regulations or other official administrative interpretations thereof.</w:t>
      </w:r>
    </w:p>
    <w:p>
      <w:pPr>
        <w:spacing w:after="0" w:line="166" w:lineRule="exact"/>
        <w:rPr>
          <w:sz w:val="20"/>
          <w:szCs w:val="20"/>
          <w:color w:val="auto"/>
        </w:rPr>
      </w:pPr>
    </w:p>
    <w:p>
      <w:pPr>
        <w:ind w:right="14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Covenant Event of Default</w:t>
      </w:r>
      <w:r>
        <w:rPr>
          <w:rFonts w:ascii="Arial" w:cs="Arial" w:eastAsia="Arial" w:hAnsi="Arial"/>
          <w:sz w:val="18"/>
          <w:szCs w:val="18"/>
          <w:color w:val="auto"/>
        </w:rPr>
        <w:t>” has the meaning set forth in Section 8.01(b).</w:t>
      </w:r>
    </w:p>
    <w:p>
      <w:pPr>
        <w:spacing w:after="0" w:line="225"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 Coverage Ratio</w:t>
      </w:r>
      <w:r>
        <w:rPr>
          <w:rFonts w:ascii="Arial" w:cs="Arial" w:eastAsia="Arial" w:hAnsi="Arial"/>
          <w:sz w:val="18"/>
          <w:szCs w:val="18"/>
          <w:color w:val="auto"/>
        </w:rPr>
        <w:t>” means, with respect to any Person for any period, the ratio of Consolidated EBITDA of such Person for such period to the Fixed Charges of such Person for such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means, with respect to any Person for any period, the sum, without duplication, of:</w:t>
      </w:r>
    </w:p>
    <w:p>
      <w:pPr>
        <w:spacing w:after="0" w:line="229" w:lineRule="exact"/>
        <w:rPr>
          <w:sz w:val="20"/>
          <w:szCs w:val="20"/>
          <w:color w:val="auto"/>
        </w:rPr>
      </w:pPr>
    </w:p>
    <w:p>
      <w:pPr>
        <w:ind w:left="1960" w:hanging="655"/>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for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cash dividends or other distributions paid (excluding items eliminated in consolidation) on any series of Preferred Stock during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such period; </w:t>
      </w:r>
      <w:r>
        <w:rPr>
          <w:rFonts w:ascii="Arial" w:cs="Arial" w:eastAsia="Arial" w:hAnsi="Arial"/>
          <w:sz w:val="18"/>
          <w:szCs w:val="18"/>
          <w:i w:val="1"/>
          <w:iCs w:val="1"/>
          <w:color w:val="auto"/>
        </w:rPr>
        <w:t>plus</w:t>
      </w:r>
    </w:p>
    <w:p>
      <w:pPr>
        <w:spacing w:after="0" w:line="210" w:lineRule="exact"/>
        <w:rPr>
          <w:rFonts w:ascii="Arial" w:cs="Arial" w:eastAsia="Arial" w:hAnsi="Arial"/>
          <w:sz w:val="16"/>
          <w:szCs w:val="16"/>
          <w:color w:val="auto"/>
        </w:rPr>
      </w:pPr>
    </w:p>
    <w:p>
      <w:pPr>
        <w:ind w:left="660" w:right="360" w:firstLine="645"/>
        <w:spacing w:after="0" w:line="277" w:lineRule="auto"/>
        <w:tabs>
          <w:tab w:leader="none" w:pos="19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Disqualified Stock during such period.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Casualty Event</w:t>
      </w:r>
      <w:r>
        <w:rPr>
          <w:rFonts w:ascii="Arial" w:cs="Arial" w:eastAsia="Arial" w:hAnsi="Arial"/>
          <w:sz w:val="18"/>
          <w:szCs w:val="18"/>
          <w:color w:val="auto"/>
        </w:rPr>
        <w:t>” has the meaning set forth in Section 2.05(b)(vii).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Disposition</w:t>
      </w:r>
      <w:r>
        <w:rPr>
          <w:rFonts w:ascii="Arial" w:cs="Arial" w:eastAsia="Arial" w:hAnsi="Arial"/>
          <w:sz w:val="18"/>
          <w:szCs w:val="18"/>
          <w:color w:val="auto"/>
        </w:rPr>
        <w:t>” has the meaning set forth in Section 2.05(b)(vii).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any Lender that is not a “United States person” as defined in Section 7701(a)(30) of the Code.</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means any employee benefit plan, program or agreement maintained or contributed to by, or entered into with, the Borrower or any Subsidiary with respect to employees employed outside the United States (other than benefit plans, programs or agreements that are mandated by applicable Laws).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which is not a Domestic Subsidiary.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Fronting Exposure</w:t>
      </w:r>
      <w:r>
        <w:rPr>
          <w:rFonts w:ascii="Arial" w:cs="Arial" w:eastAsia="Arial" w:hAnsi="Arial"/>
          <w:sz w:val="17"/>
          <w:szCs w:val="17"/>
          <w:color w:val="auto"/>
        </w:rPr>
        <w:t>” means, at any time there is a Defaulting Lender, (a) with respect to any L/C Issuer, such Defaulting Lender’s Applicable Percentage of the outstanding L/C Obligations with respect to Letters of Credit issued by such L/C Issuer other than L/C Obligations as to which such Defaulting Lender’s participation obligation has been reallocated to other Lenders or Cash Collateralized in accordance with the terms hereof and (b) with respect to any Swing Line Lender, such Defaulting Lender’s Applicable Percentage of outstanding Swing Line Loans made by such Swing Line Lender other than Swing Line Loans as to which such Defaulting Lender’s participation obligation has been reallocated to other Lenders.</w:t>
      </w:r>
    </w:p>
    <w:p>
      <w:pPr>
        <w:spacing w:after="0" w:line="168"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Further Election</w:t>
      </w:r>
      <w:r>
        <w:rPr>
          <w:rFonts w:ascii="Arial" w:cs="Arial" w:eastAsia="Arial" w:hAnsi="Arial"/>
          <w:sz w:val="18"/>
          <w:szCs w:val="18"/>
          <w:color w:val="auto"/>
        </w:rPr>
        <w:t>” has the meaning specified in Section 2.16(f)(i).</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xml:space="preserve">” means generally accepted accounting principles in the United States,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Borrower notifies the Administrative Agent that the Borrower requests an amendment to any provision hereof to eliminate the effect of any change occurring after the Closing Date in GAAP or in the application thereof (including through conforming changes made consistent with IFRS)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(including through conforming changes made consistent with IFRS), then (i) such provision shall be interpreted on the basis of GAAP as in effect and applied immediately before such change shall have become effective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4" w:lineRule="exact"/>
        <w:rPr>
          <w:sz w:val="20"/>
          <w:szCs w:val="20"/>
          <w:color w:val="auto"/>
        </w:rPr>
      </w:pPr>
    </w:p>
    <w:p>
      <w:pPr>
        <w:jc w:val="both"/>
        <w:ind w:right="5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any state, county, provincial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has the meaning specified in Section 10.06(g).</w:t>
      </w:r>
    </w:p>
    <w:p>
      <w:pPr>
        <w:spacing w:after="0" w:line="225"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has the meaning specified in Section 11.01.</w:t>
      </w:r>
    </w:p>
    <w:p>
      <w:pPr>
        <w:sectPr>
          <w:pgSz w:w="11900" w:h="16838" w:orient="portrait"/>
          <w:cols w:equalWidth="0" w:num="1">
            <w:col w:w="11400"/>
          </w:cols>
          <w:pgMar w:left="240" w:top="341" w:right="259" w:bottom="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means (a) the Restricted Subsidiaries of the Borrower as of the Closing Date and those Restricted Subsidiaries that issue a Guarantee of the Obligations after the Closing Date pursuant to Section 6.11, in each case, other than Excluded Subsidiaries and (b) with respect to (i) Secured Hedging Agreements or Treasury Services Agreements owing by any Loan Party (other than the Borrower) and (ii) the payment and performance by each Loan Party that is not an “eligible contract participant” under the Commodity Exchange Act (determined prior to giving effect to Section 11.12) of its obligations under its Guaranty with respect to all Swap Obligations, the Borrower.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collectively, the guaranty of the Obligations by the Guarantors pursuant to this Agreement.</w:t>
      </w:r>
    </w:p>
    <w:p>
      <w:pPr>
        <w:spacing w:after="0" w:line="225" w:lineRule="exact"/>
        <w:rPr>
          <w:sz w:val="20"/>
          <w:szCs w:val="20"/>
          <w:color w:val="auto"/>
        </w:rPr>
      </w:pPr>
    </w:p>
    <w:p>
      <w:pPr>
        <w:ind w:right="38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explosive or radioactive substances or wastes and all hazardous or toxic substances, wastes or pollutants, including petroleum or petroleum distillates, asbestos or asbestos-containing materials, polychlorinated biphenyls, radon gas, mold, infectious or medical wastes that are regulated pursuant to, or the Release or exposure to which could give rise to liability under, applicable Environmental Law.</w:t>
      </w:r>
    </w:p>
    <w:p>
      <w:pPr>
        <w:spacing w:after="0" w:line="142"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Bank</w:t>
      </w:r>
      <w:r>
        <w:rPr>
          <w:rFonts w:ascii="Arial" w:cs="Arial" w:eastAsia="Arial" w:hAnsi="Arial"/>
          <w:sz w:val="16"/>
          <w:szCs w:val="16"/>
          <w:color w:val="auto"/>
        </w:rPr>
        <w:t>” means any Person that is the Administrative Agent, an Arranger or a Lender or an Affiliate of the Administrative Agent, an Arranger, or a Lender on the Closing Date or at the time it enters into a Secured Hedge Agreement or a Treasury Services Agreement, as applicable, in its capacity as a party thereto, and (other than a Person already party hereto as a Lender) delivers to the Administrative Agent a letter agreement reasonably satisfactory to it (i) appointing the Collateral Agent as its agent under the applicable Loan Documents and (ii) agreeing to be bound by Section 10.15 as if it were a Lender.</w:t>
      </w:r>
    </w:p>
    <w:p>
      <w:pPr>
        <w:spacing w:after="0" w:line="15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means, with respect to any Person, the obligations of such Person under any interest rate swap agreement, interest rate cap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interest rate collar agreement, commodity swap agreement, commodity cap agreement, commodity collar agreement, foreign exchange contract, currency swap agreement or similar agreement providing for the transfer or mitigation of interest rate or currency risks either generally or under specific contingencies.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Honor Date</w:t>
      </w:r>
      <w:r>
        <w:rPr>
          <w:rFonts w:ascii="Arial" w:cs="Arial" w:eastAsia="Arial" w:hAnsi="Arial"/>
          <w:sz w:val="18"/>
          <w:szCs w:val="18"/>
          <w:color w:val="auto"/>
        </w:rPr>
        <w:t>” has the meaning set forth in Section 2.03(c)(i).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accounting standards as promulgated by the International Accounting Standards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Amendment</w:t>
      </w:r>
      <w:r>
        <w:rPr>
          <w:rFonts w:ascii="Arial" w:cs="Arial" w:eastAsia="Arial" w:hAnsi="Arial"/>
          <w:sz w:val="18"/>
          <w:szCs w:val="18"/>
          <w:color w:val="auto"/>
        </w:rPr>
        <w:t>” has the meaning set forth in Section 2.14(a).</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Assumption Agreement</w:t>
      </w:r>
      <w:r>
        <w:rPr>
          <w:rFonts w:ascii="Arial" w:cs="Arial" w:eastAsia="Arial" w:hAnsi="Arial"/>
          <w:sz w:val="18"/>
          <w:szCs w:val="18"/>
          <w:color w:val="auto"/>
        </w:rPr>
        <w:t>” means an Assumption Agreement among the Borrower and one or more Extending Lenders entered into pursuant to Section 2.16 and acknowledged by the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Loans</w:t>
      </w:r>
      <w:r>
        <w:rPr>
          <w:rFonts w:ascii="Arial" w:cs="Arial" w:eastAsia="Arial" w:hAnsi="Arial"/>
          <w:sz w:val="18"/>
          <w:szCs w:val="18"/>
          <w:color w:val="auto"/>
        </w:rPr>
        <w:t>” has the meaning set forth in Section 2.14(a).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without duplication:</w:t>
      </w:r>
    </w:p>
    <w:p>
      <w:pPr>
        <w:spacing w:after="0" w:line="229" w:lineRule="exact"/>
        <w:rPr>
          <w:sz w:val="20"/>
          <w:szCs w:val="20"/>
          <w:color w:val="auto"/>
        </w:rPr>
      </w:pPr>
    </w:p>
    <w:p>
      <w:pPr>
        <w:ind w:left="1940" w:hanging="635"/>
        <w:spacing w:after="0"/>
        <w:tabs>
          <w:tab w:leader="none" w:pos="19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indebtedness (including principal and premium) of such Person, whether or not contingent: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300" w:right="420" w:firstLine="653"/>
        <w:spacing w:after="0" w:line="277" w:lineRule="auto"/>
        <w:tabs>
          <w:tab w:leader="none" w:pos="2627"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bankers’ acceptances (or, without duplication, reimbursement agreements in respect thereof);</w:t>
      </w:r>
    </w:p>
    <w:p>
      <w:pPr>
        <w:spacing w:after="0" w:line="170" w:lineRule="exact"/>
        <w:rPr>
          <w:rFonts w:ascii="Arial" w:cs="Arial" w:eastAsia="Arial" w:hAnsi="Arial"/>
          <w:sz w:val="18"/>
          <w:szCs w:val="18"/>
          <w:color w:val="auto"/>
        </w:rPr>
      </w:pPr>
    </w:p>
    <w:p>
      <w:pPr>
        <w:ind w:left="1300" w:right="20" w:firstLine="653"/>
        <w:spacing w:after="0" w:line="259" w:lineRule="auto"/>
        <w:tabs>
          <w:tab w:leader="none" w:pos="2637"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(including Capitalized Lease Obligations), except (x) any such balance that constitutes a trade payable or similar obligation to a trade creditor, in each case accrued in the ordinary course of business, (y) any earn-out obligations until such obligation becomes a liability on the balance sheet of such Person in accordance with GAAP, and (z) liabilities accrued in the ordinary course of business; or</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170" w:lineRule="exact"/>
        <w:rPr>
          <w:sz w:val="20"/>
          <w:szCs w:val="20"/>
          <w:color w:val="auto"/>
        </w:rPr>
      </w:pPr>
    </w:p>
    <w:p>
      <w:pPr>
        <w:ind w:left="660" w:right="20" w:firstLine="645"/>
        <w:spacing w:after="0" w:line="286" w:lineRule="auto"/>
        <w:tabs>
          <w:tab w:leader="none" w:pos="196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the extent not otherwise included, any obligation by such Person to be liable for, or to pay, as obligor, guarantor or otherwise, on the obligations of the type referred to in clause (a) of a third Person (whether or not such items would appear upon the balance sheet of such obligor or guarantor), other than by endorsement of negotiable instruments for collection in the ordinary course of business; and</w:t>
      </w:r>
    </w:p>
    <w:p>
      <w:pPr>
        <w:spacing w:after="0" w:line="165" w:lineRule="exact"/>
        <w:rPr>
          <w:rFonts w:ascii="Arial" w:cs="Arial" w:eastAsia="Arial" w:hAnsi="Arial"/>
          <w:sz w:val="17"/>
          <w:szCs w:val="17"/>
          <w:color w:val="auto"/>
        </w:rPr>
      </w:pPr>
    </w:p>
    <w:p>
      <w:pPr>
        <w:ind w:left="660" w:right="100" w:firstLine="645"/>
        <w:spacing w:after="0" w:line="277" w:lineRule="auto"/>
        <w:tabs>
          <w:tab w:leader="none" w:pos="19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the extent not otherwise included, the obligations of the type referred to in clause (a) of a third Person secured by a Lien on any asset owned by such first Person, whether or not such Indebtedness is assumed by such first Person;</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notwithstanding the foregoing, Indebtedness shall be deemed not to include (a) Contingent Obligations incurred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business or (b) obligations under or in respect of Receivables Facilities.</w:t>
      </w:r>
    </w:p>
    <w:p>
      <w:pPr>
        <w:spacing w:after="0" w:line="166"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all Taxes, other than Excluded Taxes, imposed on or with respect to any payment made by or on account of any obligation of any Loan Party under any Loan Document.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has the meaning set forth in Section 10.04.</w:t>
      </w:r>
    </w:p>
    <w:p>
      <w:pPr>
        <w:sectPr>
          <w:pgSz w:w="11900" w:h="16838" w:orient="portrait"/>
          <w:cols w:equalWidth="0" w:num="1">
            <w:col w:w="11420"/>
          </w:cols>
          <w:pgMar w:left="240" w:top="341" w:right="239" w:bottom="0" w:gutter="0" w:footer="0" w:header="0"/>
        </w:sectPr>
      </w:pPr>
    </w:p>
    <w:bookmarkStart w:id="35" w:name="page36"/>
    <w:bookmarkEnd w:id="35"/>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Financial Advisor</w:t>
      </w:r>
      <w:r>
        <w:rPr>
          <w:rFonts w:ascii="Arial" w:cs="Arial" w:eastAsia="Arial" w:hAnsi="Arial"/>
          <w:sz w:val="18"/>
          <w:szCs w:val="18"/>
          <w:color w:val="auto"/>
        </w:rPr>
        <w:t>” means an accounting, appraisal, investment banking firm or consultant to Persons engaged in Similar Businesses of nationally recognized standing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that is, in the good faith judgment of the Borrower, qualified to perform the task for which it has been engaged.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has the meaning set forth in Section 10.07.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Security Agreement</w:t>
      </w:r>
      <w:r>
        <w:rPr>
          <w:rFonts w:ascii="Arial" w:cs="Arial" w:eastAsia="Arial" w:hAnsi="Arial"/>
          <w:sz w:val="18"/>
          <w:szCs w:val="18"/>
          <w:color w:val="auto"/>
        </w:rPr>
        <w:t>” has the meaning specified in Section 4.01(a)(iii).</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Intercreditor Agreement</w:t>
      </w:r>
      <w:r>
        <w:rPr>
          <w:rFonts w:ascii="Arial" w:cs="Arial" w:eastAsia="Arial" w:hAnsi="Arial"/>
          <w:sz w:val="17"/>
          <w:szCs w:val="17"/>
          <w:color w:val="auto"/>
        </w:rPr>
        <w:t>” means a first lien intercreditor agreement substantially in the form of Exhibit I-1 hereto, among the Administrative Agent, the Collateral Agent and the representatives for any Additional First Lien Secured Parties (as defined therein) (which agreement in such form or with immaterial changes thereto the Administrative Agent is authorized to enter into) together with any material changes thereto in light of prevailing market conditions, which material changes shall be posted to the Lenders not less than five (5) Business Days before execution thereof and, if the Required Lenders shall not have objected to such changes within five (5) Business Days after posting, then the Required Lenders shall be deemed to have agreed that the Administrative Agent’s entry into such intercreditor agreement (with such changes) is reasonable and to have consented to such intercreditor agreement (with such changes) and to the Administrative Agent’s execution thereof.</w:t>
      </w:r>
    </w:p>
    <w:p>
      <w:pPr>
        <w:spacing w:after="0" w:line="172"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Interest Period for a Eurodollar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of the Facility under which such Loan was made.</w:t>
      </w:r>
    </w:p>
    <w:p>
      <w:pPr>
        <w:spacing w:after="0" w:line="184"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xml:space="preserve">” means, as to each Eurodollar Rate Loan, the period commencing on the date such Eurodollar Rate Loan is disbursed or converted to or continued as a Eurodollar Rate Loan and ending on the date one, two, three or six months thereafter or, to the extent agreed by each Lender of such Eurodollar Rate Loan, twelve months or less than one month thereafter, as selected by the Borrower in its Committed Loan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46" w:lineRule="exact"/>
        <w:rPr>
          <w:sz w:val="20"/>
          <w:szCs w:val="20"/>
          <w:color w:val="auto"/>
        </w:rPr>
      </w:pPr>
    </w:p>
    <w:p>
      <w:pPr>
        <w:ind w:left="660" w:right="40" w:firstLine="645"/>
        <w:spacing w:after="0" w:line="342" w:lineRule="auto"/>
        <w:tabs>
          <w:tab w:leader="none" w:pos="1978"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3" w:lineRule="exact"/>
        <w:rPr>
          <w:rFonts w:ascii="Arial" w:cs="Arial" w:eastAsia="Arial" w:hAnsi="Arial"/>
          <w:sz w:val="16"/>
          <w:szCs w:val="16"/>
          <w:color w:val="auto"/>
        </w:rPr>
      </w:pPr>
    </w:p>
    <w:p>
      <w:pPr>
        <w:ind w:left="660" w:right="280" w:firstLine="645"/>
        <w:spacing w:after="0" w:line="264" w:lineRule="auto"/>
        <w:tabs>
          <w:tab w:leader="none" w:pos="198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of the Facility under which such Loan was made.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means a rating equal to or higher than Baa3 (or the equivalent) by Moody’s and BBB- (or the equivalent) by S&amp;P, or an equivalent rating by any other Rating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Securities</w:t>
      </w:r>
      <w:r>
        <w:rPr>
          <w:rFonts w:ascii="Arial" w:cs="Arial" w:eastAsia="Arial" w:hAnsi="Arial"/>
          <w:sz w:val="18"/>
          <w:szCs w:val="18"/>
          <w:color w:val="auto"/>
        </w:rPr>
        <w:t>” means:</w:t>
      </w:r>
    </w:p>
    <w:p>
      <w:pPr>
        <w:spacing w:after="0" w:line="229" w:lineRule="exact"/>
        <w:rPr>
          <w:sz w:val="20"/>
          <w:szCs w:val="20"/>
          <w:color w:val="auto"/>
        </w:rPr>
      </w:pPr>
    </w:p>
    <w:p>
      <w:pPr>
        <w:ind w:left="660" w:right="420" w:firstLine="645"/>
        <w:spacing w:after="0" w:line="277" w:lineRule="auto"/>
        <w:tabs>
          <w:tab w:leader="none" w:pos="1954"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instruments constituting loans or advances among the Borrower and its Subsidiaries;</w:t>
      </w:r>
    </w:p>
    <w:p>
      <w:pPr>
        <w:spacing w:after="0" w:line="170" w:lineRule="exact"/>
        <w:rPr>
          <w:rFonts w:ascii="Arial" w:cs="Arial" w:eastAsia="Arial" w:hAnsi="Arial"/>
          <w:sz w:val="18"/>
          <w:szCs w:val="18"/>
          <w:color w:val="auto"/>
        </w:rPr>
      </w:pPr>
    </w:p>
    <w:p>
      <w:pPr>
        <w:ind w:left="660" w:right="260" w:firstLine="645"/>
        <w:spacing w:after="0" w:line="277" w:lineRule="auto"/>
        <w:tabs>
          <w:tab w:leader="none" w:pos="19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investments in any fund that invests exclusively in investments of the type described in clauses (a) and (b) which fund may also hold immaterial amounts of cash pending investment or distribution;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corresponding instruments in countries other than the United States customarily utilized for high quality investments.</w:t>
      </w:r>
    </w:p>
    <w:p>
      <w:pPr>
        <w:spacing w:after="0" w:line="221"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Investments</w:t>
      </w:r>
      <w:r>
        <w:rPr>
          <w:rFonts w:ascii="Arial" w:cs="Arial" w:eastAsia="Arial" w:hAnsi="Arial"/>
          <w:sz w:val="17"/>
          <w:szCs w:val="17"/>
          <w:color w:val="auto"/>
        </w:rPr>
        <w:t>” means, with respect to any Person, all investments by such Person in other Persons (including Affiliates) in the form of loans (including guarantees), advances or capital contributions (excluding accounts receivable, trade credit, deposits,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such Person in the same manner as the other investments included in this definition to the extent such transactions involve the transfer of cash or other property. For purposes of the definition of “Unrestricted Subsidiary” and Section 7.05:</w:t>
      </w:r>
    </w:p>
    <w:p>
      <w:pPr>
        <w:spacing w:after="0" w:line="178" w:lineRule="exact"/>
        <w:rPr>
          <w:sz w:val="20"/>
          <w:szCs w:val="20"/>
          <w:color w:val="auto"/>
        </w:rPr>
      </w:pPr>
    </w:p>
    <w:p>
      <w:pPr>
        <w:ind w:left="660" w:right="60" w:firstLine="645"/>
        <w:spacing w:after="0" w:line="257" w:lineRule="auto"/>
        <w:tabs>
          <w:tab w:leader="none" w:pos="19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“Investments” shall include the portion (proportionate to the Borrower’s direct or indirect equity interest in such Subsidiary) of the fair market value (as determined in good faith by the Borrower) of the net assets of a Subsidiary of the Borrower at the time that such Subsidiary is designated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however, that upon a redesignation of such Subsidiary as a Restricted Subsidiary, the Borrower or applicable Restricted Subsidiary shall be deemed to continue to have a permanent “Investment” in an Unrestricted Subsidiary in an amount (if positive) equal to:</w:t>
      </w:r>
    </w:p>
    <w:p>
      <w:pPr>
        <w:spacing w:after="0" w:line="188" w:lineRule="exact"/>
        <w:rPr>
          <w:rFonts w:ascii="Arial" w:cs="Arial" w:eastAsia="Arial" w:hAnsi="Arial"/>
          <w:sz w:val="18"/>
          <w:szCs w:val="18"/>
          <w:color w:val="auto"/>
        </w:rPr>
      </w:pPr>
    </w:p>
    <w:p>
      <w:pPr>
        <w:ind w:left="2620" w:hanging="667"/>
        <w:spacing w:after="0"/>
        <w:tabs>
          <w:tab w:leader="none" w:pos="2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Borrower’s direct or indirect “Investment” in such Subsidiary at the time of such redesignation; less</w:t>
      </w:r>
    </w:p>
    <w:p>
      <w:pPr>
        <w:sectPr>
          <w:pgSz w:w="11900" w:h="16838" w:orient="portrait"/>
          <w:cols w:equalWidth="0" w:num="1">
            <w:col w:w="11420"/>
          </w:cols>
          <w:pgMar w:left="240" w:top="121" w:right="239" w:bottom="32" w:gutter="0" w:footer="0" w:header="0"/>
        </w:sectPr>
      </w:pPr>
    </w:p>
    <w:bookmarkStart w:id="36" w:name="page37"/>
    <w:bookmarkEnd w:id="36"/>
    <w:p>
      <w:pPr>
        <w:ind w:left="1300" w:right="160" w:firstLine="653"/>
        <w:spacing w:after="0" w:line="277" w:lineRule="auto"/>
        <w:tabs>
          <w:tab w:leader="none" w:pos="260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portion (proportionate to the Borrower’s direct or indirect equity interest in such Subsidiary) of the fair market value of the net assets of such Subsidiary at the time of such redesignation;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77" w:lineRule="auto"/>
        <w:tabs>
          <w:tab w:leader="none" w:pos="1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property transferred to or from an Unrestricted Subsidiary shall be valued at its fair market value at the time of such transfer as determined in good faith by the Borrower.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has the meaning set forth in Section 5.16.</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ind w:right="8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16" w:lineRule="exact"/>
        <w:rPr>
          <w:sz w:val="20"/>
          <w:szCs w:val="20"/>
          <w:color w:val="auto"/>
        </w:rPr>
      </w:pPr>
    </w:p>
    <w:p>
      <w:pPr>
        <w:ind w:right="8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Pro Rata Share.</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Credit Extension</w:t>
      </w:r>
      <w:r>
        <w:rPr>
          <w:rFonts w:ascii="Arial" w:cs="Arial" w:eastAsia="Arial" w:hAnsi="Arial"/>
          <w:sz w:val="18"/>
          <w:szCs w:val="18"/>
          <w:color w:val="auto"/>
        </w:rPr>
        <w:t>” means, with respect to any Letter of Credit, the issuance thereof or extension of the expiry date thereof, or the renewal or increase of the amount thereof.</w:t>
      </w:r>
    </w:p>
    <w:p>
      <w:pPr>
        <w:spacing w:after="0" w:line="16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Issuer</w:t>
      </w:r>
      <w:r>
        <w:rPr>
          <w:rFonts w:ascii="Arial" w:cs="Arial" w:eastAsia="Arial" w:hAnsi="Arial"/>
          <w:sz w:val="18"/>
          <w:szCs w:val="18"/>
          <w:color w:val="auto"/>
        </w:rPr>
        <w:t>” means Bank of America and any other Lender that becomes an L/C Issuer in accordance with Section 2.03(k) or 10.06(h), in each case, in its capacity as an issuer of Letters of Credit hereunder, or any successor issuer of Letters of Credit hereunder.</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Obligations</w:t>
      </w:r>
      <w:r>
        <w:rPr>
          <w:rFonts w:ascii="Arial" w:cs="Arial" w:eastAsia="Arial" w:hAnsi="Arial"/>
          <w:sz w:val="18"/>
          <w:szCs w:val="18"/>
          <w:color w:val="auto"/>
        </w:rPr>
        <w:t>” means, as at any date of determination, the aggregate undrawn amount of all outstanding Letters of Credit plus the aggregate of all Unreimbursed Amounts, including all L/C Borrowings.</w:t>
      </w:r>
    </w:p>
    <w:p>
      <w:pPr>
        <w:spacing w:after="0" w:line="162" w:lineRule="exact"/>
        <w:rPr>
          <w:sz w:val="20"/>
          <w:szCs w:val="20"/>
          <w:color w:val="auto"/>
        </w:rPr>
      </w:pPr>
    </w:p>
    <w:p>
      <w:pPr>
        <w:ind w:right="320" w:firstLine="70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Maturity Date</w:t>
      </w:r>
      <w:r>
        <w:rPr>
          <w:rFonts w:ascii="Arial" w:cs="Arial" w:eastAsia="Arial" w:hAnsi="Arial"/>
          <w:sz w:val="18"/>
          <w:szCs w:val="18"/>
          <w:color w:val="auto"/>
        </w:rPr>
        <w:t>” means, at any date of determination, the latest Maturity Date applicable to any Loan or Commitment hereunder at such time, including the latest maturity date of any Incremental Term Loan Commitment, any Other Term Loan Commitment, any Extended Term Loan, any Extended Revolving Credit Commitment, any Incremental Term Loans, any Incremental Revolving Credit Commitments or any Other Revolving Credit Commitments, in each case as extended in accordance with this Agreement from time to time.</w:t>
      </w:r>
    </w:p>
    <w:p>
      <w:pPr>
        <w:spacing w:after="0" w:line="180"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w:t>
      </w:r>
      <w:r>
        <w:rPr>
          <w:rFonts w:ascii="Arial" w:cs="Arial" w:eastAsia="Arial" w:hAnsi="Arial"/>
          <w:sz w:val="17"/>
          <w:szCs w:val="17"/>
          <w:color w:val="auto"/>
        </w:rPr>
        <w:t xml:space="preserve">” has the meaning specified in the introductory paragraph to this Agreement and, as the context requires, includes an L/C Issuer and a Swing Line Lender, and their respective successors and assigns as permitted hereunder, each of which is referred to herein as a “Lender,” together with, in each case, any Affiliate of any such financial institution through which such financial institution elects, by notice to the Administrative Agent, to make any Loans available to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all purposes of voting or consenting with respect to (a) any amendment, supplementation or modification of any Loan Document, (b) any waiver of any requirements of any Loan Document or any Default or Event of Default and its consequences, or (c) any other matter as to which a Lender may vote or consent pursuant to Section 10.01 of this Agreement, the financial institution making such election shall be deemed the “Lender” rather than such Affiliate, which shall not be entitled to vote or consent (it being agreed that failure of any such Affiliate to fund an obligation under this Agreement shall not relieve its affiliated financial institution from funding).</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Lending Office</w:t>
      </w:r>
      <w:r>
        <w:rPr>
          <w:rFonts w:ascii="Arial" w:cs="Arial" w:eastAsia="Arial" w:hAnsi="Arial"/>
          <w:sz w:val="17"/>
          <w:szCs w:val="17"/>
          <w:color w:val="auto"/>
        </w:rPr>
        <w:t>” means, as to any Lender, such office or offices as a Lender may from time to time notify the Borrower and the Administrative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any letter of credit issued hereunder. A Letter of Credit may be a standby letter of credit.</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relevant L/C Issuer.</w:t>
      </w:r>
    </w:p>
    <w:p>
      <w:pPr>
        <w:spacing w:after="0" w:line="16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means the day that is five (5) Business Days prior to the scheduled Maturity Date then in effect for the Revolving Credit Facility (or, if such day is not a Business Day, the next preceding Business Day).</w:t>
      </w:r>
    </w:p>
    <w:p>
      <w:pPr>
        <w:spacing w:after="0" w:line="162"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Sublimit</w:t>
      </w:r>
      <w:r>
        <w:rPr>
          <w:rFonts w:ascii="Arial" w:cs="Arial" w:eastAsia="Arial" w:hAnsi="Arial"/>
          <w:sz w:val="18"/>
          <w:szCs w:val="18"/>
          <w:color w:val="auto"/>
        </w:rPr>
        <w:t>” means an amount equal to the lesser of (a) $50,000,000 and (b) the aggregate amount of the Revolving Credit Commitments. The Letter of Credit Sublimit is part of, and not in addition to, the Revolving Credit Facility.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has the meaning specified in the definition of “Eurodollar Rate.”</w:t>
      </w:r>
    </w:p>
    <w:p>
      <w:pPr>
        <w:spacing w:after="0" w:line="225" w:lineRule="exact"/>
        <w:rPr>
          <w:sz w:val="20"/>
          <w:szCs w:val="20"/>
          <w:color w:val="auto"/>
        </w:rPr>
      </w:pPr>
    </w:p>
    <w:p>
      <w:pPr>
        <w:ind w:right="2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w:t>
      </w:r>
    </w:p>
    <w:p>
      <w:pPr>
        <w:sectPr>
          <w:pgSz w:w="11900" w:h="16838" w:orient="portrait"/>
          <w:cols w:equalWidth="0" w:num="1">
            <w:col w:w="11420"/>
          </w:cols>
          <w:pgMar w:left="240" w:top="125" w:right="239" w:bottom="0" w:gutter="0" w:footer="0" w:header="0"/>
        </w:sectPr>
      </w:pPr>
    </w:p>
    <w:bookmarkStart w:id="37" w:name="page38"/>
    <w:bookmarkEnd w:id="37"/>
    <w:p>
      <w:pPr>
        <w:ind w:right="280"/>
        <w:spacing w:after="0" w:line="277" w:lineRule="auto"/>
        <w:rPr>
          <w:sz w:val="20"/>
          <w:szCs w:val="20"/>
          <w:color w:val="auto"/>
        </w:rPr>
      </w:pPr>
      <w:r>
        <w:rPr>
          <w:rFonts w:ascii="Arial" w:cs="Arial" w:eastAsia="Arial" w:hAnsi="Arial"/>
          <w:sz w:val="18"/>
          <w:szCs w:val="18"/>
          <w:color w:val="auto"/>
        </w:rPr>
        <w:t xml:space="preserve">filing of or agreement to give any financing statement under the Uniform Commercial Code (or equivalent statutes) of any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 operating lease be deemed to constitute a Lien.</w:t>
      </w:r>
    </w:p>
    <w:p>
      <w:pPr>
        <w:spacing w:after="0" w:line="16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an extension of credit by a Lender to the Borrower under Article II in the form of a Term Loan, a Revolving Credit Loan or a Swing Line Loan.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means, collectively, (i) this Agreement, (ii) the Notes, (iii) the Collateral Documents, (iv) the Intercreditor Agreement (if any),</w:t>
      </w:r>
    </w:p>
    <w:p>
      <w:pPr>
        <w:spacing w:after="0" w:line="50" w:lineRule="exact"/>
        <w:rPr>
          <w:sz w:val="20"/>
          <w:szCs w:val="20"/>
          <w:color w:val="auto"/>
        </w:rPr>
      </w:pPr>
    </w:p>
    <w:p>
      <w:pPr>
        <w:ind w:right="120" w:firstLine="8"/>
        <w:spacing w:after="0" w:line="261"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Second Lien Intercreditor Agreement (if any) and (vi) amendments of and joinders to any Loan Documents that are deemed pursuant to their terms to be Loan Documents for purposes 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has the meaning specified in Section 5.13(a).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has the meaning specified in the definition of “Swap Contract.”</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shall mean a material adverse effect on (a) the business, assets, operations, or financial condition of the Borrower and its Subsidiaries, taken as a whole, (b) the ability of the Borrower and the other Loan Parties, taken as a whole, to perform their payment obligations under this Agreement or (c) the material rights and remedies of the Administrative Agent and the Lenders under this Agreement.</w:t>
      </w:r>
    </w:p>
    <w:p>
      <w:pPr>
        <w:spacing w:after="0" w:line="158" w:lineRule="exact"/>
        <w:rPr>
          <w:sz w:val="20"/>
          <w:szCs w:val="20"/>
          <w:color w:val="auto"/>
        </w:rPr>
      </w:pPr>
    </w:p>
    <w:p>
      <w:pPr>
        <w:ind w:right="4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Maturity Date</w:t>
      </w:r>
      <w:r>
        <w:rPr>
          <w:rFonts w:ascii="Arial" w:cs="Arial" w:eastAsia="Arial" w:hAnsi="Arial"/>
          <w:sz w:val="17"/>
          <w:szCs w:val="17"/>
          <w:color w:val="auto"/>
        </w:rPr>
        <w:t xml:space="preserve">” means (i) with respect to the Term Loans, October 11, 2020 and (ii) with respect to the Revolving Credit Facility, October 11, 2018;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either such day is not a Business Day, the Maturity Date shall be the Business Day immediately succeeding such day.</w:t>
      </w:r>
    </w:p>
    <w:p>
      <w:pPr>
        <w:spacing w:after="0" w:line="13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Incremental Facilities Amount</w:t>
      </w:r>
      <w:r>
        <w:rPr>
          <w:rFonts w:ascii="Arial" w:cs="Arial" w:eastAsia="Arial" w:hAnsi="Arial"/>
          <w:sz w:val="17"/>
          <w:szCs w:val="17"/>
          <w:color w:val="auto"/>
        </w:rPr>
        <w:t>” means, at any date of determination, (A)(x) the amount of Indebtedness (if any) such that, after giving effect to the incurrence of such amount, the Consolidated Secured Debt Ratio would not exceed 2.00 to 1.00 (assuming (a) the Indebtedness being incurred as of such date of determination (and the Indebtedness previously incurred in reliance on this clause (x) which is still outstanding on such date) would be included in the definition of Consolidated Secured Debt Ratio, whether or not such Indebtedness would otherwise be so included and (b) with respect to any Revolving Commitment Increase, including any previously established Revolving Commitment Increase, assuming a borrowing of the maximum amount of Revolving Credit Loans available thereunder), plus (y) the sum of (1) all voluntary prepayments of Term Loans and (2) all voluntary prepayments of Revolving Credit Loans to the extent the Revolving Credit Commitments are permanently reduced by the amount of such payments, on or prior to the date of incurrence of such amount, plus (z) $750,000,000, minus (B) the sum of (i) the aggregate principal amount of Incremental Term Loans and Revolving Commitment Increases incurred pursuant to Section 2.14(a) prior to such date and (ii) the aggregate principal amount of Indebtedness pursuant to a Permitted Debt Offering incurred pursuant to Section 7.02(b)(20) prior to such date.</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has the meaning specified in Section 10.09.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has the meaning specified in Section 6.11(c).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any employee benefit plan of the type described in Section 4001(a)(3) of ERISA, to which the Borrower, any Subsidiary or any ERISA Affiliate makes or is obligated to make contributions, or during the preceding five plan years, has made or been obligated to make contributions.</w:t>
      </w:r>
    </w:p>
    <w:p>
      <w:pPr>
        <w:spacing w:after="0" w:line="17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means, with respect to any Person, the net income (loss) attributable to such Person and its Restricted Subsidiaries, determined in accordance with GAAP and before any reduction in respect of Preferred Stock dividends.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w:t>
      </w:r>
      <w:r>
        <w:rPr>
          <w:rFonts w:ascii="Arial" w:cs="Arial" w:eastAsia="Arial" w:hAnsi="Arial"/>
          <w:sz w:val="18"/>
          <w:szCs w:val="18"/>
          <w:color w:val="auto"/>
        </w:rPr>
        <w:t>” means:</w:t>
      </w:r>
    </w:p>
    <w:p>
      <w:pPr>
        <w:spacing w:after="0" w:line="229" w:lineRule="exact"/>
        <w:rPr>
          <w:sz w:val="20"/>
          <w:szCs w:val="20"/>
          <w:color w:val="auto"/>
        </w:rPr>
      </w:pPr>
    </w:p>
    <w:p>
      <w:pPr>
        <w:ind w:left="660" w:right="40" w:firstLine="645"/>
        <w:spacing w:after="0" w:line="284" w:lineRule="auto"/>
        <w:tabs>
          <w:tab w:leader="none" w:pos="1954" w:val="left"/>
        </w:tabs>
        <w:numPr>
          <w:ilvl w:val="1"/>
          <w:numId w:val="88"/>
        </w:numPr>
        <w:rPr>
          <w:rFonts w:ascii="Arial" w:cs="Arial" w:eastAsia="Arial" w:hAnsi="Arial"/>
          <w:sz w:val="16"/>
          <w:szCs w:val="16"/>
          <w:color w:val="auto"/>
        </w:rPr>
      </w:pPr>
      <w:r>
        <w:rPr>
          <w:rFonts w:ascii="Arial" w:cs="Arial" w:eastAsia="Arial" w:hAnsi="Arial"/>
          <w:sz w:val="16"/>
          <w:szCs w:val="16"/>
          <w:color w:val="auto"/>
        </w:rPr>
        <w:t>100% of the cash proceeds actually received by the Borrower or any of its Restricted Subsidiaries from any Disposition or Casualty Event, net of (i) attorneys’ fees, accountants’ fees, investment banking fees, survey costs, title insurance premiums, and related search and recording charges, transfer taxes, deed or mortgage recording taxes, required debt payments and required payments of other obligations relating to the applicable asset to the extent such debt or obligations are secured by a Lien permitted hereunder (other than pursuant to the Loan Documents and Credit Agreement Refinancing Indebtedness) on such asset, other customary expenses and brokerage, consultant and other customary fees actually incurred in connection therewith, (ii) Taxes paid or payable as a result thereof, and (iii) the amount of any reasonable reserve established in accordance with GAAP against any adjustment to the sale price or any liabilities (other than any taxes deducted pursuant to clause (i) above)</w:t>
      </w:r>
    </w:p>
    <w:p>
      <w:pPr>
        <w:spacing w:after="0" w:line="2" w:lineRule="exact"/>
        <w:rPr>
          <w:rFonts w:ascii="Arial" w:cs="Arial" w:eastAsia="Arial" w:hAnsi="Arial"/>
          <w:sz w:val="16"/>
          <w:szCs w:val="16"/>
          <w:color w:val="auto"/>
        </w:rPr>
      </w:pPr>
    </w:p>
    <w:p>
      <w:pPr>
        <w:ind w:left="660" w:hanging="4"/>
        <w:spacing w:after="0" w:line="286" w:lineRule="auto"/>
        <w:tabs>
          <w:tab w:leader="none" w:pos="915"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related to any of the applicable assets and (y) retained by the Borrower or any of its Restricted Subsidiaries including, without limitation, pension and other post-employment benefit liabilities and liabilities related to environmental matters or against any indemnification obligations (however, the amount of any subsequent reduction of such reserve (other than in connection with a payment in respect of any such liability) shall be deemed to be Net Proceeds of such Disposition or Casualty Event occurring on the date of such reduction); </w:t>
      </w:r>
      <w:r>
        <w:rPr>
          <w:rFonts w:ascii="Arial" w:cs="Arial" w:eastAsia="Arial" w:hAnsi="Arial"/>
          <w:sz w:val="16"/>
          <w:szCs w:val="16"/>
          <w:i w:val="1"/>
          <w:iCs w:val="1"/>
          <w:color w:val="auto"/>
        </w:rPr>
        <w:t>provided</w:t>
      </w:r>
      <w:r>
        <w:rPr>
          <w:rFonts w:ascii="Arial" w:cs="Arial" w:eastAsia="Arial" w:hAnsi="Arial"/>
          <w:sz w:val="16"/>
          <w:szCs w:val="16"/>
          <w:color w:val="auto"/>
        </w:rPr>
        <w:t>, that, if the Borrower intends to use any portion of such proceeds to acquire, maintain, develop, construct, improve, upgrade or repair assets useful in the business of the Borrower or its Restricted Subsidiaries or to make Permitted Acquisitions or any acquisition of all or substantially all the assets of, or all the Equity Interests (other than directors’ qualifying shares) in, a Person or division or line of business of a Person (or any subsequent investment made in a Person, division or line of business previously acquired), in each case within 12 months of such receipt, such portion of such proceeds shall not constitute Net Proceeds except to the extent not, within 12 months of such receipt, so used or contractually committed to be so used (it being understood that if any portion of such proceeds are not so used within such 12 month period but within such 12-month period are contractually committed to be used, then upon the termination of such contract or if such Net Proceeds are not so used within the later of such 12-month period and 180 days from the entry into such</w:t>
      </w:r>
    </w:p>
    <w:p>
      <w:pPr>
        <w:sectPr>
          <w:pgSz w:w="11900" w:h="16838" w:orient="portrait"/>
          <w:cols w:equalWidth="0" w:num="1">
            <w:col w:w="11420"/>
          </w:cols>
          <w:pgMar w:left="240" w:top="125" w:right="239" w:bottom="0" w:gutter="0" w:footer="0" w:header="0"/>
        </w:sectPr>
      </w:pPr>
    </w:p>
    <w:bookmarkStart w:id="38" w:name="page39"/>
    <w:bookmarkEnd w:id="38"/>
    <w:p>
      <w:pPr>
        <w:spacing w:after="0" w:line="32"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Contractual Obligation, such remaining portion shall constitute Net Proceeds as of the date of such termination or expiry without giving effect to this proviso)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60" w:firstLine="645"/>
        <w:spacing w:after="0" w:line="342" w:lineRule="auto"/>
        <w:tabs>
          <w:tab w:leader="none" w:pos="1964" w:val="left"/>
        </w:tabs>
        <w:numPr>
          <w:ilvl w:val="0"/>
          <w:numId w:val="90"/>
        </w:numPr>
        <w:rPr>
          <w:rFonts w:ascii="Arial" w:cs="Arial" w:eastAsia="Arial" w:hAnsi="Arial"/>
          <w:sz w:val="16"/>
          <w:szCs w:val="16"/>
          <w:color w:val="auto"/>
        </w:rPr>
      </w:pPr>
      <w:r>
        <w:rPr>
          <w:rFonts w:ascii="Arial" w:cs="Arial" w:eastAsia="Arial" w:hAnsi="Arial"/>
          <w:sz w:val="16"/>
          <w:szCs w:val="16"/>
          <w:color w:val="auto"/>
        </w:rPr>
        <w:t>100% of the cash proceeds from the incurrence, issuance or sale by the Borrower of any Indebtedness, net of all taxes and fees (including investment banking fees), commissions, costs and other expenses, in each case incurred in connection with such issuance or sale.</w:t>
      </w:r>
    </w:p>
    <w:p>
      <w:pPr>
        <w:spacing w:after="0" w:line="12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For purposes of calculating the amount of Net Proceeds, fees, commissions and other costs and expenses payable to the Borrower shall be disregarded.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Amount</w:t>
      </w:r>
      <w:r>
        <w:rPr>
          <w:rFonts w:ascii="Arial" w:cs="Arial" w:eastAsia="Arial" w:hAnsi="Arial"/>
          <w:sz w:val="18"/>
          <w:szCs w:val="18"/>
          <w:color w:val="auto"/>
        </w:rPr>
        <w:t>” has the meaning specified in Section 2.16(f)(i).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Commitment Lenders</w:t>
      </w:r>
      <w:r>
        <w:rPr>
          <w:rFonts w:ascii="Arial" w:cs="Arial" w:eastAsia="Arial" w:hAnsi="Arial"/>
          <w:sz w:val="18"/>
          <w:szCs w:val="18"/>
          <w:color w:val="auto"/>
        </w:rPr>
        <w:t>” has the meaning specified in Section 2.16(f)(i).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Credit Commitment</w:t>
      </w:r>
      <w:r>
        <w:rPr>
          <w:rFonts w:ascii="Arial" w:cs="Arial" w:eastAsia="Arial" w:hAnsi="Arial"/>
          <w:sz w:val="18"/>
          <w:szCs w:val="18"/>
          <w:color w:val="auto"/>
        </w:rPr>
        <w:t>” has the meaning specified in Section 2.16(f)(i).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Non-Electing Lender</w:t>
      </w:r>
      <w:r>
        <w:rPr>
          <w:rFonts w:ascii="Arial" w:cs="Arial" w:eastAsia="Arial" w:hAnsi="Arial"/>
          <w:sz w:val="18"/>
          <w:szCs w:val="18"/>
          <w:color w:val="auto"/>
        </w:rPr>
        <w:t>” has the meaning specified in Section 2.16(f)(i).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has the meaning specified in Section 2.03(b)(iii).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a Term Note, a Revolving Credit Note or a Swing Line Note,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 Offering Memorandum</w:t>
      </w:r>
      <w:r>
        <w:rPr>
          <w:rFonts w:ascii="Arial" w:cs="Arial" w:eastAsia="Arial" w:hAnsi="Arial"/>
          <w:sz w:val="18"/>
          <w:szCs w:val="18"/>
          <w:color w:val="auto"/>
        </w:rPr>
        <w:t>” means the Offering Memorandum dated as of September 12, 2013 relating to the Senior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NPL</w:t>
      </w:r>
      <w:r>
        <w:rPr>
          <w:rFonts w:ascii="Arial" w:cs="Arial" w:eastAsia="Arial" w:hAnsi="Arial"/>
          <w:sz w:val="18"/>
          <w:szCs w:val="18"/>
          <w:color w:val="auto"/>
        </w:rPr>
        <w:t>” means the National Priorities List under CERCLA.</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(x) advances to, and debts, liabilities, obligations, covenants and duties of, any Loan Party and its Subsidiaries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Subsidiary of any proceeding under any Debtor Relief Laws naming such Person as the debtor in such proceeding, regardless of whether such interest and fees are allowed claims in such proceeding and (y) obligations of any Loan Party arising under any Secured Hedge Agreement or any Treasury Services Agreement, excluding, in the case of both (x) and (y), with respect to any Guarantor at any time, any Excluded Swap Obligations with respect to such Guarantor at such time. Without limiting the generality of the foregoing, the Obligations of the Loan Parties under the Loan Documents (and of their Subsidiaries to the extent they have obligations under the Loan Documents) include (a) the obligation (including guarantee obligations) to pay principal, interest, Letter of Credit fees, reimbursement obligations, charges, expenses, fees, Attorney Costs, indemnities and other amounts payable by any Loan Party or Subsidiary under any Loan Document and (b) the obligation of any Loan Party or Subsidiary to reimburse any amount in respect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of any of the foregoing that any Lender may elect to pay or advance on behalf of such Loan Party or such Subsidiary in accordance with this Agreement.</w:t>
      </w:r>
    </w:p>
    <w:p>
      <w:pPr>
        <w:spacing w:after="0" w:line="244"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any principal (including any accretion),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penalties, fees, indemnifications, reimbursements (including reimbursement obligations with respect to letters of credit and banker’s acceptances), damages and other liabilities, and guarantees of payment of such principal (including any accretion), interest, penalties, fees, indemnifications, reimbursements, damages and other liabilities, payable under the documentation governing any Indebtedness.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has the meaning specified in Section 5.15.</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Applicable Indebtedness</w:t>
      </w:r>
      <w:r>
        <w:rPr>
          <w:rFonts w:ascii="Arial" w:cs="Arial" w:eastAsia="Arial" w:hAnsi="Arial"/>
          <w:sz w:val="18"/>
          <w:szCs w:val="18"/>
          <w:color w:val="auto"/>
        </w:rPr>
        <w:t>” has the meaning set forth in Section 2.05(b)(i).</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Credit Commitments</w:t>
      </w:r>
      <w:r>
        <w:rPr>
          <w:rFonts w:ascii="Arial" w:cs="Arial" w:eastAsia="Arial" w:hAnsi="Arial"/>
          <w:sz w:val="18"/>
          <w:szCs w:val="18"/>
          <w:color w:val="auto"/>
        </w:rPr>
        <w:t>” means one or more Classes of Revolving Credit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Credit Loans</w:t>
      </w:r>
      <w:r>
        <w:rPr>
          <w:rFonts w:ascii="Arial" w:cs="Arial" w:eastAsia="Arial" w:hAnsi="Arial"/>
          <w:sz w:val="18"/>
          <w:szCs w:val="18"/>
          <w:color w:val="auto"/>
        </w:rPr>
        <w:t>” means one or more Classes of Revolving Credit Loans that result from a Refinancing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has the meaning specified in Section 3.01(b).</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 Commitments</w:t>
      </w:r>
      <w:r>
        <w:rPr>
          <w:rFonts w:ascii="Arial" w:cs="Arial" w:eastAsia="Arial" w:hAnsi="Arial"/>
          <w:sz w:val="18"/>
          <w:szCs w:val="18"/>
          <w:color w:val="auto"/>
        </w:rPr>
        <w:t>” means one or more Classes of term loan commitments hereunder to fund Other Term Loans of the applicable Refinancing Series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Loans</w:t>
      </w:r>
      <w:r>
        <w:rPr>
          <w:rFonts w:ascii="Arial" w:cs="Arial" w:eastAsia="Arial" w:hAnsi="Arial"/>
          <w:sz w:val="18"/>
          <w:szCs w:val="18"/>
          <w:color w:val="auto"/>
        </w:rPr>
        <w:t>” means one or more Classes of Term Loans that result from a Refinancing Amendment.</w:t>
      </w:r>
    </w:p>
    <w:p>
      <w:pPr>
        <w:sectPr>
          <w:pgSz w:w="11900" w:h="16870" w:orient="portrait"/>
          <w:cols w:equalWidth="0" w:num="1">
            <w:col w:w="11420"/>
          </w:cols>
          <w:pgMar w:left="240" w:top="125" w:right="239" w:bottom="0" w:gutter="0" w:footer="0" w:header="0"/>
        </w:sectPr>
      </w:pPr>
    </w:p>
    <w:bookmarkStart w:id="39" w:name="page40"/>
    <w:bookmarkEnd w:id="39"/>
    <w:p>
      <w:pPr>
        <w:ind w:right="3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Amount</w:t>
      </w:r>
      <w:r>
        <w:rPr>
          <w:rFonts w:ascii="Arial" w:cs="Arial" w:eastAsia="Arial" w:hAnsi="Arial"/>
          <w:sz w:val="18"/>
          <w:szCs w:val="18"/>
          <w:color w:val="auto"/>
        </w:rPr>
        <w:t>” means (a) with respect to the Term Loans, Revolving Credit Loans and Swing Line Loans on any date, the outstanding principal amount thereof after giving effect to any borrowings and prepayments or repayments of Term Loans, Revolving Credit Loans (including any refinancing of outstanding unpaid drawings under Letters of Credit or L/C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Credit Extensions as a Revolving Credit Borrowing) and Swing Line Loans, as the case may be, occurring on such date; and (b) with respect to any L/C Obligations on any date, the outstanding 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amount available for drawing under Letters of Credit taking effect on such date.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specified in Section 10.06(d).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set forth in Section 10.06(d).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five (5) plan years.</w:t>
      </w:r>
    </w:p>
    <w:p>
      <w:pPr>
        <w:spacing w:after="0" w:line="180"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means a certificate in the form of Exhibit G-1 hereto or any other form approved by the Collateral Agent, as the same shall be supplemented from time to time by a Perfection Certificate Supplement or otherwise.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Perfection Certificate Supplement</w:t>
      </w:r>
      <w:r>
        <w:rPr>
          <w:rFonts w:ascii="Arial" w:cs="Arial" w:eastAsia="Arial" w:hAnsi="Arial"/>
          <w:sz w:val="16"/>
          <w:szCs w:val="16"/>
          <w:color w:val="auto"/>
        </w:rPr>
        <w:t>” means a certificate supplement in the form of Exhibit G-2 hereto or any other form approved by the Collateral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Investment permitted under clause (c) of the definition of Permitted Investments.</w:t>
      </w:r>
    </w:p>
    <w:p>
      <w:pPr>
        <w:spacing w:after="0" w:line="225" w:lineRule="exact"/>
        <w:rPr>
          <w:sz w:val="20"/>
          <w:szCs w:val="20"/>
          <w:color w:val="auto"/>
        </w:rPr>
      </w:pPr>
    </w:p>
    <w:p>
      <w:pPr>
        <w:jc w:val="both"/>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Swap</w:t>
      </w:r>
      <w:r>
        <w:rPr>
          <w:rFonts w:ascii="Arial" w:cs="Arial" w:eastAsia="Arial" w:hAnsi="Arial"/>
          <w:sz w:val="18"/>
          <w:szCs w:val="18"/>
          <w:color w:val="auto"/>
        </w:rPr>
        <w:t xml:space="preserve">” means the concurrent purchase and sale or exchange of Related Business Assets or a combination of Related Business Assets and Cash Equivalents between the Borrower or any of its Restricted Subsidiaries and another Person; </w:t>
      </w:r>
      <w:r>
        <w:rPr>
          <w:rFonts w:ascii="Arial" w:cs="Arial" w:eastAsia="Arial" w:hAnsi="Arial"/>
          <w:sz w:val="18"/>
          <w:szCs w:val="18"/>
          <w:i w:val="1"/>
          <w:iCs w:val="1"/>
          <w:color w:val="auto"/>
        </w:rPr>
        <w:t>provided</w:t>
      </w:r>
      <w:r>
        <w:rPr>
          <w:rFonts w:ascii="Arial" w:cs="Arial" w:eastAsia="Arial" w:hAnsi="Arial"/>
          <w:sz w:val="18"/>
          <w:szCs w:val="18"/>
          <w:color w:val="auto"/>
        </w:rPr>
        <w:t>, that any Cash Equivalents received must be applied in accordance with Section 7.04.</w:t>
      </w:r>
    </w:p>
    <w:p>
      <w:pPr>
        <w:spacing w:after="0" w:line="17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Debt Offering</w:t>
      </w:r>
      <w:r>
        <w:rPr>
          <w:rFonts w:ascii="Arial" w:cs="Arial" w:eastAsia="Arial" w:hAnsi="Arial"/>
          <w:sz w:val="16"/>
          <w:szCs w:val="16"/>
          <w:color w:val="auto"/>
        </w:rPr>
        <w:t xml:space="preserve">” means any issuance of senior secured or junior secured or unsecured Indebtedness by any Loan Party after the Closing Date through an incurrence of term loans or through a public offering or private issuance of debt securities under Rule 144A or Regulation S under the Securities Act,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Indebtedness may be secured by a first priority Lien on the Collateral that is pari passu with the Lien securing the Obligations (other than any Permitted Debt Offering Indebtedness incurred in the form of term loans, which shall not be secured by a first priority Lien on the Collateral), or may be secured by a Lien ranking junior to the Lien on the Collateral securing the Obligations or may be unsecured;</w:t>
      </w:r>
    </w:p>
    <w:p>
      <w:pPr>
        <w:spacing w:after="0" w:line="2" w:lineRule="exact"/>
        <w:rPr>
          <w:sz w:val="20"/>
          <w:szCs w:val="20"/>
          <w:color w:val="auto"/>
        </w:rPr>
      </w:pPr>
    </w:p>
    <w:p>
      <w:pPr>
        <w:ind w:left="5620" w:right="3980" w:hanging="5612"/>
        <w:spacing w:after="0" w:line="511" w:lineRule="auto"/>
        <w:tabs>
          <w:tab w:leader="none" w:pos="259"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Permitted Debt Offering Indebtedness is not secured by any collateral other than the Collateral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securing the Obligations; (c) such Permitted Debt Offering Indebtedness does not mature on or prior to the Latest Maturity Date of, or have a shorter Weighted Average Life to Maturity than, the Term Loans; (d) the covenants, events of default, guarantees, collateral and other terms of such Permitted Debt Offering Indebtedness (other than interest rate and redemption premiums) taken as a whole, are not more restrictive to the Loan Parties than those set forth in this Agreement (it being understood to the extent that any financial maintenance covenant is added for the benefit of any Permitted Debt Offering, no consent shall be required from the Administrative Agent or any Lender to the extent that such financial maintenance covenant is also added for the benefit of any corresponding existing Facility); (e) a certificate of a Responsible Officer of the issuing Loan Party delivered to the Administrative Agent at least three</w:t>
      </w:r>
    </w:p>
    <w:p>
      <w:pPr>
        <w:spacing w:after="0" w:line="5" w:lineRule="exact"/>
        <w:rPr>
          <w:sz w:val="20"/>
          <w:szCs w:val="20"/>
          <w:color w:val="auto"/>
        </w:rPr>
      </w:pPr>
    </w:p>
    <w:p>
      <w:pPr>
        <w:ind w:firstLine="8"/>
        <w:spacing w:after="0" w:line="269" w:lineRule="auto"/>
        <w:tabs>
          <w:tab w:leader="none" w:pos="255" w:val="left"/>
        </w:tabs>
        <w:numPr>
          <w:ilvl w:val="0"/>
          <w:numId w:val="92"/>
        </w:numPr>
        <w:rPr>
          <w:rFonts w:ascii="Arial" w:cs="Arial" w:eastAsia="Arial" w:hAnsi="Arial"/>
          <w:sz w:val="17"/>
          <w:szCs w:val="17"/>
          <w:color w:val="auto"/>
        </w:rPr>
      </w:pPr>
      <w:r>
        <w:rPr>
          <w:rFonts w:ascii="Arial" w:cs="Arial" w:eastAsia="Arial" w:hAnsi="Arial"/>
          <w:sz w:val="17"/>
          <w:szCs w:val="17"/>
          <w:color w:val="auto"/>
        </w:rPr>
        <w:t>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issuing Loan Party has determined in good faith that such terms and conditions satisfy the foregoing requirements shall be conclusive evidence that such terms and conditions satisfy the foregoing requirements; and (f) no Loan Party or any Subsidiary of a Loan Party (other than the Borrower or a Guarantor) is a guarantor or borrower under such Permitted Debt Offering Indebtedness. Notes issued by any Loan Party in exchange for any Indebtedness issued in connection with a Permitted Debt Offering in accordance with the terms of a registration rights agreement entered into in connection with the issuance of such Permitted Debt Offering Indebtedness shall also be considered a Permitted Debt Offering.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229" w:lineRule="exact"/>
        <w:rPr>
          <w:sz w:val="20"/>
          <w:szCs w:val="20"/>
          <w:color w:val="auto"/>
        </w:rPr>
      </w:pPr>
    </w:p>
    <w:p>
      <w:pPr>
        <w:ind w:left="660" w:right="20" w:firstLine="645"/>
        <w:spacing w:after="0" w:line="257" w:lineRule="auto"/>
        <w:tabs>
          <w:tab w:leader="none" w:pos="1954"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Investment in the Borrower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that any Investment by the Loan Parties in non-Loan Parties pursuant to this clause (a), together with, but without duplication of, Investments made by Loan Parties in non-Loan Parties pursuant to clause (c) below, shall not exceed an aggregate amount outstanding from time to time equal to the greater of (x) $300,000,000 and (y) 2.50% of Total Assets at the time of such Investment (with the amount of each Investment being measured at the time made and without giving effect to subsequent changes in value);</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Investment in Cash Equivalents or Investment Grade Securities;</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Investment by the Borrower or any of its Restricted Subsidiaries in a Person that is engaged in a Similar Business if as a result of such Investment:</w:t>
      </w:r>
    </w:p>
    <w:p>
      <w:pPr>
        <w:sectPr>
          <w:pgSz w:w="11900" w:h="16838" w:orient="portrait"/>
          <w:cols w:equalWidth="0" w:num="1">
            <w:col w:w="11420"/>
          </w:cols>
          <w:pgMar w:left="240" w:top="337" w:right="239" w:bottom="0" w:gutter="0" w:footer="0" w:header="0"/>
        </w:sectPr>
      </w:pPr>
    </w:p>
    <w:bookmarkStart w:id="40" w:name="page41"/>
    <w:bookmarkEnd w:id="40"/>
    <w:p>
      <w:pPr>
        <w:spacing w:after="0" w:line="105" w:lineRule="exact"/>
        <w:rPr>
          <w:sz w:val="20"/>
          <w:szCs w:val="20"/>
          <w:color w:val="auto"/>
        </w:rPr>
      </w:pPr>
    </w:p>
    <w:p>
      <w:pPr>
        <w:ind w:left="1300" w:right="20" w:firstLine="653"/>
        <w:spacing w:after="0" w:line="286" w:lineRule="auto"/>
        <w:tabs>
          <w:tab w:leader="none" w:pos="2618"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such Person becomes a Restricted Subsidiary, or such Person, in one transaction or a series of related transactions, is merged, consolidated or amalgamated with or into, or transfers or conveys substantially all of its assets to, or is liquidated into, the Borrower or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that any Investment by the Loan Parties in a Person that becomes a non-Loan Party pursuant to this clause (c), together with, but without duplication of, Investments made by Loan Parties in non-Loan Parties pursuant to clause</w:t>
      </w:r>
    </w:p>
    <w:p>
      <w:pPr>
        <w:spacing w:after="0" w:line="1" w:lineRule="exact"/>
        <w:rPr>
          <w:rFonts w:ascii="Arial" w:cs="Arial" w:eastAsia="Arial" w:hAnsi="Arial"/>
          <w:sz w:val="16"/>
          <w:szCs w:val="16"/>
          <w:color w:val="auto"/>
        </w:rPr>
      </w:pPr>
    </w:p>
    <w:p>
      <w:pPr>
        <w:ind w:left="1540" w:hanging="235"/>
        <w:spacing w:after="0"/>
        <w:tabs>
          <w:tab w:leader="none" w:pos="1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above, shall not exceed an aggregate amount outstanding from time to time equal to the greater of (x)</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$300,000,000 and (y) 2.50% of Total Assets at the time of such Investment (with the amount of each Investment being measured at the time made and without giving effect to subsequent changes in value);</w:t>
      </w:r>
    </w:p>
    <w:p>
      <w:pPr>
        <w:spacing w:after="0" w:line="170"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 xml:space="preserve">and, in each case, any Investment held by such Person; </w:t>
      </w:r>
      <w:r>
        <w:rPr>
          <w:rFonts w:ascii="Arial" w:cs="Arial" w:eastAsia="Arial" w:hAnsi="Arial"/>
          <w:sz w:val="18"/>
          <w:szCs w:val="18"/>
          <w:i w:val="1"/>
          <w:iCs w:val="1"/>
          <w:color w:val="auto"/>
        </w:rPr>
        <w:t>provided</w:t>
      </w:r>
      <w:r>
        <w:rPr>
          <w:rFonts w:ascii="Arial" w:cs="Arial" w:eastAsia="Arial" w:hAnsi="Arial"/>
          <w:sz w:val="18"/>
          <w:szCs w:val="18"/>
          <w:color w:val="auto"/>
        </w:rPr>
        <w:t>, that such Investment was not acquired by such Person in contemplation of such acquisition, merger, consolidation or transfer;</w:t>
      </w:r>
    </w:p>
    <w:p>
      <w:pPr>
        <w:spacing w:after="0" w:line="170" w:lineRule="exact"/>
        <w:rPr>
          <w:sz w:val="20"/>
          <w:szCs w:val="20"/>
          <w:color w:val="auto"/>
        </w:rPr>
      </w:pPr>
    </w:p>
    <w:p>
      <w:pPr>
        <w:ind w:left="2640" w:hanging="687"/>
        <w:spacing w:after="0"/>
        <w:tabs>
          <w:tab w:leader="none" w:pos="2640" w:val="left"/>
        </w:tabs>
        <w:numPr>
          <w:ilvl w:val="2"/>
          <w:numId w:val="96"/>
        </w:numPr>
        <w:rPr>
          <w:rFonts w:ascii="Arial" w:cs="Arial" w:eastAsia="Arial" w:hAnsi="Arial"/>
          <w:sz w:val="18"/>
          <w:szCs w:val="18"/>
          <w:color w:val="auto"/>
        </w:rPr>
      </w:pPr>
      <w:r>
        <w:rPr>
          <w:rFonts w:ascii="Arial" w:cs="Arial" w:eastAsia="Arial" w:hAnsi="Arial"/>
          <w:sz w:val="18"/>
          <w:szCs w:val="18"/>
          <w:color w:val="auto"/>
        </w:rPr>
        <w:t>no Event of Default shall exist either immediately before or after such purchase or acquisition and</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2"/>
          <w:numId w:val="96"/>
        </w:numPr>
        <w:rPr>
          <w:rFonts w:ascii="Arial" w:cs="Arial" w:eastAsia="Arial" w:hAnsi="Arial"/>
          <w:sz w:val="18"/>
          <w:szCs w:val="18"/>
          <w:color w:val="auto"/>
        </w:rPr>
      </w:pPr>
      <w:r>
        <w:rPr>
          <w:rFonts w:ascii="Arial" w:cs="Arial" w:eastAsia="Arial" w:hAnsi="Arial"/>
          <w:sz w:val="18"/>
          <w:szCs w:val="18"/>
          <w:color w:val="auto"/>
        </w:rPr>
        <w:t>Section 6.11 shall be complied with respect to such newly acquired Restricted Subsidiary and property.</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1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Investment in securities or other assets not constituting cash, Cash Equivalents or Investment Grade Securities and received in connection with a Disposition made pursuant to the provisions described under Section 7.04 or any other disposition of assets not constituting an Disposition;</w:t>
      </w:r>
    </w:p>
    <w:p>
      <w:pPr>
        <w:spacing w:after="0" w:line="181" w:lineRule="exact"/>
        <w:rPr>
          <w:rFonts w:ascii="Arial" w:cs="Arial" w:eastAsia="Arial" w:hAnsi="Arial"/>
          <w:sz w:val="18"/>
          <w:szCs w:val="18"/>
          <w:color w:val="auto"/>
        </w:rPr>
      </w:pPr>
    </w:p>
    <w:p>
      <w:pPr>
        <w:jc w:val="both"/>
        <w:ind w:left="660" w:right="80" w:firstLine="645"/>
        <w:spacing w:after="0" w:line="288" w:lineRule="auto"/>
        <w:tabs>
          <w:tab w:leader="none" w:pos="1967"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any Investment existing on the Closing Date or made pursuant to binding commitments in effect on the Closing Date and set forth on Schedule 1.01E or an Investment consisting of any extension, modification or renewal of any Investment existing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any such Investment may be increased (x) as required by the terms of such Investment as in existence on the Closing Date or</w:t>
      </w:r>
    </w:p>
    <w:p>
      <w:pPr>
        <w:ind w:left="920" w:hanging="26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otherwise permitted under this Agreement;</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Investment acquired by the Borrower or any of its Restricted Subsidiaries:</w:t>
      </w:r>
    </w:p>
    <w:p>
      <w:pPr>
        <w:spacing w:after="0" w:line="225" w:lineRule="exact"/>
        <w:rPr>
          <w:rFonts w:ascii="Arial" w:cs="Arial" w:eastAsia="Arial" w:hAnsi="Arial"/>
          <w:sz w:val="18"/>
          <w:szCs w:val="18"/>
          <w:color w:val="auto"/>
        </w:rPr>
      </w:pPr>
    </w:p>
    <w:p>
      <w:pPr>
        <w:ind w:left="1300" w:right="60" w:firstLine="653"/>
        <w:spacing w:after="0" w:line="264" w:lineRule="auto"/>
        <w:tabs>
          <w:tab w:leader="none" w:pos="2618" w:val="left"/>
        </w:tabs>
        <w:numPr>
          <w:ilvl w:val="2"/>
          <w:numId w:val="98"/>
        </w:numPr>
        <w:rPr>
          <w:rFonts w:ascii="Arial" w:cs="Arial" w:eastAsia="Arial" w:hAnsi="Arial"/>
          <w:sz w:val="18"/>
          <w:szCs w:val="18"/>
          <w:color w:val="auto"/>
        </w:rPr>
      </w:pPr>
      <w:r>
        <w:rPr>
          <w:rFonts w:ascii="Arial" w:cs="Arial" w:eastAsia="Arial" w:hAnsi="Arial"/>
          <w:sz w:val="18"/>
          <w:szCs w:val="18"/>
          <w:color w:val="auto"/>
        </w:rPr>
        <w:t>in exchange for any other Investment or accounts receivable held by the Borrower or any such Restricted Subsidiary in connection with or as a result of a bankruptcy workout, reorganization or recapitalization of the issuer of such other Investment or accounts receivable; or</w:t>
      </w:r>
    </w:p>
    <w:p>
      <w:pPr>
        <w:spacing w:after="0" w:line="181" w:lineRule="exact"/>
        <w:rPr>
          <w:rFonts w:ascii="Arial" w:cs="Arial" w:eastAsia="Arial" w:hAnsi="Arial"/>
          <w:sz w:val="18"/>
          <w:szCs w:val="18"/>
          <w:color w:val="auto"/>
        </w:rPr>
      </w:pPr>
    </w:p>
    <w:p>
      <w:pPr>
        <w:ind w:left="1300" w:firstLine="653"/>
        <w:spacing w:after="0" w:line="277" w:lineRule="auto"/>
        <w:tabs>
          <w:tab w:leader="none" w:pos="262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as a result of a foreclosure by the Borrower or any of its Restricted Subsidiaries with respect to any secured Investment or other transfer of title with respect to any secured Investment in default;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Hedging Obligations permitted under Section 7.02(b)(9);</w:t>
      </w:r>
    </w:p>
    <w:p>
      <w:pPr>
        <w:spacing w:after="0" w:line="225" w:lineRule="exact"/>
        <w:rPr>
          <w:rFonts w:ascii="Arial" w:cs="Arial" w:eastAsia="Arial" w:hAnsi="Arial"/>
          <w:sz w:val="18"/>
          <w:szCs w:val="18"/>
          <w:color w:val="auto"/>
        </w:rPr>
      </w:pPr>
    </w:p>
    <w:p>
      <w:pPr>
        <w:ind w:left="660" w:right="520" w:firstLine="645"/>
        <w:spacing w:after="0" w:line="308" w:lineRule="auto"/>
        <w:tabs>
          <w:tab w:leader="none" w:pos="1964"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Investments the payment for which consists of Equity Interests (exclusive of Disqualified Stock) of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Equity Interests will not increase the amount available for Restricted Payments under Section 7.05(a)(3);</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guarantees of Indebtedness permitted under Section 7.02;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80" w:firstLine="645"/>
        <w:spacing w:after="0" w:line="277" w:lineRule="auto"/>
        <w:tabs>
          <w:tab w:leader="none" w:pos="19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transaction to the extent it constitutes an Investment that is permitted and made in accordance with the provisions of Section 7.07(b) (except transactions described in clauses (2), (5) and (9) thereof);</w:t>
      </w:r>
    </w:p>
    <w:p>
      <w:pPr>
        <w:spacing w:after="0" w:line="170" w:lineRule="exact"/>
        <w:rPr>
          <w:rFonts w:ascii="Arial" w:cs="Arial" w:eastAsia="Arial" w:hAnsi="Arial"/>
          <w:sz w:val="18"/>
          <w:szCs w:val="18"/>
          <w:color w:val="auto"/>
        </w:rPr>
      </w:pPr>
    </w:p>
    <w:p>
      <w:pPr>
        <w:ind w:left="660" w:right="240" w:firstLine="645"/>
        <w:spacing w:after="0" w:line="342" w:lineRule="auto"/>
        <w:tabs>
          <w:tab w:leader="none" w:pos="1964"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Investments consisting of purchases and acquisitions of inventory, supplies, material or equipment, or other similar assets in the ordinary course of business or the licensing or contribution of intellectual property pursuant to joint marketing arrangements with other Persons;</w:t>
      </w:r>
    </w:p>
    <w:p>
      <w:pPr>
        <w:spacing w:after="0" w:line="123" w:lineRule="exact"/>
        <w:rPr>
          <w:rFonts w:ascii="Arial" w:cs="Arial" w:eastAsia="Arial" w:hAnsi="Arial"/>
          <w:sz w:val="16"/>
          <w:szCs w:val="16"/>
          <w:color w:val="auto"/>
        </w:rPr>
      </w:pPr>
    </w:p>
    <w:p>
      <w:pPr>
        <w:ind w:left="660" w:right="60" w:firstLine="645"/>
        <w:spacing w:after="0" w:line="257" w:lineRule="auto"/>
        <w:tabs>
          <w:tab w:leader="none" w:pos="197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additional Investments having an aggregate fair market value (as determined in good faith by the Borrower), taken together with all other Investments made pursuant to this clause (l) that are at that time outstanding (without giving effect to the sale of an Unrestricted Subsidiary to the extent the proceeds of such sale do not consist of cash or marketable securities), not to exceed the greater of (x) $300,000,000 and (y) 2.50% of Total Assets at the time of such Investment (with the fair market value of each Investment being measured at the time made and without giving effect to subsequent changes in value);</w:t>
      </w:r>
    </w:p>
    <w:p>
      <w:pPr>
        <w:spacing w:after="0" w:line="188" w:lineRule="exact"/>
        <w:rPr>
          <w:rFonts w:ascii="Arial" w:cs="Arial" w:eastAsia="Arial" w:hAnsi="Arial"/>
          <w:sz w:val="18"/>
          <w:szCs w:val="18"/>
          <w:color w:val="auto"/>
        </w:rPr>
      </w:pPr>
    </w:p>
    <w:p>
      <w:pPr>
        <w:ind w:left="660" w:firstLine="645"/>
        <w:spacing w:after="0" w:line="277" w:lineRule="auto"/>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Investments relating to a Receivables Subsidiary that, in the good faith determination of the Borrower are necessary or advisable to effect any Receivables Facility or any repurchases in connection therewith;</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advances to, or guarantees of Indebtedness of, employees not in excess of $20,000,000 outstanding at any one time, in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aggregate; and</w:t>
      </w:r>
    </w:p>
    <w:p>
      <w:pPr>
        <w:spacing w:after="0" w:line="210" w:lineRule="exact"/>
        <w:rPr>
          <w:rFonts w:ascii="Arial" w:cs="Arial" w:eastAsia="Arial" w:hAnsi="Arial"/>
          <w:sz w:val="17"/>
          <w:szCs w:val="17"/>
          <w:color w:val="auto"/>
        </w:rPr>
      </w:pPr>
    </w:p>
    <w:p>
      <w:pPr>
        <w:ind w:left="660" w:right="200" w:firstLine="645"/>
        <w:spacing w:after="0" w:line="264" w:lineRule="auto"/>
        <w:tabs>
          <w:tab w:leader="none" w:pos="19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loans and advances to officers, directors and employees for business-related travel expenses, moving expenses, payroll expenses and other similar expenses, in each case incurred in the ordinary course of business or consistent with past practices or to fund such Person’s purchase of Equity Interests of the Borrower.</w:t>
      </w:r>
    </w:p>
    <w:p>
      <w:pPr>
        <w:spacing w:after="0" w:line="17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Junior Secured Refinancing Debt</w:t>
      </w:r>
      <w:r>
        <w:rPr>
          <w:rFonts w:ascii="Arial" w:cs="Arial" w:eastAsia="Arial" w:hAnsi="Arial"/>
          <w:sz w:val="16"/>
          <w:szCs w:val="16"/>
          <w:color w:val="auto"/>
        </w:rPr>
        <w:t xml:space="preserve">” means any secured Indebtedness (including any Registered Equivalent Notes) incurred by the Borrower in the form of one or more series of second lien (or other junior lien) secured notes or second lien (or other junior lien) secured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 w:lineRule="exact"/>
        <w:rPr>
          <w:sz w:val="20"/>
          <w:szCs w:val="20"/>
          <w:color w:val="auto"/>
        </w:rPr>
      </w:pPr>
    </w:p>
    <w:p>
      <w:pPr>
        <w:ind w:right="120" w:firstLine="8"/>
        <w:spacing w:after="0" w:line="302" w:lineRule="auto"/>
        <w:tabs>
          <w:tab w:leader="none" w:pos="21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such Indebtedness is secured by the Collateral on a second priority (or other junior priority) basis to the liens securing the Obligations and the obligations in respect of any Permitted Pari Passu Secured Refinancing Debt and is not secured by any property or assets of the Borrower or any Restricted Subsidiary other than the Collateral, (ii) such Indebtedness may be secured by a Lien on the Collateral that is junior to the Liens securing the Obligations and the</w:t>
      </w:r>
    </w:p>
    <w:p>
      <w:pPr>
        <w:sectPr>
          <w:pgSz w:w="11900" w:h="16944" w:orient="portrait"/>
          <w:cols w:equalWidth="0" w:num="1">
            <w:col w:w="11400"/>
          </w:cols>
          <w:pgMar w:left="240" w:top="125" w:right="259" w:bottom="0" w:gutter="0" w:footer="0" w:header="0"/>
        </w:sectPr>
      </w:pPr>
    </w:p>
    <w:bookmarkStart w:id="41" w:name="page42"/>
    <w:bookmarkEnd w:id="41"/>
    <w:p>
      <w:pPr>
        <w:ind w:right="380"/>
        <w:spacing w:after="0" w:line="297" w:lineRule="auto"/>
        <w:rPr>
          <w:sz w:val="20"/>
          <w:szCs w:val="20"/>
          <w:color w:val="auto"/>
        </w:rPr>
      </w:pPr>
      <w:r>
        <w:rPr>
          <w:rFonts w:ascii="Arial" w:cs="Arial" w:eastAsia="Arial" w:hAnsi="Arial"/>
          <w:sz w:val="16"/>
          <w:szCs w:val="16"/>
          <w:color w:val="auto"/>
        </w:rPr>
        <w:t xml:space="preserve">obligations in respect of any Permitted Pari Passu Secured Refinancing Debt, notwithstanding any provision to the contrary contained in the definition of Credit Agreement Refinancing Indebtedness, (iii) a Representative acting on behalf of the holders of such Indebtedness shall have become party to or otherwise subject to the provisions of a Second Lien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Permitted Junior Secured Refinancing Debt incurred by the Borrower, then the Borrower, the Subsidiary Guarantors, the Administrative Agent and the Representative for such Indebtedness shall have executed and delivered a Second Lien Intercreditor Agreement and (iv) such Indebtedness meets the Permitted Other Debt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Conditions. Permitted Junior Secured Refinancing Debt will include any Registered Equivalent Notes issued in exchange therefor.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has the definition assigned to such term in Section 7.01.</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Other Debt Conditions</w:t>
      </w:r>
      <w:r>
        <w:rPr>
          <w:rFonts w:ascii="Arial" w:cs="Arial" w:eastAsia="Arial" w:hAnsi="Arial"/>
          <w:sz w:val="16"/>
          <w:szCs w:val="16"/>
          <w:color w:val="auto"/>
        </w:rPr>
        <w:t>” means that such applicable debt (i) does not mature or have scheduled amortization payments of principal or payments of principal and is not subject to mandatory redemption, repurchase, prepayment or sinking fund obligations (other than customary offers to repurchase upon a change of control, asset sale or event of loss and a customary acceleration right after an event of default), in each case prior to the Latest Maturity Date at the time such Indebtedness is incurred, (ii) is not at any time guaranteed by any Subsidiaries other than Subsidiaries that are Guarantors, and</w:t>
      </w:r>
    </w:p>
    <w:p>
      <w:pPr>
        <w:spacing w:after="0" w:line="3" w:lineRule="exact"/>
        <w:rPr>
          <w:sz w:val="20"/>
          <w:szCs w:val="20"/>
          <w:color w:val="auto"/>
        </w:rPr>
      </w:pPr>
    </w:p>
    <w:p>
      <w:pPr>
        <w:ind w:right="240" w:firstLine="8"/>
        <w:spacing w:after="0" w:line="261" w:lineRule="auto"/>
        <w:tabs>
          <w:tab w:leader="none" w:pos="3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the extent secured, the security agreements relating to such Indebtedness are substantially the same as or more favorable to the Loan Parties than the Collateral Documents (with such differences as are reasonably satisfactory to the Administrative Agent)</w:t>
      </w:r>
      <w:r>
        <w:rPr>
          <w:rFonts w:ascii="Arial" w:cs="Arial" w:eastAsia="Arial" w:hAnsi="Arial"/>
          <w:sz w:val="18"/>
          <w:szCs w:val="18"/>
          <w:i w:val="1"/>
          <w:iCs w:val="1"/>
          <w:color w:val="auto"/>
        </w:rPr>
        <w:t>.</w:t>
      </w:r>
    </w:p>
    <w:p>
      <w:pPr>
        <w:spacing w:after="0" w:line="18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Pari Passu Secured Refinancing Debt</w:t>
      </w:r>
      <w:r>
        <w:rPr>
          <w:rFonts w:ascii="Arial" w:cs="Arial" w:eastAsia="Arial" w:hAnsi="Arial"/>
          <w:sz w:val="16"/>
          <w:szCs w:val="16"/>
          <w:color w:val="auto"/>
        </w:rPr>
        <w:t xml:space="preserve">” means any secured Indebtedness (including any Registered Equivalent Notes) incurred by the Borrower in the form of one or more series of senior secured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is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(but without regard to the control of remedies) with the Obligations and is not secured by any property or assets of the Borrower or any Restricted Subsidiary other than the Collateral, (ii) such Indebtedness is not at any time guaranteed by any Subsidiaries other than Subsidiaries that are Guarantors, (iii) such Indebtedness does not mature or have scheduled amortization or payments of principal (other than customary offers to repurchase upon a change of control, asset sale or event of loss and a customary acceleration right after an event of default) prior to the date that is the Latest Maturity Date at the time such Indebtedness is incurred or issued, (iv) the security agreements relating to such Indebtedness are substantially the same as or more favorable to the Loan Parties than the Collateral Documents (with such differences as are reasonably satisfactory to the Administrative Agent) and (v) a Representative acting on behalf of the holders of such Indebtedness shall have become party to or otherwise subject to the provisions of an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Permitted Pari Passu Secured Refinancing Debt incurred by the Borrower, then the Borrower, the Subsidiary Guarantors, the Administrative Agent and the Representative for such Indebtedness shall have executed and delivered an Intercreditor Agreement. Permitted Pari Passu Secured Refinancing Debt will include any Registered Equivalent Notes issued in exchange therefor.</w:t>
      </w:r>
    </w:p>
    <w:p>
      <w:pPr>
        <w:spacing w:after="0" w:line="169"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Refinancing Debt</w:t>
      </w:r>
      <w:r>
        <w:rPr>
          <w:rFonts w:ascii="Arial" w:cs="Arial" w:eastAsia="Arial" w:hAnsi="Arial"/>
          <w:sz w:val="18"/>
          <w:szCs w:val="18"/>
          <w:color w:val="auto"/>
        </w:rPr>
        <w:t xml:space="preserve">” means unsecured Indebtedness (including any Registered Equivalent Notes) incurred by the Borrower in the form of one or more series of senior unsecured notes or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constitutes Credit Agreement Refinancing Indebtedness and (ii) meets the Permitted Other Debt Conditions.</w:t>
      </w:r>
    </w:p>
    <w:p>
      <w:pPr>
        <w:spacing w:after="0" w:line="176" w:lineRule="exact"/>
        <w:rPr>
          <w:sz w:val="20"/>
          <w:szCs w:val="20"/>
          <w:color w:val="auto"/>
        </w:rPr>
      </w:pPr>
    </w:p>
    <w:p>
      <w:pPr>
        <w:ind w:right="8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government or any agency or political subdivision thereof or any other entity.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any “employee benefit plan” (as such term is defined in Section 3(3) of ERISA) established or maintained by any Loan Party or, with respect to any such plan that is subject to Section 412 of the Code or Title IV of ERISA, any ERISA Affiliate.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has the meaning assigned to such term in Section 6.02.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Pre-Effectiveness</w:t>
      </w:r>
      <w:r>
        <w:rPr>
          <w:rFonts w:ascii="Arial" w:cs="Arial" w:eastAsia="Arial" w:hAnsi="Arial"/>
          <w:sz w:val="18"/>
          <w:szCs w:val="18"/>
          <w:color w:val="auto"/>
        </w:rPr>
        <w:t>” has the meaning specified in Section 2.16(f)(ii).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Preferred Stock</w:t>
      </w:r>
      <w:r>
        <w:rPr>
          <w:rFonts w:ascii="Arial" w:cs="Arial" w:eastAsia="Arial" w:hAnsi="Arial"/>
          <w:sz w:val="17"/>
          <w:szCs w:val="17"/>
          <w:color w:val="auto"/>
        </w:rPr>
        <w:t>” means any Equity Interest with preferential rights of payment of dividends or upon liquidation, dissolution, or winding up.</w:t>
      </w:r>
    </w:p>
    <w:p>
      <w:pPr>
        <w:spacing w:after="0" w:line="237"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Basis</w:t>
      </w:r>
      <w:r>
        <w:rPr>
          <w:rFonts w:ascii="Arial" w:cs="Arial" w:eastAsia="Arial" w:hAnsi="Arial"/>
          <w:sz w:val="18"/>
          <w:szCs w:val="18"/>
          <w:color w:val="auto"/>
        </w:rPr>
        <w:t>” and “</w:t>
      </w:r>
      <w:r>
        <w:rPr>
          <w:rFonts w:ascii="Arial" w:cs="Arial" w:eastAsia="Arial" w:hAnsi="Arial"/>
          <w:sz w:val="18"/>
          <w:szCs w:val="18"/>
          <w:b w:val="1"/>
          <w:bCs w:val="1"/>
          <w:color w:val="auto"/>
        </w:rPr>
        <w:t>Pro Forma Compliance</w:t>
      </w:r>
      <w:r>
        <w:rPr>
          <w:rFonts w:ascii="Arial" w:cs="Arial" w:eastAsia="Arial" w:hAnsi="Arial"/>
          <w:sz w:val="18"/>
          <w:szCs w:val="18"/>
          <w:color w:val="auto"/>
        </w:rPr>
        <w:t>” mean, with respect to compliance with any test or covenant hereunder, that to the extent applicable, shall have been calculated in accordance with Section 1.08.</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Extension Offer</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Rata Share</w:t>
      </w:r>
      <w:r>
        <w:rPr>
          <w:rFonts w:ascii="Arial" w:cs="Arial" w:eastAsia="Arial" w:hAnsi="Arial"/>
          <w:sz w:val="17"/>
          <w:szCs w:val="17"/>
          <w:color w:val="auto"/>
        </w:rPr>
        <w:t xml:space="preserve">” means, with respect to each Lender at any time a fraction (expressed as a percentage, carried out to the ninth decimal place), the numerator of which is the amount of the Commitments of such Lender under the applicable Facility or Facilities at such time and the denominator of which is the amount of the Aggregate Commitments under the applicable Facility or Facilities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has the meaning assigned to such term in Section 6.02.</w:t>
      </w:r>
    </w:p>
    <w:p>
      <w:pPr>
        <w:spacing w:after="0" w:line="225"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ECP Guarantor</w:t>
      </w:r>
      <w:r>
        <w:rPr>
          <w:rFonts w:ascii="Arial" w:cs="Arial" w:eastAsia="Arial" w:hAnsi="Arial"/>
          <w:sz w:val="18"/>
          <w:szCs w:val="18"/>
          <w:color w:val="auto"/>
        </w:rPr>
        <w:t>” means, in respect of any Swap Obligation, each Guarantor that, at the time the relevant Guarantee or grant of the relevant security interest becomes effective with respect to such Swap Obligation, has total assets exceeding $10,000,000 or such other person as constitutes an “eligible contract participant” under the Commodity Exchange Act or any regulations promulgated thereunder and can cause another person to qualify as an “eligible contract participant” with respect to such Swap Obligation at such time by entering into a keepwell under Section 1a(18)(A)(v)(II) of the Commodity Exchange Act.</w:t>
      </w:r>
    </w:p>
    <w:p>
      <w:pPr>
        <w:spacing w:after="0" w:line="184"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means the unaudited consolidated balance sheets and related consolidated statements of operations and cash flows of the Borrower for the fiscal quarters ended March 31, 2013 and June 30, 2013.</w:t>
      </w:r>
    </w:p>
    <w:p>
      <w:pPr>
        <w:sectPr>
          <w:pgSz w:w="11900" w:h="16838" w:orient="portrait"/>
          <w:cols w:equalWidth="0" w:num="1">
            <w:col w:w="11420"/>
          </w:cols>
          <w:pgMar w:left="240" w:top="125" w:right="239" w:bottom="0" w:gutter="0" w:footer="0" w:header="0"/>
        </w:sectPr>
      </w:pPr>
    </w:p>
    <w:bookmarkStart w:id="42" w:name="page43"/>
    <w:bookmarkEnd w:id="42"/>
    <w:p>
      <w:pPr>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Agencies</w:t>
      </w:r>
      <w:r>
        <w:rPr>
          <w:rFonts w:ascii="Arial" w:cs="Arial" w:eastAsia="Arial" w:hAnsi="Arial"/>
          <w:sz w:val="18"/>
          <w:szCs w:val="18"/>
          <w:color w:val="auto"/>
        </w:rPr>
        <w:t>” means Moody’s and S&amp;P or if Moody’s or S&amp;P or both shall not make a rating on the Senior Notes publicly available, a nationally recognized statistical rating agency or agencies, as the case may be, selected by the Borrower which shall be substituted for Moody’s or S&amp;P or both, as the case may be.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collectively, all right, title and interest (including any leasehold,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80"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Facility</w:t>
      </w:r>
      <w:r>
        <w:rPr>
          <w:rFonts w:ascii="Arial" w:cs="Arial" w:eastAsia="Arial" w:hAnsi="Arial"/>
          <w:sz w:val="17"/>
          <w:szCs w:val="17"/>
          <w:color w:val="auto"/>
        </w:rPr>
        <w:t>” means any of one or more receivables financing facilities as amended, supplemented, modified, extended, renewed, restated or refunded from time to time, the obligations of which are non-recourse (except for customary representations, warranties, covenants and indemnities made in connection with such facilities) to the Borrower or any of its Restricted Subsidiaries (other than a Receivables Subsidiary) pursuant to which the Borrower or any of its Restricted Subsidiaries sells its accounts receivable to either (a) a Person that is not a Restricted Subsidiary or (b) a Receivables Subsidiary that in turn sells its accounts receivable to a Person that is not a Restricted Subsidiary.</w:t>
      </w:r>
    </w:p>
    <w:p>
      <w:pPr>
        <w:spacing w:after="0" w:line="16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Fees</w:t>
      </w:r>
      <w:r>
        <w:rPr>
          <w:rFonts w:ascii="Arial" w:cs="Arial" w:eastAsia="Arial" w:hAnsi="Arial"/>
          <w:sz w:val="18"/>
          <w:szCs w:val="18"/>
          <w:color w:val="auto"/>
        </w:rPr>
        <w:t>” means distributions or payments made directly or by means of discounts with respect to any accounts receivable or participation interest therein issued or sold in connection with, and other fees paid to a Person that is not a Restricted Subsidiary in connection with, any Receivables Facility.</w:t>
      </w:r>
    </w:p>
    <w:p>
      <w:pPr>
        <w:spacing w:after="0" w:line="176" w:lineRule="exact"/>
        <w:rPr>
          <w:sz w:val="20"/>
          <w:szCs w:val="20"/>
          <w:color w:val="auto"/>
        </w:rPr>
      </w:pPr>
    </w:p>
    <w:p>
      <w:pPr>
        <w:ind w:right="60"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Subsidiary</w:t>
      </w:r>
      <w:r>
        <w:rPr>
          <w:rFonts w:ascii="Arial" w:cs="Arial" w:eastAsia="Arial" w:hAnsi="Arial"/>
          <w:sz w:val="18"/>
          <w:szCs w:val="18"/>
          <w:color w:val="auto"/>
        </w:rPr>
        <w:t>” means any Subsidiary formed for the purpose of, and that solely engages only in one or more Receivables Facilities and other activities reasonably related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Debt</w:t>
      </w:r>
      <w:r>
        <w:rPr>
          <w:rFonts w:ascii="Arial" w:cs="Arial" w:eastAsia="Arial" w:hAnsi="Arial"/>
          <w:sz w:val="18"/>
          <w:szCs w:val="18"/>
          <w:color w:val="auto"/>
        </w:rPr>
        <w:t>” has the meaning set forth in the definition of “Credit Agreement Refinancing Indebtedness.”</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Amendment</w:t>
      </w:r>
      <w:r>
        <w:rPr>
          <w:rFonts w:ascii="Arial" w:cs="Arial" w:eastAsia="Arial" w:hAnsi="Arial"/>
          <w:sz w:val="17"/>
          <w:szCs w:val="17"/>
          <w:color w:val="auto"/>
        </w:rPr>
        <w:t>” means an amendment to this Agreement executed by each of (a) the Borrower, (b) the Administrative Agent, (c) each Additional Refinancing Lender and (d) each Lender that agrees to provide any portion of Other Term Loans, Other Term Loan Commitments, Other Revolving Credit Commitments or Other Revolving Credit Loans incurred pursuant thereto, in accordance with Section 2.15.</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Indebtedness</w:t>
      </w:r>
      <w:r>
        <w:rPr>
          <w:rFonts w:ascii="Arial" w:cs="Arial" w:eastAsia="Arial" w:hAnsi="Arial"/>
          <w:sz w:val="18"/>
          <w:szCs w:val="18"/>
          <w:color w:val="auto"/>
        </w:rPr>
        <w:t>” has the meaning set forth in Section 7.02(b)(12).</w:t>
      </w:r>
    </w:p>
    <w:p>
      <w:pPr>
        <w:spacing w:after="0" w:line="225"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Series</w:t>
      </w:r>
      <w:r>
        <w:rPr>
          <w:rFonts w:ascii="Arial" w:cs="Arial" w:eastAsia="Arial" w:hAnsi="Arial"/>
          <w:sz w:val="16"/>
          <w:szCs w:val="16"/>
          <w:color w:val="auto"/>
        </w:rPr>
        <w:t>” means all Other Term Loans or Other Term Loan Commitments that are established pursuant to the same Refinancing Amendment (or any subsequent Refinancing Amendment to the extent such Refinancing Amendment expressly provides that the Other Term Loans or Other Term Loan Commitments provided for therein are intended to be a part of any previously established Refinancing Series) and that provide for the same yield (taking into account any applicable interest rate margin, original issue discount, up-front fees and any LIBOR “floor”) and amortization schedule.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Refunding Capital Stock</w:t>
      </w:r>
      <w:r>
        <w:rPr>
          <w:rFonts w:ascii="Arial" w:cs="Arial" w:eastAsia="Arial" w:hAnsi="Arial"/>
          <w:sz w:val="18"/>
          <w:szCs w:val="18"/>
          <w:color w:val="auto"/>
        </w:rPr>
        <w:t>” has the meaning set forth in Section 7.05(b)(2).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set forth in Section 10.06(c).</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Equivalent Notes</w:t>
      </w:r>
      <w:r>
        <w:rPr>
          <w:rFonts w:ascii="Arial" w:cs="Arial" w:eastAsia="Arial" w:hAnsi="Arial"/>
          <w:sz w:val="18"/>
          <w:szCs w:val="18"/>
          <w:color w:val="auto"/>
        </w:rPr>
        <w:t>” means, with respect to any notes originally issued in an offering pursuant to Rule 144A under the Securities Act or other private placement transaction under the Securities Act, substantially identical notes (having the same guarantees) issued in a dollar-for-dollar exchange therefor pursuant to an exchange offer registered with the SEC.</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Rejection Notice</w:t>
      </w:r>
      <w:r>
        <w:rPr>
          <w:rFonts w:ascii="Arial" w:cs="Arial" w:eastAsia="Arial" w:hAnsi="Arial"/>
          <w:sz w:val="18"/>
          <w:szCs w:val="18"/>
          <w:color w:val="auto"/>
        </w:rPr>
        <w:t>” has the meaning set forth in Section 2.05(b)(v).</w:t>
      </w:r>
    </w:p>
    <w:p>
      <w:pPr>
        <w:spacing w:after="0" w:line="22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Related Business Assets</w:t>
      </w:r>
      <w:r>
        <w:rPr>
          <w:rFonts w:ascii="Arial" w:cs="Arial" w:eastAsia="Arial" w:hAnsi="Arial"/>
          <w:sz w:val="15"/>
          <w:szCs w:val="15"/>
          <w:color w:val="auto"/>
        </w:rPr>
        <w:t xml:space="preserve">” means assets (other than Cash Equivalents) used or useful in a Similar Business,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assets received by the Borrower or a Restricted Subsidiary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spacing w:after="0" w:line="1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spilling, leaking, seepage, pumping, pouring, emitting, emptying, discharging, injecting, escaping, leaching, dumping, disposing, depositing, dispersing or migrating in, into, onto or through the Environment.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or the regulations issued thereunder, other than events for which the thirty (30) day notice period has been waived.</w:t>
      </w:r>
    </w:p>
    <w:p>
      <w:pPr>
        <w:spacing w:after="0" w:line="162"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w:t>
      </w:r>
      <w:r>
        <w:rPr>
          <w:rFonts w:ascii="Arial" w:cs="Arial" w:eastAsia="Arial" w:hAnsi="Arial"/>
          <w:sz w:val="17"/>
          <w:szCs w:val="17"/>
          <w:color w:val="auto"/>
        </w:rPr>
        <w:t>” means, with respect to any series of Permitted Pari Passu Secured Refinancing Debt or Permitted Junior Secured Refinancing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58"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Repricing Transaction</w:t>
      </w:r>
      <w:r>
        <w:rPr>
          <w:rFonts w:ascii="Arial" w:cs="Arial" w:eastAsia="Arial" w:hAnsi="Arial"/>
          <w:sz w:val="16"/>
          <w:szCs w:val="16"/>
          <w:color w:val="auto"/>
        </w:rPr>
        <w:t>” means the prepayment (including repricings or refinancings) of all or a portion of the Term Loans with proceeds from the incurrence by the Borrower of any new Indebtedness having a yield (taking into account any applicable interest rate margin, original issue discount, up-front fees and any LIBOR “floor”) that is less than the yield of the Term Loans (excluding any prepayments, repricings or refinancings in connection with a Change of Control), including without limitation, as may be effected through any amendment to this Agreement relating to the yield of the Term Loans.</w:t>
      </w:r>
    </w:p>
    <w:p>
      <w:pPr>
        <w:sectPr>
          <w:pgSz w:w="11900" w:h="16838" w:orient="portrait"/>
          <w:cols w:equalWidth="0" w:num="1">
            <w:col w:w="11380"/>
          </w:cols>
          <w:pgMar w:left="240" w:top="121" w:right="279" w:bottom="0" w:gutter="0" w:footer="0" w:header="0"/>
        </w:sectPr>
      </w:pPr>
    </w:p>
    <w:bookmarkStart w:id="43" w:name="page44"/>
    <w:bookmarkEnd w:id="43"/>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 for Credit Extension</w:t>
      </w:r>
      <w:r>
        <w:rPr>
          <w:rFonts w:ascii="Arial" w:cs="Arial" w:eastAsia="Arial" w:hAnsi="Arial"/>
          <w:sz w:val="18"/>
          <w:szCs w:val="18"/>
          <w:color w:val="auto"/>
        </w:rPr>
        <w:t>” means (a) with respect to a Borrowing, continuation or conversion of Term Loans or Revolving Credit Loans, a Committed Loan Notice, (b) with respect to an L/C Credit Extension, a Letter of Credit Application, and (c) with respect to a Swing Line Loan, a Swing Line Loan Notice.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Class Lenders</w:t>
      </w:r>
      <w:r>
        <w:rPr>
          <w:rFonts w:ascii="Arial" w:cs="Arial" w:eastAsia="Arial" w:hAnsi="Arial"/>
          <w:sz w:val="17"/>
          <w:szCs w:val="17"/>
          <w:color w:val="auto"/>
        </w:rPr>
        <w:t xml:space="preserve">” means, as of any date of determination, Lenders of a Class having more than 50% of the sum of the (a) Total Outstandings (with, in the case of the Revolving Credit Facility, the aggregate amount of each Lender’s risk participation and funded participation in L/C Obligations and Swing Line Loans being deemed “held” by such Lender for purposes of this definition) for all Lenders of such Class and (b) aggregate unused Commitments of all Lenders of such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unused Commitment and the portion of the Total Outstandings held or deemed held by, any Defaulting Lender of such Class shall be excluded for purposes of making a determination of Required Class Lenders.</w:t>
      </w:r>
    </w:p>
    <w:p>
      <w:pPr>
        <w:spacing w:after="0" w:line="168"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means, as of any date of determination, Lenders having more than 50% of the sum of the (a) Total Outstandings (with the aggregate amount of each Lender’s risk participation and funded participation in L/C Obligations and Swing Line Loans being deemed “held” by such Lender for purposes of this definition), (b) aggregate unused Term Commitments and (c) aggregate unused Revolving Credit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unused Term Commitment and unused Revolving Credit Commitment of, and the portion of the Total Outstandings held or deemed held by, any Defaulting Lender shall be excluded for purposes of making a determination of Required Lenders.</w:t>
      </w:r>
    </w:p>
    <w:p>
      <w:pPr>
        <w:spacing w:after="0" w:line="184"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means the chief executive officer, president, vice president, chief financial officer, treasurer or assistant treasurer or other similar officer of a Loan Party and, as to any document delivered on the Closing Date, any secretary or assistant secretary of such Loan Party and, solely for purposes of notices given pursuant to Article II, any other officer or employee of the applicable Loan Party so designated by any of the foregoing officers in a notice to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4"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Cash</w:t>
      </w:r>
      <w:r>
        <w:rPr>
          <w:rFonts w:ascii="Arial" w:cs="Arial" w:eastAsia="Arial" w:hAnsi="Arial"/>
          <w:sz w:val="18"/>
          <w:szCs w:val="18"/>
          <w:color w:val="auto"/>
        </w:rPr>
        <w:t>” means cash and Cash Equivalents held by Restricted Subsidiaries that is contractually restricted from being distributed to the Borrower, except for such restrictions that are contained in agreements governing Indebtedness permitted under this Agreement and that is secured by such cash or Cash Equivalents.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Investment</w:t>
      </w:r>
      <w:r>
        <w:rPr>
          <w:rFonts w:ascii="Arial" w:cs="Arial" w:eastAsia="Arial" w:hAnsi="Arial"/>
          <w:sz w:val="18"/>
          <w:szCs w:val="18"/>
          <w:color w:val="auto"/>
        </w:rPr>
        <w:t>” means any Investment other than a Permitted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has the meaning set forth in Section 7.05(a).</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xml:space="preserve">” means, at any time, each direct and indirect Subsidiary of the Borrower (including any Foreign Subsidiary) that is not then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upon the occurrence of an Unrestricted Subsidiary ceasing to be an Unrestricted Subsidiary, such Subsidiary shall be included in the definition of “Restricted Subsidiary.”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 Increase</w:t>
      </w:r>
      <w:r>
        <w:rPr>
          <w:rFonts w:ascii="Arial" w:cs="Arial" w:eastAsia="Arial" w:hAnsi="Arial"/>
          <w:sz w:val="18"/>
          <w:szCs w:val="18"/>
          <w:color w:val="auto"/>
        </w:rPr>
        <w:t>” has the meaning set forth in Section 2.14(a).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 Increase Lender</w:t>
      </w:r>
      <w:r>
        <w:rPr>
          <w:rFonts w:ascii="Arial" w:cs="Arial" w:eastAsia="Arial" w:hAnsi="Arial"/>
          <w:sz w:val="18"/>
          <w:szCs w:val="18"/>
          <w:color w:val="auto"/>
        </w:rPr>
        <w:t>” has the meaning set forth in Section 2.14(a).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Borrowing</w:t>
      </w:r>
      <w:r>
        <w:rPr>
          <w:rFonts w:ascii="Arial" w:cs="Arial" w:eastAsia="Arial" w:hAnsi="Arial"/>
          <w:sz w:val="18"/>
          <w:szCs w:val="18"/>
          <w:color w:val="auto"/>
        </w:rPr>
        <w:t>” means a borrowing consisting of simultaneous Revolving Credit Loans of the same Type and Class and, in the case of Eurodollar Rate Loans, having the same Interest Period and currency made by each of the Revolving Credit Lenders of such Class pursuant to any clause of Section 2.01(b).</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“Revolving Credit Commitment</w:t>
      </w:r>
      <w:r>
        <w:rPr>
          <w:rFonts w:ascii="Arial" w:cs="Arial" w:eastAsia="Arial" w:hAnsi="Arial"/>
          <w:sz w:val="18"/>
          <w:szCs w:val="18"/>
          <w:color w:val="auto"/>
        </w:rPr>
        <w:t>” means, as to each Revolving Credit Lender, its obligation to (a) make Revolving Credit Loans to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2.01(b), (b) purchase participations in L/C Obligations in respect of Letters of Credit and (c) purchase participations in Swing Line Loans, in an aggregate principal amount at any one time outstanding not to exceed the amount set forth, and opposite such Lender’s name on Schedule 1.01A under the caption “Revolving Credit Commitment” or in the Assignment and Assumption pursuant to which such Lender becomes a party hereto, as applicable, as such amount may be adjusted from time to time in accordance with this Agreement (including Section 2.14). The aggregate Revolving Credit Commitments of all Revolving Credit Lenders shall be $250,000,000 on the Closing Date, as such amount may be adjusted from time to time in accordance with the terms of this Agreement.</w:t>
      </w:r>
    </w:p>
    <w:p>
      <w:pPr>
        <w:spacing w:after="0" w:line="189"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Exposure</w:t>
      </w:r>
      <w:r>
        <w:rPr>
          <w:rFonts w:ascii="Arial" w:cs="Arial" w:eastAsia="Arial" w:hAnsi="Arial"/>
          <w:sz w:val="16"/>
          <w:szCs w:val="16"/>
          <w:color w:val="auto"/>
        </w:rPr>
        <w:t>” means, as to each Revolving Credit Lender, the sum of the amount of the outstanding principal amount of such Revolving Credit Lender’s Revolving Credit Loans and its Pro Rata Share of the amount of the L/C Obligations and the Swing Line Obligations at such time.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w:t>
      </w:r>
      <w:r>
        <w:rPr>
          <w:rFonts w:ascii="Arial" w:cs="Arial" w:eastAsia="Arial" w:hAnsi="Arial"/>
          <w:sz w:val="16"/>
          <w:szCs w:val="16"/>
          <w:color w:val="auto"/>
        </w:rPr>
        <w:t>” means, at any time, the aggregate amount of the Revolving Credit Lenders’ Revolving Credit Commitments 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w:t>
      </w:r>
      <w:r>
        <w:rPr>
          <w:rFonts w:ascii="Arial" w:cs="Arial" w:eastAsia="Arial" w:hAnsi="Arial"/>
          <w:sz w:val="18"/>
          <w:szCs w:val="18"/>
          <w:color w:val="auto"/>
        </w:rPr>
        <w:t>” means, at any time, any Lender that has a Revolving Credit Commitment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Loans</w:t>
      </w:r>
      <w:r>
        <w:rPr>
          <w:rFonts w:ascii="Arial" w:cs="Arial" w:eastAsia="Arial" w:hAnsi="Arial"/>
          <w:sz w:val="18"/>
          <w:szCs w:val="18"/>
          <w:color w:val="auto"/>
        </w:rPr>
        <w:t>” has the meaning specified in Section 2.01(b).</w:t>
      </w:r>
    </w:p>
    <w:p>
      <w:pPr>
        <w:spacing w:after="0" w:line="225" w:lineRule="exact"/>
        <w:rPr>
          <w:sz w:val="20"/>
          <w:szCs w:val="20"/>
          <w:color w:val="auto"/>
        </w:rPr>
      </w:pPr>
    </w:p>
    <w:p>
      <w:pPr>
        <w:ind w:right="4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Note</w:t>
      </w:r>
      <w:r>
        <w:rPr>
          <w:rFonts w:ascii="Arial" w:cs="Arial" w:eastAsia="Arial" w:hAnsi="Arial"/>
          <w:sz w:val="18"/>
          <w:szCs w:val="18"/>
          <w:color w:val="auto"/>
        </w:rPr>
        <w:t>” means a promissory note of the Borrower payable to any Revolving Credit Lender or its registered assigns, in substantially the form of Exhibit C-2 hereto, evidencing the aggregate Indebtedness of the Borrower to such Revolving Credit Lender resulting from the Revolving Credit Loans made by such Revolving Credit Lender to the Borrower.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Pro Rata Extension Offers</w:t>
      </w:r>
      <w:r>
        <w:rPr>
          <w:rFonts w:ascii="Arial" w:cs="Arial" w:eastAsia="Arial" w:hAnsi="Arial"/>
          <w:sz w:val="18"/>
          <w:szCs w:val="18"/>
          <w:color w:val="auto"/>
        </w:rPr>
        <w:t>” has the meaning specified in Section 2.16(a).</w:t>
      </w:r>
    </w:p>
    <w:p>
      <w:pPr>
        <w:sectPr>
          <w:pgSz w:w="11900" w:h="16838" w:orient="portrait"/>
          <w:cols w:equalWidth="0" w:num="1">
            <w:col w:w="11400"/>
          </w:cols>
          <w:pgMar w:left="240" w:top="121" w:right="259" w:bottom="36" w:gutter="0" w:footer="0" w:header="0"/>
        </w:sectPr>
      </w:pPr>
    </w:p>
    <w:bookmarkStart w:id="44" w:name="page45"/>
    <w:bookmarkEnd w:id="44"/>
    <w:p>
      <w:pPr>
        <w:spacing w:after="0" w:line="9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Financial Services, LLC, a subsidiary of The McGraw-Hill Companies, Inc., and any successor to its rating agency business.</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arrangement providing for the leasing by the Borrower or any of its Restricted Subsidiaries of any real or tangible personal property, which property has been or is to be sold or transferred for value by the Borrower or such Restricted Subsidiary to a third Person in contemplation of such leasing.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Same Day Funds</w:t>
      </w:r>
      <w:r>
        <w:rPr>
          <w:rFonts w:ascii="Arial" w:cs="Arial" w:eastAsia="Arial" w:hAnsi="Arial"/>
          <w:sz w:val="18"/>
          <w:szCs w:val="18"/>
          <w:color w:val="auto"/>
        </w:rPr>
        <w:t>” means immediately available funds.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Sanction(s)</w:t>
      </w:r>
      <w:r>
        <w:rPr>
          <w:rFonts w:ascii="Arial" w:cs="Arial" w:eastAsia="Arial" w:hAnsi="Arial"/>
          <w:sz w:val="17"/>
          <w:szCs w:val="17"/>
          <w:color w:val="auto"/>
        </w:rPr>
        <w:t>” means any international economic sanction administered or enforced by the United States Government (including without limitation, OFAC), the United Nations Security Council, the European Union, Her Majesty’s Treasury or other relevant sanctions authority.</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Lien Intercreditor Agreement</w:t>
      </w:r>
      <w:r>
        <w:rPr>
          <w:rFonts w:ascii="Arial" w:cs="Arial" w:eastAsia="Arial" w:hAnsi="Arial"/>
          <w:sz w:val="16"/>
          <w:szCs w:val="16"/>
          <w:color w:val="auto"/>
        </w:rPr>
        <w:t>” means an intercreditor agreement substantially (if applicable, subject to a customary standstill period, of not less than 180 days) in the form of Exhibit I-2 hereto (which agreement in such form or with immaterial changes thereto the Administrative Agent is authorized to enter into) together with any material changes thereto in light of prevailing market conditions, which material changes shall be posted to the Lenders not less than five (5) Business Days before execution thereof and, if the Required Lenders shall not have objected to such changes within five</w:t>
      </w:r>
    </w:p>
    <w:p>
      <w:pPr>
        <w:spacing w:after="0" w:line="3" w:lineRule="exact"/>
        <w:rPr>
          <w:sz w:val="20"/>
          <w:szCs w:val="20"/>
          <w:color w:val="auto"/>
        </w:rPr>
      </w:pPr>
    </w:p>
    <w:p>
      <w:pPr>
        <w:ind w:right="280" w:firstLine="8"/>
        <w:spacing w:after="0" w:line="255" w:lineRule="auto"/>
        <w:tabs>
          <w:tab w:leader="none" w:pos="2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Business Days after posting, then the Required Lenders shall be deemed to have agreed that the Administrative Agent’s entry into such intercreditor agreement (with such changes) is reasonable and to have consented to such intercreditor agreement (with such changes) and to the Administrative Agent’s execution thereof.</w:t>
      </w:r>
    </w:p>
    <w:p>
      <w:pPr>
        <w:spacing w:after="0" w:line="18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Agreement</w:t>
      </w:r>
      <w:r>
        <w:rPr>
          <w:rFonts w:ascii="Arial" w:cs="Arial" w:eastAsia="Arial" w:hAnsi="Arial"/>
          <w:sz w:val="18"/>
          <w:szCs w:val="18"/>
          <w:color w:val="auto"/>
        </w:rPr>
        <w:t>” means any Swap Contract permitted under Article VII that is entered into by and between the Borrower or any Loan Party and any Hedge Bank.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Indebtedness</w:t>
      </w:r>
      <w:r>
        <w:rPr>
          <w:rFonts w:ascii="Arial" w:cs="Arial" w:eastAsia="Arial" w:hAnsi="Arial"/>
          <w:sz w:val="18"/>
          <w:szCs w:val="18"/>
          <w:color w:val="auto"/>
        </w:rPr>
        <w:t>” means any Indebtedness of the Borrower or any of its Restricted Subsidiaries secured by a Lien.</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collectively, the Administrative Agent, the Collateral Agent, the Lenders, the Hedge Banks and each co-agent or sub-agent appointed by the Administrative Agent or Collateral Agent from time to time pursuant to Section 9.02.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has the meaning specified in Section 4.01(a)(iii).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Indebtedness</w:t>
      </w:r>
      <w:r>
        <w:rPr>
          <w:rFonts w:ascii="Arial" w:cs="Arial" w:eastAsia="Arial" w:hAnsi="Arial"/>
          <w:sz w:val="18"/>
          <w:szCs w:val="18"/>
          <w:color w:val="auto"/>
        </w:rPr>
        <w:t>” means:</w:t>
      </w:r>
    </w:p>
    <w:p>
      <w:pPr>
        <w:spacing w:after="0" w:line="229" w:lineRule="exact"/>
        <w:rPr>
          <w:sz w:val="20"/>
          <w:szCs w:val="20"/>
          <w:color w:val="auto"/>
        </w:rPr>
      </w:pPr>
    </w:p>
    <w:p>
      <w:pPr>
        <w:ind w:left="660" w:right="40" w:firstLine="645"/>
        <w:spacing w:after="0" w:line="293" w:lineRule="auto"/>
        <w:tabs>
          <w:tab w:leader="none" w:pos="195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all Indebtedness of the Borrower or any Guarantor outstanding under this Agreement and related Guarantees, the Senior Notes and related Guarantees (including interest accruing on or after the filing of any petition in bankruptcy or similar proceeding or for reorganization of the Borrower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Closing Date or thereafter created or incurred) and all obligations of the Borrower or any Guarantor to reimburse any bank or other Person in respect of amounts paid under letters of credit, acceptances or other similar instruments;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77" w:lineRule="auto"/>
        <w:tabs>
          <w:tab w:leader="none" w:pos="19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all Hedging Obligations (and guarantees thereof) owing to a Hedge Bank,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Hedging Obligations are permitted to be incurred under the terms of this Agreement;</w:t>
      </w:r>
    </w:p>
    <w:p>
      <w:pPr>
        <w:spacing w:after="0" w:line="170" w:lineRule="exact"/>
        <w:rPr>
          <w:rFonts w:ascii="Arial" w:cs="Arial" w:eastAsia="Arial" w:hAnsi="Arial"/>
          <w:sz w:val="18"/>
          <w:szCs w:val="18"/>
          <w:color w:val="auto"/>
        </w:rPr>
      </w:pPr>
    </w:p>
    <w:p>
      <w:pPr>
        <w:ind w:left="660" w:right="220" w:firstLine="645"/>
        <w:spacing w:after="0" w:line="264" w:lineRule="auto"/>
        <w:tabs>
          <w:tab w:leader="none" w:pos="196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other Indebtedness of the Borrower or any Guarantor permitted to be incurred under the terms of this Agreement, unless the instrument under which such Indebtedness is incurred expressly provides that it is subordinated in right of payment to the Obligations, the Senior Notes or any related Guarantee;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obligations with respect to the items listed in the preceding clauses (a), (b) and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Senior Indebtedness shall not include:</w:t>
      </w:r>
    </w:p>
    <w:p>
      <w:pPr>
        <w:spacing w:after="0" w:line="225" w:lineRule="exact"/>
        <w:rPr>
          <w:sz w:val="20"/>
          <w:szCs w:val="20"/>
          <w:color w:val="auto"/>
        </w:rPr>
      </w:pPr>
    </w:p>
    <w:p>
      <w:pPr>
        <w:ind w:left="2620" w:hanging="667"/>
        <w:spacing w:after="0"/>
        <w:tabs>
          <w:tab w:leader="none" w:pos="2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obligation of such Person to the Borrower or any of its Subsidiaries;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such Person;</w:t>
      </w:r>
    </w:p>
    <w:p>
      <w:pPr>
        <w:spacing w:after="0" w:line="225" w:lineRule="exact"/>
        <w:rPr>
          <w:rFonts w:ascii="Arial" w:cs="Arial" w:eastAsia="Arial" w:hAnsi="Arial"/>
          <w:sz w:val="18"/>
          <w:szCs w:val="18"/>
          <w:color w:val="auto"/>
        </w:rPr>
      </w:pPr>
    </w:p>
    <w:p>
      <w:pPr>
        <w:ind w:left="1300" w:right="720" w:firstLine="653"/>
        <w:spacing w:after="0" w:line="277" w:lineRule="auto"/>
        <w:tabs>
          <w:tab w:leader="none" w:pos="26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any accounts payable or other liability to trade creditors arising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obligations incurred under this Agreement shall not be excluded pursuant to this clause (C);</w:t>
      </w:r>
    </w:p>
    <w:p>
      <w:pPr>
        <w:spacing w:after="0" w:line="170" w:lineRule="exact"/>
        <w:rPr>
          <w:rFonts w:ascii="Arial" w:cs="Arial" w:eastAsia="Arial" w:hAnsi="Arial"/>
          <w:sz w:val="18"/>
          <w:szCs w:val="18"/>
          <w:color w:val="auto"/>
        </w:rPr>
      </w:pPr>
    </w:p>
    <w:p>
      <w:pPr>
        <w:ind w:left="1300" w:right="900" w:firstLine="653"/>
        <w:spacing w:after="0" w:line="277" w:lineRule="auto"/>
        <w:tabs>
          <w:tab w:leader="none" w:pos="261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Indebtedness or other obligation of such Person which is subordinate or junior in any respect to any other Indebtedness or other obligation of such Person;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portion of any Indebtedness which at the time of incurrence is incurred in violation of this Agreement.</w:t>
      </w:r>
    </w:p>
    <w:p>
      <w:pPr>
        <w:spacing w:after="0" w:line="221" w:lineRule="exact"/>
        <w:rPr>
          <w:sz w:val="20"/>
          <w:szCs w:val="20"/>
          <w:color w:val="auto"/>
        </w:rPr>
      </w:pPr>
    </w:p>
    <w:p>
      <w:pPr>
        <w:ind w:right="8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means (A) $1,500,000,000 in aggregate principal amount of the Borrower’s 5.625% senior unsecured notes due 2021 and (B) $750,000,000 in aggregate principal amount of the Borrower’s 6.125% senior unsecured notes due 2023.</w:t>
      </w:r>
    </w:p>
    <w:p>
      <w:pPr>
        <w:sectPr>
          <w:pgSz w:w="11900" w:h="16933" w:orient="portrait"/>
          <w:cols w:equalWidth="0" w:num="1">
            <w:col w:w="11400"/>
          </w:cols>
          <w:pgMar w:left="240" w:top="121" w:right="259" w:bottom="0" w:gutter="0" w:footer="0" w:header="0"/>
        </w:sectPr>
      </w:pPr>
    </w:p>
    <w:bookmarkStart w:id="45" w:name="page46"/>
    <w:bookmarkEnd w:id="45"/>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 Indenture</w:t>
      </w:r>
      <w:r>
        <w:rPr>
          <w:rFonts w:ascii="Arial" w:cs="Arial" w:eastAsia="Arial" w:hAnsi="Arial"/>
          <w:sz w:val="18"/>
          <w:szCs w:val="18"/>
          <w:color w:val="auto"/>
        </w:rPr>
        <w:t>” means the Indenture for the Senior Notes, dated September 19, 2013, between the Borrower, Wells Fargo Bank, National Association, as trustee, and the other entities from time to time party thereto, as the same may be amended, modified, supplemented, replaced or refinanced to the extent not prohibited by this Agreement.</w:t>
      </w:r>
    </w:p>
    <w:p>
      <w:pPr>
        <w:spacing w:after="0" w:line="17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Similar Business</w:t>
      </w:r>
      <w:r>
        <w:rPr>
          <w:rFonts w:ascii="Arial" w:cs="Arial" w:eastAsia="Arial" w:hAnsi="Arial"/>
          <w:sz w:val="18"/>
          <w:szCs w:val="18"/>
          <w:color w:val="auto"/>
        </w:rPr>
        <w:t>” means any business conducted or proposed to be conducted by the Borrower and its Restricted Subsidiaries on the Closing Date or any business that is similar, reasonably related, incidental or ancillary thereto.</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and “</w:t>
      </w:r>
      <w:r>
        <w:rPr>
          <w:rFonts w:ascii="Arial" w:cs="Arial" w:eastAsia="Arial" w:hAnsi="Arial"/>
          <w:sz w:val="18"/>
          <w:szCs w:val="18"/>
          <w:b w:val="1"/>
          <w:bCs w:val="1"/>
          <w:color w:val="auto"/>
        </w:rPr>
        <w:t>Solvency</w:t>
      </w:r>
      <w:r>
        <w:rPr>
          <w:rFonts w:ascii="Arial" w:cs="Arial" w:eastAsia="Arial" w:hAnsi="Arial"/>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value of the assets of such Person is greater than the amount that will be required to pay the probable liability of such Person on the sum of its debts and other liabilities, including contingent liabilities, (c) such Person has not, does not intend to, and does not believe (nor should it reasonably believe) that it will, incur debts or liabilities beyond such Person’s ability to pay such debts and liabilities as they become due (whether at maturity or otherwise), (d) such Person does not have unreasonably small capital with which to conduct the businesses in which it is engaged as such businesses are now conducted (and reflected in the projections delivered to the Administrative Agent and the Lenders) and are proposed to be conducted following the Closing Date and (e) such Person is “solvent” within the meaning given to that term and similar terms under the Bankruptcy Code of the United States and applicable laws relating to fraudulent transfers and conveyances.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SPC</w:t>
      </w:r>
      <w:r>
        <w:rPr>
          <w:rFonts w:ascii="Arial" w:cs="Arial" w:eastAsia="Arial" w:hAnsi="Arial"/>
          <w:sz w:val="18"/>
          <w:szCs w:val="18"/>
          <w:color w:val="auto"/>
        </w:rPr>
        <w:t>” has the meaning specified in Section 10.06(g).</w:t>
      </w:r>
    </w:p>
    <w:p>
      <w:pPr>
        <w:spacing w:after="0" w:line="225"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Transaction</w:t>
      </w:r>
      <w:r>
        <w:rPr>
          <w:rFonts w:ascii="Arial" w:cs="Arial" w:eastAsia="Arial" w:hAnsi="Arial"/>
          <w:sz w:val="16"/>
          <w:szCs w:val="16"/>
          <w:color w:val="auto"/>
        </w:rPr>
        <w:t>” means, with respect to any period, any Investment, Disposition, incurrence or repayment of Indebtedness, Restricted Payment, Subsidiary designation, merger, amalgamation, consolidation, Incremental Term Loan or Revolving Commitment Increase that by the terms of this Agreement requires “Pro Forma Compliance” with a test or covenant hereunder or requires such test or covenant to be calculated on a “Pro Forma Basis”.</w:t>
      </w:r>
    </w:p>
    <w:p>
      <w:pPr>
        <w:spacing w:after="0" w:line="14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Buy-Back</w:t>
      </w:r>
      <w:r>
        <w:rPr>
          <w:rFonts w:ascii="Arial" w:cs="Arial" w:eastAsia="Arial" w:hAnsi="Arial"/>
          <w:sz w:val="18"/>
          <w:szCs w:val="18"/>
          <w:color w:val="auto"/>
        </w:rPr>
        <w:t>” means the purchase by the Borrower of approximately 428,676,471 shares of the capital stock of the Borrower via the purchase of Amber Holding, which will hold such stock on or prior to the Closing Date, pursuant to the Stock Purchase Agreement.</w:t>
      </w:r>
    </w:p>
    <w:p>
      <w:pPr>
        <w:spacing w:after="0" w:line="162"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Purchase Agreement</w:t>
      </w:r>
      <w:r>
        <w:rPr>
          <w:rFonts w:ascii="Arial" w:cs="Arial" w:eastAsia="Arial" w:hAnsi="Arial"/>
          <w:sz w:val="18"/>
          <w:szCs w:val="18"/>
          <w:color w:val="auto"/>
        </w:rPr>
        <w:t>” means, the Stock Purchase Agreement, dated as of July 25, 2013, by and among the Borrower, ASAC II LP, an exempted limited partnership organized under the laws of the Cayman Islands and Vivendi, S. 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w:t>
      </w:r>
    </w:p>
    <w:p>
      <w:pPr>
        <w:spacing w:after="0" w:line="229" w:lineRule="exact"/>
        <w:rPr>
          <w:sz w:val="20"/>
          <w:szCs w:val="20"/>
          <w:color w:val="auto"/>
        </w:rPr>
      </w:pPr>
    </w:p>
    <w:p>
      <w:pPr>
        <w:ind w:left="1940" w:hanging="635"/>
        <w:spacing w:after="0"/>
        <w:tabs>
          <w:tab w:leader="none" w:pos="19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Indebtedness of the Borrower which is by its terms subordinated in right of payment to Senior Indebtedness,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Indebtedness of any Guarantor which is by its terms subordinated in right of payment to the Guarantee of such entity of Senior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Indebtedness.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 Documentation</w:t>
      </w:r>
      <w:r>
        <w:rPr>
          <w:rFonts w:ascii="Arial" w:cs="Arial" w:eastAsia="Arial" w:hAnsi="Arial"/>
          <w:sz w:val="18"/>
          <w:szCs w:val="18"/>
          <w:color w:val="auto"/>
        </w:rPr>
        <w:t>” means any documentation governing any Subordinated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w:t>
      </w:r>
    </w:p>
    <w:p>
      <w:pPr>
        <w:spacing w:after="0" w:line="229" w:lineRule="exact"/>
        <w:rPr>
          <w:sz w:val="20"/>
          <w:szCs w:val="20"/>
          <w:color w:val="auto"/>
        </w:rPr>
      </w:pPr>
    </w:p>
    <w:p>
      <w:pPr>
        <w:ind w:left="660" w:right="200" w:firstLine="645"/>
        <w:spacing w:after="0" w:line="308" w:lineRule="auto"/>
        <w:tabs>
          <w:tab w:leader="none" w:pos="195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(other than a partnership, joint venture, limited liability company or similar entity) of which more than 50% of the total voting power of shares of Capital Stock entitled (without regard to the occurrence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of any contingency) to vote in the election of directors, managers or trustees thereof is at the time of determination owned or controlled, directly or indirectly, by such Person or one or more of the other Subsidiaries of that Person or a combination thereof; and</w:t>
      </w:r>
    </w:p>
    <w:p>
      <w:pPr>
        <w:spacing w:after="0" w:line="170" w:lineRule="exact"/>
        <w:rPr>
          <w:sz w:val="20"/>
          <w:szCs w:val="20"/>
          <w:color w:val="auto"/>
        </w:rPr>
      </w:pPr>
    </w:p>
    <w:p>
      <w:pPr>
        <w:ind w:left="1960" w:hanging="655"/>
        <w:spacing w:after="0"/>
        <w:tabs>
          <w:tab w:leader="none" w:pos="1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225" w:lineRule="exact"/>
        <w:rPr>
          <w:rFonts w:ascii="Arial" w:cs="Arial" w:eastAsia="Arial" w:hAnsi="Arial"/>
          <w:sz w:val="18"/>
          <w:szCs w:val="18"/>
          <w:color w:val="auto"/>
        </w:rPr>
      </w:pPr>
    </w:p>
    <w:p>
      <w:pPr>
        <w:ind w:left="1300" w:right="160" w:firstLine="653"/>
        <w:spacing w:after="0" w:line="312" w:lineRule="auto"/>
        <w:tabs>
          <w:tab w:leader="none" w:pos="261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spacing w:after="0" w:line="146" w:lineRule="exact"/>
        <w:rPr>
          <w:rFonts w:ascii="Arial" w:cs="Arial" w:eastAsia="Arial" w:hAnsi="Arial"/>
          <w:sz w:val="16"/>
          <w:szCs w:val="16"/>
          <w:color w:val="auto"/>
        </w:rPr>
      </w:pPr>
    </w:p>
    <w:p>
      <w:pPr>
        <w:ind w:left="660" w:right="40" w:firstLine="1293"/>
        <w:spacing w:after="0" w:line="498" w:lineRule="auto"/>
        <w:tabs>
          <w:tab w:leader="none" w:pos="261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such Person or any Restricted Subsidiary of such Person is a controlling general partner or otherwise controls such entity. “</w:t>
      </w:r>
      <w:r>
        <w:rPr>
          <w:rFonts w:ascii="Arial" w:cs="Arial" w:eastAsia="Arial" w:hAnsi="Arial"/>
          <w:sz w:val="18"/>
          <w:szCs w:val="18"/>
          <w:b w:val="1"/>
          <w:bCs w:val="1"/>
          <w:color w:val="auto"/>
        </w:rPr>
        <w:t>Successor Company</w:t>
      </w:r>
      <w:r>
        <w:rPr>
          <w:rFonts w:ascii="Arial" w:cs="Arial" w:eastAsia="Arial" w:hAnsi="Arial"/>
          <w:sz w:val="18"/>
          <w:szCs w:val="18"/>
          <w:color w:val="auto"/>
        </w:rPr>
        <w:t>” has the meaning specified in Section 7.03(d).</w:t>
      </w:r>
    </w:p>
    <w:p>
      <w:pPr>
        <w:spacing w:after="0" w:line="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Survey</w:t>
      </w:r>
      <w:r>
        <w:rPr>
          <w:rFonts w:ascii="Arial" w:cs="Arial" w:eastAsia="Arial" w:hAnsi="Arial"/>
          <w:sz w:val="16"/>
          <w:szCs w:val="16"/>
          <w:color w:val="auto"/>
        </w:rPr>
        <w:t>” means a survey of any Real Property subject to a Mortgage (and all improvements thereon) which is (a) (i) prepared by a surveyor or engineer licensed to perform surveys in the jurisdiction where such Real Property is located, (ii) dated (or redated) not earlier than six months prior to the date of delivery thereof unless there shall have occurred within six months prior to such date of delivery any exterior construction on the site of such Real Property or any easement, right of way or other interest in the Real Property has been granted or become effective through operation of law or otherwise with respect to such Real Property which, in either case, can be depicted on a survey, in which events, as applicable, such survey shall be dated (or redated) after the completion of such construction or if such construction shall not have been completed as of such date of delivery, not earlier than 30 days prior to such date of delivery, or after the grant or effectiveness of any such easement, right of way or other interest in the subject Real Property, (iii) certified by the surveyor (in a manner reasonably acceptable to the Administrative Agent) to the Administrative Agent, the Collateral Agent and the title company, (iv) complying in all</w:t>
      </w:r>
    </w:p>
    <w:p>
      <w:pPr>
        <w:sectPr>
          <w:pgSz w:w="11900" w:h="16838" w:orient="portrait"/>
          <w:cols w:equalWidth="0" w:num="1">
            <w:col w:w="11400"/>
          </w:cols>
          <w:pgMar w:left="240" w:top="337" w:right="259" w:bottom="0" w:gutter="0" w:footer="0" w:header="0"/>
        </w:sectPr>
      </w:pPr>
    </w:p>
    <w:bookmarkStart w:id="46" w:name="page47"/>
    <w:bookmarkEnd w:id="46"/>
    <w:p>
      <w:pPr>
        <w:ind w:right="140"/>
        <w:spacing w:after="0" w:line="308" w:lineRule="auto"/>
        <w:rPr>
          <w:sz w:val="20"/>
          <w:szCs w:val="20"/>
          <w:color w:val="auto"/>
        </w:rPr>
      </w:pPr>
      <w:r>
        <w:rPr>
          <w:rFonts w:ascii="Arial" w:cs="Arial" w:eastAsia="Arial" w:hAnsi="Arial"/>
          <w:sz w:val="17"/>
          <w:szCs w:val="17"/>
          <w:color w:val="auto"/>
        </w:rPr>
        <w:t>material respects with the minimum detail requirements of the American Land Title Association as such requirements are in effect on the date of preparation of such survey and (v) sufficient for the title company to issue a Title Policy or (b) otherwise reasonably acceptable to the Collateral Agent.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w:t>
      </w:r>
      <w:r>
        <w:rPr>
          <w:rFonts w:ascii="Arial" w:cs="Arial" w:eastAsia="Arial" w:hAnsi="Arial"/>
          <w:sz w:val="16"/>
          <w:szCs w:val="16"/>
          <w:color w:val="auto"/>
        </w:rPr>
        <w:t>” means any agreement, contract or transaction that constitutes a “swap” within the meaning of section 1a(47) of the Commodity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b w:val="1"/>
          <w:bCs w:val="1"/>
          <w:color w:val="auto"/>
        </w:rPr>
        <w:t>Master Agreement</w:t>
      </w:r>
      <w:r>
        <w:rPr>
          <w:rFonts w:ascii="Arial" w:cs="Arial" w:eastAsia="Arial" w:hAnsi="Arial"/>
          <w:sz w:val="18"/>
          <w:szCs w:val="18"/>
          <w:color w:val="auto"/>
        </w:rPr>
        <w:t>”), including any such obligations or liabilities under any Master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means, with respect to any Guarantor, any obligation to pay or perform under any Swap.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Borrowing</w:t>
      </w:r>
      <w:r>
        <w:rPr>
          <w:rFonts w:ascii="Arial" w:cs="Arial" w:eastAsia="Arial" w:hAnsi="Arial"/>
          <w:sz w:val="18"/>
          <w:szCs w:val="18"/>
          <w:color w:val="auto"/>
        </w:rPr>
        <w:t>” means a borrowing of a Swing Line Loan pursuant to Section 2.04.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Facility</w:t>
      </w:r>
      <w:r>
        <w:rPr>
          <w:rFonts w:ascii="Arial" w:cs="Arial" w:eastAsia="Arial" w:hAnsi="Arial"/>
          <w:sz w:val="18"/>
          <w:szCs w:val="18"/>
          <w:color w:val="auto"/>
        </w:rPr>
        <w:t>” means the swing line loan facility made available by the Swing Line Lenders pursuant to Section 2.04.</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Lender</w:t>
      </w:r>
      <w:r>
        <w:rPr>
          <w:rFonts w:ascii="Arial" w:cs="Arial" w:eastAsia="Arial" w:hAnsi="Arial"/>
          <w:sz w:val="18"/>
          <w:szCs w:val="18"/>
          <w:color w:val="auto"/>
        </w:rPr>
        <w:t>” means Bank of America, in its capacity as provider of Swing Line Loans or any successor or additional swing line lender 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Loan</w:t>
      </w:r>
      <w:r>
        <w:rPr>
          <w:rFonts w:ascii="Arial" w:cs="Arial" w:eastAsia="Arial" w:hAnsi="Arial"/>
          <w:sz w:val="18"/>
          <w:szCs w:val="18"/>
          <w:color w:val="auto"/>
        </w:rPr>
        <w:t>” has the meaning specified in Section 2.04(a).</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Loan Notice</w:t>
      </w:r>
      <w:r>
        <w:rPr>
          <w:rFonts w:ascii="Arial" w:cs="Arial" w:eastAsia="Arial" w:hAnsi="Arial"/>
          <w:sz w:val="18"/>
          <w:szCs w:val="18"/>
          <w:color w:val="auto"/>
        </w:rPr>
        <w:t>” means a notice of a Swing Line Borrowing pursuant to Section 2.04(b), which, if in writing, shall be substantially in the form of Exhibit B hereto.</w:t>
      </w:r>
    </w:p>
    <w:p>
      <w:pPr>
        <w:spacing w:after="0" w:line="162"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 Line Note</w:t>
      </w:r>
      <w:r>
        <w:rPr>
          <w:rFonts w:ascii="Arial" w:cs="Arial" w:eastAsia="Arial" w:hAnsi="Arial"/>
          <w:sz w:val="17"/>
          <w:szCs w:val="17"/>
          <w:color w:val="auto"/>
        </w:rPr>
        <w:t>” means a promissory note of the Borrower payable to any Swing Line Lender or its registered assigns, in substantially the form of Exhibit C-3 hereto, evidencing the aggregate Indebtedness of the Borrower to such Swing Line Lender resulting from the Swing Line Loans.</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 Line Obligations</w:t>
      </w:r>
      <w:r>
        <w:rPr>
          <w:rFonts w:ascii="Arial" w:cs="Arial" w:eastAsia="Arial" w:hAnsi="Arial"/>
          <w:sz w:val="17"/>
          <w:szCs w:val="17"/>
          <w:color w:val="auto"/>
        </w:rPr>
        <w:t>” means, as at any date of determination, the aggregate principal amount of all Swing Line Loans outstanding.</w:t>
      </w:r>
    </w:p>
    <w:p>
      <w:pPr>
        <w:spacing w:after="0" w:line="237" w:lineRule="exact"/>
        <w:rPr>
          <w:sz w:val="20"/>
          <w:szCs w:val="20"/>
          <w:color w:val="auto"/>
        </w:rPr>
      </w:pPr>
    </w:p>
    <w:p>
      <w:pPr>
        <w:ind w:right="1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Sublimit</w:t>
      </w:r>
      <w:r>
        <w:rPr>
          <w:rFonts w:ascii="Arial" w:cs="Arial" w:eastAsia="Arial" w:hAnsi="Arial"/>
          <w:sz w:val="18"/>
          <w:szCs w:val="18"/>
          <w:color w:val="auto"/>
        </w:rPr>
        <w:t>” means an amount equal to the lesser of (a) $25,000,000 and (b) the aggregate amount of the Revolving Credit Commitments. The Swing Line Sublimit is part of, and not in addition to, the Revolving Credit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w:t>
      </w:r>
      <w:r>
        <w:rPr>
          <w:rFonts w:ascii="Arial" w:cs="Arial" w:eastAsia="Arial" w:hAnsi="Arial"/>
          <w:sz w:val="18"/>
          <w:szCs w:val="18"/>
          <w:color w:val="auto"/>
        </w:rPr>
        <w:t>” means J.P. Morgan Securities LLC, as syndication agent.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any present or future taxes, duties, levies, imposts, deductions, assessments, fees, withholdings or similar charges imposed by any Governmental Authority, including any interest, additions to tax and penalties applicable thereto.</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Borrowing</w:t>
      </w:r>
      <w:r>
        <w:rPr>
          <w:rFonts w:ascii="Arial" w:cs="Arial" w:eastAsia="Arial" w:hAnsi="Arial"/>
          <w:sz w:val="18"/>
          <w:szCs w:val="18"/>
          <w:color w:val="auto"/>
        </w:rPr>
        <w:t>” means a borrowing consisting of simultaneous Term Loans of the same Type and currency and, in the case of Eurodollar Rate Loans, having the same Interest Period made by each of the Term Lenders.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Commitmen</w:t>
      </w:r>
      <w:r>
        <w:rPr>
          <w:rFonts w:ascii="Arial" w:cs="Arial" w:eastAsia="Arial" w:hAnsi="Arial"/>
          <w:sz w:val="17"/>
          <w:szCs w:val="17"/>
          <w:color w:val="auto"/>
        </w:rPr>
        <w:t>t” means, as to each Term Lender, its obligation to make a Term Loan to the Borrower pursuant to Section 2.01(a) in an aggregate amount not to exceed the amount set forth opposite such Lender’s name on Schedule 1.01A under the caption “Term Commitment” or in the Assignment and Assumption pursuant to which such Term Lender becomes a party hereto, as applicable, as such amount may be adjusted from time to time in accordance with this Agreement (including Section 2.14). The initial aggregate amount of the Term Commitments is $2,500,000,000.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w:t>
      </w:r>
      <w:r>
        <w:rPr>
          <w:rFonts w:ascii="Arial" w:cs="Arial" w:eastAsia="Arial" w:hAnsi="Arial"/>
          <w:sz w:val="18"/>
          <w:szCs w:val="18"/>
          <w:color w:val="auto"/>
        </w:rPr>
        <w:t>” means, at any time, any Lender that has a Term Commitment or a Term Loan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a Loan made pursuant to Section 2.01(a).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Standstill Period</w:t>
      </w:r>
      <w:r>
        <w:rPr>
          <w:rFonts w:ascii="Arial" w:cs="Arial" w:eastAsia="Arial" w:hAnsi="Arial"/>
          <w:sz w:val="18"/>
          <w:szCs w:val="18"/>
          <w:color w:val="auto"/>
        </w:rPr>
        <w:t>” has the meaning set forth in Section 8.01(b).</w:t>
      </w:r>
    </w:p>
    <w:p>
      <w:pPr>
        <w:spacing w:after="0" w:line="225"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Note</w:t>
      </w:r>
      <w:r>
        <w:rPr>
          <w:rFonts w:ascii="Arial" w:cs="Arial" w:eastAsia="Arial" w:hAnsi="Arial"/>
          <w:sz w:val="16"/>
          <w:szCs w:val="16"/>
          <w:color w:val="auto"/>
        </w:rPr>
        <w:t>” means a promissory note of the Borrower payable to any Term Lender or its registered assigns, in substantially the form of Exhibit C-1 hereto, evidencing the aggregate Indebtedness of the Borrower to such Term Lender resulting from the Term Loans made by such Term Lender.</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Pro Rata Extension Offers</w:t>
      </w:r>
      <w:r>
        <w:rPr>
          <w:rFonts w:ascii="Arial" w:cs="Arial" w:eastAsia="Arial" w:hAnsi="Arial"/>
          <w:sz w:val="18"/>
          <w:szCs w:val="18"/>
          <w:color w:val="auto"/>
        </w:rPr>
        <w:t>” has the meaning specified in Section 2.16(a).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Test Period</w:t>
      </w:r>
      <w:r>
        <w:rPr>
          <w:rFonts w:ascii="Arial" w:cs="Arial" w:eastAsia="Arial" w:hAnsi="Arial"/>
          <w:sz w:val="17"/>
          <w:szCs w:val="17"/>
          <w:color w:val="auto"/>
        </w:rPr>
        <w:t>” means, for any date of determination under this Agreement, the four consecutive fiscal quarters of the Borrower then last ended.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$100,000,000.</w:t>
      </w:r>
    </w:p>
    <w:p>
      <w:pPr>
        <w:sectPr>
          <w:pgSz w:w="11900" w:h="16838" w:orient="portrait"/>
          <w:cols w:equalWidth="0" w:num="1">
            <w:col w:w="11420"/>
          </w:cols>
          <w:pgMar w:left="240" w:top="125" w:right="239" w:bottom="0" w:gutter="0" w:footer="0" w:header="0"/>
        </w:sectPr>
      </w:pPr>
    </w:p>
    <w:bookmarkStart w:id="47" w:name="page48"/>
    <w:bookmarkEnd w:id="47"/>
    <w:p>
      <w:pPr>
        <w:ind w:right="18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Title Policy</w:t>
      </w:r>
      <w:r>
        <w:rPr>
          <w:rFonts w:ascii="Arial" w:cs="Arial" w:eastAsia="Arial" w:hAnsi="Arial"/>
          <w:sz w:val="16"/>
          <w:szCs w:val="16"/>
          <w:color w:val="auto"/>
        </w:rPr>
        <w:t>” means a policy of title insurance (or marked-up title insurance commitment having the effect of a policy of title insurance) insuring the Lien of a Mortgage as a valid first mortgage Lien on the mortgaged property and fixtures described therein in the amount equal to not less than the fair market value of such mortgaged property and fixtures, issued by a title company reasonably acceptable to the Collateral Agent which shall (A) to the extent necessary, include such reinsurance arrangements (with provisions for direct access, if necessary) as shall be reasonably acceptable to the Collateral Agent,</w:t>
      </w:r>
    </w:p>
    <w:p>
      <w:pPr>
        <w:spacing w:after="0" w:line="3" w:lineRule="exact"/>
        <w:rPr>
          <w:sz w:val="20"/>
          <w:szCs w:val="20"/>
          <w:color w:val="auto"/>
        </w:rPr>
      </w:pPr>
    </w:p>
    <w:p>
      <w:pPr>
        <w:jc w:val="both"/>
        <w:ind w:right="60" w:firstLine="8"/>
        <w:spacing w:after="0" w:line="292" w:lineRule="auto"/>
        <w:tabs>
          <w:tab w:leader="none" w:pos="28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contain a “tie-in” or “cluster” endorsement, if available under applicable law (i.e., policies which insure against losses regardless of location or allocated value of the insured property up to a stated maximum coverage amount), (C) have been supplemented by such endorsements as shall be reasonably requested by the Collateral Agent (including endorsements on matters relating to usury, first loss, last dollar, zoning, contiguity, revolving credit, doing business, non-imputation, public road access, survey, variable rate, environmental lien, subdivision, mortgage recording tax, separate tax lot, revolving credit and so-called comprehensive coverage over covenants and restrictions), and (D) contain no exceptions to title other than Liens permitted hereunder.</w:t>
      </w:r>
    </w:p>
    <w:p>
      <w:pPr>
        <w:spacing w:after="0" w:line="159" w:lineRule="exact"/>
        <w:rPr>
          <w:sz w:val="20"/>
          <w:szCs w:val="20"/>
          <w:color w:val="auto"/>
        </w:rPr>
      </w:pPr>
    </w:p>
    <w:p>
      <w:pPr>
        <w:ind w:right="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Assets</w:t>
      </w:r>
      <w:r>
        <w:rPr>
          <w:rFonts w:ascii="Arial" w:cs="Arial" w:eastAsia="Arial" w:hAnsi="Arial"/>
          <w:sz w:val="17"/>
          <w:szCs w:val="17"/>
          <w:color w:val="auto"/>
        </w:rPr>
        <w:t>” means total assets of the Borrower and its Restricted Subsidiaries on a consolidated basis, shown on the most recent balance sheet of the Borrower and its Restricted Subsidiaries as may be expressly stated without giving effect to any amortization of the amount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of intangible assets since the Closing Date, with such pro forma adjustments as are appropriate and consistent with the pro forma adjustment provisions set forth in Section 1.08.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Outstandings</w:t>
      </w:r>
      <w:r>
        <w:rPr>
          <w:rFonts w:ascii="Arial" w:cs="Arial" w:eastAsia="Arial" w:hAnsi="Arial"/>
          <w:sz w:val="18"/>
          <w:szCs w:val="18"/>
          <w:color w:val="auto"/>
        </w:rPr>
        <w:t>” means the aggregate Outstanding Amount of all Loans and all L/C Obligations.</w:t>
      </w:r>
    </w:p>
    <w:p>
      <w:pPr>
        <w:spacing w:after="0" w:line="225" w:lineRule="exact"/>
        <w:rPr>
          <w:sz w:val="20"/>
          <w:szCs w:val="20"/>
          <w:color w:val="auto"/>
        </w:rPr>
      </w:pPr>
    </w:p>
    <w:p>
      <w:pPr>
        <w:ind w:right="2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w:t>
      </w:r>
      <w:r>
        <w:rPr>
          <w:rFonts w:ascii="Arial" w:cs="Arial" w:eastAsia="Arial" w:hAnsi="Arial"/>
          <w:sz w:val="17"/>
          <w:szCs w:val="17"/>
          <w:color w:val="auto"/>
        </w:rPr>
        <w:t>” means, collectively (i) the Stock Buy-Back, (ii) the issuance of the Senior Notes, (iii) the funding of the Loans on the Closing Date and the execution and delivery of Loan Documents to be entered into on the Closing Date and (iv) the payment of Transaction Expenses.</w:t>
      </w:r>
    </w:p>
    <w:p>
      <w:pPr>
        <w:spacing w:after="0" w:line="13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Expenses</w:t>
      </w:r>
      <w:r>
        <w:rPr>
          <w:rFonts w:ascii="Arial" w:cs="Arial" w:eastAsia="Arial" w:hAnsi="Arial"/>
          <w:sz w:val="18"/>
          <w:szCs w:val="18"/>
          <w:color w:val="auto"/>
        </w:rPr>
        <w:t>” means any fees or expenses incurred or paid by the Borrower (or any direct or indirect parent of the Borrower) or any of its (or their) Subsidiaries in connection with the Transaction (including expenses in connection with hedging transactions), this Agreement and the other Loan Documents and the transactions contemplated hereby and thereby.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Guarantor</w:t>
      </w:r>
      <w:r>
        <w:rPr>
          <w:rFonts w:ascii="Arial" w:cs="Arial" w:eastAsia="Arial" w:hAnsi="Arial"/>
          <w:sz w:val="18"/>
          <w:szCs w:val="18"/>
          <w:color w:val="auto"/>
        </w:rPr>
        <w:t>” has the meaning specified in Section 11.09.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Capital Stock</w:t>
      </w:r>
      <w:r>
        <w:rPr>
          <w:rFonts w:ascii="Arial" w:cs="Arial" w:eastAsia="Arial" w:hAnsi="Arial"/>
          <w:sz w:val="18"/>
          <w:szCs w:val="18"/>
          <w:color w:val="auto"/>
        </w:rPr>
        <w:t>” has the meaning set forth in Section 7.05(b)(2).</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Services Agreement</w:t>
      </w:r>
      <w:r>
        <w:rPr>
          <w:rFonts w:ascii="Arial" w:cs="Arial" w:eastAsia="Arial" w:hAnsi="Arial"/>
          <w:sz w:val="18"/>
          <w:szCs w:val="18"/>
          <w:color w:val="auto"/>
        </w:rPr>
        <w:t>” means any agreement between any Loan Party and any Hedge Bank relating to commercial credit or debit card, merchant card, or purchasing card programs (including non-card e-payables services), or treasury, depository, or cash management services (including automatic clearing house transfer of funds, overdraft, controlled disbursement, electronic funds transfer, lockbox, stop payment, return item and wire transfer services).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w:t>
      </w:r>
      <w:r>
        <w:rPr>
          <w:rFonts w:ascii="Arial" w:cs="Arial" w:eastAsia="Arial" w:hAnsi="Arial"/>
          <w:sz w:val="18"/>
          <w:szCs w:val="18"/>
          <w:color w:val="auto"/>
        </w:rPr>
        <w:t>” means any Lender that is a “United States person” as defined in Section 7701(a)(30) of the Code.</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or “</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 Tax Compliance Certificate</w:t>
      </w:r>
      <w:r>
        <w:rPr>
          <w:rFonts w:ascii="Arial" w:cs="Arial" w:eastAsia="Arial" w:hAnsi="Arial"/>
          <w:sz w:val="18"/>
          <w:szCs w:val="18"/>
          <w:color w:val="auto"/>
        </w:rPr>
        <w:t>” has the meaning set forth in Section 3.01(d).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Unreimbursed Amount</w:t>
      </w:r>
      <w:r>
        <w:rPr>
          <w:rFonts w:ascii="Arial" w:cs="Arial" w:eastAsia="Arial" w:hAnsi="Arial"/>
          <w:sz w:val="18"/>
          <w:szCs w:val="18"/>
          <w:color w:val="auto"/>
        </w:rPr>
        <w:t>” has the meaning set forth in Section 2.03(c)(i).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means: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firstLine="645"/>
        <w:spacing w:after="0" w:line="277" w:lineRule="auto"/>
        <w:tabs>
          <w:tab w:leader="none" w:pos="195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Subsidiary of the Borrower which at the time of determination is an Unrestricted Subsidiary (as designated by the Borrower, pursuant to Section 6.14);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Subsidiary of an Unrestricted Subsidiary.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has the meaning specified in Section 5.15.</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62"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Life to Maturity</w:t>
      </w:r>
      <w:r>
        <w:rPr>
          <w:rFonts w:ascii="Arial" w:cs="Arial" w:eastAsia="Arial" w:hAnsi="Arial"/>
          <w:sz w:val="16"/>
          <w:szCs w:val="16"/>
          <w:color w:val="auto"/>
        </w:rPr>
        <w:t xml:space="preserve">” means, when applied to any Indebtedness, Disqualified Stock or Preferred Stock, as the case may be, at any date, the quotient obtained by dividing (1)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 (2) the sum of all such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determining the Weighted Average Life to Maturity of any Refinanced Debt, any Refinanced Debt (as defined in the definition of Refinancing Indebtedness) or any Indebtedness that is being modified, refinanced, refunded, renewed, replaced or extended (the “</w:t>
      </w:r>
      <w:r>
        <w:rPr>
          <w:rFonts w:ascii="Arial" w:cs="Arial" w:eastAsia="Arial" w:hAnsi="Arial"/>
          <w:sz w:val="16"/>
          <w:szCs w:val="16"/>
          <w:b w:val="1"/>
          <w:bCs w:val="1"/>
          <w:color w:val="auto"/>
        </w:rPr>
        <w:t>Applicable Indebtedness</w:t>
      </w:r>
      <w:r>
        <w:rPr>
          <w:rFonts w:ascii="Arial" w:cs="Arial" w:eastAsia="Arial" w:hAnsi="Arial"/>
          <w:sz w:val="16"/>
          <w:szCs w:val="16"/>
          <w:color w:val="auto"/>
        </w:rPr>
        <w:t>”), the effects of any amortization or prepayments made on such Applicable Indebtedness prior to the date of the applicable modification, refinancing, refunding, renewal, replacement or extension shall be disregarded.</w:t>
      </w:r>
    </w:p>
    <w:p>
      <w:pPr>
        <w:sectPr>
          <w:pgSz w:w="11900" w:h="16838" w:orient="portrait"/>
          <w:cols w:equalWidth="0" w:num="1">
            <w:col w:w="11400"/>
          </w:cols>
          <w:pgMar w:left="240" w:top="121" w:right="259" w:bottom="0" w:gutter="0" w:footer="0" w:header="0"/>
        </w:sectPr>
      </w:pPr>
    </w:p>
    <w:bookmarkStart w:id="48" w:name="page49"/>
    <w:bookmarkEnd w:id="48"/>
    <w:p>
      <w:pPr>
        <w:spacing w:after="0" w:line="114"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any Person means a Subsidiary of such Person, 100% of the outstanding Equity Interests of which (other than directors’ qualifying shares and shares required to be held by foreign nationals) shall at the time be owned by such Person or by one or more Wholly-Owned Subsidiaries of such Person.</w:t>
      </w:r>
    </w:p>
    <w:p>
      <w:pPr>
        <w:spacing w:after="0" w:line="176"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means any Loan Party, the Administrative Agent and, in the case of any U.S. federal withholding Tax, any other applicable withholding agent.</w:t>
      </w:r>
    </w:p>
    <w:p>
      <w:pPr>
        <w:spacing w:after="0" w:line="16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Other Interpretive Provisions.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25" w:lineRule="exact"/>
        <w:rPr>
          <w:sz w:val="20"/>
          <w:szCs w:val="20"/>
          <w:color w:val="auto"/>
        </w:rPr>
      </w:pPr>
    </w:p>
    <w:p>
      <w:pPr>
        <w:ind w:left="1940" w:hanging="635"/>
        <w:spacing w:after="0"/>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25" w:lineRule="exact"/>
        <w:rPr>
          <w:rFonts w:ascii="Arial" w:cs="Arial" w:eastAsia="Arial" w:hAnsi="Arial"/>
          <w:sz w:val="18"/>
          <w:szCs w:val="18"/>
          <w:color w:val="auto"/>
        </w:rPr>
      </w:pPr>
    </w:p>
    <w:p>
      <w:pPr>
        <w:ind w:left="660" w:right="40" w:firstLine="645"/>
        <w:spacing w:after="0" w:line="277" w:lineRule="auto"/>
        <w:tabs>
          <w:tab w:leader="none" w:pos="19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any Loan Document shall refer to such Loan Document as a whole and not to any particular provision thereof.</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Document in which such reference appears.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645"/>
        <w:spacing w:after="0" w:line="277" w:lineRule="auto"/>
        <w:tabs>
          <w:tab w:leader="none" w:pos="196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6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left="660" w:right="180" w:firstLine="645"/>
        <w:spacing w:after="0" w:line="277" w:lineRule="auto"/>
        <w:tabs>
          <w:tab w:leader="none" w:pos="19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Accounting Terms.</w:t>
      </w:r>
    </w:p>
    <w:p>
      <w:pPr>
        <w:spacing w:after="0" w:line="225" w:lineRule="exact"/>
        <w:rPr>
          <w:sz w:val="20"/>
          <w:szCs w:val="20"/>
          <w:color w:val="auto"/>
        </w:rPr>
      </w:pPr>
    </w:p>
    <w:p>
      <w:pPr>
        <w:ind w:right="100" w:firstLine="1305"/>
        <w:spacing w:after="0" w:line="264" w:lineRule="auto"/>
        <w:tabs>
          <w:tab w:leader="none" w:pos="194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w:t>
      </w:r>
    </w:p>
    <w:p>
      <w:pPr>
        <w:spacing w:after="0" w:line="181" w:lineRule="exact"/>
        <w:rPr>
          <w:rFonts w:ascii="Arial" w:cs="Arial" w:eastAsia="Arial" w:hAnsi="Arial"/>
          <w:sz w:val="18"/>
          <w:szCs w:val="18"/>
          <w:color w:val="auto"/>
        </w:rPr>
      </w:pPr>
    </w:p>
    <w:p>
      <w:pPr>
        <w:ind w:firstLine="1305"/>
        <w:spacing w:after="0" w:line="312" w:lineRule="auto"/>
        <w:tabs>
          <w:tab w:leader="none" w:pos="195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Notwithstanding anything to the contrary herein, for purposes of this Agreement (including, without limitation, in determining compliance with any test or covenant contained herein) with respect to any period during which any Specified Transaction occurs, the Fixed Charge Coverage Ratio and the Consolidated Secured Debt Ratio shall be calculated with respect to such period and such Specified Transaction on a Pro Forma Basis.</w:t>
      </w:r>
    </w:p>
    <w:p>
      <w:pPr>
        <w:spacing w:after="0" w:line="14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Rounding.</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References to Agreements, Laws, Etc.</w:t>
      </w:r>
    </w:p>
    <w:p>
      <w:pPr>
        <w:spacing w:after="0" w:line="225" w:lineRule="exact"/>
        <w:rPr>
          <w:sz w:val="20"/>
          <w:szCs w:val="20"/>
          <w:color w:val="auto"/>
        </w:rPr>
      </w:pPr>
    </w:p>
    <w:p>
      <w:pPr>
        <w:ind w:right="260" w:firstLine="648"/>
        <w:spacing w:after="0" w:line="288" w:lineRule="auto"/>
        <w:rPr>
          <w:sz w:val="20"/>
          <w:szCs w:val="20"/>
          <w:color w:val="auto"/>
        </w:rPr>
      </w:pPr>
      <w:r>
        <w:rPr>
          <w:rFonts w:ascii="Arial" w:cs="Arial" w:eastAsia="Arial" w:hAnsi="Arial"/>
          <w:sz w:val="16"/>
          <w:szCs w:val="16"/>
          <w:color w:val="auto"/>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the Loan Documents; and</w:t>
      </w:r>
    </w:p>
    <w:p>
      <w:pPr>
        <w:ind w:left="260" w:hanging="252"/>
        <w:spacing w:after="0"/>
        <w:tabs>
          <w:tab w:leader="none" w:pos="2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references to any Law shall include all statutory and regulatory provisions consolidating, amending, replacing, supplementing or interpreting such Law.</w:t>
      </w:r>
    </w:p>
    <w:p>
      <w:pPr>
        <w:spacing w:after="0" w:line="23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Times of Day.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otherwise specified, all references herein to times of day shall be references to Eastern time (daylight or standard, as applicable).</w:t>
      </w:r>
    </w:p>
    <w:p>
      <w:pPr>
        <w:spacing w:after="0" w:line="23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Timing of Payment of Performance.</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Pro Forma and Other Calculations.</w:t>
      </w:r>
    </w:p>
    <w:p>
      <w:pPr>
        <w:spacing w:after="0" w:line="225" w:lineRule="exact"/>
        <w:rPr>
          <w:sz w:val="20"/>
          <w:szCs w:val="20"/>
          <w:color w:val="auto"/>
        </w:rPr>
      </w:pPr>
    </w:p>
    <w:p>
      <w:pPr>
        <w:ind w:right="100" w:firstLine="1305"/>
        <w:spacing w:after="0" w:line="312" w:lineRule="auto"/>
        <w:tabs>
          <w:tab w:leader="none" w:pos="194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financial ratios and tests, including the Consolidated Secured Debt Ratio and the Fixed Charge Coverage Ratio, shall be calculated in the manner prescribed by this Section 1.08; </w:t>
      </w: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anything to the contrary in clauses (b), (c), (d) or (e) of this Section 1.08, when calculating the Consolidated Secured Debt Ratio for purposes of (i) the definition of “Applicable Rate”</w:t>
      </w:r>
    </w:p>
    <w:p>
      <w:pPr>
        <w:sectPr>
          <w:pgSz w:w="11900" w:h="16952" w:orient="portrait"/>
          <w:cols w:equalWidth="0" w:num="1">
            <w:col w:w="11400"/>
          </w:cols>
          <w:pgMar w:left="240" w:top="121" w:right="259" w:bottom="0" w:gutter="0" w:footer="0" w:header="0"/>
        </w:sectPr>
      </w:pPr>
    </w:p>
    <w:bookmarkStart w:id="49" w:name="page50"/>
    <w:bookmarkEnd w:id="49"/>
    <w:p>
      <w:pPr>
        <w:ind w:right="560"/>
        <w:spacing w:after="0" w:line="277" w:lineRule="auto"/>
        <w:rPr>
          <w:sz w:val="20"/>
          <w:szCs w:val="20"/>
          <w:color w:val="auto"/>
        </w:rPr>
      </w:pPr>
      <w:r>
        <w:rPr>
          <w:rFonts w:ascii="Arial" w:cs="Arial" w:eastAsia="Arial" w:hAnsi="Arial"/>
          <w:sz w:val="18"/>
          <w:szCs w:val="18"/>
          <w:color w:val="auto"/>
        </w:rPr>
        <w:t>and (ii) Section 7.09 (other than for the purpose of determining pro forma compliance with Section 7.09), the events described in this Section 1.08 that occurred subsequent to the end of the applicable Test Period shall not be given pro forma effect.</w:t>
      </w:r>
    </w:p>
    <w:p>
      <w:pPr>
        <w:spacing w:after="0" w:line="170" w:lineRule="exact"/>
        <w:rPr>
          <w:sz w:val="20"/>
          <w:szCs w:val="20"/>
          <w:color w:val="auto"/>
        </w:rPr>
      </w:pPr>
    </w:p>
    <w:p>
      <w:pPr>
        <w:ind w:firstLine="1305"/>
        <w:spacing w:after="0" w:line="253" w:lineRule="auto"/>
        <w:tabs>
          <w:tab w:leader="none" w:pos="19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that the Borrower or any of its Restricted Subsidiaries incurs, assumes, guarantees, redeems, retires or extinguishes any Indebtedness (other than, for purposes of calculating Consolidated EBITDA only, Indebtedness incurred under any revolving credit facility unless such Indebtedness has been permanently repaid and has not been replaced) or issues or redeems Disqualified Stock or Preferred Stock subsequent to the commencement of the Test Period for which the Consolidated Secured Debt Ratio or the Fixed Charge Coverage Ratio, as applicable, is being calculated but prior to or simultaneously with the event for which the calculation of the applicable ratio is made (the “</w:t>
      </w:r>
      <w:r>
        <w:rPr>
          <w:rFonts w:ascii="Arial" w:cs="Arial" w:eastAsia="Arial" w:hAnsi="Arial"/>
          <w:sz w:val="18"/>
          <w:szCs w:val="18"/>
          <w:i w:val="1"/>
          <w:iCs w:val="1"/>
          <w:color w:val="auto"/>
        </w:rPr>
        <w:t>Ratio Calculation Date</w:t>
      </w:r>
      <w:r>
        <w:rPr>
          <w:rFonts w:ascii="Arial" w:cs="Arial" w:eastAsia="Arial" w:hAnsi="Arial"/>
          <w:sz w:val="18"/>
          <w:szCs w:val="18"/>
          <w:color w:val="auto"/>
        </w:rPr>
        <w:t xml:space="preserve">”), then the applicable ratio shall be calculated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incurrence, assumption, guarantee, redemption, retirement or extinguishment of Indebtedness, or such issuance or redemption of Disqualified Stock or Preferred Stock, as if the same had occurred at the beginning of the applicable Test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any pro forma calculation of the Fixed Charge Coverage Ratio on such determination date pursuant to the provisions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7.02(a), the pro forma calculation shall not give effect to any Indebtedness incurred on such determination date pursuant to the provisions described under Section 7.02(b).</w:t>
      </w:r>
    </w:p>
    <w:p>
      <w:pPr>
        <w:spacing w:after="0" w:line="194" w:lineRule="exact"/>
        <w:rPr>
          <w:rFonts w:ascii="Arial" w:cs="Arial" w:eastAsia="Arial" w:hAnsi="Arial"/>
          <w:sz w:val="18"/>
          <w:szCs w:val="18"/>
          <w:color w:val="auto"/>
        </w:rPr>
      </w:pPr>
    </w:p>
    <w:p>
      <w:pPr>
        <w:ind w:right="220" w:firstLine="1305"/>
        <w:spacing w:after="0" w:line="257" w:lineRule="auto"/>
        <w:tabs>
          <w:tab w:leader="none" w:pos="19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purposes of making the computation referred to above, Investments, acquisitions, dispositions, mergers, amalgamations and consolidations (as determined in accordance with GAAP), in each case with respect to a business (as such term is used in Regulation S-X Rule 11-01 under the Securities Act), a company, a segment, an operating division or unit or line of business that the Borrower or any of its Restricted Subsidiaries has determined to make and/or made during the Test Period or subsequent to such Test Period and on or prior to or simultaneously with the Ratio Calculation Date shall be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in accordance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with GAAP (except as set forth in the last sentence of clause (d) below) assuming that all such Investments, acquisitions, dispositions, mergers, amalgamations and consolidations (and the change in any associated fixed charge obligations and the change in Consolidated EBITDA resulting therefrom) had occurred on the first day of the Test Period. If since the beginning of such Test Period any Person that subsequently became a Restricted Subsidiary or was merged with or into the Borrower or any of its Restricted Subsidiaries since the beginning of such Test Period shall have made any Investment, acquisition, disposition, merger, amalgamation and consolidation, in each case with respect to a business (as such term is used in Regulation S-X Rule 11-01 under the Securities Act), a company, a segment, an operating division or unit or line of business that would have required adjustment pursuant to this Section 1.08, then the applicable ratio shall be calculated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for such Test Period as if such Investment, acquisition, disposition, merger and consolidation had occurred at the beginning of the applicable Test Period.</w:t>
      </w:r>
    </w:p>
    <w:p>
      <w:pPr>
        <w:spacing w:after="0" w:line="179" w:lineRule="exact"/>
        <w:rPr>
          <w:sz w:val="20"/>
          <w:szCs w:val="20"/>
          <w:color w:val="auto"/>
        </w:rPr>
      </w:pPr>
    </w:p>
    <w:p>
      <w:pPr>
        <w:ind w:right="20" w:firstLine="1305"/>
        <w:spacing w:after="0" w:line="268" w:lineRule="auto"/>
        <w:tabs>
          <w:tab w:leader="none" w:pos="195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For purposes of making the computation referred to above, whenever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is to be given to a transaction,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calculations shall be made in good faith by a responsible financial or accounting officer of the Borrower. If any Indebtedness bears a floating rate of interest and is being given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 interest on such Indebtedness shall be calculated as if the rate in effect on the Ratio Calculation Date had been the applicable rate for the entire Test Period (taking into account any Hedging Obligations applicable to such Indebtedness).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shall be computed based upon the average daily balance of such Indebtedness during the applicable Test Period except as set forth in clause (b) of this Section 1.08.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 Any such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calculation may include adjustments appropriate, in the reasonable determination of the Borrower as set forth in an officer’s certificate, to reflect (1) reasonably identifiable and factually supportable operating expense reductions and other operating improvements or synergies reasonably expected to result from any action taken or expected to be taken within six fiscal quarters after the date of any acquisition, amalgamation or merger (including, to the extent applicable, from the Transaction); and (2) any adjustment of the nature used in connection with the calculation of “Adjusted EBITDA” as set forth in footnotes (b) to the “Summary Historical and Pro forma Financial Information” under “Summary” in the Notes Offering Memorandum to the extent any such adjustment, without duplication, continues to be applicable to such Test Period.</w:t>
      </w:r>
    </w:p>
    <w:p>
      <w:pPr>
        <w:spacing w:after="0" w:line="180" w:lineRule="exact"/>
        <w:rPr>
          <w:rFonts w:ascii="Arial" w:cs="Arial" w:eastAsia="Arial" w:hAnsi="Arial"/>
          <w:sz w:val="17"/>
          <w:szCs w:val="17"/>
          <w:color w:val="auto"/>
        </w:rPr>
      </w:pPr>
    </w:p>
    <w:p>
      <w:pPr>
        <w:ind w:right="460" w:firstLine="1305"/>
        <w:spacing w:after="0" w:line="286" w:lineRule="auto"/>
        <w:tabs>
          <w:tab w:leader="none" w:pos="195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For purposes of calculation of the Fixed Charge Coverage Ratio, any amount in a currency other than U.S. dollars will be converted to U.S. dollars based on the average exchange rate for such currency for the most recent twelve month period immediately prior to the date of determination determined in a manner consistent with that used in calculating Consolidated EBITDA for the applicable Test Period.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Letter of Credit Amounts.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Unless otherwise specified herein, the amount of a Letter of Credit at any time shall be deemed to be the stated amount of such Letter of Credit in effect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Commitments and Credit Extensions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u w:val="single" w:color="auto"/>
          <w:color w:val="auto"/>
        </w:rPr>
        <w:t>The Loans.</w:t>
      </w:r>
    </w:p>
    <w:p>
      <w:pPr>
        <w:spacing w:after="0" w:line="225" w:lineRule="exact"/>
        <w:rPr>
          <w:sz w:val="20"/>
          <w:szCs w:val="20"/>
          <w:color w:val="auto"/>
        </w:rPr>
      </w:pPr>
    </w:p>
    <w:p>
      <w:pPr>
        <w:ind w:right="160" w:firstLine="1305"/>
        <w:spacing w:after="0" w:line="259" w:lineRule="auto"/>
        <w:tabs>
          <w:tab w:leader="none" w:pos="1942"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The Term Borrowings</w:t>
      </w:r>
      <w:r>
        <w:rPr>
          <w:rFonts w:ascii="Arial" w:cs="Arial" w:eastAsia="Arial" w:hAnsi="Arial"/>
          <w:sz w:val="18"/>
          <w:szCs w:val="18"/>
          <w:color w:val="auto"/>
        </w:rPr>
        <w:t>. Subject to the terms and conditions set forth herein, each Term Lender severally agrees to make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on a pro rata basis on the Closing Date Loans denominated in Dollars in an aggregate amount not to exceed at any time outstanding the amount of such Term Lender’s Term Commitment. Amounts borrowed under this Section 2.01(a) and repaid or prepaid may not be reborrowed. Term Loans may be Base Rate Loans or Eurodollar Rate Loans, as further provided herein.</w:t>
      </w:r>
    </w:p>
    <w:p>
      <w:pPr>
        <w:sectPr>
          <w:pgSz w:w="11900" w:h="16838" w:orient="portrait"/>
          <w:cols w:equalWidth="0" w:num="1">
            <w:col w:w="11420"/>
          </w:cols>
          <w:pgMar w:left="240" w:top="125" w:right="239" w:bottom="0" w:gutter="0" w:footer="0" w:header="0"/>
        </w:sectPr>
      </w:pPr>
    </w:p>
    <w:bookmarkStart w:id="50" w:name="page51"/>
    <w:bookmarkEnd w:id="50"/>
    <w:p>
      <w:pPr>
        <w:spacing w:after="0" w:line="137" w:lineRule="exact"/>
        <w:rPr>
          <w:sz w:val="20"/>
          <w:szCs w:val="20"/>
          <w:color w:val="auto"/>
        </w:rPr>
      </w:pPr>
    </w:p>
    <w:p>
      <w:pPr>
        <w:ind w:right="100" w:firstLine="1305"/>
        <w:spacing w:after="0" w:line="270" w:lineRule="auto"/>
        <w:tabs>
          <w:tab w:leader="none" w:pos="1952"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The Revolving Credit Borrowings. </w:t>
      </w:r>
      <w:r>
        <w:rPr>
          <w:rFonts w:ascii="Arial" w:cs="Arial" w:eastAsia="Arial" w:hAnsi="Arial"/>
          <w:sz w:val="17"/>
          <w:szCs w:val="17"/>
          <w:color w:val="auto"/>
        </w:rPr>
        <w:t>Subject to the terms and conditions set forth herein, each Revolving Credit Lender severally</w:t>
      </w:r>
      <w:r>
        <w:rPr>
          <w:rFonts w:ascii="Arial" w:cs="Arial" w:eastAsia="Arial" w:hAnsi="Arial"/>
          <w:sz w:val="17"/>
          <w:szCs w:val="17"/>
          <w:i w:val="1"/>
          <w:iCs w:val="1"/>
          <w:color w:val="auto"/>
        </w:rPr>
        <w:t xml:space="preserve"> </w:t>
      </w:r>
      <w:r>
        <w:rPr>
          <w:rFonts w:ascii="Arial" w:cs="Arial" w:eastAsia="Arial" w:hAnsi="Arial"/>
          <w:sz w:val="17"/>
          <w:szCs w:val="17"/>
          <w:color w:val="auto"/>
        </w:rPr>
        <w:t>agrees to make Revolving Credit Loans denominated in Dollars pursuant to Section 2.02 to the Borrower from its applicable Lending Office (each such loan, a “</w:t>
      </w:r>
      <w:r>
        <w:rPr>
          <w:rFonts w:ascii="Arial" w:cs="Arial" w:eastAsia="Arial" w:hAnsi="Arial"/>
          <w:sz w:val="17"/>
          <w:szCs w:val="17"/>
          <w:b w:val="1"/>
          <w:bCs w:val="1"/>
          <w:color w:val="auto"/>
        </w:rPr>
        <w:t>Revolving Credit Loan</w:t>
      </w:r>
      <w:r>
        <w:rPr>
          <w:rFonts w:ascii="Arial" w:cs="Arial" w:eastAsia="Arial" w:hAnsi="Arial"/>
          <w:sz w:val="17"/>
          <w:szCs w:val="17"/>
          <w:color w:val="auto"/>
        </w:rPr>
        <w:t xml:space="preserve">”) from time to time, on any Business Day until the Maturity Date for the Revolving Credit Facility, in an aggregate principal amount not to exceed at any time outstanding the amount of such Lender’s Revolving Credit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any Revolving Credit Borrowing, the aggregate Outstanding Amount of the Revolving Credit Loans of any Lender, plus such Lender’s Pro Rata Share of the Outstanding Amount of all L/C Obligations, plus such Lender’s Pro Rata Share of the Outstanding Amount of all Swing Line Loans, shall not exceed such Lender’s Revolving Credit Commitment. Within the limits of each Lender’s Revolving Credit Commitment, and subject to the other terms and conditions hereof, the Borrower may borrow under this Section 2.01(b), prepay under Section 2.05, and reborrow under this Section 2.01(b). Revolving Credit Loans may be Base Rate Loans or Eurodollar Rate Loans, as further provided herein.</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Borrowings, Conversions and Continuations of Loans.</w:t>
      </w:r>
    </w:p>
    <w:p>
      <w:pPr>
        <w:spacing w:after="0" w:line="225" w:lineRule="exact"/>
        <w:rPr>
          <w:sz w:val="20"/>
          <w:szCs w:val="20"/>
          <w:color w:val="auto"/>
        </w:rPr>
      </w:pPr>
    </w:p>
    <w:p>
      <w:pPr>
        <w:ind w:right="160" w:firstLine="1305"/>
        <w:spacing w:after="0" w:line="286" w:lineRule="auto"/>
        <w:tabs>
          <w:tab w:leader="none" w:pos="194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Each Term Borrowing, each Revolving Credit Borrowing, each conversion of Term Loans or Revolving Credit Loans from one Type to the other, and each continuation of Eurodollar Rate Loans shall be made upon the Borrower’s irrevocable notice to the Administrative Agent, which may be given by telephone. Each such notice must be received by the Administrative Agent not later than 2:00 p.m. (i) three (3) Business Days prior to the requested date of any Borrowing or continuation of Eurodollar Rate Loans or any conversion of Base Rate Loans to Eurodollar Rate Loans, and (ii) one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Business Day before the requested date of 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Borrowing of Base Rate Loans. Each telephonic notice by the Borrower pursuant to this Section 2.02(a) must be confirmed promptly by delivery to the Administrative Agent of a written Committed Loan Notice, appropriately completed and signed by a Responsible Officer of the Borrower. Except as provided in Section 2.14(a), each Borrowing of, conversion to or continuation of Eurodollar Rate Loans shall be in a minimum principal amount of $5,000,000, or a whole multiple of $1,000,000, in excess thereof. Except as provided in Section 2.03(c), 2.04(c), 2.14(a) or the last sentence of this paragraph, each Borrowing of or conversion to Base Rate Loans shall be in a minimum principal amount of $1,000,000 or a whole multiple of $500,000 in excess thereof. Each Committed Loan Notice (whether telephonic or written) shall specify (i) whether the Borrower is requesting a Term Borrowing, a Revolving Credit Borrowing, a conversion of Term Loans or Revolving Credit Loans from one Type to the other, or a continuation of Eurodollar Rate Loans,</w:t>
      </w:r>
    </w:p>
    <w:p>
      <w:pPr>
        <w:spacing w:after="0" w:line="3" w:lineRule="exact"/>
        <w:rPr>
          <w:sz w:val="20"/>
          <w:szCs w:val="20"/>
          <w:color w:val="auto"/>
        </w:rPr>
      </w:pPr>
    </w:p>
    <w:p>
      <w:pPr>
        <w:ind w:right="40" w:firstLine="8"/>
        <w:spacing w:after="0" w:line="288" w:lineRule="auto"/>
        <w:tabs>
          <w:tab w:leader="none" w:pos="26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and (v) if applicable, the duration of the Interest Period with respect thereto. If the Borrower fails to specify a Type of Loan in a Committed Loan Notice or fails to give a timely notice requesting a conversion or continuation, then the applicable Term Loans or Revolving Credit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(1) month.</w:t>
      </w:r>
    </w:p>
    <w:p>
      <w:pPr>
        <w:spacing w:after="0" w:line="168" w:lineRule="exact"/>
        <w:rPr>
          <w:rFonts w:ascii="Arial" w:cs="Arial" w:eastAsia="Arial" w:hAnsi="Arial"/>
          <w:sz w:val="16"/>
          <w:szCs w:val="16"/>
          <w:color w:val="auto"/>
        </w:rPr>
      </w:pPr>
    </w:p>
    <w:p>
      <w:pPr>
        <w:ind w:firstLine="1305"/>
        <w:spacing w:after="0" w:line="287" w:lineRule="auto"/>
        <w:tabs>
          <w:tab w:leader="none" w:pos="195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of its Pro Rata Share of the applicable Class of Loans, and if no timely notice of a conversion or continuation is provided by the Borrower, the Administrative Agent shall notify each Lender of the details of any automatic conversion to Base Rate Loans or continuation described in Section 2.02(a). In the case of each Borrowing, each Appropriate Lender shall make the amount of its Loan available to the Administrative Agent in Same Day Funds at the Administrative Agent’s Office not later than 1:00 p.m. on the Business Day specified in the applicable Committed Loan Notice. Upon satisfaction of the applicable conditions set forth in Section 4.02 (and, if such Borrowing is the initial Credit Extension, Section 4.01),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on the date the Committed Loan Notice with respect to such Borrowing is given by the Borrower, there are Swing Line Loans or L/C Borrowings outstanding, then the proceeds of such Borrowing shall be applied, first, to the payment in full of any such L/C Borrowing, second, to the payment in full of any such Swing Line Loans, and third, to the Borrower as provided above.</w:t>
      </w:r>
    </w:p>
    <w:p>
      <w:pPr>
        <w:spacing w:after="0" w:line="172" w:lineRule="exact"/>
        <w:rPr>
          <w:rFonts w:ascii="Arial" w:cs="Arial" w:eastAsia="Arial" w:hAnsi="Arial"/>
          <w:sz w:val="16"/>
          <w:szCs w:val="16"/>
          <w:color w:val="auto"/>
        </w:rPr>
      </w:pPr>
    </w:p>
    <w:p>
      <w:pPr>
        <w:ind w:right="340" w:firstLine="1305"/>
        <w:spacing w:after="0" w:line="277" w:lineRule="auto"/>
        <w:tabs>
          <w:tab w:leader="none" w:pos="195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unless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Borrower pays the amount due, if any, under Section 3.05 in connection therewith. During the existence of an Event of Default, the Administrative Agent or the Required Lenders may require that no Loans may be converted to or continued as Eurodollar Rate Loans.</w:t>
      </w:r>
    </w:p>
    <w:p>
      <w:pPr>
        <w:spacing w:after="0" w:line="170" w:lineRule="exact"/>
        <w:rPr>
          <w:sz w:val="20"/>
          <w:szCs w:val="20"/>
          <w:color w:val="auto"/>
        </w:rPr>
      </w:pPr>
    </w:p>
    <w:p>
      <w:pPr>
        <w:ind w:right="80" w:firstLine="1305"/>
        <w:spacing w:after="0" w:line="302" w:lineRule="auto"/>
        <w:tabs>
          <w:tab w:leader="none" w:pos="195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and the Lenders of the interest rate applicable to any Interest Period for Eurodollar Rate Loans upon determination of such interest rate. The determination of the Eurodollar Rate by the Administrative Agent shall be conclusive in the absence of manifest error. At any time that Base Rate Loans are outstanding, the Administrative Agent shall notify the Borrower and the Lenders of any change in the Bank of America prime rate used in determining the Base Rate promptly following the public announcement of such change.</w:t>
      </w:r>
    </w:p>
    <w:p>
      <w:pPr>
        <w:spacing w:after="0" w:line="154" w:lineRule="exact"/>
        <w:rPr>
          <w:rFonts w:ascii="Arial" w:cs="Arial" w:eastAsia="Arial" w:hAnsi="Arial"/>
          <w:sz w:val="16"/>
          <w:szCs w:val="16"/>
          <w:color w:val="auto"/>
        </w:rPr>
      </w:pPr>
    </w:p>
    <w:p>
      <w:pPr>
        <w:ind w:right="100" w:firstLine="1305"/>
        <w:spacing w:after="0" w:line="264" w:lineRule="auto"/>
        <w:tabs>
          <w:tab w:leader="none" w:pos="19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After giving effect to all Term Borrowings, all Revolving Credit Borrowings, all conversions of Term Loans or Revolving Credit Loans from one Type to the other, and all continuations of Term Loans or Revolving Credit Loans as the same Type, there shall not be more than twelve (12) Interest Periods in effect.</w:t>
      </w:r>
    </w:p>
    <w:p>
      <w:pPr>
        <w:spacing w:after="0" w:line="181" w:lineRule="exact"/>
        <w:rPr>
          <w:rFonts w:ascii="Arial" w:cs="Arial" w:eastAsia="Arial" w:hAnsi="Arial"/>
          <w:sz w:val="18"/>
          <w:szCs w:val="18"/>
          <w:color w:val="auto"/>
        </w:rPr>
      </w:pPr>
    </w:p>
    <w:p>
      <w:pPr>
        <w:ind w:right="220" w:firstLine="1305"/>
        <w:spacing w:after="0" w:line="264" w:lineRule="auto"/>
        <w:tabs>
          <w:tab w:leader="none" w:pos="194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Letters of Credit.</w:t>
      </w:r>
    </w:p>
    <w:p>
      <w:pPr>
        <w:spacing w:after="0" w:line="225" w:lineRule="exact"/>
        <w:rPr>
          <w:sz w:val="20"/>
          <w:szCs w:val="20"/>
          <w:color w:val="auto"/>
        </w:rPr>
      </w:pPr>
    </w:p>
    <w:p>
      <w:pPr>
        <w:jc w:val="both"/>
        <w:ind w:right="200" w:firstLine="1305"/>
        <w:spacing w:after="0" w:line="342" w:lineRule="auto"/>
        <w:tabs>
          <w:tab w:leader="none" w:pos="1942"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The Letter of Credit Commitment</w:t>
      </w:r>
      <w:r>
        <w:rPr>
          <w:rFonts w:ascii="Arial" w:cs="Arial" w:eastAsia="Arial" w:hAnsi="Arial"/>
          <w:sz w:val="16"/>
          <w:szCs w:val="16"/>
          <w:color w:val="auto"/>
        </w:rPr>
        <w:t>. (i) Subject to the terms and conditions set forth herein, (A) each L/C Issuer agrees, in reliance</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agreements of the other Revolving Credit Lenders set forth in this Section 2.03, (1) from time to time on any Business Day during the period from</w:t>
      </w:r>
    </w:p>
    <w:p>
      <w:pPr>
        <w:sectPr>
          <w:pgSz w:w="11900" w:h="16975" w:orient="portrait"/>
          <w:cols w:equalWidth="0" w:num="1">
            <w:col w:w="11420"/>
          </w:cols>
          <w:pgMar w:left="240" w:top="125" w:right="239" w:bottom="0" w:gutter="0" w:footer="0" w:header="0"/>
        </w:sectPr>
      </w:pPr>
    </w:p>
    <w:bookmarkStart w:id="51" w:name="page52"/>
    <w:bookmarkEnd w:id="51"/>
    <w:p>
      <w:pPr>
        <w:ind w:right="40"/>
        <w:spacing w:after="0" w:line="270" w:lineRule="auto"/>
        <w:rPr>
          <w:sz w:val="20"/>
          <w:szCs w:val="20"/>
          <w:color w:val="auto"/>
        </w:rPr>
      </w:pPr>
      <w:r>
        <w:rPr>
          <w:rFonts w:ascii="Arial" w:cs="Arial" w:eastAsia="Arial" w:hAnsi="Arial"/>
          <w:sz w:val="17"/>
          <w:szCs w:val="17"/>
          <w:color w:val="auto"/>
        </w:rPr>
        <w:t>the Closing Date until the Letter of Credit Expiration Date, to issue Letters of Credit denominated in Dollars for the account of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Letter of Credit may be for the benefit of any Subsidiary of the Borrower) and to amend or renew Letters of Credit previously issued by it, in accordance with Section 2.03(b), and (2) to honor drafts under the Letters of Credit and (B) the Revolving Credit Lenders severally agree to participate in Letters of Credit issued pursuant to this Section 2.03;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L/C Issuer shall be obligated to make any L/C Credit Extension with respect to any Letter of Credit, and no Lender shall be obligated to participate in any Letter of Credit if as of the date of such L/C Credit Extension, (x) the Revolving Credit Exposure of any Revolving Credit Lender would exceed such Lender’s Revolving Credit Commitment or (y) the Outstanding Amount of the L/C Obligations would exceed the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82" w:lineRule="exact"/>
        <w:rPr>
          <w:sz w:val="20"/>
          <w:szCs w:val="20"/>
          <w:color w:val="auto"/>
        </w:rPr>
      </w:pPr>
    </w:p>
    <w:p>
      <w:pPr>
        <w:ind w:left="5620" w:right="3420" w:hanging="3667"/>
        <w:spacing w:after="0" w:line="528" w:lineRule="auto"/>
        <w:tabs>
          <w:tab w:leader="none" w:pos="262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 L/C Issuer shall be under no obligation to issue any Letter of Credit if: 58</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120" w:firstLine="645"/>
        <w:spacing w:after="0" w:line="255" w:lineRule="auto"/>
        <w:tabs>
          <w:tab w:leader="none" w:pos="197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89" w:lineRule="exact"/>
        <w:rPr>
          <w:rFonts w:ascii="Arial" w:cs="Arial" w:eastAsia="Arial" w:hAnsi="Arial"/>
          <w:sz w:val="18"/>
          <w:szCs w:val="18"/>
          <w:color w:val="auto"/>
        </w:rPr>
      </w:pPr>
    </w:p>
    <w:p>
      <w:pPr>
        <w:ind w:left="660" w:right="60" w:firstLine="645"/>
        <w:spacing w:after="0" w:line="259" w:lineRule="auto"/>
        <w:tabs>
          <w:tab w:leader="none" w:pos="19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subject to Section 2.03(b)(iii), the expiry date of such requested Letter of Credit would occur more than twelve months after the date of issuance or last renewal, unless (1) each Appropriate Lender has approved of such expiration date or (2) the Outstanding Amount of L/C Obligations in respect of such requested Letter of Credit has been Cash Collateralized or back-stopped by a letter of credit reasonably satisfactory to the applicable L/C Issuer;</w:t>
      </w:r>
    </w:p>
    <w:p>
      <w:pPr>
        <w:spacing w:after="0" w:line="186" w:lineRule="exact"/>
        <w:rPr>
          <w:rFonts w:ascii="Arial" w:cs="Arial" w:eastAsia="Arial" w:hAnsi="Arial"/>
          <w:sz w:val="18"/>
          <w:szCs w:val="18"/>
          <w:color w:val="auto"/>
        </w:rPr>
      </w:pPr>
    </w:p>
    <w:p>
      <w:pPr>
        <w:ind w:left="660" w:right="240" w:firstLine="645"/>
        <w:spacing w:after="0" w:line="286" w:lineRule="auto"/>
        <w:tabs>
          <w:tab w:leader="none" w:pos="196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expiry date of such requested Letter of Credit would occur after the Letter of Credit Expiration Date, unless (1) each Appropriate Lender has approved of such expiration date or (2) the Outstanding Amount of L/C Obligations in respect of such requested Letter of Credit has been Cash Collateralized or back-stopped by a letter of credit reasonably satisfactory to the applicable L/C Issuer;</w:t>
      </w:r>
    </w:p>
    <w:p>
      <w:pPr>
        <w:spacing w:after="0" w:line="165" w:lineRule="exact"/>
        <w:rPr>
          <w:rFonts w:ascii="Arial" w:cs="Arial" w:eastAsia="Arial" w:hAnsi="Arial"/>
          <w:sz w:val="17"/>
          <w:szCs w:val="17"/>
          <w:color w:val="auto"/>
        </w:rPr>
      </w:pPr>
    </w:p>
    <w:p>
      <w:pPr>
        <w:ind w:left="1980" w:hanging="675"/>
        <w:spacing w:after="0"/>
        <w:tabs>
          <w:tab w:leader="none" w:pos="1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any Laws binding upon such L/C Issuer;</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7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 Issuer, the Letter of Credit is in an initial stated amount less than $100,000, in the case of a standby Letter of Credit;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issuance of the Letter of Credit would violate one or more policies of the L/C Issuer applicable to letters of credit generally;</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Letter of Credit is to be denominated in a currency other than Dollars; or</w:t>
      </w:r>
    </w:p>
    <w:p>
      <w:pPr>
        <w:spacing w:after="0" w:line="225" w:lineRule="exact"/>
        <w:rPr>
          <w:rFonts w:ascii="Arial" w:cs="Arial" w:eastAsia="Arial" w:hAnsi="Arial"/>
          <w:sz w:val="18"/>
          <w:szCs w:val="18"/>
          <w:color w:val="auto"/>
        </w:rPr>
      </w:pPr>
    </w:p>
    <w:p>
      <w:pPr>
        <w:ind w:left="660" w:firstLine="645"/>
        <w:spacing w:after="0" w:line="257" w:lineRule="auto"/>
        <w:tabs>
          <w:tab w:leader="none" w:pos="196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Revolving Credit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Section 2.17(a))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-4649470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1293"/>
        <w:spacing w:after="0" w:line="264" w:lineRule="auto"/>
        <w:tabs>
          <w:tab w:leader="none" w:pos="2389"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81" w:lineRule="exact"/>
        <w:rPr>
          <w:rFonts w:ascii="Arial" w:cs="Arial" w:eastAsia="Arial" w:hAnsi="Arial"/>
          <w:sz w:val="18"/>
          <w:szCs w:val="18"/>
          <w:color w:val="auto"/>
        </w:rPr>
      </w:pPr>
    </w:p>
    <w:p>
      <w:pPr>
        <w:ind w:left="660" w:right="160" w:firstLine="1293"/>
        <w:spacing w:after="0" w:line="297" w:lineRule="auto"/>
        <w:tabs>
          <w:tab w:leader="none" w:pos="262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L/C Issuer shall act on behalf of the Revolving Credit Lenders with respect to any Letters of Credit issued by it and the documents associated therewith, and the L/C Issuer shall have all of the benefits and immunities (A) provided to the Administrative Agent in Article IX with respect to any acts taken or omissions suffered by the L/C Issuer in connection with Letters of Credit issued by it or proposed to be issued by it and Issuer Documents pertaining to such Letters of Credit as fully as if the term “Administrative Agent” as used in Article IX included the L/C Issuer with respect to such acts or omissions, and (B) as additionally provided herein with respect to the L/C Issuer.</w:t>
      </w:r>
    </w:p>
    <w:p>
      <w:pPr>
        <w:spacing w:after="0" w:line="158" w:lineRule="exact"/>
        <w:rPr>
          <w:rFonts w:ascii="Arial" w:cs="Arial" w:eastAsia="Arial" w:hAnsi="Arial"/>
          <w:sz w:val="16"/>
          <w:szCs w:val="16"/>
          <w:color w:val="auto"/>
        </w:rPr>
      </w:pPr>
    </w:p>
    <w:p>
      <w:pPr>
        <w:ind w:firstLine="1305"/>
        <w:spacing w:after="0" w:line="286" w:lineRule="auto"/>
        <w:tabs>
          <w:tab w:leader="none" w:pos="1952"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 xml:space="preserve">Procedures for Issuance and Amendment of Letters of Credit; Auto-Extension Letters of Credit. </w:t>
      </w:r>
      <w:r>
        <w:rPr>
          <w:rFonts w:ascii="Arial" w:cs="Arial" w:eastAsia="Arial" w:hAnsi="Arial"/>
          <w:sz w:val="16"/>
          <w:szCs w:val="16"/>
          <w:color w:val="auto"/>
        </w:rPr>
        <w:t>(i) Each Letter of Credit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or amended, as the case may be, upon the request of the Borrower delivered to an L/C Issuer (with a copy to the Administrative Agent) in the form of a Letter of Credit Application, appropriately completed and signed by a Responsible Officer of the Borrower. Such Letter of Credit Application must be received by the relevant L/C Issuer and the Administrative Agent not later than 2:00 p.m. at least two (2)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thereof; (c) the expiry date thereof; (d) the name and address of the beneficiary thereof; and (e) such other matters as the relevant L/C Issuer may reasonably request.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 Additionally, the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ectPr>
          <w:pgSz w:w="11900" w:h="16838" w:orient="portrait"/>
          <w:cols w:equalWidth="0" w:num="1">
            <w:col w:w="11400"/>
          </w:cols>
          <w:pgMar w:left="240" w:top="125" w:right="259" w:bottom="0" w:gutter="0" w:footer="0" w:header="0"/>
        </w:sectPr>
      </w:pPr>
    </w:p>
    <w:bookmarkStart w:id="52" w:name="page53"/>
    <w:bookmarkEnd w:id="52"/>
    <w:p>
      <w:pPr>
        <w:spacing w:after="0" w:line="103" w:lineRule="exact"/>
        <w:rPr>
          <w:sz w:val="20"/>
          <w:szCs w:val="20"/>
          <w:color w:val="auto"/>
        </w:rPr>
      </w:pPr>
    </w:p>
    <w:p>
      <w:pPr>
        <w:ind w:left="660" w:right="80" w:firstLine="1293"/>
        <w:spacing w:after="0" w:line="273" w:lineRule="auto"/>
        <w:tabs>
          <w:tab w:leader="none" w:pos="263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Promptly after receipt of any Letter of Credit Application, the relevant L/C Issuer will confirm with the Administrative Agent (by telephone or in writing) that the Administrative Agent has received a copy of such Letter of Credit Application from the Borrower and, if not, such L/C Issuer will provide the Administrative Agent with a copy thereof. Unless the relevant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the relevant L/C Issuer shall, on the requested date, issue a Letter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of Credit for the account of the Borrower or enter into the applicable amendment, as the case may be, in each case in accordance with the relevant L/C Issuer’s usual and customary business practices. Immediately upon the issuance of each Letter of Credit, each Revolving Credit Lender shall be deemed to, and hereby irrevocably and unconditionally agrees to, purchase from the relevant L/C Issuer a risk participation in such Letter of Credit in an amount equal to the product of such Lender’s Pro Rata Share times the amount of such Letter of Credit.</w:t>
      </w:r>
    </w:p>
    <w:p>
      <w:pPr>
        <w:spacing w:after="0" w:line="171" w:lineRule="exact"/>
        <w:rPr>
          <w:sz w:val="20"/>
          <w:szCs w:val="20"/>
          <w:color w:val="auto"/>
        </w:rPr>
      </w:pPr>
    </w:p>
    <w:p>
      <w:pPr>
        <w:ind w:left="660" w:firstLine="1293"/>
        <w:spacing w:after="0" w:line="268" w:lineRule="auto"/>
        <w:tabs>
          <w:tab w:leader="none" w:pos="2645" w:val="left"/>
        </w:tabs>
        <w:numPr>
          <w:ilvl w:val="1"/>
          <w:numId w:val="130"/>
        </w:numPr>
        <w:rPr>
          <w:rFonts w:ascii="Arial" w:cs="Arial" w:eastAsia="Arial" w:hAnsi="Arial"/>
          <w:sz w:val="17"/>
          <w:szCs w:val="17"/>
          <w:color w:val="auto"/>
        </w:rPr>
      </w:pPr>
      <w:r>
        <w:rPr>
          <w:rFonts w:ascii="Arial" w:cs="Arial" w:eastAsia="Arial" w:hAnsi="Arial"/>
          <w:sz w:val="17"/>
          <w:szCs w:val="17"/>
          <w:color w:val="auto"/>
        </w:rPr>
        <w:t>If the Borrower so requests in any applicable Letter of Credit Application, the relevant L/C Issuer may, in its discretion, agree to issue a Letter of Credit that has automatic extension provisions (each, an “</w:t>
      </w:r>
      <w:r>
        <w:rPr>
          <w:rFonts w:ascii="Arial" w:cs="Arial" w:eastAsia="Arial" w:hAnsi="Arial"/>
          <w:sz w:val="17"/>
          <w:szCs w:val="17"/>
          <w:b w:val="1"/>
          <w:bCs w:val="1"/>
          <w:color w:val="auto"/>
        </w:rPr>
        <w:t>Auto-Extension Letter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Auto-Extension Letter of Credit must permit the relevant L/C Issuer to prevent any such extension at least once in each twelve month period (commencing with the date of issuance of such Letter of Credit) by giving prior notice to the beneficiary thereof not later than a day (the “</w:t>
      </w:r>
      <w:r>
        <w:rPr>
          <w:rFonts w:ascii="Arial" w:cs="Arial" w:eastAsia="Arial" w:hAnsi="Arial"/>
          <w:sz w:val="17"/>
          <w:szCs w:val="17"/>
          <w:b w:val="1"/>
          <w:bCs w:val="1"/>
          <w:color w:val="auto"/>
        </w:rPr>
        <w:t>Non-Extension Notice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in each such twelve month period to be agreed upon at the time such Letter of Credit is issued. Unless otherwise directed by the relevant L/C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Issuer, the Borrower shall not be required to make a specific request to the relevant L/C Issuer for any such extension. Once an Auto-Extension Letter of Credit has been issued, the Lenders shall be deemed to have authorized (but may not require) the relevant L/C Issuer to permit the extension of such Letter of Credit at any time to an expiry date not later than the Letter of Credit Expiration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relevant L/C Issuer shall not permit any such extension if (A) the relevant L/C Issuer has determined that it would have no obligation at such time to issue such Letter of Credit in its extended form under the terms hereof (by reason of the provisions of Section 2.03(a)(ii) or otherwise), or (B) it has received notice (which may be by telephone or in writing) on or before the day that is five (5) Business Days before the Non-Extension Notice Date from the Administrative Agent, any Revolving Credit Lender or the Borrower that one or more of the applicable conditions specified in Section 4.02 is not then satisfied.</w:t>
      </w:r>
    </w:p>
    <w:p>
      <w:pPr>
        <w:spacing w:after="0" w:line="187" w:lineRule="exact"/>
        <w:rPr>
          <w:rFonts w:ascii="Arial" w:cs="Arial" w:eastAsia="Arial" w:hAnsi="Arial"/>
          <w:sz w:val="17"/>
          <w:szCs w:val="17"/>
          <w:color w:val="auto"/>
        </w:rPr>
      </w:pPr>
    </w:p>
    <w:p>
      <w:pPr>
        <w:jc w:val="both"/>
        <w:ind w:left="660" w:right="20" w:firstLine="1293"/>
        <w:spacing w:after="0" w:line="264" w:lineRule="auto"/>
        <w:tabs>
          <w:tab w:leader="none" w:pos="262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relevant L/C Issuer will also deliver to the Borrower and the Administrative Agent a true and complete copy of such Letter of Credit or amendment.</w:t>
      </w:r>
    </w:p>
    <w:p>
      <w:pPr>
        <w:spacing w:after="0" w:line="181" w:lineRule="exact"/>
        <w:rPr>
          <w:rFonts w:ascii="Arial" w:cs="Arial" w:eastAsia="Arial" w:hAnsi="Arial"/>
          <w:sz w:val="18"/>
          <w:szCs w:val="18"/>
          <w:color w:val="auto"/>
        </w:rPr>
      </w:pPr>
    </w:p>
    <w:p>
      <w:pPr>
        <w:ind w:right="120" w:firstLine="1305"/>
        <w:spacing w:after="0" w:line="272" w:lineRule="auto"/>
        <w:tabs>
          <w:tab w:leader="none" w:pos="1955"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Drawings and Reimbursements; Funding of Participations. </w:t>
      </w:r>
      <w:r>
        <w:rPr>
          <w:rFonts w:ascii="Arial" w:cs="Arial" w:eastAsia="Arial" w:hAnsi="Arial"/>
          <w:sz w:val="17"/>
          <w:szCs w:val="17"/>
          <w:color w:val="auto"/>
        </w:rPr>
        <w:t>(i) Upon receipt from the beneficiary of any Letter of Credit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notice of a drawing under such Letter of Credit, the relevant L/C Issuer shall notify promptly the Borrower and the Administrative Agent thereof. Not later than 2:00 p.m. on the Business Day immediately following any payment by an L/C Issuer under a Letter of Credit with notice to the Borrower (each such date, an “</w:t>
      </w:r>
      <w:r>
        <w:rPr>
          <w:rFonts w:ascii="Arial" w:cs="Arial" w:eastAsia="Arial" w:hAnsi="Arial"/>
          <w:sz w:val="17"/>
          <w:szCs w:val="17"/>
          <w:b w:val="1"/>
          <w:bCs w:val="1"/>
          <w:color w:val="auto"/>
        </w:rPr>
        <w:t>Honor Date</w:t>
      </w:r>
      <w:r>
        <w:rPr>
          <w:rFonts w:ascii="Arial" w:cs="Arial" w:eastAsia="Arial" w:hAnsi="Arial"/>
          <w:sz w:val="17"/>
          <w:szCs w:val="17"/>
          <w:color w:val="auto"/>
        </w:rPr>
        <w:t>”), the Borrower shall reimburse such L/C Issuer through the Administrative Agent in an amount equal to the amount of such drawing. If the Borrower fails to so reimburse such L/C Issuer by such time, the Administrative Agent shall promptly notify each Revolving Credit Lender of the Honor Date, the amount of the unreimbursed drawing (the “</w:t>
      </w:r>
      <w:r>
        <w:rPr>
          <w:rFonts w:ascii="Arial" w:cs="Arial" w:eastAsia="Arial" w:hAnsi="Arial"/>
          <w:sz w:val="17"/>
          <w:szCs w:val="17"/>
          <w:b w:val="1"/>
          <w:bCs w:val="1"/>
          <w:color w:val="auto"/>
        </w:rPr>
        <w:t>Unreimbursed Amount</w:t>
      </w:r>
      <w:r>
        <w:rPr>
          <w:rFonts w:ascii="Arial" w:cs="Arial" w:eastAsia="Arial" w:hAnsi="Arial"/>
          <w:sz w:val="17"/>
          <w:szCs w:val="17"/>
          <w:color w:val="auto"/>
        </w:rPr>
        <w:t>”), and the amount of such Revolving Credit Lender’s Pro Rata Share thereof. In such event, the Borrower shall be deemed to have requested a Revolving Credit Borrowing of Base Rate Loans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to be disbursed on the Honor Date in an amount equal to the Unreimbursed Amount, without regard to the minimum and multiples specified in Section 2.02 for the principal amount of Base Rate Loans but subject to the amount of the unutilized portion of the Revolving Credit Commitments of the Revolving Credit Lenders and the conditions set forth in Section 4.02 (other than the delivery of a Committed Loan Notice). Any notice given by an L/C Issuer or the Administrative Agent pursuant to this Section 2.03(c)(i) may be given by telephone if immediately confirmed in writing;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173" w:lineRule="exact"/>
        <w:rPr>
          <w:sz w:val="20"/>
          <w:szCs w:val="20"/>
          <w:color w:val="auto"/>
        </w:rPr>
      </w:pPr>
    </w:p>
    <w:p>
      <w:pPr>
        <w:ind w:left="660" w:right="80" w:firstLine="1293"/>
        <w:spacing w:after="0" w:line="255" w:lineRule="auto"/>
        <w:tabs>
          <w:tab w:leader="none" w:pos="26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Revolving Credit Lender shall upon any notice pursuant to Section 2.03(c)(i) make funds available (and the Administrative Agent may apply Cash Collateral provided for this purpose) for the account of the relevant L/C Issuer at the Administrative Agent’s Office for payments in an amount equal to its Pro Rata Share of the Unreimbursed Amount not later than 4:00 p.m. on the Business Day specified in such notice by the Administrative Agent, whereupon, subject to the provisions of Section 2.03(c)(iii), each Revolving Credit Lender that so makes funds available shall be deemed to have made a Base Rate Loan to the Borrower in such amount. The Administrative Agent shall remit the funds so received to the relevant L/C Issuer.</w:t>
      </w:r>
    </w:p>
    <w:p>
      <w:pPr>
        <w:spacing w:after="0" w:line="193" w:lineRule="exact"/>
        <w:rPr>
          <w:rFonts w:ascii="Arial" w:cs="Arial" w:eastAsia="Arial" w:hAnsi="Arial"/>
          <w:sz w:val="18"/>
          <w:szCs w:val="18"/>
          <w:color w:val="auto"/>
        </w:rPr>
      </w:pPr>
    </w:p>
    <w:p>
      <w:pPr>
        <w:ind w:left="660" w:right="60" w:firstLine="1293"/>
        <w:spacing w:after="0" w:line="255" w:lineRule="auto"/>
        <w:tabs>
          <w:tab w:leader="none" w:pos="264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 respect to any Unreimbursed Amount that is not fully refinanced by a Revolving Credit Borrowing of Base Rate Loans because the conditions set forth in Section 4.02 cannot be satisfied or for any other reason, the Borrower shall be deemed to have incurred from the relevant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relevant L/C Issuer pursuant to Section 2.03(c)(ii) shall be deemed payment in respect of its participation in such L/C Borrowing and shall constitute an L/C Advance from such Lender in satisfaction of its participation obligation under this Section 2.03.</w:t>
      </w:r>
    </w:p>
    <w:p>
      <w:pPr>
        <w:spacing w:after="0" w:line="189" w:lineRule="exact"/>
        <w:rPr>
          <w:rFonts w:ascii="Arial" w:cs="Arial" w:eastAsia="Arial" w:hAnsi="Arial"/>
          <w:sz w:val="18"/>
          <w:szCs w:val="18"/>
          <w:color w:val="auto"/>
        </w:rPr>
      </w:pPr>
    </w:p>
    <w:p>
      <w:pPr>
        <w:ind w:left="660" w:right="160" w:firstLine="1293"/>
        <w:spacing w:after="0" w:line="264" w:lineRule="auto"/>
        <w:tabs>
          <w:tab w:leader="none" w:pos="262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Until each Revolving Credit Lender funds its Revolving Credit Loan or L/C Advance pursuant to this Section 2.03(c) to reimburse the relevant L/C Issuer for any amount drawn under any Letter of Credit, interest in respect of such Lender’s Pro Rata Share of such amount shall be solely for the account of the relevant L/C Issuer.</w:t>
      </w:r>
    </w:p>
    <w:p>
      <w:pPr>
        <w:spacing w:after="0" w:line="181" w:lineRule="exact"/>
        <w:rPr>
          <w:rFonts w:ascii="Arial" w:cs="Arial" w:eastAsia="Arial" w:hAnsi="Arial"/>
          <w:sz w:val="18"/>
          <w:szCs w:val="18"/>
          <w:color w:val="auto"/>
        </w:rPr>
      </w:pPr>
    </w:p>
    <w:p>
      <w:pPr>
        <w:ind w:left="660" w:firstLine="1293"/>
        <w:spacing w:after="0" w:line="297" w:lineRule="auto"/>
        <w:tabs>
          <w:tab w:leader="none" w:pos="261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L/C Advances to reimburse an L/C Issuer for amounts drawn under Letters of Credit, as contemplated by this Section 2.03(c), shall be absolute and unconditional and shall not be affected by any circumstance, including (A) any setoff, counterclaim, recoupment, defense or other right which such Lender may have against the relevant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Revolving Credit Lender’s obligation to make Revolving Credit</w:t>
      </w:r>
    </w:p>
    <w:p>
      <w:pPr>
        <w:sectPr>
          <w:pgSz w:w="11900" w:h="16941" w:orient="portrait"/>
          <w:cols w:equalWidth="0" w:num="1">
            <w:col w:w="11420"/>
          </w:cols>
          <w:pgMar w:left="240" w:top="125" w:right="239" w:bottom="0" w:gutter="0" w:footer="0" w:header="0"/>
        </w:sectPr>
      </w:pPr>
    </w:p>
    <w:bookmarkStart w:id="53" w:name="page54"/>
    <w:bookmarkEnd w:id="53"/>
    <w:p>
      <w:pPr>
        <w:spacing w:after="0" w:line="7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Loans pursuant to this Section 2.03(c) is subject to the conditions set forth in Section 4.02 (other than delivery by the Borrower of a Committed Loan Notice ). No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making of an L/C Advance shall relieve or otherwise impair the obligation of the Borrower to reimburse the relevant L/C Issuer for the amount of any payment made by such L/C Issuer under any Letter of Credit, together with interest as provided herein.</w:t>
      </w:r>
    </w:p>
    <w:p>
      <w:pPr>
        <w:spacing w:after="0" w:line="170" w:lineRule="exact"/>
        <w:rPr>
          <w:sz w:val="20"/>
          <w:szCs w:val="20"/>
          <w:color w:val="auto"/>
        </w:rPr>
      </w:pPr>
    </w:p>
    <w:p>
      <w:pPr>
        <w:ind w:left="660" w:right="80" w:firstLine="1293"/>
        <w:spacing w:after="0" w:line="288" w:lineRule="auto"/>
        <w:tabs>
          <w:tab w:leader="none" w:pos="262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If any Revolving Credit Lender fails to make available to the Administrative Agent for the account of the relevant L/C Issuer any amount required to be paid by such Lender pursuant to the foregoing provisions of this Section 2.03(c) by the time specified in Section 2.03(c)(ii),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Loan included in the relevant Borrowing or L/C Advance in respect of the relevant L/C Borrowing, as the case may be. A certificate of the relevant L/C Issuer submitted to any Revolving Credit Lender (through the Administrative Agent) with respect to any amounts owing under this Section 2.03(c)(vi) shall be conclusive absent manifest error.</w:t>
      </w:r>
    </w:p>
    <w:p>
      <w:pPr>
        <w:spacing w:after="0" w:line="169" w:lineRule="exact"/>
        <w:rPr>
          <w:rFonts w:ascii="Arial" w:cs="Arial" w:eastAsia="Arial" w:hAnsi="Arial"/>
          <w:sz w:val="16"/>
          <w:szCs w:val="16"/>
          <w:color w:val="auto"/>
        </w:rPr>
      </w:pPr>
    </w:p>
    <w:p>
      <w:pPr>
        <w:ind w:right="20" w:firstLine="1305"/>
        <w:spacing w:after="0" w:line="273" w:lineRule="auto"/>
        <w:tabs>
          <w:tab w:leader="none" w:pos="1952"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 xml:space="preserve">Repayment of Participations. </w:t>
      </w:r>
      <w:r>
        <w:rPr>
          <w:rFonts w:ascii="Arial" w:cs="Arial" w:eastAsia="Arial" w:hAnsi="Arial"/>
          <w:sz w:val="17"/>
          <w:szCs w:val="17"/>
          <w:color w:val="auto"/>
        </w:rPr>
        <w:t>(i) If, at any time after an L/C Issuer has made a payment under any Letter of Credit and has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any Revolving Credit Lender such Lender’s L/C Advance in respect of such payment in accordance with Section 2.03(c),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L/C Advance was outstanding) in the same funds as those received by the Administrative Agent.</w:t>
      </w:r>
    </w:p>
    <w:p>
      <w:pPr>
        <w:spacing w:after="0" w:line="178" w:lineRule="exact"/>
        <w:rPr>
          <w:rFonts w:ascii="Arial" w:cs="Arial" w:eastAsia="Arial" w:hAnsi="Arial"/>
          <w:sz w:val="17"/>
          <w:szCs w:val="17"/>
          <w:color w:val="auto"/>
        </w:rPr>
      </w:pPr>
    </w:p>
    <w:p>
      <w:pPr>
        <w:ind w:left="400" w:right="120" w:firstLine="1553"/>
        <w:spacing w:after="0" w:line="273" w:lineRule="auto"/>
        <w:tabs>
          <w:tab w:leader="none" w:pos="2635"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If any payment received by the Administrative Agent for the account of an L/C Issuer pursuant to Section 2.03(c)(i) is required to be returned under any of the circumstances described in Section 10.05 (including pursuant to any settlement entered into by such L/C Issuer in its discretion), each Revolving Credit Lender shall pay to the Administrative Agent for the account of such L/C Issuer its Pro Rata Share thereof on demand of the Administrative Agent, plus interest thereon from the date of such demand to the date such amount is returned by such Lender, at a rate per annum equal to the applicable Federal Funds Rate from time to time in effect. The obligations of the Lenders under this clause shall survive the payment in full of the Obligations and the termination of this Agreement.</w:t>
      </w:r>
    </w:p>
    <w:p>
      <w:pPr>
        <w:spacing w:after="0" w:line="178" w:lineRule="exact"/>
        <w:rPr>
          <w:rFonts w:ascii="Arial" w:cs="Arial" w:eastAsia="Arial" w:hAnsi="Arial"/>
          <w:sz w:val="17"/>
          <w:szCs w:val="17"/>
          <w:color w:val="auto"/>
        </w:rPr>
      </w:pPr>
    </w:p>
    <w:p>
      <w:pPr>
        <w:jc w:val="both"/>
        <w:ind w:right="140" w:firstLine="1305"/>
        <w:spacing w:after="0" w:line="264" w:lineRule="auto"/>
        <w:tabs>
          <w:tab w:leader="none" w:pos="1955"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Obligations Absolute. </w:t>
      </w:r>
      <w:r>
        <w:rPr>
          <w:rFonts w:ascii="Arial" w:cs="Arial" w:eastAsia="Arial" w:hAnsi="Arial"/>
          <w:sz w:val="18"/>
          <w:szCs w:val="18"/>
          <w:color w:val="auto"/>
        </w:rPr>
        <w:t>The obligation of the Borrower to reimburse the relevant L/C Issuer for each drawing under each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issued by it and to repay each L/C Borrowing shall be absolute, unconditional and irrevocable, and shall be paid strictly in accordance with the terms of this Agreement under all circumstances, including the following: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lack of validity or enforceability of such Letter of Credit, this Agreement, or any other agreement or instrument relating</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jc w:val="both"/>
        <w:ind w:left="660" w:firstLine="645"/>
        <w:spacing w:after="0" w:line="259" w:lineRule="auto"/>
        <w:tabs>
          <w:tab w:leader="none" w:pos="198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186" w:lineRule="exact"/>
        <w:rPr>
          <w:rFonts w:ascii="Arial" w:cs="Arial" w:eastAsia="Arial" w:hAnsi="Arial"/>
          <w:sz w:val="18"/>
          <w:szCs w:val="18"/>
          <w:color w:val="auto"/>
        </w:rPr>
      </w:pPr>
    </w:p>
    <w:p>
      <w:pPr>
        <w:ind w:left="660" w:right="80" w:firstLine="645"/>
        <w:spacing w:after="0" w:line="277" w:lineRule="auto"/>
        <w:tabs>
          <w:tab w:leader="none" w:pos="199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w:t>
      </w:r>
    </w:p>
    <w:p>
      <w:pPr>
        <w:spacing w:after="0" w:line="170" w:lineRule="exact"/>
        <w:rPr>
          <w:rFonts w:ascii="Arial" w:cs="Arial" w:eastAsia="Arial" w:hAnsi="Arial"/>
          <w:sz w:val="18"/>
          <w:szCs w:val="18"/>
          <w:color w:val="auto"/>
        </w:rPr>
      </w:pPr>
    </w:p>
    <w:p>
      <w:pPr>
        <w:ind w:left="660" w:right="200" w:firstLine="645"/>
        <w:spacing w:after="0" w:line="257" w:lineRule="auto"/>
        <w:tabs>
          <w:tab w:leader="none" w:pos="197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8" w:lineRule="exact"/>
        <w:rPr>
          <w:rFonts w:ascii="Arial" w:cs="Arial" w:eastAsia="Arial" w:hAnsi="Arial"/>
          <w:sz w:val="18"/>
          <w:szCs w:val="18"/>
          <w:color w:val="auto"/>
        </w:rPr>
      </w:pPr>
    </w:p>
    <w:p>
      <w:pPr>
        <w:ind w:left="660" w:right="80" w:firstLine="645"/>
        <w:spacing w:after="0" w:line="277" w:lineRule="auto"/>
        <w:tabs>
          <w:tab w:leader="none" w:pos="196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any Loan Party.</w:t>
      </w:r>
    </w:p>
    <w:p>
      <w:pPr>
        <w:spacing w:after="0" w:line="170"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47" w:lineRule="exact"/>
        <w:rPr>
          <w:sz w:val="20"/>
          <w:szCs w:val="20"/>
          <w:color w:val="auto"/>
        </w:rPr>
      </w:pPr>
    </w:p>
    <w:p>
      <w:pPr>
        <w:ind w:right="40" w:firstLine="1305"/>
        <w:spacing w:after="0" w:line="270" w:lineRule="auto"/>
        <w:tabs>
          <w:tab w:leader="none" w:pos="1949"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 xml:space="preserve">Role of L/C Issuers. </w:t>
      </w:r>
      <w:r>
        <w:rPr>
          <w:rFonts w:ascii="Arial" w:cs="Arial" w:eastAsia="Arial" w:hAnsi="Arial"/>
          <w:sz w:val="17"/>
          <w:szCs w:val="17"/>
          <w:color w:val="auto"/>
        </w:rPr>
        <w:t>Each Lender and the Borrower agree that, in paying any drawing under a Letter of Credit, the relevant L/C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Related Parties nor any of the respective correspondents, participants or assignees of any L/C Issuer shall be liable to any Lender for (i) any action taken or omitted in connection herewith at the request or with the approval of the Lenders or the Lenders holding a majority of the Revolving Credit Commitments, as applicable; (ii) any action taken or omitted in the absence of bad faith, gross negligence or willful misconduct;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assumption is not intended to, and shall not, preclude the Borrower’s pursuing such rights and remedies as it</w:t>
      </w:r>
    </w:p>
    <w:p>
      <w:pPr>
        <w:sectPr>
          <w:pgSz w:w="11900" w:h="16918" w:orient="portrait"/>
          <w:cols w:equalWidth="0" w:num="1">
            <w:col w:w="11420"/>
          </w:cols>
          <w:pgMar w:left="240" w:top="125" w:right="239" w:bottom="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may have against the beneficiary or transferee at law or under any other agreement. None of the L/C Issuers, any Related Parties, nor any of the respective correspondents, participants or assignees of any L/C Issuer, shall be liable or responsible for any of the matters described in clauses (i) through (v) of Section 2.03(e);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which the Borrower proves were caused by such L/C Issuer’s bad faith, willful misconduct or gross negligence or such L/C Issuer’s willful or grossly negligent failure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Notwithstanding anything to the contrary contained in this Section 2.03(f), the Borrower shall retain any and all rights it may have against any L/C Issuer for any liability arising out of the bad faith, gross negligence or willful misconduct of such L/C Issuer, as determined by a final judgment of a court of competent jurisdiction.</w:t>
      </w:r>
    </w:p>
    <w:p>
      <w:pPr>
        <w:spacing w:after="0" w:line="180" w:lineRule="exact"/>
        <w:rPr>
          <w:sz w:val="20"/>
          <w:szCs w:val="20"/>
          <w:color w:val="auto"/>
        </w:rPr>
      </w:pPr>
    </w:p>
    <w:p>
      <w:pPr>
        <w:ind w:right="20" w:firstLine="1305"/>
        <w:spacing w:after="0" w:line="283" w:lineRule="auto"/>
        <w:tabs>
          <w:tab w:leader="none" w:pos="1965" w:val="left"/>
        </w:tabs>
        <w:numPr>
          <w:ilvl w:val="1"/>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Cash Collateral. </w:t>
      </w:r>
      <w:r>
        <w:rPr>
          <w:rFonts w:ascii="Arial" w:cs="Arial" w:eastAsia="Arial" w:hAnsi="Arial"/>
          <w:sz w:val="16"/>
          <w:szCs w:val="16"/>
          <w:color w:val="auto"/>
        </w:rPr>
        <w:t>(i) If an L/C Issuer has honored any full or partial drawing request under any Letter of Credit and such drawing</w:t>
      </w:r>
      <w:r>
        <w:rPr>
          <w:rFonts w:ascii="Arial" w:cs="Arial" w:eastAsia="Arial" w:hAnsi="Arial"/>
          <w:sz w:val="16"/>
          <w:szCs w:val="16"/>
          <w:i w:val="1"/>
          <w:iCs w:val="1"/>
          <w:color w:val="auto"/>
        </w:rPr>
        <w:t xml:space="preserve"> </w:t>
      </w:r>
      <w:r>
        <w:rPr>
          <w:rFonts w:ascii="Arial" w:cs="Arial" w:eastAsia="Arial" w:hAnsi="Arial"/>
          <w:sz w:val="16"/>
          <w:szCs w:val="16"/>
          <w:color w:val="auto"/>
        </w:rPr>
        <w:t>has resulted in an L/C Borrowing and the conditions set forth in Section 4.02 to a Revolving Credit Borrowing cannot then be met, (ii) if, as of the Letter of Credit Expiration Date, any Letter of Credit may for any reason remain outstanding and partially or wholly undrawn (and arrangements that are reasonably satisfactory to the applicable L/C Issuer have not otherwise been made), (iii) if any Event of Default occurs and is continuing and the Administrative Agent or the Lenders holding a majority of the Revolving Credit Commitments, as applicable, require the Borrower to Cash Collateralize the L/C Obligations pursuant to Section 8.02, (iv) if, after the issuance of any Letter of Credit, any Lender becomes a Defaulting Lender or (v) an Event of Default set forth under Section 8.01(f) occurs and is continuing, then the Borrower shall Cash Collateralize (A) the then Outstanding Amount of all L/C Obligations (in an amount equal to such Outstanding Amount determined as of the date of such L/C Borrowing or the Letter of Credit Expiration Date, as the case may be) or (B) in the case of clause (iv) above, the L/C Issuer’s Fronting Exposure with respect to the then Outstanding Amount of all L/C Obligations (determined as of the date such Lender becomes a Defaulting Lender), and shall do so not later than 4:00 p.m., on (x) in the case of the immediately preceding clauses (i) through (iv),</w:t>
      </w:r>
    </w:p>
    <w:p>
      <w:pPr>
        <w:spacing w:after="0" w:line="5" w:lineRule="exact"/>
        <w:rPr>
          <w:rFonts w:ascii="Arial" w:cs="Arial" w:eastAsia="Arial" w:hAnsi="Arial"/>
          <w:sz w:val="16"/>
          <w:szCs w:val="16"/>
          <w:color w:val="auto"/>
        </w:rPr>
      </w:pPr>
    </w:p>
    <w:p>
      <w:pPr>
        <w:ind w:right="40" w:firstLine="8"/>
        <w:spacing w:after="0" w:line="252" w:lineRule="auto"/>
        <w:tabs>
          <w:tab w:leader="none" w:pos="2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Business Day that the Borrower receives notice thereof, if such notice is received on such day prior to 12:00 Noon, or (2) if clause (1) above does not apply, the Business Day immediately following the day that the Borrower receives such notice and (y) in the case of the immediately preceding clause (v), the Business Day on which an Event of Default set forth under Section 8.01(f) occurs or, if such day is not a Business Day, the Business Day immediately succeeding such day. For purposes hereof, “</w:t>
      </w:r>
      <w:r>
        <w:rPr>
          <w:rFonts w:ascii="Arial" w:cs="Arial" w:eastAsia="Arial" w:hAnsi="Arial"/>
          <w:sz w:val="18"/>
          <w:szCs w:val="18"/>
          <w:b w:val="1"/>
          <w:bCs w:val="1"/>
          <w:color w:val="auto"/>
        </w:rPr>
        <w:t>Cash Collateralize</w:t>
      </w:r>
      <w:r>
        <w:rPr>
          <w:rFonts w:ascii="Arial" w:cs="Arial" w:eastAsia="Arial" w:hAnsi="Arial"/>
          <w:sz w:val="18"/>
          <w:szCs w:val="18"/>
          <w:color w:val="auto"/>
        </w:rPr>
        <w:t>” means to pledge and deposit with or deliver to the Administrative Agent, for the benefit of the relevant L/C Issuer and the Lenders, as collateral for the L/C Obligations, cash or deposit account balances (“</w:t>
      </w:r>
      <w:r>
        <w:rPr>
          <w:rFonts w:ascii="Arial" w:cs="Arial" w:eastAsia="Arial" w:hAnsi="Arial"/>
          <w:sz w:val="18"/>
          <w:szCs w:val="18"/>
          <w:b w:val="1"/>
          <w:bCs w:val="1"/>
          <w:color w:val="auto"/>
        </w:rPr>
        <w:t>Cash Collateral</w:t>
      </w:r>
      <w:r>
        <w:rPr>
          <w:rFonts w:ascii="Arial" w:cs="Arial" w:eastAsia="Arial" w:hAnsi="Arial"/>
          <w:sz w:val="18"/>
          <w:szCs w:val="18"/>
          <w:color w:val="auto"/>
        </w:rPr>
        <w:t>”) pursuant to documentation in form and substance reasonably satisfactory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Administrative Agent and the relevant L/C Issuer (which documents are hereby consented to by the Lenders). Derivatives of such term have corresponding meanings. The Borrower hereby grants to the Administrative Agent, for the benefit of the L/C Issuers and the Lenders, a security interest in all such cash, deposit accounts and all balances therein and all proceeds of the foregoing. Cash Collateral shall be maintained in blocked accounts at the Administrative Agent and may be invested in readily available Cash Equivalents. If at any time the Administrative Agent determines that any funds held as Cash Collateral are subject to any right or claim of any Person other than the Administrative Agent (on behalf of the Secured Parties) or that the total amount of such funds is less than the aggregate Outstanding Amount of all L/C Obligations, the Borrower will, forthwith upon demand by the Administrative Agent, pay to the Administrative Agent, as additional funds to be deposited and held in the deposit accounts at the Administrative Agent as aforesaid,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and so long as no Event of Default has occurred and is continuing, the excess shall be refunded to the Borrower.</w:t>
      </w:r>
    </w:p>
    <w:p>
      <w:pPr>
        <w:spacing w:after="0" w:line="180" w:lineRule="exact"/>
        <w:rPr>
          <w:sz w:val="20"/>
          <w:szCs w:val="20"/>
          <w:color w:val="auto"/>
        </w:rPr>
      </w:pPr>
    </w:p>
    <w:p>
      <w:pPr>
        <w:ind w:firstLine="1305"/>
        <w:spacing w:after="0" w:line="253" w:lineRule="auto"/>
        <w:tabs>
          <w:tab w:leader="none" w:pos="1952"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Letter of Credit Fees. </w:t>
      </w:r>
      <w:r>
        <w:rPr>
          <w:rFonts w:ascii="Arial" w:cs="Arial" w:eastAsia="Arial" w:hAnsi="Arial"/>
          <w:sz w:val="18"/>
          <w:szCs w:val="18"/>
          <w:color w:val="auto"/>
        </w:rPr>
        <w:t>The Borrower shall pay to the Administrative Agent for the account of each Revolving Credit Lender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its Pro Rata Share a Letter of Credit fee for each Letter of Credit issued pursuant to this Agreement to the Borrower equal to the Applicable Rate times the daily maximum amount then available to be drawn under such Letter of Credit (whether or not such maximum amount is then in effect under such Letter of Credit if such maximum amount increases periodically pursuant to the terms of such Letter of Credit). Such letter of credit fees shall be computed on a quarterly basis in arrears. For purposes of computing the daily amount available to be drawn under any Letter of Credit, the amount of such Letter of Credit shall be determined in accordance with Section 1.09. Such letter of credit fees shall be due and payable in U.S. Dollars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spacing w:after="0" w:line="194" w:lineRule="exact"/>
        <w:rPr>
          <w:rFonts w:ascii="Arial" w:cs="Arial" w:eastAsia="Arial" w:hAnsi="Arial"/>
          <w:sz w:val="18"/>
          <w:szCs w:val="18"/>
          <w:color w:val="auto"/>
        </w:rPr>
      </w:pPr>
    </w:p>
    <w:p>
      <w:pPr>
        <w:ind w:right="120" w:firstLine="1305"/>
        <w:spacing w:after="0" w:line="273" w:lineRule="auto"/>
        <w:tabs>
          <w:tab w:leader="none" w:pos="1966"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 xml:space="preserve">Fronting Fee and Documentary and Processing Charges Payable to L/C Issuers. </w:t>
      </w:r>
      <w:r>
        <w:rPr>
          <w:rFonts w:ascii="Arial" w:cs="Arial" w:eastAsia="Arial" w:hAnsi="Arial"/>
          <w:sz w:val="17"/>
          <w:szCs w:val="17"/>
          <w:color w:val="auto"/>
        </w:rPr>
        <w:t>The Borrower shall pay directly to each L/C</w:t>
      </w:r>
      <w:r>
        <w:rPr>
          <w:rFonts w:ascii="Arial" w:cs="Arial" w:eastAsia="Arial" w:hAnsi="Arial"/>
          <w:sz w:val="17"/>
          <w:szCs w:val="17"/>
          <w:i w:val="1"/>
          <w:iCs w:val="1"/>
          <w:color w:val="auto"/>
        </w:rPr>
        <w:t xml:space="preserve"> </w:t>
      </w:r>
      <w:r>
        <w:rPr>
          <w:rFonts w:ascii="Arial" w:cs="Arial" w:eastAsia="Arial" w:hAnsi="Arial"/>
          <w:sz w:val="17"/>
          <w:szCs w:val="17"/>
          <w:color w:val="auto"/>
        </w:rPr>
        <w:t>Issuer for its own account a fronting fee with respect to each Letter of Credit issued by it to the Borrower equal to 0.125% per annum of the daily maximum amount then available to be drawn under such Letter of Credit (whether or not such maximum amount is then in effect under such Letter of Credit if such maximum amount increases periodically pursuant to the terms of such Letter of Credit). Such fronting fees shall be computed on a quarterly basis in arrears. For purposes of computing the daily amount available to be drawn under any Letter of Credit, the amount of such Letter of Credit shall be determined in accordance with Section 1.09. Such fronting fees shall be due and payable on the first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680" w:gutter="0" w:footer="0" w:header="0"/>
        </w:sectPr>
      </w:pPr>
    </w:p>
    <w:bookmarkStart w:id="55" w:name="page56"/>
    <w:bookmarkEnd w:id="55"/>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Day after the end of each March, June, September and December, commencing with the first such date to occur after the issuance of such Letter of Credit, on the Letter of Credit Expiration Date and thereafter on demand. In addition, the Borrower shall pay directly to each L/C Issuer for its own account with respect to each Letter of Credit issued to the Borrower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spacing w:after="0" w:line="188" w:lineRule="exact"/>
        <w:rPr>
          <w:sz w:val="20"/>
          <w:szCs w:val="20"/>
          <w:color w:val="auto"/>
        </w:rPr>
      </w:pPr>
    </w:p>
    <w:p>
      <w:pPr>
        <w:ind w:right="400" w:firstLine="1305"/>
        <w:spacing w:after="0" w:line="277" w:lineRule="auto"/>
        <w:tabs>
          <w:tab w:leader="none" w:pos="1953"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Conflict with Issuer Documents. </w:t>
      </w:r>
      <w:r>
        <w:rPr>
          <w:rFonts w:ascii="Arial" w:cs="Arial" w:eastAsia="Arial" w:hAnsi="Arial"/>
          <w:sz w:val="18"/>
          <w:szCs w:val="18"/>
          <w:color w:val="auto"/>
        </w:rPr>
        <w:t>Notwithstanding anything else to the contrary in this Agreement, in the event of any conflict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terms hereof and the terms of any Issuer Document, the terms hereof shall control.</w:t>
      </w:r>
    </w:p>
    <w:p>
      <w:pPr>
        <w:spacing w:after="0" w:line="170" w:lineRule="exact"/>
        <w:rPr>
          <w:rFonts w:ascii="Arial" w:cs="Arial" w:eastAsia="Arial" w:hAnsi="Arial"/>
          <w:sz w:val="18"/>
          <w:szCs w:val="18"/>
          <w:color w:val="auto"/>
        </w:rPr>
      </w:pPr>
    </w:p>
    <w:p>
      <w:pPr>
        <w:ind w:right="260" w:firstLine="1305"/>
        <w:spacing w:after="0" w:line="264" w:lineRule="auto"/>
        <w:tabs>
          <w:tab w:leader="none" w:pos="1952"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Addition of an L/C Issuer. </w:t>
      </w:r>
      <w:r>
        <w:rPr>
          <w:rFonts w:ascii="Arial" w:cs="Arial" w:eastAsia="Arial" w:hAnsi="Arial"/>
          <w:sz w:val="18"/>
          <w:szCs w:val="18"/>
          <w:color w:val="auto"/>
        </w:rPr>
        <w:t>A Revolving Credit Lender may become an additional L/C Issuer hereunder pursuant to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among the Borrower, the Administrative Agent and such Revolving Credit Lender. The Administrative Agent shall notify the Revolving Credit Lenders of any such additional L/C Issuer.</w:t>
      </w:r>
    </w:p>
    <w:p>
      <w:pPr>
        <w:spacing w:after="0" w:line="181" w:lineRule="exact"/>
        <w:rPr>
          <w:rFonts w:ascii="Arial" w:cs="Arial" w:eastAsia="Arial" w:hAnsi="Arial"/>
          <w:sz w:val="18"/>
          <w:szCs w:val="18"/>
          <w:color w:val="auto"/>
        </w:rPr>
      </w:pPr>
    </w:p>
    <w:p>
      <w:pPr>
        <w:ind w:firstLine="1305"/>
        <w:spacing w:after="0" w:line="291" w:lineRule="auto"/>
        <w:tabs>
          <w:tab w:leader="none" w:pos="1966"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Applicability of ISP</w:t>
      </w:r>
      <w:r>
        <w:rPr>
          <w:rFonts w:ascii="Arial" w:cs="Arial" w:eastAsia="Arial" w:hAnsi="Arial"/>
          <w:sz w:val="16"/>
          <w:szCs w:val="16"/>
          <w:color w:val="auto"/>
        </w:rPr>
        <w:t>;</w:t>
      </w:r>
      <w:r>
        <w:rPr>
          <w:rFonts w:ascii="Arial" w:cs="Arial" w:eastAsia="Arial" w:hAnsi="Arial"/>
          <w:sz w:val="16"/>
          <w:szCs w:val="16"/>
          <w:i w:val="1"/>
          <w:iCs w:val="1"/>
          <w:color w:val="auto"/>
        </w:rPr>
        <w:t xml:space="preserve"> Limitation of Liability</w:t>
      </w:r>
      <w:r>
        <w:rPr>
          <w:rFonts w:ascii="Arial" w:cs="Arial" w:eastAsia="Arial" w:hAnsi="Arial"/>
          <w:sz w:val="16"/>
          <w:szCs w:val="16"/>
          <w:color w:val="auto"/>
        </w:rPr>
        <w:t>. Unless otherwise expressly agreed by the L/C Issuer and the Borrower when a Letter</w:t>
      </w:r>
      <w:r>
        <w:rPr>
          <w:rFonts w:ascii="Arial" w:cs="Arial" w:eastAsia="Arial" w:hAnsi="Arial"/>
          <w:sz w:val="16"/>
          <w:szCs w:val="16"/>
          <w:i w:val="1"/>
          <w:iCs w:val="1"/>
          <w:color w:val="auto"/>
        </w:rPr>
        <w:t xml:space="preserve"> </w:t>
      </w:r>
      <w:r>
        <w:rPr>
          <w:rFonts w:ascii="Arial" w:cs="Arial" w:eastAsia="Arial" w:hAnsi="Arial"/>
          <w:sz w:val="16"/>
          <w:szCs w:val="16"/>
          <w:color w:val="auto"/>
        </w:rPr>
        <w:t>of Credit is issued, the rules of the ISP shall apply to each standby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7" w:lineRule="exact"/>
        <w:rPr>
          <w:rFonts w:ascii="Arial" w:cs="Arial" w:eastAsia="Arial" w:hAnsi="Arial"/>
          <w:sz w:val="16"/>
          <w:szCs w:val="16"/>
          <w:color w:val="auto"/>
        </w:rPr>
      </w:pPr>
    </w:p>
    <w:p>
      <w:pPr>
        <w:ind w:right="20" w:firstLine="1305"/>
        <w:spacing w:after="0" w:line="279" w:lineRule="auto"/>
        <w:tabs>
          <w:tab w:leader="none" w:pos="1948"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Letters of Credit Issued for Subsidiaries</w:t>
      </w:r>
      <w:r>
        <w:rPr>
          <w:rFonts w:ascii="Arial" w:cs="Arial" w:eastAsia="Arial" w:hAnsi="Arial"/>
          <w:sz w:val="17"/>
          <w:szCs w:val="17"/>
          <w:color w:val="auto"/>
        </w:rPr>
        <w:t>. Notwithstanding that a Letter of Credit issued or outstanding hereunder is in support of</w:t>
      </w:r>
      <w:r>
        <w:rPr>
          <w:rFonts w:ascii="Arial" w:cs="Arial" w:eastAsia="Arial" w:hAnsi="Arial"/>
          <w:sz w:val="17"/>
          <w:szCs w:val="17"/>
          <w:i w:val="1"/>
          <w:iCs w:val="1"/>
          <w:color w:val="auto"/>
        </w:rPr>
        <w:t xml:space="preserve"> </w:t>
      </w:r>
      <w:r>
        <w:rPr>
          <w:rFonts w:ascii="Arial" w:cs="Arial" w:eastAsia="Arial" w:hAnsi="Arial"/>
          <w:sz w:val="17"/>
          <w:szCs w:val="17"/>
          <w:color w:val="auto"/>
        </w:rPr>
        <w:t>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71" w:lineRule="exact"/>
        <w:rPr>
          <w:rFonts w:ascii="Arial" w:cs="Arial" w:eastAsia="Arial" w:hAnsi="Arial"/>
          <w:sz w:val="17"/>
          <w:szCs w:val="17"/>
          <w:color w:val="auto"/>
        </w:rPr>
      </w:pPr>
    </w:p>
    <w:p>
      <w:pPr>
        <w:ind w:right="240" w:firstLine="1305"/>
        <w:spacing w:after="0" w:line="257" w:lineRule="auto"/>
        <w:tabs>
          <w:tab w:leader="none" w:pos="1952"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Reporting of Letter of Credit Information</w:t>
      </w:r>
      <w:r>
        <w:rPr>
          <w:rFonts w:ascii="Arial" w:cs="Arial" w:eastAsia="Arial" w:hAnsi="Arial"/>
          <w:sz w:val="18"/>
          <w:szCs w:val="18"/>
          <w:color w:val="auto"/>
        </w:rPr>
        <w:t>. At any time that any Revolving Credit Lender other than the Person serving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is an L/C Issuer, then (i) on the last Business Day of each calendar month, (ii) on each date that a Letter of Credit is amended, terminated or otherwise expires, (iii) on each date than an L/C Credit Extension occurs with respect to any Letter of Credit, and (iv) upon the request of the Administrative Agent, each L/C Issuer (or, in the case of part (ii), (iii) or (iv), the applicable L/C Issuer) shall deliver to the Administrative Agent a report setting forth in form and detail reasonably satisfactory to the Administrative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Agent information (including, without limitation, any reimbursement, Cash Collateral, or termination in respect of Letters of Credit issued by such L/C Issuer) with respect to each Letter of Credit issued by such L/C Issuer that is outstanding hereunder, including any auto-renewal or termination of auto-renewal provisions in such Letter of Credit. No failure on the part of any L/C Issuer to provide such information pursuant to this Section 2.03(n) shall limit the obligation of the Borrower or any Revolving Credit Lender hereunder with respect to its reimbursement and participation obligations, respectively, pursuant to this Section 2.03.</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Swing Line Loans.</w:t>
      </w:r>
    </w:p>
    <w:p>
      <w:pPr>
        <w:spacing w:after="0" w:line="225" w:lineRule="exact"/>
        <w:rPr>
          <w:sz w:val="20"/>
          <w:szCs w:val="20"/>
          <w:color w:val="auto"/>
        </w:rPr>
      </w:pPr>
    </w:p>
    <w:p>
      <w:pPr>
        <w:ind w:right="20" w:firstLine="1305"/>
        <w:spacing w:after="0" w:line="283" w:lineRule="auto"/>
        <w:tabs>
          <w:tab w:leader="none" w:pos="1942"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The Swing Line. </w:t>
      </w:r>
      <w:r>
        <w:rPr>
          <w:rFonts w:ascii="Arial" w:cs="Arial" w:eastAsia="Arial" w:hAnsi="Arial"/>
          <w:sz w:val="16"/>
          <w:szCs w:val="16"/>
          <w:color w:val="auto"/>
        </w:rPr>
        <w:t>Subject to the terms and conditions set forth herein, Bank of America in its capacity as Swing Line Lender, in</w:t>
      </w:r>
      <w:r>
        <w:rPr>
          <w:rFonts w:ascii="Arial" w:cs="Arial" w:eastAsia="Arial" w:hAnsi="Arial"/>
          <w:sz w:val="16"/>
          <w:szCs w:val="16"/>
          <w:i w:val="1"/>
          <w:iCs w:val="1"/>
          <w:color w:val="auto"/>
        </w:rPr>
        <w:t xml:space="preserve"> </w:t>
      </w:r>
      <w:r>
        <w:rPr>
          <w:rFonts w:ascii="Arial" w:cs="Arial" w:eastAsia="Arial" w:hAnsi="Arial"/>
          <w:sz w:val="16"/>
          <w:szCs w:val="16"/>
          <w:color w:val="auto"/>
        </w:rPr>
        <w:t>reliance upon the agreements of the other Lenders set forth in this Section 2.04, may in its sole discretion, make loans to the Borrower (each such loan, a “</w:t>
      </w:r>
      <w:r>
        <w:rPr>
          <w:rFonts w:ascii="Arial" w:cs="Arial" w:eastAsia="Arial" w:hAnsi="Arial"/>
          <w:sz w:val="16"/>
          <w:szCs w:val="16"/>
          <w:b w:val="1"/>
          <w:bCs w:val="1"/>
          <w:color w:val="auto"/>
        </w:rPr>
        <w:t>Swing Line Loan</w:t>
      </w:r>
      <w:r>
        <w:rPr>
          <w:rFonts w:ascii="Arial" w:cs="Arial" w:eastAsia="Arial" w:hAnsi="Arial"/>
          <w:sz w:val="16"/>
          <w:szCs w:val="16"/>
          <w:color w:val="auto"/>
        </w:rPr>
        <w:t xml:space="preserve">”) from time to time on any Business Day (other than the Closing Date) until the Maturity Date for the Revolving Credit Facility in an aggregate amount not to exceed at any time the amount of the Swing Line Sublimit, notwithstanding the fact that such Swing Line Loans, when aggregated with the Pro Rata Share of the Outstanding Amount of Revolving Credit Loans and L/C Obligations of the Lender acting as Swing Line Lender, may exceed the amount of such Swing Line Lender’s Revolving Credit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effect to any Swing Line Loan, (i) the Revolving Credit Exposure shall not exceed the aggregate Revolving Credit Commitment and (ii) the aggregate Outstanding Amount of the Revolving Credit Loans of any Lender (other than the relevant Swing Line Lender), plus such Lender’s Pro Rata Share of the Outstanding Amount of all L/C Obligations, plus such Lender’s Pro Rata Share of the Outstanding Amount of all Swing Line Loans shall not exceed such Lender’s Revolving Credit Commitment then in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Borrower shall not use the proceeds of any Swing Line Loan to refinance any outstanding Swing Line Loan;</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the Swing</w:t>
      </w:r>
      <w:r>
        <w:rPr>
          <w:rFonts w:ascii="Arial" w:cs="Arial" w:eastAsia="Arial" w:hAnsi="Arial"/>
          <w:sz w:val="16"/>
          <w:szCs w:val="16"/>
          <w:i w:val="1"/>
          <w:iCs w:val="1"/>
          <w:color w:val="auto"/>
        </w:rPr>
        <w:t xml:space="preserve"> </w:t>
      </w:r>
      <w:r>
        <w:rPr>
          <w:rFonts w:ascii="Arial" w:cs="Arial" w:eastAsia="Arial" w:hAnsi="Arial"/>
          <w:sz w:val="16"/>
          <w:szCs w:val="16"/>
          <w:color w:val="auto"/>
        </w:rPr>
        <w:t>Line Lender shall be under no obligation to make Swing Line Loans at any time if any Lender is at such time a Defaulting Lender hereunder, unless such Defaulting Lender’s participation in the Swing Line Loan would be reallocated, in full, to Non-Defaulting Lenders in accordance with Section 2.17(a). Within the foregoing limits, and subject to the other terms and conditions hereof, the Borrower may borrow under this Section 2.04, prepay under</w:t>
      </w:r>
    </w:p>
    <w:p>
      <w:pPr>
        <w:spacing w:after="0" w:line="3" w:lineRule="exact"/>
        <w:rPr>
          <w:rFonts w:ascii="Arial" w:cs="Arial" w:eastAsia="Arial" w:hAnsi="Arial"/>
          <w:sz w:val="16"/>
          <w:szCs w:val="16"/>
          <w:color w:val="auto"/>
        </w:rPr>
      </w:pPr>
    </w:p>
    <w:p>
      <w:pPr>
        <w:ind w:right="100"/>
        <w:spacing w:after="0" w:line="302" w:lineRule="auto"/>
        <w:rPr>
          <w:rFonts w:ascii="Arial" w:cs="Arial" w:eastAsia="Arial" w:hAnsi="Arial"/>
          <w:sz w:val="16"/>
          <w:szCs w:val="16"/>
          <w:color w:val="auto"/>
        </w:rPr>
      </w:pPr>
      <w:r>
        <w:rPr>
          <w:rFonts w:ascii="Arial" w:cs="Arial" w:eastAsia="Arial" w:hAnsi="Arial"/>
          <w:sz w:val="16"/>
          <w:szCs w:val="16"/>
          <w:color w:val="auto"/>
        </w:rPr>
        <w:t>Section 2.05, and reborrow under this Section 2.04.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Lender’s Pro Rata Share times the amount of such Swing Line Loan.</w:t>
      </w:r>
    </w:p>
    <w:p>
      <w:pPr>
        <w:spacing w:after="0" w:line="155" w:lineRule="exact"/>
        <w:rPr>
          <w:rFonts w:ascii="Arial" w:cs="Arial" w:eastAsia="Arial" w:hAnsi="Arial"/>
          <w:sz w:val="16"/>
          <w:szCs w:val="16"/>
          <w:color w:val="auto"/>
        </w:rPr>
      </w:pPr>
    </w:p>
    <w:p>
      <w:pPr>
        <w:ind w:right="60" w:firstLine="1305"/>
        <w:spacing w:after="0" w:line="297" w:lineRule="auto"/>
        <w:tabs>
          <w:tab w:leader="none" w:pos="1952"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Borrowing Procedures. </w:t>
      </w:r>
      <w:r>
        <w:rPr>
          <w:rFonts w:ascii="Arial" w:cs="Arial" w:eastAsia="Arial" w:hAnsi="Arial"/>
          <w:sz w:val="16"/>
          <w:szCs w:val="16"/>
          <w:color w:val="auto"/>
        </w:rPr>
        <w:t>Each Swing Line Borrowing shall be made upon the Borrower’s irrevocable notice to the Swing Line</w:t>
      </w:r>
      <w:r>
        <w:rPr>
          <w:rFonts w:ascii="Arial" w:cs="Arial" w:eastAsia="Arial" w:hAnsi="Arial"/>
          <w:sz w:val="16"/>
          <w:szCs w:val="16"/>
          <w:i w:val="1"/>
          <w:iCs w:val="1"/>
          <w:color w:val="auto"/>
        </w:rPr>
        <w:t xml:space="preserve"> </w:t>
      </w:r>
      <w:r>
        <w:rPr>
          <w:rFonts w:ascii="Arial" w:cs="Arial" w:eastAsia="Arial" w:hAnsi="Arial"/>
          <w:sz w:val="16"/>
          <w:szCs w:val="16"/>
          <w:color w:val="auto"/>
        </w:rPr>
        <w:t>Lender and the Administrative Agent, which may be given by telephone. Each such notice must be received by the relevant Swing Line Lender and the Administrative Agent not later than 2:00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of the Borrower. Promptly after receipt by the relevant Swing Line Lender of any Swing Line Loan Notice (by telephone or in writing), such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relevant Swing Line Lender has received notice (by telephone or in writing) from the Administrative Agent (including at the request of any Revolving Credit Lender) prior to 3:00 p.m. on the date of the proposed Swing Line Borrowing (A) directing such Swing Line Lender not to make such Swing Line Loan as a result of the</w:t>
      </w:r>
    </w:p>
    <w:p>
      <w:pPr>
        <w:sectPr>
          <w:pgSz w:w="11900" w:h="16941" w:orient="portrait"/>
          <w:cols w:equalWidth="0" w:num="1">
            <w:col w:w="11420"/>
          </w:cols>
          <w:pgMar w:left="240" w:top="125" w:right="239" w:bottom="0" w:gutter="0" w:footer="0" w:header="0"/>
        </w:sectPr>
      </w:pPr>
    </w:p>
    <w:bookmarkStart w:id="56" w:name="page57"/>
    <w:bookmarkEnd w:id="56"/>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limitations set forth in the first proviso to the first sentence of Section 2.04(a), or (B) that one or more of the applicable conditions specified in Section 4.02 is not then satisfied, then, subject to the terms and conditions hereof, the relevant Swing Line Lender will, not later than 4:00 p.m. on the borrowing date specified in such Swing Line Loan Notice, make the amount of its Swing Line Loan available to the Borrower.</w:t>
      </w:r>
    </w:p>
    <w:p>
      <w:pPr>
        <w:spacing w:after="0" w:line="181" w:lineRule="exact"/>
        <w:rPr>
          <w:sz w:val="20"/>
          <w:szCs w:val="20"/>
          <w:color w:val="auto"/>
        </w:rPr>
      </w:pPr>
    </w:p>
    <w:p>
      <w:pPr>
        <w:ind w:right="60" w:firstLine="1305"/>
        <w:spacing w:after="0" w:line="287" w:lineRule="auto"/>
        <w:tabs>
          <w:tab w:leader="none" w:pos="1955"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Refinancing of Swing Line Loans. </w:t>
      </w:r>
      <w:r>
        <w:rPr>
          <w:rFonts w:ascii="Arial" w:cs="Arial" w:eastAsia="Arial" w:hAnsi="Arial"/>
          <w:sz w:val="16"/>
          <w:szCs w:val="16"/>
          <w:color w:val="auto"/>
        </w:rPr>
        <w:t>(A) The Swing Line Lender at any time in its sole and absolute discretion may request, on</w:t>
      </w:r>
      <w:r>
        <w:rPr>
          <w:rFonts w:ascii="Arial" w:cs="Arial" w:eastAsia="Arial" w:hAnsi="Arial"/>
          <w:sz w:val="16"/>
          <w:szCs w:val="16"/>
          <w:i w:val="1"/>
          <w:iCs w:val="1"/>
          <w:color w:val="auto"/>
        </w:rPr>
        <w:t xml:space="preserve"> </w:t>
      </w:r>
      <w:r>
        <w:rPr>
          <w:rFonts w:ascii="Arial" w:cs="Arial" w:eastAsia="Arial" w:hAnsi="Arial"/>
          <w:sz w:val="16"/>
          <w:szCs w:val="16"/>
          <w:color w:val="auto"/>
        </w:rPr>
        <w:t>behalf the Borrower (which hereby irrevocably authorizes such Swing Line Lender to so request on its behalf), that each Revolving Credit Lender make a Base Rate Loan in an amount equal to such Lender’s Pro Rata Share of the amount of Swing Line Loans then outstanding. Such request shall be made in writing (which written request shall be deemed to be a Committed Loan Notice for purposes hereof) and in accordance with the requirements of Section 2.02, without regard to the minimum and multiples specified therein for the principal amount of Base Rate Loans, but subject to the unutilized portion of the aggregate Revolving Credit Commitments and the conditions set forth in Section 4.02. The relevant Swing Line Lender shall furnish the Borrower with a copy of the applicable Committed Loan Notice promptly after delivering such notice to the Administrative Agent. Each Revolving Credit Lender shall make an amount equal to its Pro Rata Share of the amount specified in such Committed Loan Notice available to the Administrative Agent in Same Day Funds for the account of the Swing Line Lender at the Administrative Agent’s Office not later than 4:00 p.m. on the day specified in such Committed Loan Notice, whereupon, subject to Section 2.04(c)(ii), each Revolving Credit Lender that so makes funds available shall be deemed to have made a Base Rate Loan, as applicable, to the Borrower in such amount. The Administrative Agent shall remit the funds so received to the Swing Line Lender.</w:t>
      </w:r>
    </w:p>
    <w:p>
      <w:pPr>
        <w:spacing w:after="0" w:line="173" w:lineRule="exact"/>
        <w:rPr>
          <w:sz w:val="20"/>
          <w:szCs w:val="20"/>
          <w:color w:val="auto"/>
        </w:rPr>
      </w:pPr>
    </w:p>
    <w:p>
      <w:pPr>
        <w:ind w:left="660" w:firstLine="645"/>
        <w:spacing w:after="0" w:line="257" w:lineRule="auto"/>
        <w:tabs>
          <w:tab w:leader="none" w:pos="197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for any reason any Swing Line Loan cannot be refinanced by such a Revolving Credit Borrowing in accordance with this Section 2.04(c)(i), the request for Base Rate Loans submitted by the relevant Swing Line Lender as set forth herein shall be deemed to be a request by such Swing Line Lender that each of the Revolving Credit Lenders fund its risk participation in the relevant Swing Line Loan and each Revolving Credit Lender’s payment to the Administrative Agent for the account of the Swing Line Lender pursuant to this Section 2.04(c)(i) shall be deemed payment in respect of such participation.</w:t>
      </w:r>
    </w:p>
    <w:p>
      <w:pPr>
        <w:spacing w:after="0" w:line="188" w:lineRule="exact"/>
        <w:rPr>
          <w:rFonts w:ascii="Arial" w:cs="Arial" w:eastAsia="Arial" w:hAnsi="Arial"/>
          <w:sz w:val="18"/>
          <w:szCs w:val="18"/>
          <w:color w:val="auto"/>
        </w:rPr>
      </w:pPr>
    </w:p>
    <w:p>
      <w:pPr>
        <w:ind w:left="660" w:right="120" w:firstLine="645"/>
        <w:spacing w:after="0" w:line="308" w:lineRule="auto"/>
        <w:tabs>
          <w:tab w:leader="none" w:pos="198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If any Revolving Credit Lender fails to make available to the Administrative Agent for the account of the Swing Line Lender any amount required to be paid by the Lender pursuant to the foregoing provisions of this Section 2.04(c) by the time specified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in Section 2.04(c)(i),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Federal Funds Rate from time to time in effect. A certificate of the Swing Line Lender submitted to any Lender (through the Administrative Agent) with respect to any amounts owing under this clause (ii) shall be conclusive absent manifest error.</w:t>
      </w:r>
    </w:p>
    <w:p>
      <w:pPr>
        <w:spacing w:after="0" w:line="188" w:lineRule="exact"/>
        <w:rPr>
          <w:sz w:val="20"/>
          <w:szCs w:val="20"/>
          <w:color w:val="auto"/>
        </w:rPr>
      </w:pPr>
    </w:p>
    <w:p>
      <w:pPr>
        <w:ind w:left="660" w:right="160" w:firstLine="645"/>
        <w:spacing w:after="0" w:line="285" w:lineRule="auto"/>
        <w:tabs>
          <w:tab w:leader="none" w:pos="199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to purchase and fund risk participations in Swing Line Loans pursuant to this Section 2.04(c)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Revolving Credit Lender’s obligation to make Revolving Credit Loans pursuant to this Section</w:t>
      </w:r>
    </w:p>
    <w:p>
      <w:pPr>
        <w:spacing w:after="0" w:line="2" w:lineRule="exact"/>
        <w:rPr>
          <w:rFonts w:ascii="Arial" w:cs="Arial" w:eastAsia="Arial" w:hAnsi="Arial"/>
          <w:sz w:val="16"/>
          <w:szCs w:val="16"/>
          <w:color w:val="auto"/>
        </w:rPr>
      </w:pPr>
    </w:p>
    <w:p>
      <w:pPr>
        <w:ind w:left="660" w:right="80"/>
        <w:spacing w:after="0" w:line="255" w:lineRule="auto"/>
        <w:rPr>
          <w:rFonts w:ascii="Arial" w:cs="Arial" w:eastAsia="Arial" w:hAnsi="Arial"/>
          <w:sz w:val="16"/>
          <w:szCs w:val="16"/>
          <w:color w:val="auto"/>
        </w:rPr>
      </w:pPr>
      <w:r>
        <w:rPr>
          <w:rFonts w:ascii="Arial" w:cs="Arial" w:eastAsia="Arial" w:hAnsi="Arial"/>
          <w:sz w:val="18"/>
          <w:szCs w:val="18"/>
          <w:color w:val="auto"/>
        </w:rPr>
        <w:t>2.04(c) (but not to purchase and fund risk participations in Swing Line Loans) is subject to the conditions set forth in Section 4.02. No such funding of risk participations shall relieve or otherwise impair the obligation of the Borrower to repay Swing Line Loans, together with interest as provided herein.</w:t>
      </w:r>
    </w:p>
    <w:p>
      <w:pPr>
        <w:spacing w:after="0" w:line="190" w:lineRule="exact"/>
        <w:rPr>
          <w:sz w:val="20"/>
          <w:szCs w:val="20"/>
          <w:color w:val="auto"/>
        </w:rPr>
      </w:pPr>
    </w:p>
    <w:p>
      <w:pPr>
        <w:ind w:right="20" w:firstLine="1305"/>
        <w:spacing w:after="0" w:line="279" w:lineRule="auto"/>
        <w:tabs>
          <w:tab w:leader="none" w:pos="1952"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Repayment of Participations. </w:t>
      </w:r>
      <w:r>
        <w:rPr>
          <w:rFonts w:ascii="Arial" w:cs="Arial" w:eastAsia="Arial" w:hAnsi="Arial"/>
          <w:sz w:val="17"/>
          <w:szCs w:val="17"/>
          <w:color w:val="auto"/>
        </w:rPr>
        <w:t>(i) At any time after any Revolving Credit Lender has purchased and funded a risk participation in a</w:t>
      </w:r>
      <w:r>
        <w:rPr>
          <w:rFonts w:ascii="Arial" w:cs="Arial" w:eastAsia="Arial" w:hAnsi="Arial"/>
          <w:sz w:val="17"/>
          <w:szCs w:val="17"/>
          <w:i w:val="1"/>
          <w:iCs w:val="1"/>
          <w:color w:val="auto"/>
        </w:rPr>
        <w:t xml:space="preserve"> </w:t>
      </w:r>
      <w:r>
        <w:rPr>
          <w:rFonts w:ascii="Arial" w:cs="Arial" w:eastAsia="Arial" w:hAnsi="Arial"/>
          <w:sz w:val="17"/>
          <w:szCs w:val="17"/>
          <w:color w:val="auto"/>
        </w:rPr>
        <w:t>Swing Line Loan, if the relevant Swing Line Lender receives any payment on account of such Swing Line Loan, such Swing Line Lender will distribute to such Lender its Pro Rata Share of such payment (appropriately adjusted, in the case of interest payments, to reflect the period of time during which such Lender’s risk participation was funded) in the same funds as those received by such Swing Line Lender.</w:t>
      </w:r>
    </w:p>
    <w:p>
      <w:pPr>
        <w:spacing w:after="0" w:line="171" w:lineRule="exact"/>
        <w:rPr>
          <w:rFonts w:ascii="Arial" w:cs="Arial" w:eastAsia="Arial" w:hAnsi="Arial"/>
          <w:sz w:val="17"/>
          <w:szCs w:val="17"/>
          <w:color w:val="auto"/>
        </w:rPr>
      </w:pPr>
    </w:p>
    <w:p>
      <w:pPr>
        <w:ind w:left="400" w:right="20" w:firstLine="1553"/>
        <w:spacing w:after="0" w:line="297" w:lineRule="auto"/>
        <w:tabs>
          <w:tab w:leader="none" w:pos="263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If any payment received by the Swing Line Lender in respect of principal or interest on any Swing Line Loan is required to be returned by the Swing Line Lender under any of the circumstances described in Section 10.05 (including pursuant to any settlement entered into by the Swing Line Lender in its discretion), each Revolving Credit Lender shall pay to the Swing Line Lender its Pro Rata Share thereof on demand of the Administrative Agent, plus interest thereon from the date of such demand to the date such amount is returned, at a rate per annum equal to the applicable Federal Funds Rate. The Administrative Agent will make such demand upon the request of a Swing Line Lender.</w:t>
      </w:r>
    </w:p>
    <w:p>
      <w:pPr>
        <w:spacing w:after="0" w:line="158" w:lineRule="exact"/>
        <w:rPr>
          <w:rFonts w:ascii="Arial" w:cs="Arial" w:eastAsia="Arial" w:hAnsi="Arial"/>
          <w:sz w:val="16"/>
          <w:szCs w:val="16"/>
          <w:color w:val="auto"/>
        </w:rPr>
      </w:pPr>
    </w:p>
    <w:p>
      <w:pPr>
        <w:jc w:val="both"/>
        <w:ind w:right="40" w:firstLine="1305"/>
        <w:spacing w:after="0" w:line="259" w:lineRule="auto"/>
        <w:tabs>
          <w:tab w:leader="none" w:pos="1955"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Interest for Account of Swing Line Lender. </w:t>
      </w:r>
      <w:r>
        <w:rPr>
          <w:rFonts w:ascii="Arial" w:cs="Arial" w:eastAsia="Arial" w:hAnsi="Arial"/>
          <w:sz w:val="18"/>
          <w:szCs w:val="18"/>
          <w:color w:val="auto"/>
        </w:rPr>
        <w:t>The Swing Line Lender shall be responsible for invoicing the Borrower for interest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Swing Line Loans. Until each Revolving Credit Lender funds its Base Rate Loan, Eurodollar Rate Loan or risk participation pursuant to this Section 2.04 to refinance such Lender’s Pro Rata Share of any Swing Line Loan, interest in respect of such Pro Rata Share shall be solely for the account of the Swing Line Lender.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305"/>
        <w:spacing w:after="0" w:line="277" w:lineRule="auto"/>
        <w:tabs>
          <w:tab w:leader="none" w:pos="1949"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Payments Directly to Swing Line Lender. </w:t>
      </w:r>
      <w:r>
        <w:rPr>
          <w:rFonts w:ascii="Arial" w:cs="Arial" w:eastAsia="Arial" w:hAnsi="Arial"/>
          <w:sz w:val="18"/>
          <w:szCs w:val="18"/>
          <w:color w:val="auto"/>
        </w:rPr>
        <w:t>The Borrower shall make all payments of principal and interest in respect of the Swing</w:t>
      </w:r>
      <w:r>
        <w:rPr>
          <w:rFonts w:ascii="Arial" w:cs="Arial" w:eastAsia="Arial" w:hAnsi="Arial"/>
          <w:sz w:val="18"/>
          <w:szCs w:val="18"/>
          <w:i w:val="1"/>
          <w:iCs w:val="1"/>
          <w:color w:val="auto"/>
        </w:rPr>
        <w:t xml:space="preserve"> </w:t>
      </w:r>
      <w:r>
        <w:rPr>
          <w:rFonts w:ascii="Arial" w:cs="Arial" w:eastAsia="Arial" w:hAnsi="Arial"/>
          <w:sz w:val="18"/>
          <w:szCs w:val="18"/>
          <w:color w:val="auto"/>
        </w:rPr>
        <w:t>Line Loans directly to the Swing Line Lender.</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5"/>
          <w:szCs w:val="15"/>
          <w:u w:val="single" w:color="auto"/>
          <w:color w:val="auto"/>
        </w:rPr>
        <w:t>Prepayments.</w:t>
      </w:r>
    </w:p>
    <w:p>
      <w:pPr>
        <w:spacing w:after="0" w:line="225" w:lineRule="exact"/>
        <w:rPr>
          <w:sz w:val="20"/>
          <w:szCs w:val="20"/>
          <w:color w:val="auto"/>
        </w:rPr>
      </w:pPr>
    </w:p>
    <w:p>
      <w:pPr>
        <w:ind w:firstLine="1305"/>
        <w:spacing w:after="0" w:line="291" w:lineRule="auto"/>
        <w:tabs>
          <w:tab w:leader="none" w:pos="1942"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 xml:space="preserve">Optional. </w:t>
      </w:r>
      <w:r>
        <w:rPr>
          <w:rFonts w:ascii="Arial" w:cs="Arial" w:eastAsia="Arial" w:hAnsi="Arial"/>
          <w:sz w:val="16"/>
          <w:szCs w:val="16"/>
          <w:color w:val="auto"/>
        </w:rPr>
        <w:t>(i) The Borrower may, upon notice to the Administrative Agent, at any time or from time to time voluntarily prepay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 Loans and Revolving Credit Loans in whole or in part without premium or penalty (except as provided in clause (iii)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notice must be received by the Administrative Agent not later than 2:00 p.m. (A) three (3) Business Days prior to any date of prepayment of Eurodollar Rate Loans and (B) on the date of prepayment of Base Rate Loans; (2) any prepayment of Eurodollar Rate Loans shall be in a minimum principal amount of $5,000,000 or a whole multiple of $1,000,000; and (3) any prepayment of Base Rate Loans shall be in a minimum principal amount of $500,000 or a whole multiple of $100,000 in excess thereof or, in each case, if less, the entire principal amount thereof then outstanding. Each such notice shall specify the date and amount of such prepayment and the Class(es) and Type(s) of Loans and the order of Borrowing(s) to be prepaid. The Administrative Agent will promptly</w:t>
      </w:r>
    </w:p>
    <w:p>
      <w:pPr>
        <w:sectPr>
          <w:pgSz w:w="11900" w:h="16932" w:orient="portrait"/>
          <w:cols w:equalWidth="0" w:num="1">
            <w:col w:w="11420"/>
          </w:cols>
          <w:pgMar w:left="240" w:top="125" w:right="239" w:bottom="0" w:gutter="0" w:footer="0" w:header="0"/>
        </w:sectPr>
      </w:pPr>
    </w:p>
    <w:bookmarkStart w:id="57" w:name="page58"/>
    <w:bookmarkEnd w:id="57"/>
    <w:p>
      <w:pPr>
        <w:spacing w:after="0" w:line="10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notify each Appropriate Lender of its receipt of each such notice, and of the amount of such Lender’s Pro Rata Share of such prepayment. If such notice is given by the Borrower, the Borrower shall make such prepayment and the payment amount specified in such notice shall be due and payable on the date specified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may rescind any notice of prepayment under this Section 2.05(a) if such prepayment would have resulted from a refinancing or other repayment of all of the Facility or other transaction, which refinancing or transaction shall not be consummated or shall otherwise be delayed. Any prepayment of a Eurodollar Rate Loan shall be accompanied by all accrued interest thereon, together with any additional amounts required pursuant to Section 3.05. In the case of each prepayment of the Loans pursuant to this Section 2.05(a)(i), the Borrower may in its sole discretion select the Borrowing or Borrowings (and the order of maturity of principal payments) to be repaid, and such payment shall be paid to the Appropriate Lenders in accordance with their respective Pro Rata Shares.</w:t>
      </w:r>
    </w:p>
    <w:p>
      <w:pPr>
        <w:spacing w:after="0" w:line="179" w:lineRule="exact"/>
        <w:rPr>
          <w:sz w:val="20"/>
          <w:szCs w:val="20"/>
          <w:color w:val="auto"/>
        </w:rPr>
      </w:pPr>
    </w:p>
    <w:p>
      <w:pPr>
        <w:ind w:left="400" w:firstLine="1553"/>
        <w:spacing w:after="0" w:line="290" w:lineRule="auto"/>
        <w:tabs>
          <w:tab w:leader="none" w:pos="263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The Borrower may, upon notice to the Swing Line Lender (with a copy to the Administrative Agent), at any time or from time to time, voluntarily prepay Swing Line Loans in whole or in part without premium or penalty; provided that (1) such notice must be received by the Swing Line Lender and the Administrative Agent not later than 3:00 p.m. on the date of the prepayment, and (2) any such prepayment shall be in a minimum principal amount of $100,000 or a whole multiple of $100,000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may rescind any notice of prepayment under this Section 2.05(a)(ii) if such prepayment would have resulted from a refinancing of all of the Facility or other transaction, which refinancing or transaction shall not be consummated or shall otherwise be delayed.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right="40" w:firstLine="1553"/>
        <w:spacing w:after="0" w:line="257" w:lineRule="auto"/>
        <w:tabs>
          <w:tab w:leader="none" w:pos="264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 the event that, on or prior to the date that is six months following the Closing Date, the Borrower (x) makes any prepayment of Term Loans in connection with any Repricing Transaction, or (y) effects any amendment of this Agreement resulting in a Repricing Transaction, the Borrower shall pay to the Administrative Agent, for the ratable account of each Term Lender, (I) in the case of clause (x), a prepayment premium of 1% of the amount of the Term Loans being prepaid and (II) in the case of clause (y), a payment equal to 1% of the aggregate amount of the Term Loans outstanding immediately prior to such amendment that have been repriced.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Mandatory.</w:t>
      </w:r>
    </w:p>
    <w:p>
      <w:pPr>
        <w:spacing w:after="0" w:line="225" w:lineRule="exact"/>
        <w:rPr>
          <w:rFonts w:ascii="Arial" w:cs="Arial" w:eastAsia="Arial" w:hAnsi="Arial"/>
          <w:sz w:val="18"/>
          <w:szCs w:val="18"/>
          <w:color w:val="auto"/>
        </w:rPr>
      </w:pPr>
    </w:p>
    <w:p>
      <w:pPr>
        <w:ind w:left="400" w:right="20" w:firstLine="1553"/>
        <w:spacing w:after="0" w:line="285" w:lineRule="auto"/>
        <w:tabs>
          <w:tab w:leader="none" w:pos="2625"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If (1) the Borrower or any Restricted Subsidiary Disposes of any property or assets (other than (x) any Disposition of any property or assets permitted by Section 7.04 (excluding Section 7.04(o)) or (y) any Disposition of equity interests of Amber Holding or acquisition of shares of Capital Stock of the Borrower acquired in the Stock Buy-Back) or (2) any Casualty Event occurs, which results in the realization or receipt by the Borrower or Restricted Subsidiary of Net Proceeds in excess of $75,000,000, the Borrower shall cause to be prepaid on or prior to the date which is ten (10) Business Days after the date of the realization or receipt by the Borrower or Restricted Subsidiary of such Net Proceeds an aggregate amount of Term Loans in an amount equal to 100% of all Net Proceeds received;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the time that any such prepayment would be required, the Borrowers (or any Restricted Subsidiary) are required to offer to repurchase Permitted Pari Passu Secured Refinancing Debt (or any Refinancing Indebtedness in respect thereof 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Obligations) pursuant to the terms of the documentation governing such Indebtedness with the net proceeds of such Disposition or Casualty Event (such Permitted Pari Passu Secured Refinancing Debt (or any Refinancing Indebtedness in respect thereof) required to be offered to be so repurchased, “</w:t>
      </w:r>
      <w:r>
        <w:rPr>
          <w:rFonts w:ascii="Arial" w:cs="Arial" w:eastAsia="Arial" w:hAnsi="Arial"/>
          <w:sz w:val="16"/>
          <w:szCs w:val="16"/>
          <w:b w:val="1"/>
          <w:bCs w:val="1"/>
          <w:color w:val="auto"/>
        </w:rPr>
        <w:t>Other Applicable Indebtedness</w:t>
      </w:r>
      <w:r>
        <w:rPr>
          <w:rFonts w:ascii="Arial" w:cs="Arial" w:eastAsia="Arial" w:hAnsi="Arial"/>
          <w:sz w:val="16"/>
          <w:szCs w:val="16"/>
          <w:color w:val="auto"/>
        </w:rPr>
        <w:t xml:space="preserve">”), then the Borrowers (or any Restricted Subsidiary) may apply such Net Proceeds on a pro rata basis (determined on the basis of the aggregate outstanding principal amount of the Term Loans and Other Applicable Indebtedness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Section 2.05(b)(i) shall be reduced accordingly;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to the extent the holders of Other Applicable Indebtedness decline to have such indebtedness repurchased or prepaid, the declined amount shall promptly (and in any event within ten (10) Business Days after the date of such rejection) be applied to prepay the Term Loans in accordance with the terms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prepayment shall be required pursuant to this Section 2.05(b)(i) with respect to such portion of such Net Proceeds that the Borrower shall have reinvested (or entered into a binding commitment to reinvest) in accordance with the definition of “Net Proceeds.”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right="140" w:firstLine="1553"/>
        <w:spacing w:after="0" w:line="257" w:lineRule="auto"/>
        <w:tabs>
          <w:tab w:leader="none" w:pos="263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any Loan Party or any Restricted Subsidiary of a Loan Party incurs or issues any Indebtedness after the Closing Date (other than, in the case of the Borrower or any Restricted Subsidiary, Indebtedness not prohibited under Section 7.02), including Credit Agreement Refinancing Indebtedness, the Borrower shall cause to be prepaid an aggregate amount of Term Loans in an amount equal to 100% of all Net Proceeds received therefrom on or prior to the date which is five (5) Business Days after the receipt by such Loan Party or Restricted Subsidiary of such Net Proceeds.</w:t>
      </w:r>
    </w:p>
    <w:p>
      <w:pPr>
        <w:spacing w:after="0" w:line="188" w:lineRule="exact"/>
        <w:rPr>
          <w:rFonts w:ascii="Arial" w:cs="Arial" w:eastAsia="Arial" w:hAnsi="Arial"/>
          <w:sz w:val="18"/>
          <w:szCs w:val="18"/>
          <w:color w:val="auto"/>
        </w:rPr>
      </w:pPr>
    </w:p>
    <w:p>
      <w:pPr>
        <w:ind w:left="400" w:right="40" w:firstLine="1553"/>
        <w:spacing w:after="0" w:line="276" w:lineRule="auto"/>
        <w:tabs>
          <w:tab w:leader="none" w:pos="264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If for any reason the aggregate Revolving Credit Exposures at any time exceeds the aggregate Revolving Credit Commitments then in effect, the Borrower shall promptly prepay or cause to be promptly prepaid Revolving Credit Loans and Swing Line Loans and/or Cash Collateralize the L/C Obligations in an aggregate amount equal to such excess;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required to Cash Collateralize the L/C Obligations pursuant to this Section 2.05(b)(iii) unless after the prepayment in full of the Revolving Credit Loans and Swing Line Loans such aggregate Outstanding Amount exceeds the aggregate Revolving Credit Commitments then in effect.</w:t>
      </w:r>
    </w:p>
    <w:p>
      <w:pPr>
        <w:spacing w:after="0" w:line="172" w:lineRule="exact"/>
        <w:rPr>
          <w:rFonts w:ascii="Arial" w:cs="Arial" w:eastAsia="Arial" w:hAnsi="Arial"/>
          <w:sz w:val="17"/>
          <w:szCs w:val="17"/>
          <w:color w:val="auto"/>
        </w:rPr>
      </w:pPr>
    </w:p>
    <w:p>
      <w:pPr>
        <w:ind w:left="400" w:right="80" w:firstLine="1553"/>
        <w:spacing w:after="0" w:line="259" w:lineRule="auto"/>
        <w:tabs>
          <w:tab w:leader="none" w:pos="262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prepayment of Term Loans pursuant to this Section 2.05(b) shall be applied in direct order of maturity to repayments thereof required pursuant to Section 2.07(a); and each such prepayment shall be paid to the Lenders in accordance with their respective Pro Rata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prepayment of Term Loans with the Net Proceeds of Credit Agreement Refinancing Indebtedness shall be applied solely to each applicable Class of Refinanced Debt), subject to clause (vii) of this Section 2.05(b).</w:t>
      </w:r>
    </w:p>
    <w:p>
      <w:pPr>
        <w:spacing w:after="0" w:line="186" w:lineRule="exact"/>
        <w:rPr>
          <w:rFonts w:ascii="Arial" w:cs="Arial" w:eastAsia="Arial" w:hAnsi="Arial"/>
          <w:sz w:val="18"/>
          <w:szCs w:val="18"/>
          <w:color w:val="auto"/>
        </w:rPr>
      </w:pPr>
    </w:p>
    <w:p>
      <w:pPr>
        <w:ind w:left="400" w:right="160" w:firstLine="1553"/>
        <w:spacing w:after="0" w:line="302" w:lineRule="auto"/>
        <w:tabs>
          <w:tab w:leader="none" w:pos="261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Borrower shall notify the Administrative Agent in writing of any mandatory prepayment of Term Loans required to be made pursuant to clauses (i) through (iii) of this Section 2.05(b) at least three (3) Business Days prior to the date of such prepayment. Each such notice shall specify the date of such prepayment and provide a reasonably detailed calculation of the amount of such prepayment. The Administrative Agent will promptly notify each Appropriate Lender of the contents of the Borrower’s prepayment notice and of such Appropriate Lender’s Pro Rata</w:t>
      </w:r>
    </w:p>
    <w:p>
      <w:pPr>
        <w:sectPr>
          <w:pgSz w:w="11900" w:h="16945" w:orient="portrait"/>
          <w:cols w:equalWidth="0" w:num="1">
            <w:col w:w="11400"/>
          </w:cols>
          <w:pgMar w:left="240" w:top="125" w:right="259" w:bottom="0" w:gutter="0" w:footer="0" w:header="0"/>
        </w:sectPr>
      </w:pPr>
    </w:p>
    <w:bookmarkStart w:id="58" w:name="page59"/>
    <w:bookmarkEnd w:id="58"/>
    <w:p>
      <w:pPr>
        <w:spacing w:after="0" w:line="36" w:lineRule="exact"/>
        <w:rPr>
          <w:sz w:val="20"/>
          <w:szCs w:val="20"/>
          <w:color w:val="auto"/>
        </w:rPr>
      </w:pPr>
    </w:p>
    <w:p>
      <w:pPr>
        <w:ind w:left="400"/>
        <w:spacing w:after="0" w:line="271" w:lineRule="auto"/>
        <w:rPr>
          <w:sz w:val="20"/>
          <w:szCs w:val="20"/>
          <w:color w:val="auto"/>
        </w:rPr>
      </w:pPr>
      <w:r>
        <w:rPr>
          <w:rFonts w:ascii="Arial" w:cs="Arial" w:eastAsia="Arial" w:hAnsi="Arial"/>
          <w:sz w:val="17"/>
          <w:szCs w:val="17"/>
          <w:color w:val="auto"/>
        </w:rPr>
        <w:t>Share of the prepayment. Each Term Lender may reject all or a portion of its Pro Rata Share of any mandatory prepayment (such declined amounts, the “</w:t>
      </w:r>
      <w:r>
        <w:rPr>
          <w:rFonts w:ascii="Arial" w:cs="Arial" w:eastAsia="Arial" w:hAnsi="Arial"/>
          <w:sz w:val="17"/>
          <w:szCs w:val="17"/>
          <w:b w:val="1"/>
          <w:bCs w:val="1"/>
          <w:color w:val="auto"/>
        </w:rPr>
        <w:t>Declined Proceeds</w:t>
      </w:r>
      <w:r>
        <w:rPr>
          <w:rFonts w:ascii="Arial" w:cs="Arial" w:eastAsia="Arial" w:hAnsi="Arial"/>
          <w:sz w:val="17"/>
          <w:szCs w:val="17"/>
          <w:color w:val="auto"/>
        </w:rPr>
        <w:t>”) of Term Loans required to be made pursuant to clauses (i) through (iii) of this Section 2.05(b) by providing written notice (each, a “</w:t>
      </w:r>
      <w:r>
        <w:rPr>
          <w:rFonts w:ascii="Arial" w:cs="Arial" w:eastAsia="Arial" w:hAnsi="Arial"/>
          <w:sz w:val="17"/>
          <w:szCs w:val="17"/>
          <w:b w:val="1"/>
          <w:bCs w:val="1"/>
          <w:color w:val="auto"/>
        </w:rPr>
        <w:t>Rejection Notice</w:t>
      </w:r>
      <w:r>
        <w:rPr>
          <w:rFonts w:ascii="Arial" w:cs="Arial" w:eastAsia="Arial" w:hAnsi="Arial"/>
          <w:sz w:val="17"/>
          <w:szCs w:val="17"/>
          <w:color w:val="auto"/>
        </w:rPr>
        <w:t>”) to the Administrative Agent and the Borrower no later than 5:00 p.m. one Business Day after the date of such Lender’s receipt of notice from the Administrative Agent regarding such prepayment. Each Rejection Notice from a given Lender shall specify the principal amount of the mandatory repayment of Term Loans to be rejected by such Lender. If a Term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remaining thereafter shall be retained by the Borrower to the extent permitted by the Senior Notes Indenture.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right="80" w:firstLine="1553"/>
        <w:spacing w:after="0" w:line="270" w:lineRule="auto"/>
        <w:tabs>
          <w:tab w:leader="none" w:pos="2621"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t xml:space="preserve">Funding Losses, Etc. </w:t>
      </w:r>
      <w:r>
        <w:rPr>
          <w:rFonts w:ascii="Arial" w:cs="Arial" w:eastAsia="Arial" w:hAnsi="Arial"/>
          <w:sz w:val="17"/>
          <w:szCs w:val="17"/>
          <w:color w:val="auto"/>
        </w:rPr>
        <w:t>All prepayments under this Section 2.05 shall be made together with, in the case of any such</w:t>
      </w:r>
      <w:r>
        <w:rPr>
          <w:rFonts w:ascii="Arial" w:cs="Arial" w:eastAsia="Arial" w:hAnsi="Arial"/>
          <w:sz w:val="17"/>
          <w:szCs w:val="17"/>
          <w:i w:val="1"/>
          <w:iCs w:val="1"/>
          <w:color w:val="auto"/>
        </w:rPr>
        <w:t xml:space="preserve"> </w:t>
      </w:r>
      <w:r>
        <w:rPr>
          <w:rFonts w:ascii="Arial" w:cs="Arial" w:eastAsia="Arial" w:hAnsi="Arial"/>
          <w:sz w:val="17"/>
          <w:szCs w:val="17"/>
          <w:color w:val="auto"/>
        </w:rPr>
        <w:t>prepayment of a Eurodollar Rate Loan on a date other than the last day of an Interest Period therefor, any amounts owing in respect of such Eurodollar Rate Loan pursuant to Section 3.05. Notwithstanding any of the other provisions of this Section 2.05(b), so long as no Event of Default shall have occurred and be continuing, if any prepayment of Eurodollar Rate Loans is required to be made under this Section 2.05(b), other than on the last day of the Interest Period therefor, the Borrower may, in its sole discretion, deposit the amount of any such prepayment otherwise required to be made thereunder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Section 2.05(b).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this Section 2.05(b).</w:t>
      </w:r>
    </w:p>
    <w:p>
      <w:pPr>
        <w:spacing w:after="0" w:line="177" w:lineRule="exact"/>
        <w:rPr>
          <w:rFonts w:ascii="Arial" w:cs="Arial" w:eastAsia="Arial" w:hAnsi="Arial"/>
          <w:sz w:val="17"/>
          <w:szCs w:val="17"/>
          <w:color w:val="auto"/>
        </w:rPr>
      </w:pPr>
    </w:p>
    <w:p>
      <w:pPr>
        <w:ind w:left="400" w:right="40" w:firstLine="1553"/>
        <w:spacing w:after="0" w:line="283" w:lineRule="auto"/>
        <w:tabs>
          <w:tab w:leader="none" w:pos="263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2.05, (i) to the extent that any of or all the Net Proceeds of any Disposition by a Foreign Subsidiary (“</w:t>
      </w:r>
      <w:r>
        <w:rPr>
          <w:rFonts w:ascii="Arial" w:cs="Arial" w:eastAsia="Arial" w:hAnsi="Arial"/>
          <w:sz w:val="16"/>
          <w:szCs w:val="16"/>
          <w:b w:val="1"/>
          <w:bCs w:val="1"/>
          <w:color w:val="auto"/>
        </w:rPr>
        <w:t>Foreign Disposition</w:t>
      </w:r>
      <w:r>
        <w:rPr>
          <w:rFonts w:ascii="Arial" w:cs="Arial" w:eastAsia="Arial" w:hAnsi="Arial"/>
          <w:sz w:val="16"/>
          <w:szCs w:val="16"/>
          <w:color w:val="auto"/>
        </w:rPr>
        <w:t>”) or the Net Proceeds of any Casualty Event from a Foreign Subsidiary (a “</w:t>
      </w:r>
      <w:r>
        <w:rPr>
          <w:rFonts w:ascii="Arial" w:cs="Arial" w:eastAsia="Arial" w:hAnsi="Arial"/>
          <w:sz w:val="16"/>
          <w:szCs w:val="16"/>
          <w:b w:val="1"/>
          <w:bCs w:val="1"/>
          <w:color w:val="auto"/>
        </w:rPr>
        <w:t>Foreign</w:t>
      </w:r>
      <w:r>
        <w:rPr>
          <w:rFonts w:ascii="Arial" w:cs="Arial" w:eastAsia="Arial" w:hAnsi="Arial"/>
          <w:sz w:val="16"/>
          <w:szCs w:val="16"/>
          <w:color w:val="auto"/>
        </w:rPr>
        <w:t xml:space="preserve"> </w:t>
      </w:r>
      <w:r>
        <w:rPr>
          <w:rFonts w:ascii="Arial" w:cs="Arial" w:eastAsia="Arial" w:hAnsi="Arial"/>
          <w:sz w:val="16"/>
          <w:szCs w:val="16"/>
          <w:b w:val="1"/>
          <w:bCs w:val="1"/>
          <w:color w:val="auto"/>
        </w:rPr>
        <w:t>Casualty Event</w:t>
      </w:r>
      <w:r>
        <w:rPr>
          <w:rFonts w:ascii="Arial" w:cs="Arial" w:eastAsia="Arial" w:hAnsi="Arial"/>
          <w:sz w:val="16"/>
          <w:szCs w:val="16"/>
          <w:color w:val="auto"/>
        </w:rPr>
        <w:t>”) are prohibited or delayed by applicable local law from being repatriated to the United States, the portion of such Net Proceeds so</w:t>
      </w:r>
      <w:r>
        <w:rPr>
          <w:rFonts w:ascii="Arial" w:cs="Arial" w:eastAsia="Arial" w:hAnsi="Arial"/>
          <w:sz w:val="16"/>
          <w:szCs w:val="16"/>
          <w:b w:val="1"/>
          <w:bCs w:val="1"/>
          <w:color w:val="auto"/>
        </w:rPr>
        <w:t xml:space="preserve"> </w:t>
      </w:r>
      <w:r>
        <w:rPr>
          <w:rFonts w:ascii="Arial" w:cs="Arial" w:eastAsia="Arial" w:hAnsi="Arial"/>
          <w:sz w:val="16"/>
          <w:szCs w:val="16"/>
          <w:color w:val="auto"/>
        </w:rPr>
        <w:t>affected will not be required to be applied to repay Term Loans at the times provided in this Section 2.05(b) but may be retained by the applicable Foreign Subsidiary so long, but only so long, as the applicable local law will not permit repatriation to the United States, and once such repatriation of any of such affected Net Proceeds is permitted under the applicable local law, such repatriation will be promptly effected and an amount equal to such repatriated Net Proceeds will be promptly applied (net of additional taxes payable or reserved against as a result thereof) to the repayment of the Term Loans pursuant to this Section 2.05(b) to the extent provided herein and (ii) to the extent that the Borrower has determined in good faith that repatriation of any of or all the Net Proceeds of any Foreign Disposition or any Foreign Casualty Event would have adverse tax consequences with respect to such Net Proceeds, such Net Cash Proceeds so affected will not be required to be applied to repay Term Loans at the times provided in this</w:t>
      </w:r>
    </w:p>
    <w:p>
      <w:pPr>
        <w:spacing w:after="0" w:line="5"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Section 2.05(b) but may be retained by the applicable Foreign Subsidiary.</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Termination or Reduction of Commitments.</w:t>
      </w:r>
    </w:p>
    <w:p>
      <w:pPr>
        <w:spacing w:after="0" w:line="225" w:lineRule="exact"/>
        <w:rPr>
          <w:sz w:val="20"/>
          <w:szCs w:val="20"/>
          <w:color w:val="auto"/>
        </w:rPr>
      </w:pPr>
    </w:p>
    <w:p>
      <w:pPr>
        <w:ind w:right="20" w:firstLine="1305"/>
        <w:spacing w:after="0" w:line="297" w:lineRule="auto"/>
        <w:tabs>
          <w:tab w:leader="none" w:pos="1942"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 xml:space="preserve">Optional. </w:t>
      </w:r>
      <w:r>
        <w:rPr>
          <w:rFonts w:ascii="Arial" w:cs="Arial" w:eastAsia="Arial" w:hAnsi="Arial"/>
          <w:sz w:val="16"/>
          <w:szCs w:val="16"/>
          <w:color w:val="auto"/>
        </w:rPr>
        <w:t>The Borrower may, upon notice to the Administrative Agent, terminate the Revolving Credit Facility, the Letter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 Sublimit or the Swing Line Sublimit, or from time to time permanently reduce the Revolving Credit Facility, the Letter of Credit Sublimit or the Swing Line Sublimit;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such notice shall be received by the Administrative Agent not later than 2:00 p.m. three Business Days prior to the date of termination or reduction, (ii) any such partial reduction shall be in an aggregate amount of $10,000,000 or any whole multiple of $1,000,000 in excess thereof and (iii) the Borrower shall not terminate or reduce (A) the Revolving Credit Facility if, after giving effect thereto and to any concurrent prepayments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Letter of Credit Sublimit.</w:t>
      </w:r>
    </w:p>
    <w:p>
      <w:pPr>
        <w:spacing w:after="0" w:line="187" w:lineRule="exact"/>
        <w:rPr>
          <w:sz w:val="20"/>
          <w:szCs w:val="20"/>
          <w:color w:val="auto"/>
        </w:rPr>
      </w:pPr>
    </w:p>
    <w:p>
      <w:pPr>
        <w:ind w:right="100" w:firstLine="1305"/>
        <w:spacing w:after="0" w:line="255" w:lineRule="auto"/>
        <w:tabs>
          <w:tab w:leader="none" w:pos="1952"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Application of Commitment Reductions; Payment of Fees. </w:t>
      </w:r>
      <w:r>
        <w:rPr>
          <w:rFonts w:ascii="Arial" w:cs="Arial" w:eastAsia="Arial" w:hAnsi="Arial"/>
          <w:sz w:val="18"/>
          <w:szCs w:val="18"/>
          <w:color w:val="auto"/>
        </w:rPr>
        <w:t>The Administrative Agent will promptly notify the Lenders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or reduction of unused portions of the Letter of Credit Sublimit or the Swing Line Sublimit or the unused Commitments of any Class under this Section 2.06. Upon any reduction of unused Commitments of any Class, the Commitment of each Lender of such Class shall be reduced by such Lender’s Pro Rata Share of the amount by which such Commitments are reduced (other than the termination of the Commitment of any Lender as provided in Section 10.13). All commitment fees accrued until the effective date of any termination of the Aggregate Commitments shall be paid on the effective date of such termination.</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Repayment of Loans.</w:t>
      </w:r>
    </w:p>
    <w:p>
      <w:pPr>
        <w:spacing w:after="0" w:line="225" w:lineRule="exact"/>
        <w:rPr>
          <w:sz w:val="20"/>
          <w:szCs w:val="20"/>
          <w:color w:val="auto"/>
        </w:rPr>
      </w:pPr>
    </w:p>
    <w:p>
      <w:pPr>
        <w:ind w:right="20" w:firstLine="1305"/>
        <w:spacing w:after="0" w:line="257" w:lineRule="auto"/>
        <w:tabs>
          <w:tab w:leader="none" w:pos="1942"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The Borrower shall repay to the Administrative Agent for the ratable account of the Term Lenders (i) on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 of each March, June, September and December, commencing with the first full fiscal quarter after Closing Date, an aggregate amount equal to 0.25% of the aggregate principal amount of all Term Loans outstanding on the Closing Date (which payments shall be reduced as a result of the application of prepayments in accordance with the order of priority set forth in Section 2.05) and (ii) on the Maturity Date for the Term Loans, the aggregate principal amount of all Term Loans outstanding on such date.</w:t>
      </w:r>
    </w:p>
    <w:p>
      <w:pPr>
        <w:spacing w:after="0" w:line="188" w:lineRule="exact"/>
        <w:rPr>
          <w:rFonts w:ascii="Arial" w:cs="Arial" w:eastAsia="Arial" w:hAnsi="Arial"/>
          <w:sz w:val="18"/>
          <w:szCs w:val="18"/>
          <w:color w:val="auto"/>
        </w:rPr>
      </w:pPr>
    </w:p>
    <w:p>
      <w:pPr>
        <w:ind w:right="140" w:firstLine="1305"/>
        <w:spacing w:after="0" w:line="264" w:lineRule="auto"/>
        <w:tabs>
          <w:tab w:leader="none" w:pos="1952"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Revolving Credit Loans. </w:t>
      </w:r>
      <w:r>
        <w:rPr>
          <w:rFonts w:ascii="Arial" w:cs="Arial" w:eastAsia="Arial" w:hAnsi="Arial"/>
          <w:sz w:val="18"/>
          <w:szCs w:val="18"/>
          <w:color w:val="auto"/>
        </w:rPr>
        <w:t>Each Borrower shall repay to the Administrative Agent for the ratable account of the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on the Maturity Date for each Revolving Credit Facility the aggregate principal amount of all of the Borrower’s Revolving Credit Loans under such Facility outstanding on such date.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56"/>
        </w:numPr>
        <w:rPr>
          <w:rFonts w:ascii="Arial" w:cs="Arial" w:eastAsia="Arial" w:hAnsi="Arial"/>
          <w:sz w:val="17"/>
          <w:szCs w:val="17"/>
          <w:color w:val="auto"/>
        </w:rPr>
      </w:pPr>
      <w:r>
        <w:rPr>
          <w:rFonts w:ascii="Arial" w:cs="Arial" w:eastAsia="Arial" w:hAnsi="Arial"/>
          <w:sz w:val="17"/>
          <w:szCs w:val="17"/>
          <w:i w:val="1"/>
          <w:iCs w:val="1"/>
          <w:color w:val="auto"/>
        </w:rPr>
        <w:t xml:space="preserve">Swing Line Loans. </w:t>
      </w:r>
      <w:r>
        <w:rPr>
          <w:rFonts w:ascii="Arial" w:cs="Arial" w:eastAsia="Arial" w:hAnsi="Arial"/>
          <w:sz w:val="17"/>
          <w:szCs w:val="17"/>
          <w:color w:val="auto"/>
        </w:rPr>
        <w:t>The Borrower shall repay the aggregate principal amount of its Swing Line Loans on the earlier to occur of</w:t>
      </w:r>
    </w:p>
    <w:p>
      <w:pPr>
        <w:spacing w:after="0" w:line="34" w:lineRule="exact"/>
        <w:rPr>
          <w:rFonts w:ascii="Arial" w:cs="Arial" w:eastAsia="Arial" w:hAnsi="Arial"/>
          <w:sz w:val="17"/>
          <w:szCs w:val="17"/>
          <w:color w:val="auto"/>
        </w:rPr>
      </w:pPr>
    </w:p>
    <w:p>
      <w:pPr>
        <w:ind w:left="220" w:hanging="212"/>
        <w:spacing w:after="0"/>
        <w:tabs>
          <w:tab w:leader="none" w:pos="2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date five (5) Business Days after such Loan is made and (ii) the Maturity Date for the Revolving Credit Facility.</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Interest.</w:t>
      </w:r>
    </w:p>
    <w:p>
      <w:pPr>
        <w:sectPr>
          <w:pgSz w:w="11900" w:h="16874" w:orient="portrait"/>
          <w:cols w:equalWidth="0" w:num="1">
            <w:col w:w="11420"/>
          </w:cols>
          <w:pgMar w:left="240" w:top="125" w:right="239" w:bottom="0" w:gutter="0" w:footer="0" w:header="0"/>
        </w:sectPr>
      </w:pPr>
    </w:p>
    <w:bookmarkStart w:id="59" w:name="page60"/>
    <w:bookmarkEnd w:id="59"/>
    <w:p>
      <w:pPr>
        <w:spacing w:after="0" w:line="114" w:lineRule="exact"/>
        <w:rPr>
          <w:sz w:val="20"/>
          <w:szCs w:val="20"/>
          <w:color w:val="auto"/>
        </w:rPr>
      </w:pPr>
    </w:p>
    <w:p>
      <w:pPr>
        <w:ind w:right="140" w:firstLine="1305"/>
        <w:spacing w:after="0" w:line="276" w:lineRule="auto"/>
        <w:tabs>
          <w:tab w:leader="none" w:pos="194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Subject to the provisions of Section 2.08(b), (i) each Eurodollar Rate Loan shall bear interest on the outstanding principal amount thereof for each Interest Period at a rate per annum equal to the Eurodollar Rate for such Interest Period plus the Applicable Rate; (ii) each Base Rate Loan shall bear interest on the outstanding principal amount thereof from the applicable borrowing date at a rate per annum equal to the Base Rate plus the Applicable Rate; and (iii) each Swing Line Loan shall bear interest on the outstanding principal amount thereof from the applicable borrowing date at a rate per annum equal to the Base Rate plus the Applicable Rate for Revolving Credit Loans.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firstLine="1305"/>
        <w:spacing w:after="0" w:line="264" w:lineRule="auto"/>
        <w:tabs>
          <w:tab w:leader="none" w:pos="19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1" w:lineRule="exact"/>
        <w:rPr>
          <w:sz w:val="20"/>
          <w:szCs w:val="20"/>
          <w:color w:val="auto"/>
        </w:rPr>
      </w:pPr>
    </w:p>
    <w:p>
      <w:pPr>
        <w:ind w:left="660" w:right="240" w:firstLine="645"/>
        <w:spacing w:after="0" w:line="259" w:lineRule="auto"/>
        <w:tabs>
          <w:tab w:leader="none" w:pos="198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8" w:lineRule="exact"/>
        <w:rPr>
          <w:sz w:val="20"/>
          <w:szCs w:val="20"/>
          <w:color w:val="auto"/>
        </w:rPr>
      </w:pPr>
    </w:p>
    <w:p>
      <w:pPr>
        <w:ind w:right="100" w:firstLine="1305"/>
        <w:spacing w:after="0" w:line="264" w:lineRule="auto"/>
        <w:tabs>
          <w:tab w:leader="none" w:pos="19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u w:val="single" w:color="auto"/>
          <w:color w:val="auto"/>
        </w:rPr>
        <w:t>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certain fees described in Sections 2.03(h) and (i):</w:t>
      </w:r>
    </w:p>
    <w:p>
      <w:pPr>
        <w:spacing w:after="0" w:line="225" w:lineRule="exact"/>
        <w:rPr>
          <w:sz w:val="20"/>
          <w:szCs w:val="20"/>
          <w:color w:val="auto"/>
        </w:rPr>
      </w:pPr>
    </w:p>
    <w:p>
      <w:pPr>
        <w:ind w:firstLine="1305"/>
        <w:spacing w:after="0" w:line="286" w:lineRule="auto"/>
        <w:tabs>
          <w:tab w:leader="none" w:pos="1942"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Commitment Fee. </w:t>
      </w:r>
      <w:r>
        <w:rPr>
          <w:rFonts w:ascii="Arial" w:cs="Arial" w:eastAsia="Arial" w:hAnsi="Arial"/>
          <w:sz w:val="16"/>
          <w:szCs w:val="16"/>
          <w:color w:val="auto"/>
        </w:rPr>
        <w:t>The Borrower agrees to pay to the Administrative Agent for the account of each Revolving Credit Lender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each Facility in accordance with its Pro Rata Share, a commitment fee equal to the Applicable Rate with respect to the Revolving Credit Loan commitment fees times the actual daily amount by which the aggregate Revolving Credit Commitment exceeds the sum of (A) the Outstanding Amount of Revolving Credit Loans and (B) the Outstanding Amount of L/C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commitment fee shall accrue on any of the Commitments of a Defaulting Lender so long as such Lender shall be a Defaulting Lender. The commitment fee on each Revolving Credit Facility shall accrue at all times from the Closing Date until the Maturity Date for the applicable Revolving Credit Facility, including at any time during which one or more of the conditions in Article IV is not met, and shall be due and payable quarterly in arrears on the last Business Day of each March, June, September and December, commencing with the first such date to occur after the Closing Date, and on the Maturity Date for each Revolving Credit Facility.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the avoidance of doubt, the Outstanding Amount of Swing Line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Loans shall not be counted towards or considered usage of the Aggregate Commitments for purposes of determining the commitment fee.</w:t>
      </w:r>
    </w:p>
    <w:p>
      <w:pPr>
        <w:spacing w:after="0" w:line="225" w:lineRule="exact"/>
        <w:rPr>
          <w:sz w:val="20"/>
          <w:szCs w:val="20"/>
          <w:color w:val="auto"/>
        </w:rPr>
      </w:pPr>
    </w:p>
    <w:p>
      <w:pPr>
        <w:ind w:right="20" w:firstLine="1305"/>
        <w:spacing w:after="0" w:line="255" w:lineRule="auto"/>
        <w:tabs>
          <w:tab w:leader="none" w:pos="1952"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Closing Fees. </w:t>
      </w:r>
      <w:r>
        <w:rPr>
          <w:rFonts w:ascii="Arial" w:cs="Arial" w:eastAsia="Arial" w:hAnsi="Arial"/>
          <w:sz w:val="18"/>
          <w:szCs w:val="18"/>
          <w:color w:val="auto"/>
        </w:rPr>
        <w:t>The Borrower agrees to pay on the Closing Date to each Lender party to this Agreement on the Closing Date, as fee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for the funding of such Lender’s Term Loan and making of such Lender’s Revolving Credit Commitment, a closing fee (the “</w:t>
      </w:r>
      <w:r>
        <w:rPr>
          <w:rFonts w:ascii="Arial" w:cs="Arial" w:eastAsia="Arial" w:hAnsi="Arial"/>
          <w:sz w:val="18"/>
          <w:szCs w:val="18"/>
          <w:b w:val="1"/>
          <w:bCs w:val="1"/>
          <w:color w:val="auto"/>
        </w:rPr>
        <w:t>Closing Fee</w:t>
      </w:r>
      <w:r>
        <w:rPr>
          <w:rFonts w:ascii="Arial" w:cs="Arial" w:eastAsia="Arial" w:hAnsi="Arial"/>
          <w:sz w:val="18"/>
          <w:szCs w:val="18"/>
          <w:color w:val="auto"/>
        </w:rPr>
        <w:t>”) in an amount equal to (x) 0.50% of the stated principal amount of such Lender’s Term Loan funded on the Closing Date and (y) 0.50% of the stated principal amount of such Lender’s Revolving Credit Commitment on the Closing Date. Such Closing Fee will be in all respects fully earned, due and payable on the Closing Date and non-refundable and non-creditable thereafter and, in the case of the Closing Fee on the Term Loan, shall be netted against Term Loans made by such Lender.</w:t>
      </w:r>
    </w:p>
    <w:p>
      <w:pPr>
        <w:spacing w:after="0" w:line="193" w:lineRule="exact"/>
        <w:rPr>
          <w:rFonts w:ascii="Arial" w:cs="Arial" w:eastAsia="Arial" w:hAnsi="Arial"/>
          <w:sz w:val="18"/>
          <w:szCs w:val="18"/>
          <w:color w:val="auto"/>
        </w:rPr>
      </w:pPr>
    </w:p>
    <w:p>
      <w:pPr>
        <w:ind w:right="180" w:firstLine="1305"/>
        <w:spacing w:after="0" w:line="264" w:lineRule="auto"/>
        <w:tabs>
          <w:tab w:leader="none" w:pos="1955"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 xml:space="preserve">Other Fees. </w:t>
      </w:r>
      <w:r>
        <w:rPr>
          <w:rFonts w:ascii="Arial" w:cs="Arial" w:eastAsia="Arial" w:hAnsi="Arial"/>
          <w:sz w:val="18"/>
          <w:szCs w:val="18"/>
          <w:color w:val="auto"/>
        </w:rPr>
        <w:t>The Borrower shall pay to the Agents such fees as shall have been separately agreed upon in writing in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and at the times so specified. Such fees shall be fully earned when paid and shall not be refundable for any reason whatsoever (except as expressly agreed between the Borrower and the applicable Agent).</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Computation of Interest and Fees.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spacing w:after="0" w:line="18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Evidence of Indebtedness.</w:t>
      </w:r>
    </w:p>
    <w:p>
      <w:pPr>
        <w:spacing w:after="0" w:line="225" w:lineRule="exact"/>
        <w:rPr>
          <w:sz w:val="20"/>
          <w:szCs w:val="20"/>
          <w:color w:val="auto"/>
        </w:rPr>
      </w:pPr>
    </w:p>
    <w:p>
      <w:pPr>
        <w:ind w:firstLine="1305"/>
        <w:spacing w:after="0" w:line="312" w:lineRule="auto"/>
        <w:tabs>
          <w:tab w:leader="none" w:pos="194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w:t>
      </w:r>
    </w:p>
    <w:p>
      <w:pPr>
        <w:sectPr>
          <w:pgSz w:w="11900" w:h="16952" w:orient="portrait"/>
          <w:cols w:equalWidth="0" w:num="1">
            <w:col w:w="11420"/>
          </w:cols>
          <w:pgMar w:left="240" w:top="341" w:right="239" w:bottom="0" w:gutter="0" w:footer="0" w:header="0"/>
        </w:sectPr>
      </w:pPr>
    </w:p>
    <w:bookmarkStart w:id="60" w:name="page61"/>
    <w:bookmarkEnd w:id="60"/>
    <w:p>
      <w:pPr>
        <w:spacing w:after="0" w:line="5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thereon the date, Type (if applicable), amount and maturity of its Loans and payments with respect thereto.</w:t>
      </w:r>
    </w:p>
    <w:p>
      <w:pPr>
        <w:spacing w:after="0" w:line="225" w:lineRule="exact"/>
        <w:rPr>
          <w:sz w:val="20"/>
          <w:szCs w:val="20"/>
          <w:color w:val="auto"/>
        </w:rPr>
      </w:pPr>
    </w:p>
    <w:p>
      <w:pPr>
        <w:ind w:firstLine="1305"/>
        <w:spacing w:after="0" w:line="302" w:lineRule="auto"/>
        <w:tabs>
          <w:tab w:leader="none" w:pos="195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addition to the accounts and records referred to in Section 2.11(a),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u w:val="single" w:color="auto"/>
          <w:color w:val="auto"/>
        </w:rPr>
        <w:t>Payments Generally.</w:t>
      </w:r>
    </w:p>
    <w:p>
      <w:pPr>
        <w:spacing w:after="0" w:line="225" w:lineRule="exact"/>
        <w:rPr>
          <w:sz w:val="20"/>
          <w:szCs w:val="20"/>
          <w:color w:val="auto"/>
        </w:rPr>
      </w:pPr>
    </w:p>
    <w:p>
      <w:pPr>
        <w:ind w:right="20" w:firstLine="1305"/>
        <w:spacing w:after="0" w:line="255" w:lineRule="auto"/>
        <w:tabs>
          <w:tab w:leader="none" w:pos="194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in Dollars and in Same Day Funds not later than 3:00 p.m. on the date specified herein. The Administrative Agent will promptly distribute to each Lender its Pro Rata Share (or other applicable share as provided herein) of such payment in like funds as received by wire transfer to such Lender’s applicable Lending Office. All payments received by the Administrative Agent after 3:00 p.m., shall in each case be deemed received on the next succeeding Business Day and any applicable interest or fee shall continue to accrue.</w:t>
      </w:r>
    </w:p>
    <w:p>
      <w:pPr>
        <w:spacing w:after="0" w:line="189" w:lineRule="exact"/>
        <w:rPr>
          <w:rFonts w:ascii="Arial" w:cs="Arial" w:eastAsia="Arial" w:hAnsi="Arial"/>
          <w:sz w:val="18"/>
          <w:szCs w:val="18"/>
          <w:color w:val="auto"/>
        </w:rPr>
      </w:pPr>
    </w:p>
    <w:p>
      <w:pPr>
        <w:jc w:val="both"/>
        <w:ind w:right="20" w:firstLine="1305"/>
        <w:spacing w:after="0" w:line="259" w:lineRule="auto"/>
        <w:tabs>
          <w:tab w:leader="none" w:pos="19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If any payment to be made by the Borrower shall come due on a day other than a Business Day, payment shall be made on the next following Business Day, and such extension of time shall be reflected in computing interest or fees,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extension would cause payment of interest on or principal of Eurodollar Rate Loans to be made in the next succeeding calendar month, such payment shall be made on the immediately preceding Business Day.</w:t>
      </w:r>
    </w:p>
    <w:p>
      <w:pPr>
        <w:spacing w:after="0" w:line="186" w:lineRule="exact"/>
        <w:rPr>
          <w:rFonts w:ascii="Arial" w:cs="Arial" w:eastAsia="Arial" w:hAnsi="Arial"/>
          <w:sz w:val="18"/>
          <w:szCs w:val="18"/>
          <w:color w:val="auto"/>
        </w:rPr>
      </w:pPr>
    </w:p>
    <w:p>
      <w:pPr>
        <w:ind w:right="20" w:firstLine="1305"/>
        <w:spacing w:after="0" w:line="270" w:lineRule="auto"/>
        <w:tabs>
          <w:tab w:leader="none" w:pos="195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 Unless the Administrative Agent shall have received notice from a Lender prior to the proposed date of any Borrowing of Eurodollar Rate Loans (or, in the case of any Borrowing of Base Rate Loans, prior to 3:00 p.m.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Base Rate Loans, that such Lender has made such share available in accordance with and at the time required by Section 2.02)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65" w:lineRule="exact"/>
        <w:rPr>
          <w:sz w:val="20"/>
          <w:szCs w:val="20"/>
          <w:color w:val="auto"/>
        </w:rPr>
      </w:pPr>
    </w:p>
    <w:p>
      <w:pPr>
        <w:ind w:right="240" w:firstLine="656"/>
        <w:spacing w:after="0" w:line="271" w:lineRule="auto"/>
        <w:tabs>
          <w:tab w:leader="none" w:pos="132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Borrower prior to the time at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 In such event, if the Borrower has not in fact made such payment, then each of the Appropriate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9"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(c) shall be conclusive, absent manifest error.</w:t>
      </w:r>
    </w:p>
    <w:p>
      <w:pPr>
        <w:spacing w:after="0" w:line="170" w:lineRule="exact"/>
        <w:rPr>
          <w:sz w:val="20"/>
          <w:szCs w:val="20"/>
          <w:color w:val="auto"/>
        </w:rPr>
      </w:pPr>
    </w:p>
    <w:p>
      <w:pPr>
        <w:jc w:val="both"/>
        <w:ind w:right="100" w:firstLine="1305"/>
        <w:spacing w:after="0" w:line="259" w:lineRule="auto"/>
        <w:tabs>
          <w:tab w:leader="none" w:pos="195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any Lender makes available to the Administrative Agent funds for any Loan to be made by such Lender as provided in the foregoing provisions of this Article II, and such funds are not made available to the Borrower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without interest.</w:t>
      </w:r>
    </w:p>
    <w:p>
      <w:pPr>
        <w:spacing w:after="0" w:line="186" w:lineRule="exact"/>
        <w:rPr>
          <w:rFonts w:ascii="Arial" w:cs="Arial" w:eastAsia="Arial" w:hAnsi="Arial"/>
          <w:sz w:val="18"/>
          <w:szCs w:val="18"/>
          <w:color w:val="auto"/>
        </w:rPr>
      </w:pPr>
    </w:p>
    <w:p>
      <w:pPr>
        <w:ind w:right="60" w:firstLine="1305"/>
        <w:spacing w:after="0" w:line="286" w:lineRule="auto"/>
        <w:tabs>
          <w:tab w:leader="none" w:pos="195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obligations of the Lenders hereunder to make Loans, to fund participations in Letters of Credit and Swing Line Loans and to make payments pursuant to Section 10.04(c) are several and not joint. The failure of any Lender to make any Loan, to fund any such participation or to make any payment under Section 10.04(c) on any date required hereunder shall not relieve any other Lender of its corresponding obligation to do so on such date, and no Lender shall be responsible for the failure of any other Lender to so make its Loan, purchase its participation or to make its payment under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10.04(c).</w:t>
      </w:r>
    </w:p>
    <w:p>
      <w:pPr>
        <w:sectPr>
          <w:pgSz w:w="11900" w:h="16888" w:orient="portrait"/>
          <w:cols w:equalWidth="0" w:num="1">
            <w:col w:w="11420"/>
          </w:cols>
          <w:pgMar w:left="240" w:top="125" w:right="239" w:bottom="0" w:gutter="0" w:footer="0" w:header="0"/>
        </w:sectPr>
      </w:pPr>
    </w:p>
    <w:bookmarkStart w:id="61" w:name="page62"/>
    <w:bookmarkEnd w:id="61"/>
    <w:p>
      <w:pPr>
        <w:ind w:right="340" w:firstLine="1305"/>
        <w:spacing w:after="0" w:line="308" w:lineRule="auto"/>
        <w:tabs>
          <w:tab w:leader="none" w:pos="194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70" w:lineRule="auto"/>
        <w:tabs>
          <w:tab w:leader="none" w:pos="196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Except as otherwise provided herein, 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Section 8.04.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(to the fullest extent permitted by mandatory provisions of applicable Law), but shall not be obligated to, elect to distribute such funds to each of the Lenders in accordance with such Lender’s Pro Rata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Sharing of Payments.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88" w:lineRule="exact"/>
        <w:rPr>
          <w:sz w:val="20"/>
          <w:szCs w:val="20"/>
          <w:color w:val="auto"/>
        </w:rPr>
      </w:pPr>
    </w:p>
    <w:p>
      <w:pPr>
        <w:ind w:left="660" w:right="80" w:firstLine="645"/>
        <w:spacing w:after="0" w:line="342" w:lineRule="auto"/>
        <w:tabs>
          <w:tab w:leader="none" w:pos="197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23" w:lineRule="exact"/>
        <w:rPr>
          <w:rFonts w:ascii="Arial" w:cs="Arial" w:eastAsia="Arial" w:hAnsi="Arial"/>
          <w:sz w:val="16"/>
          <w:szCs w:val="16"/>
          <w:color w:val="auto"/>
        </w:rPr>
      </w:pPr>
    </w:p>
    <w:p>
      <w:pPr>
        <w:ind w:left="660" w:right="60" w:firstLine="645"/>
        <w:spacing w:after="0" w:line="277" w:lineRule="auto"/>
        <w:tabs>
          <w:tab w:leader="none" w:pos="198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(x) any payment made by or on behalf of the Borrower pursuant to and in accordance with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79" w:lineRule="auto"/>
        <w:rPr>
          <w:sz w:val="20"/>
          <w:szCs w:val="20"/>
          <w:color w:val="auto"/>
        </w:rPr>
      </w:pPr>
      <w:r>
        <w:rPr>
          <w:rFonts w:ascii="Arial" w:cs="Arial" w:eastAsia="Arial" w:hAnsi="Arial"/>
          <w:sz w:val="17"/>
          <w:szCs w:val="17"/>
          <w:color w:val="auto"/>
        </w:rPr>
        <w:t>express terms of this Agreement (including the application of funds arising from the existence of a Defaulting Lender), (y) the application of Cash Collateral provided for in Section 2.17, or (z) any payment obtained by a Lender as consideration for the assignment of or sale of a participation in any of its Loans or subparticipations in L/C Obligations or Swing Line Loans to any assignee or participant, other than an assignment to the Borrower or any of its Subsidiaries (as to which the provisions of this Section shall apply).</w:t>
      </w:r>
    </w:p>
    <w:p>
      <w:pPr>
        <w:spacing w:after="0" w:line="171" w:lineRule="exact"/>
        <w:rPr>
          <w:sz w:val="20"/>
          <w:szCs w:val="20"/>
          <w:color w:val="auto"/>
        </w:rPr>
      </w:pPr>
    </w:p>
    <w:p>
      <w:pPr>
        <w:ind w:right="40" w:firstLine="702"/>
        <w:spacing w:after="0" w:line="264"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Incremental Credit Extensions.</w:t>
      </w:r>
    </w:p>
    <w:p>
      <w:pPr>
        <w:spacing w:after="0" w:line="225" w:lineRule="exact"/>
        <w:rPr>
          <w:sz w:val="20"/>
          <w:szCs w:val="20"/>
          <w:color w:val="auto"/>
        </w:rPr>
      </w:pPr>
    </w:p>
    <w:p>
      <w:pPr>
        <w:ind w:firstLine="1305"/>
        <w:spacing w:after="0" w:line="283" w:lineRule="auto"/>
        <w:tabs>
          <w:tab w:leader="none" w:pos="194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Borrower at any time or from time to time after the Closing Date, by notice to the Administrative Agent (whereupon the Administrative Agent shall promptly deliver a copy to each of the Lenders), request (a) one or more additional tranches of term loans (the “</w:t>
      </w:r>
      <w:r>
        <w:rPr>
          <w:rFonts w:ascii="Arial" w:cs="Arial" w:eastAsia="Arial" w:hAnsi="Arial"/>
          <w:sz w:val="16"/>
          <w:szCs w:val="16"/>
          <w:b w:val="1"/>
          <w:bCs w:val="1"/>
          <w:color w:val="auto"/>
        </w:rPr>
        <w:t>Incremental</w:t>
      </w:r>
      <w:r>
        <w:rPr>
          <w:rFonts w:ascii="Arial" w:cs="Arial" w:eastAsia="Arial" w:hAnsi="Arial"/>
          <w:sz w:val="16"/>
          <w:szCs w:val="16"/>
          <w:color w:val="auto"/>
        </w:rPr>
        <w:t xml:space="preserve"> </w:t>
      </w:r>
      <w:r>
        <w:rPr>
          <w:rFonts w:ascii="Arial" w:cs="Arial" w:eastAsia="Arial" w:hAnsi="Arial"/>
          <w:sz w:val="16"/>
          <w:szCs w:val="16"/>
          <w:b w:val="1"/>
          <w:bCs w:val="1"/>
          <w:color w:val="auto"/>
        </w:rPr>
        <w:t>Term Loans</w:t>
      </w:r>
      <w:r>
        <w:rPr>
          <w:rFonts w:ascii="Arial" w:cs="Arial" w:eastAsia="Arial" w:hAnsi="Arial"/>
          <w:sz w:val="16"/>
          <w:szCs w:val="16"/>
          <w:color w:val="auto"/>
        </w:rPr>
        <w:t>”) or (b) one or more increases in the amount of the Revolving Credit Commitments of any Facility or the addition of a new tranche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Credit Facility (each such increase or new Revolving Credit Facility, a “</w:t>
      </w:r>
      <w:r>
        <w:rPr>
          <w:rFonts w:ascii="Arial" w:cs="Arial" w:eastAsia="Arial" w:hAnsi="Arial"/>
          <w:sz w:val="16"/>
          <w:szCs w:val="16"/>
          <w:b w:val="1"/>
          <w:bCs w:val="1"/>
          <w:color w:val="auto"/>
        </w:rPr>
        <w:t>Revolving Commitment Increase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effectiveness of any Incremental Amendment referred to below, no Event of Default shall exist and at the time that any such Incremental Term Loan is made (and after giving effect thereto) no Event of Default shall exist (except in connection with a Permitted Acquisition or Investment in which case no Event of Default pursuant to Section 8.01(a) or (f) shall exist). Each tranche of Incremental Term Loans and each Revolving Commitment Increase shall be in an aggregate principal amount that is not less than $50,000,000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may be less than $50,000,000 if such amount represents all remaining availability under the limit set forth in the next sentence). Notwithstanding anything to the contrary herein, the aggregate amount of the Incremental Term Loans and the Revolving Commitment Increases (other than, for the avoidance of doubt, those established in respect of Extended Term Loans or Extended Revolving Credit Commitments pursuant to Section 2.16) shall not exceed the Maximum Incremental Facilities Amount. Any Revolving Commitment Increase shall be on the same terms and pursuant to the same documentation applicable to the Revolving Credit Facility (including the maturity date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applicable margin applicable thereto may be increased if necessary to be consistent with that for the Revolving Commitment Increase). The Incremental Term Loans (a) shall rank pari passu or junior in right of payment and of security with the Revolving Credit Loans and the Term Loans,</w:t>
      </w:r>
    </w:p>
    <w:p>
      <w:pPr>
        <w:spacing w:after="0" w:line="2" w:lineRule="exact"/>
        <w:rPr>
          <w:rFonts w:ascii="Arial" w:cs="Arial" w:eastAsia="Arial" w:hAnsi="Arial"/>
          <w:sz w:val="16"/>
          <w:szCs w:val="16"/>
          <w:color w:val="auto"/>
        </w:rPr>
      </w:pPr>
    </w:p>
    <w:p>
      <w:pPr>
        <w:ind w:right="160" w:firstLine="8"/>
        <w:spacing w:after="0" w:line="295" w:lineRule="auto"/>
        <w:tabs>
          <w:tab w:leader="none" w:pos="25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shall not mature earlier than the Maturity Date with respect to the Term Loans, (c) shall not have a shorter Weighted Average Life to Maturity than the remaining Weighted Average Life to Maturity of the Term Loans, (d) except as set forth above, shall be treated substantially the same as the Term Loans (in each case, including with respect to mandatory and voluntary prepayments) and (e) the Applicable Rate for the Incremental Term Loans shall be determined by the Borrower and the applicable new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until April 11, 2015, the interest rate margins for the Incremental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62" w:name="page63"/>
    <w:bookmarkEnd w:id="62"/>
    <w:p>
      <w:pPr>
        <w:ind w:right="40"/>
        <w:spacing w:after="0" w:line="284" w:lineRule="auto"/>
        <w:rPr>
          <w:sz w:val="20"/>
          <w:szCs w:val="20"/>
          <w:color w:val="auto"/>
        </w:rPr>
      </w:pPr>
      <w:r>
        <w:rPr>
          <w:rFonts w:ascii="Arial" w:cs="Arial" w:eastAsia="Arial" w:hAnsi="Arial"/>
          <w:sz w:val="16"/>
          <w:szCs w:val="16"/>
          <w:color w:val="auto"/>
        </w:rPr>
        <w:t xml:space="preserve">Term Loans shall not be greater than the interest rate margins that may be payable with respect to Term Loans plus 50 basis points (and the interest rate margins applicable to any class of the Term Loans shall be increased to the extent necessary to achieve the foregoing) and (ii) solely for purposes of the foregoing clause (i), (x) the interest rate margins applicable to any Term Loans or Incremental Term Loans shall be deemed to include all upfront or similar fees or original issue discount payable generally to Lenders providing such Term Loans or such Incremental Term Loans based on an assumed four-year life to maturity), (y) customary arrangement or commitment fees payable to the Arrangers (or their respective affiliates) in connection with the Term Loans or to one or more arrangers (or their affiliates) of the Incremental Term Loans shall be excluded; and (z) if the LIBOR or Base Rate “floor” for the Incremental Term Loans is greater than the LIBOR or Base Rate “floor,” respectively, for the existing Term Loans, the difference between such floor for the Incremental Term Loans and the existing Term Loans shall be equated to an increase in the Applicable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Incremental Term Loans shall be on terms and pursuant to documentation to be determined by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such terms and documentation are not consistent with, the Term Facility (except to the extent permitted by clauses (b), (c) and (e) above), they shall be reasonably satisfactory to the Administrative Agent (it being understood to the extent that any financial maintenance covenant is added for the benefit of any Incremental Facility, no consent shall be required from the Administrative Agent or any Lender to the extent that such financial maintenance covenant is also added for the benefit of any corresponding existing Term Loans) and (ii) subject to clauses (b) and (c) above, the amortization schedule applicable to the Incremental Term Loans shall be determined by the Borrower and the lenders thereof. Each notice from the Borrower pursuant to this Section 2.14 shall set forth the requested amount and proposed terms of the relevant Incremental Term Loans or Revolving Commitment Increases. Incremental Term Loans may be made, and Revolving Commitment Increases may be provided, by any existing Lender (it being understood that no existing Lender has an obligation to make an Incremental Term Loan or provide a Revolving Commitment Increase, as applicable) or by any other bank or other financial institution (any such other bank or other financial institution being called an “</w:t>
      </w:r>
      <w:r>
        <w:rPr>
          <w:rFonts w:ascii="Arial" w:cs="Arial" w:eastAsia="Arial" w:hAnsi="Arial"/>
          <w:sz w:val="16"/>
          <w:szCs w:val="16"/>
          <w:b w:val="1"/>
          <w:bCs w:val="1"/>
          <w:color w:val="auto"/>
        </w:rPr>
        <w:t>Additional Lender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each Swing Line Lender and each L/C Issuer shall have consented (not to be unreasonably withheld) to such Lender’s or Additional Lender’s making such Incremental Term Loans or providing such Revolving Commitment Increases if such consent would be required under Section 10.06(b) for an assignment of Loans or Revolving Credit Commitments, as applicable, to such Lender or Additional Lender. Commitments in respect of Incremental Term Loans and Revolving Commitment Increases shall become Commitments (or in the case of a Revolving Commitment Increase to be provided by an existing Revolving Credit Lender, an increase in such Lender’s applicable Revolving Credit Commitment) under this Agreement pursuant to an amendment (an “</w:t>
      </w:r>
      <w:r>
        <w:rPr>
          <w:rFonts w:ascii="Arial" w:cs="Arial" w:eastAsia="Arial" w:hAnsi="Arial"/>
          <w:sz w:val="16"/>
          <w:szCs w:val="16"/>
          <w:b w:val="1"/>
          <w:bCs w:val="1"/>
          <w:color w:val="auto"/>
        </w:rPr>
        <w:t>Incremental Amendment</w:t>
      </w:r>
      <w:r>
        <w:rPr>
          <w:rFonts w:ascii="Arial" w:cs="Arial" w:eastAsia="Arial" w:hAnsi="Arial"/>
          <w:sz w:val="16"/>
          <w:szCs w:val="16"/>
          <w:color w:val="auto"/>
        </w:rPr>
        <w:t>”) to this Agreement and, as appropriate, the other Loan Documents, executed by the Borrower, each Lender agreeing to provide such Commitment, if any, each Additional Lender, if any, and the Administrative Agent. The Incremental Amendment may, without the consent of any Loan Party other than the Borrower, the Agents or the Lenders, effect such amendments to this Agreement and the other Loan Documents as may be necessary or appropriate, in the reasonable opinion of the Administrative Agent and the Borrower, to effect the provisions of this Section 2.14. The effectiveness of any Incremental Amendment shall be subject to such conditions as the parties thereto shall agree. The Borrower will use the proceeds of the Incremental Term Loans and Revolving Commitment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Increases for any purpose not prohibited by this Agreement. No Lender shall be obligated to provide any Incremental Term Loans or Revolving Commitment Increases, unless it so agrees. Upon each increase in the Revolving Credit Commitments pursuant to this Section 2.14, (a) if the increase relates to the Revolving Credit Facility, each Revolving Credit Lender immediately prior to such increase will automatically and without further act be deemed to have assigned to each Lender providing a portion of the Revolving Commitment Increase (each a “</w:t>
      </w:r>
      <w:r>
        <w:rPr>
          <w:rFonts w:ascii="Arial" w:cs="Arial" w:eastAsia="Arial" w:hAnsi="Arial"/>
          <w:sz w:val="17"/>
          <w:szCs w:val="17"/>
          <w:b w:val="1"/>
          <w:bCs w:val="1"/>
          <w:color w:val="auto"/>
        </w:rPr>
        <w:t>Revolving Commitment Increase Lender</w:t>
      </w:r>
      <w:r>
        <w:rPr>
          <w:rFonts w:ascii="Arial" w:cs="Arial" w:eastAsia="Arial" w:hAnsi="Arial"/>
          <w:sz w:val="17"/>
          <w:szCs w:val="17"/>
          <w:color w:val="auto"/>
        </w:rPr>
        <w:t>”), and each such Revolving Commitment Increase Lender will automatically and without further act be deemed to have assumed (in the case of an increase to the Revolving Credit Facility only), a portion of such Revolving Credit Lender’s participations hereunder in outstanding Letters of Credit and Swing Line Loans such that, after giving effect to each such deemed assignment and assumption of participations, the percentage of the aggregate outstanding (i) participations hereunder in Letters of Credit and (ii) participations hereunder in Swing Line Loans held by each Revolving Credit Lender (including each such Revolving Commitment Increase Lender) will equal the percentage of the aggregate Revolving Credit Commitments of all Revolving Credit Lenders represented by such Revolving Credit Lender’s Revolving Credit Commitment and (b) if, on the date of such increase, there are any Revolving Credit Loans under the applicable Facility outstanding, such Revolving Credit Loans shall on or prior to the effectiveness of such Revolving Commitment Increase be prepaid from the proceeds of additional Revolving Credit Loans under the applicable Facility made hereunder (reflecting such increase in Revolving Credit Commitments), which prepayment shall be accompanied by accrued interest on the Revolving Credit Loans being prepaid and any reasonable and documented out-of-pocket costs incurred by any Lender in accordance with Section 3.05.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181" w:lineRule="exact"/>
        <w:rPr>
          <w:sz w:val="20"/>
          <w:szCs w:val="20"/>
          <w:color w:val="auto"/>
        </w:rPr>
      </w:pPr>
    </w:p>
    <w:p>
      <w:pPr>
        <w:ind w:left="1960" w:hanging="655"/>
        <w:spacing w:after="0"/>
        <w:tabs>
          <w:tab w:leader="none" w:pos="1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Section 2.14 shall supersede any provisions in Section 2.13 or 10.01 to the contrary.</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Section 2.15</w:t>
      </w:r>
      <w:r>
        <w:rPr>
          <w:rFonts w:ascii="Arial" w:cs="Arial" w:eastAsia="Arial" w:hAnsi="Arial"/>
          <w:sz w:val="16"/>
          <w:szCs w:val="16"/>
          <w:u w:val="single" w:color="auto"/>
          <w:color w:val="auto"/>
        </w:rPr>
        <w:t>Refinancing Amendments.</w:t>
      </w:r>
    </w:p>
    <w:p>
      <w:pPr>
        <w:spacing w:after="0" w:line="225" w:lineRule="exact"/>
        <w:rPr>
          <w:sz w:val="20"/>
          <w:szCs w:val="20"/>
          <w:color w:val="auto"/>
        </w:rPr>
      </w:pPr>
    </w:p>
    <w:p>
      <w:pPr>
        <w:ind w:right="80" w:firstLine="1305"/>
        <w:spacing w:after="0" w:line="285" w:lineRule="auto"/>
        <w:tabs>
          <w:tab w:leader="none" w:pos="1942" w:val="left"/>
        </w:tabs>
        <w:numPr>
          <w:ilvl w:val="1"/>
          <w:numId w:val="175"/>
        </w:numPr>
        <w:rPr>
          <w:rFonts w:ascii="Arial" w:cs="Arial" w:eastAsia="Arial" w:hAnsi="Arial"/>
          <w:sz w:val="16"/>
          <w:szCs w:val="16"/>
          <w:color w:val="auto"/>
        </w:rPr>
      </w:pPr>
      <w:r>
        <w:rPr>
          <w:rFonts w:ascii="Arial" w:cs="Arial" w:eastAsia="Arial" w:hAnsi="Arial"/>
          <w:sz w:val="16"/>
          <w:szCs w:val="16"/>
          <w:color w:val="auto"/>
        </w:rPr>
        <w:t xml:space="preserve">On one or more occasions after the Closing Date, the Borrower may obtain, from any Lender or any Additional Refinancing Lender, Credit Agreement Refinancing Indebtedness in respect of all or any portion of the Term Loans and the Revolving Credit Loans (or unused Revolving Credit Commitments) then outstanding under this Agreement (which for purposes of this clause (a) will be deemed to include any then outstanding Other Term Loans or Incremental Term Loans), in the form of Other Term Loans, Other Term Loan Commitments, Other Revolving Credit Commitments or Other Revolving Credit Loans pursuant to a Refinancing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this Section 2.15 or otherwise,</w:t>
      </w:r>
    </w:p>
    <w:p>
      <w:pPr>
        <w:spacing w:after="0" w:line="2" w:lineRule="exact"/>
        <w:rPr>
          <w:rFonts w:ascii="Arial" w:cs="Arial" w:eastAsia="Arial" w:hAnsi="Arial"/>
          <w:sz w:val="16"/>
          <w:szCs w:val="16"/>
          <w:color w:val="auto"/>
        </w:rPr>
      </w:pPr>
    </w:p>
    <w:p>
      <w:pPr>
        <w:ind w:right="60" w:firstLine="8"/>
        <w:spacing w:after="0" w:line="254" w:lineRule="auto"/>
        <w:tabs>
          <w:tab w:leader="none" w:pos="25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borrowing and repayment (except for (A) payments of interest and fees at different rates on Other Revolving Credit Commitments (and related outstandings), (B) repayments required upon the Maturity Date of the Other Revolving Credit Commitments and (C) repayment made in connection with a permanent repayment and termination of commitments (subject to clause (3) below)) of Loans with respect to Other Revolving Credit Commitments after the date of obtaining any Other Revolving Credit Commitments shall be made on a pro rata basis with all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other Revolving Credit Commitments, (2) subject to Section 2.14 to the extent dealing with Swing Line Loans and Letters of Credit which mature or expire after a Maturity Date when there exist Extended Revolving Credit Commitments with a longer Maturity Date, all Swing Line Loans and Letters of Credit shall be participated on a pro rata basis by all Lenders with Commitments in accordance with their percentage of the Revolving Credit Commitments (and except as provided in Section 2.14), without giving effect to changes thereto on an earlier Maturity Date with respect to Swing Line Loans and Letters of Credit theretofore incurred or issued), (3) the permanent repayment of Revolving Credit Loans with respect to, and termination of, Other Revolving Credit</w:t>
      </w:r>
    </w:p>
    <w:p>
      <w:pPr>
        <w:sectPr>
          <w:pgSz w:w="11900" w:h="16838" w:orient="portrait"/>
          <w:cols w:equalWidth="0" w:num="1">
            <w:col w:w="11420"/>
          </w:cols>
          <w:pgMar w:left="240" w:top="584" w:right="239" w:bottom="0" w:gutter="0" w:footer="0" w:header="0"/>
        </w:sectPr>
      </w:pPr>
    </w:p>
    <w:bookmarkStart w:id="63" w:name="page64"/>
    <w:bookmarkEnd w:id="63"/>
    <w:p>
      <w:pPr>
        <w:spacing w:after="0" w:line="74"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Commitments after the date of obtaining any Other Revolving Credit Commitments shall be made on a pro rata basis with all other Revolving Credit Commitments, except that the Borrower shall be permitted to permanently repay and terminate commitments of any such Class on a better than a pro rata basis as compared to any other Class with a later Maturity Date than such Class and (4) assignments and participations of Other Revolving Credit Commitments and Other Revolving Credit Loans shall be governed by the same assignment and participation provisions applicable to Revolving Credit Commitments and Revolving Credit Loans.</w:t>
      </w:r>
    </w:p>
    <w:p>
      <w:pPr>
        <w:spacing w:after="0" w:line="188" w:lineRule="exact"/>
        <w:rPr>
          <w:sz w:val="20"/>
          <w:szCs w:val="20"/>
          <w:color w:val="auto"/>
        </w:rPr>
      </w:pPr>
    </w:p>
    <w:p>
      <w:pPr>
        <w:ind w:firstLine="1305"/>
        <w:spacing w:after="0" w:line="272" w:lineRule="auto"/>
        <w:tabs>
          <w:tab w:leader="none" w:pos="195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effectiveness of any Refinancing Amendment shall be subject to the satisfaction on the date thereof of each of the conditions set forth in Section 4.02 (which, for the avoidance of doubt, shall not require compliance with Section 7.09 for any incurrence of Other Term Loans) and, to the extent reasonably requested by the Administrative Agent, receipt by the Administrative Agent of (i) customary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such Credit Agreement Refinancing Indebtedness is provided with the benefit of the applicable Loan Documents.</w:t>
      </w:r>
    </w:p>
    <w:p>
      <w:pPr>
        <w:spacing w:after="0" w:line="177" w:lineRule="exact"/>
        <w:rPr>
          <w:rFonts w:ascii="Arial" w:cs="Arial" w:eastAsia="Arial" w:hAnsi="Arial"/>
          <w:sz w:val="17"/>
          <w:szCs w:val="17"/>
          <w:color w:val="auto"/>
        </w:rPr>
      </w:pPr>
    </w:p>
    <w:p>
      <w:pPr>
        <w:ind w:right="60" w:firstLine="1305"/>
        <w:spacing w:after="0" w:line="277" w:lineRule="auto"/>
        <w:tabs>
          <w:tab w:leader="none" w:pos="19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Each issuance of Credit Agreement Refinancing Indebtedness under Section 2.15(a) shall be in an aggregate principal amount that is (x) not less than $50,000,000 and (y) an integral multiple of $5,000,000 in excess thereof.</w:t>
      </w:r>
    </w:p>
    <w:p>
      <w:pPr>
        <w:spacing w:after="0" w:line="170" w:lineRule="exact"/>
        <w:rPr>
          <w:rFonts w:ascii="Arial" w:cs="Arial" w:eastAsia="Arial" w:hAnsi="Arial"/>
          <w:sz w:val="18"/>
          <w:szCs w:val="18"/>
          <w:color w:val="auto"/>
        </w:rPr>
      </w:pPr>
    </w:p>
    <w:p>
      <w:pPr>
        <w:ind w:right="40" w:firstLine="1305"/>
        <w:spacing w:after="0" w:line="276" w:lineRule="auto"/>
        <w:tabs>
          <w:tab w:leader="none" w:pos="195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 to effect the provisions of this Section 2.15, and the Required Lenders hereby expressly authorize the Administrative Agent to enter into any such Refinancing Amendment.</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Extension Offers.</w:t>
      </w:r>
    </w:p>
    <w:p>
      <w:pPr>
        <w:spacing w:after="0" w:line="225" w:lineRule="exact"/>
        <w:rPr>
          <w:sz w:val="20"/>
          <w:szCs w:val="20"/>
          <w:color w:val="auto"/>
        </w:rPr>
      </w:pPr>
    </w:p>
    <w:p>
      <w:pPr>
        <w:ind w:right="440" w:firstLine="1305"/>
        <w:spacing w:after="0" w:line="342" w:lineRule="auto"/>
        <w:tabs>
          <w:tab w:leader="none" w:pos="194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Pursuant to one or more offers made from time to time by the Borrower to all Term Lenders with notice to the Administrative Agent, on a pro rata basis (based on the aggregate outstanding Term Loans) and on the same terms (“</w:t>
      </w:r>
      <w:r>
        <w:rPr>
          <w:rFonts w:ascii="Arial" w:cs="Arial" w:eastAsia="Arial" w:hAnsi="Arial"/>
          <w:sz w:val="16"/>
          <w:szCs w:val="16"/>
          <w:b w:val="1"/>
          <w:bCs w:val="1"/>
          <w:color w:val="auto"/>
        </w:rPr>
        <w:t>Term Pro Rata Extension Offers</w:t>
      </w:r>
      <w:r>
        <w:rPr>
          <w:rFonts w:ascii="Arial" w:cs="Arial" w:eastAsia="Arial" w:hAnsi="Arial"/>
          <w:sz w:val="16"/>
          <w:szCs w:val="16"/>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Borrower is hereby permitted to consummate transactions with individual Term Lenders from time to time to extend the maturity date of such Lender’s Term Loans and to otherwise modify the terms of such Lender’s Term Loans pursuant to the terms of the relevant Term Pro Rata Extension Offer (including without limitation increasing the interest rate or fees payable in respect of such Lender’s Term Loans and/or modifying the amortization schedule in respect of such Lender’s Term Loans). Pursuant to one or more offers made from time to time by the Borrower to all Revolving Credit Lenders with notice to the Administrative Agent, on a pro rata basis (based on the aggregate outstanding Revolving Credit Commitments) and on the same terms (“</w:t>
      </w:r>
      <w:r>
        <w:rPr>
          <w:rFonts w:ascii="Arial" w:cs="Arial" w:eastAsia="Arial" w:hAnsi="Arial"/>
          <w:sz w:val="16"/>
          <w:szCs w:val="16"/>
          <w:b w:val="1"/>
          <w:bCs w:val="1"/>
          <w:color w:val="auto"/>
        </w:rPr>
        <w:t>Revolving Pro Rata</w:t>
      </w:r>
      <w:r>
        <w:rPr>
          <w:rFonts w:ascii="Arial" w:cs="Arial" w:eastAsia="Arial" w:hAnsi="Arial"/>
          <w:sz w:val="16"/>
          <w:szCs w:val="16"/>
          <w:color w:val="auto"/>
        </w:rPr>
        <w:t xml:space="preserve"> </w:t>
      </w:r>
      <w:r>
        <w:rPr>
          <w:rFonts w:ascii="Arial" w:cs="Arial" w:eastAsia="Arial" w:hAnsi="Arial"/>
          <w:sz w:val="16"/>
          <w:szCs w:val="16"/>
          <w:b w:val="1"/>
          <w:bCs w:val="1"/>
          <w:color w:val="auto"/>
        </w:rPr>
        <w:t>Extension Offers</w:t>
      </w:r>
      <w:r>
        <w:rPr>
          <w:rFonts w:ascii="Arial" w:cs="Arial" w:eastAsia="Arial" w:hAnsi="Arial"/>
          <w:sz w:val="16"/>
          <w:szCs w:val="16"/>
          <w:color w:val="auto"/>
        </w:rPr>
        <w:t>” and, together with Term Pro Rata Extension Offers, “</w:t>
      </w:r>
      <w:r>
        <w:rPr>
          <w:rFonts w:ascii="Arial" w:cs="Arial" w:eastAsia="Arial" w:hAnsi="Arial"/>
          <w:sz w:val="16"/>
          <w:szCs w:val="16"/>
          <w:b w:val="1"/>
          <w:bCs w:val="1"/>
          <w:color w:val="auto"/>
        </w:rPr>
        <w:t>Pro Rata Extension Offers</w:t>
      </w:r>
      <w:r>
        <w:rPr>
          <w:rFonts w:ascii="Arial" w:cs="Arial" w:eastAsia="Arial" w:hAnsi="Arial"/>
          <w:sz w:val="16"/>
          <w:szCs w:val="16"/>
          <w:color w:val="auto"/>
        </w:rPr>
        <w:t>”), the Borrower is hereby permitted to consummate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with individual Revolving Credit Lenders from time to time to extend the maturity date of such Lender’s Revolving Credit Commitments and to otherwise modify the terms of such Lender’s Revolving Credit Commitments pursuant to the terms of the relevant Revolving Pro Rata Extension Offer (including without limitation increasing the interest rate or fees payable in respect of such Lender’s Revolving Credit Commitments). For the avoidance of doubt, the reference to “on the same terms” in the preceding sentences shall mean, (i) when comparing Term Pro Rata Extension Offers, that the Term Loans are offered to be extended for the same amount of time and that the interest rate changes and fees payable in respect thereto are the same and (ii) when comparing Revolving Pro Rata Extension Offers, that the Revolving Credit Commitments are offered to be extended for the same amount of time and that the interest rate changes and fees payable in respect thereto are the same. Any such extension (an “</w:t>
      </w:r>
      <w:r>
        <w:rPr>
          <w:rFonts w:ascii="Arial" w:cs="Arial" w:eastAsia="Arial" w:hAnsi="Arial"/>
          <w:sz w:val="16"/>
          <w:szCs w:val="16"/>
          <w:b w:val="1"/>
          <w:bCs w:val="1"/>
          <w:color w:val="auto"/>
        </w:rPr>
        <w:t>Extension</w:t>
      </w:r>
      <w:r>
        <w:rPr>
          <w:rFonts w:ascii="Arial" w:cs="Arial" w:eastAsia="Arial" w:hAnsi="Arial"/>
          <w:sz w:val="16"/>
          <w:szCs w:val="16"/>
          <w:color w:val="auto"/>
        </w:rPr>
        <w:t>”) agreed to between the Borrower and any such Lender (an “</w:t>
      </w:r>
      <w:r>
        <w:rPr>
          <w:rFonts w:ascii="Arial" w:cs="Arial" w:eastAsia="Arial" w:hAnsi="Arial"/>
          <w:sz w:val="16"/>
          <w:szCs w:val="16"/>
          <w:b w:val="1"/>
          <w:bCs w:val="1"/>
          <w:color w:val="auto"/>
        </w:rPr>
        <w:t>Extending Lender</w:t>
      </w:r>
      <w:r>
        <w:rPr>
          <w:rFonts w:ascii="Arial" w:cs="Arial" w:eastAsia="Arial" w:hAnsi="Arial"/>
          <w:sz w:val="16"/>
          <w:szCs w:val="16"/>
          <w:color w:val="auto"/>
        </w:rPr>
        <w:t>”) will be established under this Agreement by implementing an Incremental Term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the implementation of an Incremental Term Loan to establish an Extended Term Loan shall not count as an Incremental Term Loan for purposes of calculating the Maximum Incremental Facilities Amount) for such Lender (if such Lender is extending an existing Term Loan (such extended Term Loan, an “</w:t>
      </w:r>
      <w:r>
        <w:rPr>
          <w:rFonts w:ascii="Arial" w:cs="Arial" w:eastAsia="Arial" w:hAnsi="Arial"/>
          <w:sz w:val="16"/>
          <w:szCs w:val="16"/>
          <w:b w:val="1"/>
          <w:bCs w:val="1"/>
          <w:color w:val="auto"/>
        </w:rPr>
        <w:t>Extended Term Loan</w:t>
      </w:r>
      <w:r>
        <w:rPr>
          <w:rFonts w:ascii="Arial" w:cs="Arial" w:eastAsia="Arial" w:hAnsi="Arial"/>
          <w:sz w:val="16"/>
          <w:szCs w:val="16"/>
          <w:color w:val="auto"/>
        </w:rPr>
        <w:t>”)) or a Revolving Commitment Increase for such Lender (if such Lender is extending an existing Revolving Credit Commitment (such extended Revolving Credit Commitment, an “</w:t>
      </w:r>
      <w:r>
        <w:rPr>
          <w:rFonts w:ascii="Arial" w:cs="Arial" w:eastAsia="Arial" w:hAnsi="Arial"/>
          <w:sz w:val="16"/>
          <w:szCs w:val="16"/>
          <w:b w:val="1"/>
          <w:bCs w:val="1"/>
          <w:color w:val="auto"/>
        </w:rPr>
        <w:t>Extended Revolving Credit Commitment</w:t>
      </w:r>
      <w:r>
        <w:rPr>
          <w:rFonts w:ascii="Arial" w:cs="Arial" w:eastAsia="Arial" w:hAnsi="Arial"/>
          <w:sz w:val="16"/>
          <w:szCs w:val="16"/>
          <w:color w:val="auto"/>
        </w:rPr>
        <w:t>”)).</w:t>
      </w:r>
    </w:p>
    <w:p>
      <w:pPr>
        <w:spacing w:after="0" w:line="173" w:lineRule="exact"/>
        <w:rPr>
          <w:sz w:val="20"/>
          <w:szCs w:val="20"/>
          <w:color w:val="auto"/>
        </w:rPr>
      </w:pPr>
    </w:p>
    <w:p>
      <w:pPr>
        <w:ind w:firstLine="1305"/>
        <w:spacing w:after="0" w:line="270" w:lineRule="auto"/>
        <w:tabs>
          <w:tab w:leader="none" w:pos="1952"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The Borrower and each Extending Lender shall execute and deliver to the Administrative Agent an Incremental Assumption Agreement and such other documentation as the Administrative Agent shall reasonably specify to evidence the Extended Term Loans and/or Extended Revolving Credit Commitments of such Extending Lender. Each Incremental Assumption Agreement shall specify the terms of the applicable Extended Term Loans and/or Extended Revolving Credit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except as to interest rates, fees, amortization, final maturity date, collateral arrangements and voluntary and mandatory prepayment arrangements (which shall, subject to clauses (ii) and (iii) of this proviso, be determined by the Borrower and set forth in the Pro Rata Extension Offer), the Extended Term Loans shall have (x) the same terms as the Term Loans, or (y) such other terms as shall be reasonably satisfactory to the Administrative Agent, (ii) the final maturity date of any Extended Term Loans shall be no earlier than the Maturity Date for the Term Loans, (iii) the Weighted Average Life to Maturity of any Extended Term Loans shall be no shorter than the remaining Weighted Average Life to Maturity of the Term Loans and (iv) except as to interest rates, fees, final maturity, collateral arrangements and voluntary and mandatory prepayment arrangements, any Extended Revolving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Credit Commitment shall be a Revolving Credit Commitment with the same terms as the Revolving Credit Loans. Upon the effectiveness of any Incremental Assumption Agreement, this Agreement shall be amended to the extent necessary to reflect the existence and terms of the Extended Term Loans and/or Extended Revolving Credit Commitments evidenced thereby as provided for in Section 10.01 and other changes necessary to preserve the intent of this Agreement. Any such deemed amendment may, at the Administrative Agent’s or the Borrower’s request, be memorialized in writing by the Administrative Agent and the Borrower and furnished to the other parties hereto.</w:t>
      </w:r>
    </w:p>
    <w:p>
      <w:pPr>
        <w:spacing w:after="0" w:line="188" w:lineRule="exact"/>
        <w:rPr>
          <w:sz w:val="20"/>
          <w:szCs w:val="20"/>
          <w:color w:val="auto"/>
        </w:rPr>
      </w:pPr>
    </w:p>
    <w:p>
      <w:pPr>
        <w:ind w:right="180" w:firstLine="1305"/>
        <w:spacing w:after="0" w:line="259" w:lineRule="auto"/>
        <w:tabs>
          <w:tab w:leader="none" w:pos="19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Upon the effectiveness of any such Extension, the applicable Extending Lender’s Term Loan will be automatically designated an Extended Term Loan and/or such Extending Lender’s Revolving Credit Commitment will be automatically designated an Extended Revolving Credit Commitment. For the avoidance of doubt, the commitments and obligations of any Swing Line Lender or L/C Issuer can only be extended pursuant to an Extension or otherwise with such Person’s consent.</w:t>
      </w:r>
    </w:p>
    <w:p>
      <w:pPr>
        <w:sectPr>
          <w:pgSz w:w="11900" w:h="16912" w:orient="portrait"/>
          <w:cols w:equalWidth="0" w:num="1">
            <w:col w:w="11420"/>
          </w:cols>
          <w:pgMar w:left="240" w:top="125" w:right="239" w:bottom="0" w:gutter="0" w:footer="0" w:header="0"/>
        </w:sectPr>
      </w:pPr>
    </w:p>
    <w:bookmarkStart w:id="64" w:name="page65"/>
    <w:bookmarkEnd w:id="64"/>
    <w:p>
      <w:pPr>
        <w:ind w:right="60" w:firstLine="1305"/>
        <w:spacing w:after="0" w:line="287" w:lineRule="auto"/>
        <w:tabs>
          <w:tab w:leader="none" w:pos="1952"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Agreement or any other Loan Document (including without limitation this Section 2.16), (i) no Extended Term Loan or Extended Revolving Credit Commitment is required to be in any minimum amount or any minimum increment;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Extended Term Loans or Extended Revolving Credit Commitment for any new Class of Term Loans or Revolving Credit Commitments made in connection with any Pro Rata Extension Offer shall be at least $50,000,000, (ii) any Extending Lender may extend all or any portion of its Term Loans and/or Revolving Credit Commitment pursuant to one or more Pro Rata Extension Offers (subject to applicable proration in the case of over participation) (including the extension of any Extended Term Loan and/or Extended Revolving Credit Commitment), (iii) there shall be no condition to any Extension of any Loan or Revolving Credit Commitment at any time or from time to time other than notice to the Administrative Agent of such Extension and the terms of the Extended Term Loan or Extended Revolving Credit Commitment implemented thereby, (iv) the interest rate limitations referred to in the proviso to clause (d) of Section 2.14(a) shall not be implicated by any Extension and (v) all Extended Term Loans, Extended Revolving Credit Commitments and all obligations in respect thereof shall be Obligations under this Agreement and the other Loan Documents that are secured by the Collateral on a pari passu basis with all other Obligations under this Agreement and the other Loan Documents.</w:t>
      </w:r>
    </w:p>
    <w:p>
      <w:pPr>
        <w:spacing w:after="0" w:line="172" w:lineRule="exact"/>
        <w:rPr>
          <w:rFonts w:ascii="Arial" w:cs="Arial" w:eastAsia="Arial" w:hAnsi="Arial"/>
          <w:sz w:val="16"/>
          <w:szCs w:val="16"/>
          <w:color w:val="auto"/>
        </w:rPr>
      </w:pPr>
    </w:p>
    <w:p>
      <w:pPr>
        <w:ind w:right="140" w:firstLine="1305"/>
        <w:spacing w:after="0" w:line="286" w:lineRule="auto"/>
        <w:tabs>
          <w:tab w:leader="none" w:pos="195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Each extension shall be consummated pursuant to procedures set forth in the associated Pro Rata Extension Offer;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cooperate with the Administrative Agent prior to making any Pro Rata Extension Offer to establish reasonable procedures with respect to mechanical provisions relating to such Extension, including, without limitation, timing, rounding and other adjustments.</w:t>
      </w:r>
    </w:p>
    <w:p>
      <w:pPr>
        <w:spacing w:after="0" w:line="165" w:lineRule="exact"/>
        <w:rPr>
          <w:rFonts w:ascii="Arial" w:cs="Arial" w:eastAsia="Arial" w:hAnsi="Arial"/>
          <w:sz w:val="17"/>
          <w:szCs w:val="17"/>
          <w:color w:val="auto"/>
        </w:rPr>
      </w:pPr>
    </w:p>
    <w:p>
      <w:pPr>
        <w:jc w:val="both"/>
        <w:ind w:right="260" w:firstLine="1305"/>
        <w:spacing w:after="0" w:line="264" w:lineRule="auto"/>
        <w:tabs>
          <w:tab w:leader="none" w:pos="194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Notwithstanding the foregoing, from time to time after the Closing Date, upon notice by the Borrower to the Administrative Agent, banks or other financial institutions (“</w:t>
      </w:r>
      <w:r>
        <w:rPr>
          <w:rFonts w:ascii="Arial" w:cs="Arial" w:eastAsia="Arial" w:hAnsi="Arial"/>
          <w:sz w:val="18"/>
          <w:szCs w:val="18"/>
          <w:b w:val="1"/>
          <w:bCs w:val="1"/>
          <w:color w:val="auto"/>
        </w:rPr>
        <w:t>New Revolving Commitment Lenders</w:t>
      </w:r>
      <w:r>
        <w:rPr>
          <w:rFonts w:ascii="Arial" w:cs="Arial" w:eastAsia="Arial" w:hAnsi="Arial"/>
          <w:sz w:val="18"/>
          <w:szCs w:val="18"/>
          <w:color w:val="auto"/>
        </w:rPr>
        <w:t>”), which may or may not be existing Lenders, may elect to provide a new Revolving Credit Commitment (a “</w:t>
      </w:r>
      <w:r>
        <w:rPr>
          <w:rFonts w:ascii="Arial" w:cs="Arial" w:eastAsia="Arial" w:hAnsi="Arial"/>
          <w:sz w:val="18"/>
          <w:szCs w:val="18"/>
          <w:b w:val="1"/>
          <w:bCs w:val="1"/>
          <w:color w:val="auto"/>
        </w:rPr>
        <w:t>New Revolving Credit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Commitment</w:t>
      </w:r>
      <w:r>
        <w:rPr>
          <w:rFonts w:ascii="Arial" w:cs="Arial" w:eastAsia="Arial" w:hAnsi="Arial"/>
          <w:sz w:val="17"/>
          <w:szCs w:val="17"/>
          <w:color w:val="auto"/>
        </w:rPr>
        <w:t>”) hereunder;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to the extent such banks or other financial institutions are not existing Lenders, such banks or institutions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acceptable to the Administrative Agent. Such New Revolving Credit Commitment will be in an amount (the “</w:t>
      </w:r>
      <w:r>
        <w:rPr>
          <w:rFonts w:ascii="Arial" w:cs="Arial" w:eastAsia="Arial" w:hAnsi="Arial"/>
          <w:sz w:val="17"/>
          <w:szCs w:val="17"/>
          <w:b w:val="1"/>
          <w:bCs w:val="1"/>
          <w:color w:val="auto"/>
        </w:rPr>
        <w:t>New Revolving Amount</w:t>
      </w:r>
      <w:r>
        <w:rPr>
          <w:rFonts w:ascii="Arial" w:cs="Arial" w:eastAsia="Arial" w:hAnsi="Arial"/>
          <w:sz w:val="17"/>
          <w:szCs w:val="17"/>
          <w:color w:val="auto"/>
        </w:rPr>
        <w:t xml:space="preserve">”) and have the terms specified in the notice to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to interest rates, fees, final maturity, subordinated collateral arrangements and subordinated voluntary and mandatory prepayment arrangements, any New Revolving Credit Commitment shall be a Revolving Credit Commitment with the same terms as the Revolving Credit Loans. Upon receipt of a New Revolving Credit Commitment, the Borrower shall make a Pro Rata Extension Offer to all existing Revolving Credit Lenders to extend the maturity date of their Revolving Credit Commitments on the same terms as the New Revolving Credit Commitment (each Revolving Credit Lender that accepts such Pro Rata Extension Offer, an “</w:t>
      </w:r>
      <w:r>
        <w:rPr>
          <w:rFonts w:ascii="Arial" w:cs="Arial" w:eastAsia="Arial" w:hAnsi="Arial"/>
          <w:sz w:val="17"/>
          <w:szCs w:val="17"/>
          <w:b w:val="1"/>
          <w:bCs w:val="1"/>
          <w:color w:val="auto"/>
        </w:rPr>
        <w:t>Electing Lender</w:t>
      </w:r>
      <w:r>
        <w:rPr>
          <w:rFonts w:ascii="Arial" w:cs="Arial" w:eastAsia="Arial" w:hAnsi="Arial"/>
          <w:sz w:val="17"/>
          <w:szCs w:val="17"/>
          <w:color w:val="auto"/>
        </w:rPr>
        <w:t>”, and each existing Revolving Credit Lender that is not an Electing Lender, a “</w:t>
      </w:r>
      <w:r>
        <w:rPr>
          <w:rFonts w:ascii="Arial" w:cs="Arial" w:eastAsia="Arial" w:hAnsi="Arial"/>
          <w:sz w:val="17"/>
          <w:szCs w:val="17"/>
          <w:b w:val="1"/>
          <w:bCs w:val="1"/>
          <w:color w:val="auto"/>
        </w:rPr>
        <w:t>Non-Electing Lender</w:t>
      </w:r>
      <w:r>
        <w:rPr>
          <w:rFonts w:ascii="Arial" w:cs="Arial" w:eastAsia="Arial" w:hAnsi="Arial"/>
          <w:sz w:val="17"/>
          <w:szCs w:val="17"/>
          <w:color w:val="auto"/>
        </w:rPr>
        <w:t>”). Following such election (i) the Revolving Credit Commitments of all existing Revolving Credit Lenders will be permanently reduced by an aggregate amount equal to the New Revolving Amount in the manner specified by Section 2.06(b) and (ii) the New Revolving Credit Commitment of the New Revolving Commitment Lenders will become effective and the aggregate Revolving Credit Commitment shall be increased by the New Revolving Amount. In connection with the foregoing, each Electing Lender may further elect (a “</w:t>
      </w:r>
      <w:r>
        <w:rPr>
          <w:rFonts w:ascii="Arial" w:cs="Arial" w:eastAsia="Arial" w:hAnsi="Arial"/>
          <w:sz w:val="17"/>
          <w:szCs w:val="17"/>
          <w:b w:val="1"/>
          <w:bCs w:val="1"/>
          <w:color w:val="auto"/>
        </w:rPr>
        <w:t>Further Election</w:t>
      </w:r>
      <w:r>
        <w:rPr>
          <w:rFonts w:ascii="Arial" w:cs="Arial" w:eastAsia="Arial" w:hAnsi="Arial"/>
          <w:sz w:val="17"/>
          <w:szCs w:val="17"/>
          <w:color w:val="auto"/>
        </w:rPr>
        <w:t>”) to provide a New Revolving Credit Commitment hereunder in an amount such that after giving effect to all New Revolving Credit Commitments, the amount of such Electing Lender’s Revolving Credit Commitment will equal the amount of such Electing Lender’s Revolving Credit Commitment prior to any such reduction. In the event any Electing Lender has made a Further Election, the reduction of all Revolving Credit Commitments contemplated by the second preceding sentence will instead be made in an aggregate amount to reflect the New Revolving Amount of the New Revolving Commitment Lenders and the new commitments of all Electing Lenders making a Further Election. Subject to the foregoing, the New Revolving Credit Commitments of the New Revolving Commitment Lenders and the new commitments of all Electing Lenders making a Further Election will otherwise be incorporated as Revolving Credit Commitments hereunder in the same manner in which Extended Revolving Credit Commitments are incorporated hereunder pursuant to this Section 2.16, including without limitation for purposes of Section 2.16(e).</w:t>
      </w:r>
    </w:p>
    <w:p>
      <w:pPr>
        <w:spacing w:after="0" w:line="194" w:lineRule="exact"/>
        <w:rPr>
          <w:sz w:val="20"/>
          <w:szCs w:val="20"/>
          <w:color w:val="auto"/>
        </w:rPr>
      </w:pPr>
    </w:p>
    <w:p>
      <w:pPr>
        <w:ind w:left="400" w:right="20" w:firstLine="1553"/>
        <w:spacing w:after="0" w:line="290" w:lineRule="auto"/>
        <w:tabs>
          <w:tab w:leader="none" w:pos="263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For the avoidance of doubt, after giving effect to such New Revolving Credit Commitments, (1) the aggregate amount of Revolving Credit Commitments of all Classes derived from each Class in effect prior to such New Revolving Credit Commitments will be the same as the aggregate amount of Revolving Credit Commitments of each Class in effect prior to giving effect to such New Revolving Credit Commitments (“</w:t>
      </w:r>
      <w:r>
        <w:rPr>
          <w:rFonts w:ascii="Arial" w:cs="Arial" w:eastAsia="Arial" w:hAnsi="Arial"/>
          <w:sz w:val="16"/>
          <w:szCs w:val="16"/>
          <w:b w:val="1"/>
          <w:bCs w:val="1"/>
          <w:color w:val="auto"/>
        </w:rPr>
        <w:t>Pre-Effectiveness</w:t>
      </w:r>
      <w:r>
        <w:rPr>
          <w:rFonts w:ascii="Arial" w:cs="Arial" w:eastAsia="Arial" w:hAnsi="Arial"/>
          <w:sz w:val="16"/>
          <w:szCs w:val="16"/>
          <w:color w:val="auto"/>
        </w:rPr>
        <w:t>”), (2) the Revolving Credit Lenders that are Non-Electing Lenders will have Revolving Credit Commitments with the same terms as the Revolving Credit Commitment in effect Pre-Effectiveness, (3) the Revolving Credit Lenders that are Electing Lenders will have Revolving Credit Commitments with the same terms as the New Revolving Credit Commitment, (4) each Revolving Credit Lender that is an Electing Lender that has made a Further Election will have an aggregate amount of Revolving Credit Commitments equal to the amount of Revolving Credit Commitments it had Pre-Effectiveness and (5) the New Revolving Commitment Lender will have a Revolving Credit Commitment on the terms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New Revolving Credit Commitment in an aggregate amount equal to the New Revolving Amount.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u w:val="single" w:color="auto"/>
          <w:color w:val="auto"/>
        </w:rPr>
        <w:t>Defaulting Lenders.</w:t>
      </w:r>
    </w:p>
    <w:p>
      <w:pPr>
        <w:spacing w:after="0" w:line="225" w:lineRule="exact"/>
        <w:rPr>
          <w:sz w:val="20"/>
          <w:szCs w:val="20"/>
          <w:color w:val="auto"/>
        </w:rPr>
      </w:pPr>
    </w:p>
    <w:p>
      <w:pPr>
        <w:ind w:firstLine="1305"/>
        <w:spacing w:after="0" w:line="290" w:lineRule="auto"/>
        <w:tabs>
          <w:tab w:leader="none" w:pos="1942"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Reallocation of Participations to Reduce Fronting Exposure</w:t>
      </w:r>
      <w:r>
        <w:rPr>
          <w:rFonts w:ascii="Arial" w:cs="Arial" w:eastAsia="Arial" w:hAnsi="Arial"/>
          <w:sz w:val="16"/>
          <w:szCs w:val="16"/>
          <w:color w:val="auto"/>
        </w:rPr>
        <w:t>. All or any part of a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Section 4.02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6" w:lineRule="exact"/>
        <w:rPr>
          <w:rFonts w:ascii="Arial" w:cs="Arial" w:eastAsia="Arial" w:hAnsi="Arial"/>
          <w:sz w:val="16"/>
          <w:szCs w:val="16"/>
          <w:color w:val="auto"/>
        </w:rPr>
      </w:pPr>
    </w:p>
    <w:p>
      <w:pPr>
        <w:jc w:val="both"/>
        <w:ind w:right="20" w:firstLine="1305"/>
        <w:spacing w:after="0" w:line="259" w:lineRule="auto"/>
        <w:tabs>
          <w:tab w:leader="none" w:pos="1952"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If the reallocation described in Section 2.17(a) cannot, or can only partially, be effected, the Borrower shall, without prejudice to any right or remedy available to it hereunder or under law, (x) first, prepay Swing Line Loans in an amount equal to the Swing Line Lenders’ Fronting Exposure and (y) second, Cash Collateralize the L/C Issuers’ Fronting Exposure in accordance with the procedures set forth in Section 2.03(g).</w:t>
      </w:r>
    </w:p>
    <w:p>
      <w:pPr>
        <w:sectPr>
          <w:pgSz w:w="11900" w:h="16838" w:orient="portrait"/>
          <w:cols w:equalWidth="0" w:num="1">
            <w:col w:w="11420"/>
          </w:cols>
          <w:pgMar w:left="240" w:top="341" w:right="239" w:bottom="0" w:gutter="0" w:footer="0" w:header="0"/>
        </w:sectPr>
      </w:pPr>
    </w:p>
    <w:bookmarkStart w:id="65" w:name="page66"/>
    <w:bookmarkEnd w:id="65"/>
    <w:p>
      <w:pPr>
        <w:spacing w:after="0" w:line="103" w:lineRule="exact"/>
        <w:rPr>
          <w:sz w:val="20"/>
          <w:szCs w:val="20"/>
          <w:color w:val="auto"/>
        </w:rPr>
      </w:pPr>
    </w:p>
    <w:p>
      <w:pPr>
        <w:jc w:val="both"/>
        <w:ind w:right="100" w:firstLine="1305"/>
        <w:spacing w:after="0" w:line="259" w:lineRule="auto"/>
        <w:tabs>
          <w:tab w:leader="none" w:pos="1955"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New Swing Line Loans/Letters of Credit</w:t>
      </w:r>
      <w:r>
        <w:rPr>
          <w:rFonts w:ascii="Arial" w:cs="Arial" w:eastAsia="Arial" w:hAnsi="Arial"/>
          <w:sz w:val="18"/>
          <w:szCs w:val="18"/>
          <w:color w:val="auto"/>
        </w:rPr>
        <w:t>. Notwithstanding anything in this Agreement to the contrary,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renew or increase any Letter of Credit unless it is satisfied that it will have no Fronting Exposure after giving effect thereto.</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Taxes, Increased Costs Protection and Illegality</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ind w:right="140" w:firstLine="1305"/>
        <w:spacing w:after="0" w:line="297" w:lineRule="auto"/>
        <w:tabs>
          <w:tab w:leader="none" w:pos="194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Any and all payments by any Loan Party to or for the account of any Agent or any Lender under any Loan Document shall be made free and clear of and without deduction for any Taxes, except as required by applicable Law. If any Withholding Agent shall be required by any Laws to deduct any Taxes from or in respect of any sum paid or payable under any Loan Document to any Agent or any Lender, (i) if the Tax in question is an Indemnified Tax or Other Tax, the sum payable shall be increased as necessary so that after all required deductions have been made (including deductions applicable to additional sums payable under this Section 3.01), each of such Agent and such Lender receives an amount equal to the sum it would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have received had no such deductions been made, (ii) the applicable Withholding Agent shall make such deductions, (iii) the applicable Withholding Agent shall pay the full amount deducted to the relevant Governmental Authority in accordance with applicable Laws, and (iv) within thirty (30) days after the date of such payment (or, if receipts or evidence are not available within thirty (30) days, as soon as possible thereafter), the Borrower shall furnish to such Agent or Lender (as the case may be) the original or a copy of a receipt evidencing payment thereof or other evidence acceptable to such Agent or Lender.</w:t>
      </w:r>
    </w:p>
    <w:p>
      <w:pPr>
        <w:spacing w:after="0" w:line="154" w:lineRule="exact"/>
        <w:rPr>
          <w:sz w:val="20"/>
          <w:szCs w:val="20"/>
          <w:color w:val="auto"/>
        </w:rPr>
      </w:pPr>
    </w:p>
    <w:p>
      <w:pPr>
        <w:ind w:right="20" w:firstLine="1305"/>
        <w:spacing w:after="0" w:line="272" w:lineRule="auto"/>
        <w:tabs>
          <w:tab w:leader="none" w:pos="195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 addition, the Borrower and Guarantors agree to pay any and all present or future stamp, court or documentary Taxes and any other excise, property, intangible or mortgage recording Taxes which arise from any payment made under any Loan Document or from the execution, delivery, performance, enforcement or registration of, or otherwise with respect to, any Loan Document, excluding any such Taxes imposed as a result of an assignment by a Lender (other than an assignment made pursuant to Section 10.13) that are imposed as a result of a present or former connection of the assignor or assignee with the jurisdiction imposing such Tax (other than any connection arising from having executed, delivered, enforced, become a party to, performed its obligations under, received payments under, received or perfected a security interest under, engaged in any other transaction pursuant to, and/or enforced, any Loan Documents) (hereinafter referred to as “</w:t>
      </w:r>
      <w:r>
        <w:rPr>
          <w:rFonts w:ascii="Arial" w:cs="Arial" w:eastAsia="Arial" w:hAnsi="Arial"/>
          <w:sz w:val="17"/>
          <w:szCs w:val="17"/>
          <w:b w:val="1"/>
          <w:bCs w:val="1"/>
          <w:color w:val="auto"/>
        </w:rPr>
        <w:t>Other Taxes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1305"/>
        <w:spacing w:after="0" w:line="257" w:lineRule="auto"/>
        <w:tabs>
          <w:tab w:leader="none" w:pos="19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Borrower and each Guarantor agrees to indemnify each Agent and each Lender, within 10 days after written demand therefor, for (i) the full amount of any Indemnified Taxes and Other Taxes (including Indemnified Taxes and Other Taxes imposed on or attributable to amounts payable under this Section 3.01) payable by such Agent or Lender, whether or not such Taxes were correctly or legally imposed or asserted by the Governmental Authority. A certificate as to the amount of such payment or liability prepared in good faith and delivered by a Lender or by the Administrative Agent on its own behalf or on behalf of a Lender shall be conclusive absent manifest error.</w:t>
      </w:r>
    </w:p>
    <w:p>
      <w:pPr>
        <w:spacing w:after="0" w:line="188" w:lineRule="exact"/>
        <w:rPr>
          <w:rFonts w:ascii="Arial" w:cs="Arial" w:eastAsia="Arial" w:hAnsi="Arial"/>
          <w:sz w:val="18"/>
          <w:szCs w:val="18"/>
          <w:color w:val="auto"/>
        </w:rPr>
      </w:pPr>
    </w:p>
    <w:p>
      <w:pPr>
        <w:ind w:right="60" w:firstLine="1305"/>
        <w:spacing w:after="0" w:line="291" w:lineRule="auto"/>
        <w:tabs>
          <w:tab w:leader="none" w:pos="1952"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Status of Lenders</w:t>
      </w:r>
      <w:r>
        <w:rPr>
          <w:rFonts w:ascii="Arial" w:cs="Arial" w:eastAsia="Arial" w:hAnsi="Arial"/>
          <w:sz w:val="16"/>
          <w:szCs w:val="16"/>
          <w:color w:val="auto"/>
        </w:rPr>
        <w:t>. Each Lender shall, at such times as are reasonably requested by the Borrower or the Administrative Agent, provide the Borrower and the Administrative Agent with any documentation prescribed by any Laws or reasonably requested by the Borrower or the Administrative Agent certifying as to any entitlement of such Lender to an exemption from, or reduction in, any applicable withholding Tax with respect to any payments to be made to such Lender under any Loan Document. Each such Lender shall, whenever a lapse in time or change in circumstances renders any such documentation (including any specific documentation required below in this Section 3.01(d)) obsolete, expired or inaccurate in any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Without limiting the generality of the foregoing:</w:t>
      </w:r>
    </w:p>
    <w:p>
      <w:pPr>
        <w:spacing w:after="0" w:line="225" w:lineRule="exact"/>
        <w:rPr>
          <w:sz w:val="20"/>
          <w:szCs w:val="20"/>
          <w:color w:val="auto"/>
        </w:rPr>
      </w:pPr>
    </w:p>
    <w:p>
      <w:pPr>
        <w:ind w:left="660" w:right="80" w:firstLine="645"/>
        <w:spacing w:after="0" w:line="277" w:lineRule="auto"/>
        <w:tabs>
          <w:tab w:leader="none" w:pos="196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Each U.S. Lender shall deliver to the Borrower and the Administrative Agent on or before the date on which it becomes a party to this Agreement two properly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completed and duly signed original copies of IRS Form W-9 certifying that such Lender is exempt from U.S. federal backup withholding.</w:t>
      </w:r>
    </w:p>
    <w:p>
      <w:pPr>
        <w:spacing w:after="0" w:line="237" w:lineRule="exact"/>
        <w:rPr>
          <w:sz w:val="20"/>
          <w:szCs w:val="20"/>
          <w:color w:val="auto"/>
        </w:rPr>
      </w:pPr>
    </w:p>
    <w:p>
      <w:pPr>
        <w:ind w:left="660" w:right="20" w:firstLine="645"/>
        <w:spacing w:after="0" w:line="277" w:lineRule="auto"/>
        <w:tabs>
          <w:tab w:leader="none" w:pos="196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Administrative Agent on or before the date on which it becomes a party to this Agreement whichever of the following is applicable:</w:t>
      </w:r>
    </w:p>
    <w:p>
      <w:pPr>
        <w:spacing w:after="0" w:line="170" w:lineRule="exact"/>
        <w:rPr>
          <w:rFonts w:ascii="Arial" w:cs="Arial" w:eastAsia="Arial" w:hAnsi="Arial"/>
          <w:sz w:val="18"/>
          <w:szCs w:val="18"/>
          <w:color w:val="auto"/>
        </w:rPr>
      </w:pPr>
    </w:p>
    <w:p>
      <w:pPr>
        <w:ind w:left="1300" w:right="600" w:firstLine="653"/>
        <w:spacing w:after="0" w:line="277" w:lineRule="auto"/>
        <w:tabs>
          <w:tab w:leader="none" w:pos="261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two properly completed and duly signed original copies of IRS Form W-8BEN (or any successor forms) claiming eligibility for the benefits of an income tax treaty to which the United States is a party,</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two properly completed and duly signed original copies of IRS Form W-8ECI (or any successor forms),</w:t>
      </w:r>
    </w:p>
    <w:p>
      <w:pPr>
        <w:spacing w:after="0" w:line="225" w:lineRule="exact"/>
        <w:rPr>
          <w:rFonts w:ascii="Arial" w:cs="Arial" w:eastAsia="Arial" w:hAnsi="Arial"/>
          <w:sz w:val="18"/>
          <w:szCs w:val="18"/>
          <w:color w:val="auto"/>
        </w:rPr>
      </w:pPr>
    </w:p>
    <w:p>
      <w:pPr>
        <w:ind w:left="1300" w:right="460" w:firstLine="653"/>
        <w:spacing w:after="0" w:line="259" w:lineRule="auto"/>
        <w:tabs>
          <w:tab w:leader="none" w:pos="260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871(h) or Section 881(c) of the Code, (A) two properly completed and duly signed certificates substantially in the form of Exhibit J (any such certificate, a “</w:t>
      </w:r>
      <w:r>
        <w:rPr>
          <w:rFonts w:ascii="Arial" w:cs="Arial" w:eastAsia="Arial" w:hAnsi="Arial"/>
          <w:sz w:val="18"/>
          <w:szCs w:val="18"/>
          <w:b w:val="1"/>
          <w:bCs w:val="1"/>
          <w:color w:val="auto"/>
        </w:rPr>
        <w:t>United States Tax Compliance Certificate</w:t>
      </w:r>
      <w:r>
        <w:rPr>
          <w:rFonts w:ascii="Arial" w:cs="Arial" w:eastAsia="Arial" w:hAnsi="Arial"/>
          <w:sz w:val="18"/>
          <w:szCs w:val="18"/>
          <w:color w:val="auto"/>
        </w:rPr>
        <w:t>”) and (B) two properly completed and duly signed original copies of IRS Form W-8BEN (or any successor forms),</w:t>
      </w:r>
    </w:p>
    <w:p>
      <w:pPr>
        <w:spacing w:after="0" w:line="186" w:lineRule="exact"/>
        <w:rPr>
          <w:rFonts w:ascii="Arial" w:cs="Arial" w:eastAsia="Arial" w:hAnsi="Arial"/>
          <w:sz w:val="18"/>
          <w:szCs w:val="18"/>
          <w:color w:val="auto"/>
        </w:rPr>
      </w:pPr>
    </w:p>
    <w:p>
      <w:pPr>
        <w:ind w:left="1300" w:right="40" w:firstLine="707"/>
        <w:spacing w:after="0" w:line="297" w:lineRule="auto"/>
        <w:tabs>
          <w:tab w:leader="none" w:pos="2617" w:val="left"/>
        </w:tabs>
        <w:numPr>
          <w:ilvl w:val="2"/>
          <w:numId w:val="188"/>
        </w:numPr>
        <w:rPr>
          <w:rFonts w:ascii="Arial" w:cs="Arial" w:eastAsia="Arial" w:hAnsi="Arial"/>
          <w:sz w:val="16"/>
          <w:szCs w:val="16"/>
          <w:color w:val="auto"/>
        </w:rPr>
      </w:pPr>
      <w:r>
        <w:rPr>
          <w:rFonts w:ascii="Arial" w:cs="Arial" w:eastAsia="Arial" w:hAnsi="Arial"/>
          <w:sz w:val="16"/>
          <w:szCs w:val="16"/>
          <w:color w:val="auto"/>
        </w:rPr>
        <w:t>to the extent a Foreign Lender is not the beneficial owner (for example, where the Foreign Lender is a partnership or a participating Lender), IRS Form W-8IMY (or any successor forms) of the Foreign Lender, accompanied by a Form W-8ECI, W-8BEN, United States Tax Compliance Certificate, Form W-9, Form W-8IMY or any other required information (or any successor forms) from each beneficial owner that would be required under this Section 3.01(d) if such beneficial owner were a Lender, as applicable (provided that if the Foreign Lender is a partnership (and not a participating Lender) and one or more direct or indirect partners are claiming the portfolio</w:t>
      </w:r>
    </w:p>
    <w:p>
      <w:pPr>
        <w:sectPr>
          <w:pgSz w:w="11900" w:h="16941" w:orient="portrait"/>
          <w:cols w:equalWidth="0" w:num="1">
            <w:col w:w="11400"/>
          </w:cols>
          <w:pgMar w:left="240" w:top="125" w:right="259" w:bottom="0" w:gutter="0" w:footer="0" w:header="0"/>
        </w:sectPr>
      </w:pPr>
    </w:p>
    <w:bookmarkStart w:id="66" w:name="page67"/>
    <w:bookmarkEnd w:id="66"/>
    <w:p>
      <w:pPr>
        <w:spacing w:after="0" w:line="95" w:lineRule="exact"/>
        <w:rPr>
          <w:sz w:val="20"/>
          <w:szCs w:val="20"/>
          <w:color w:val="auto"/>
        </w:rPr>
      </w:pPr>
    </w:p>
    <w:p>
      <w:pPr>
        <w:ind w:left="1300" w:right="480"/>
        <w:spacing w:after="0" w:line="277" w:lineRule="auto"/>
        <w:rPr>
          <w:sz w:val="20"/>
          <w:szCs w:val="20"/>
          <w:color w:val="auto"/>
        </w:rPr>
      </w:pPr>
      <w:r>
        <w:rPr>
          <w:rFonts w:ascii="Arial" w:cs="Arial" w:eastAsia="Arial" w:hAnsi="Arial"/>
          <w:sz w:val="18"/>
          <w:szCs w:val="18"/>
          <w:color w:val="auto"/>
        </w:rPr>
        <w:t>interest exemption, the United States Tax Compliance Certificate may be provided by such Foreign Lender on behalf of such direct or indirect partner(s)), or</w:t>
      </w:r>
    </w:p>
    <w:p>
      <w:pPr>
        <w:spacing w:after="0" w:line="170" w:lineRule="exact"/>
        <w:rPr>
          <w:sz w:val="20"/>
          <w:szCs w:val="20"/>
          <w:color w:val="auto"/>
        </w:rPr>
      </w:pPr>
    </w:p>
    <w:p>
      <w:pPr>
        <w:ind w:left="1300" w:right="200" w:firstLine="653"/>
        <w:spacing w:after="0" w:line="264" w:lineRule="auto"/>
        <w:tabs>
          <w:tab w:leader="none" w:pos="261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two properly completed and duly signed original copies of any other form prescribed by applicable U.S. federal income tax laws (including the Treasury Regulations) as a basis for claiming a complete exemption from, or a reduction in, United States federal withholding tax on any payments to such Lender under the Loan Documents.</w:t>
      </w:r>
    </w:p>
    <w:p>
      <w:pPr>
        <w:spacing w:after="0" w:line="181" w:lineRule="exact"/>
        <w:rPr>
          <w:rFonts w:ascii="Arial" w:cs="Arial" w:eastAsia="Arial" w:hAnsi="Arial"/>
          <w:sz w:val="18"/>
          <w:szCs w:val="18"/>
          <w:color w:val="auto"/>
        </w:rPr>
      </w:pPr>
    </w:p>
    <w:p>
      <w:pPr>
        <w:ind w:left="660" w:right="60" w:firstLine="645"/>
        <w:spacing w:after="0" w:line="257" w:lineRule="auto"/>
        <w:tabs>
          <w:tab w:leader="none" w:pos="196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86" w:lineRule="auto"/>
        <w:rPr>
          <w:sz w:val="20"/>
          <w:szCs w:val="20"/>
          <w:color w:val="auto"/>
        </w:rPr>
      </w:pPr>
      <w:r>
        <w:rPr>
          <w:rFonts w:ascii="Arial" w:cs="Arial" w:eastAsia="Arial" w:hAnsi="Arial"/>
          <w:sz w:val="17"/>
          <w:szCs w:val="17"/>
          <w:color w:val="auto"/>
        </w:rPr>
        <w:t>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Notwithstanding any other provision of this Section 3.01(d), a Lender shall not be required to deliver any documentation that such Lender is not legally eligible to deliver.</w:t>
      </w:r>
    </w:p>
    <w:p>
      <w:pPr>
        <w:spacing w:after="0" w:line="170" w:lineRule="exact"/>
        <w:rPr>
          <w:sz w:val="20"/>
          <w:szCs w:val="20"/>
          <w:color w:val="auto"/>
        </w:rPr>
      </w:pPr>
    </w:p>
    <w:p>
      <w:pPr>
        <w:jc w:val="both"/>
        <w:ind w:right="260" w:firstLine="1305"/>
        <w:spacing w:after="0" w:line="264" w:lineRule="auto"/>
        <w:tabs>
          <w:tab w:leader="none" w:pos="19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Lender claiming any additional amounts payable pursuant to this Section 3.01 shall use its reasonable efforts to change the jurisdiction of its Lending Office if such a change would reduce any such additional amounts in the future and would not, in the sole determination of such Lender, result in any unreimbursed cost or expense or be otherwise materially disadvantageous to such Lender.</w:t>
      </w:r>
    </w:p>
    <w:p>
      <w:pPr>
        <w:spacing w:after="0" w:line="181" w:lineRule="exact"/>
        <w:rPr>
          <w:rFonts w:ascii="Arial" w:cs="Arial" w:eastAsia="Arial" w:hAnsi="Arial"/>
          <w:sz w:val="18"/>
          <w:szCs w:val="18"/>
          <w:color w:val="auto"/>
        </w:rPr>
      </w:pPr>
    </w:p>
    <w:p>
      <w:pPr>
        <w:ind w:firstLine="1305"/>
        <w:spacing w:after="0" w:line="271" w:lineRule="auto"/>
        <w:tabs>
          <w:tab w:leader="none" w:pos="194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If any Lender or Agent determines, in its sole discretion, that it has received a refund in respect of any Indemnified Taxes or Other Taxes as to which indemnification or additional amounts have been paid to it pursuant to this Section 3.01, it shall promptly remit an amount equal to such refund to the Borrower or applicable Guarantor, net of all out-of-pocket expenses of such Lender or Agent (including any Taxes imposed with respect to such refund) and without interest (other than any interest paid by the relevant Governmental Authority with respect to such refund);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and Guarantors, upon the request of such Lender or Agent, agree promptly to return such refund (plus any penalties, interest or other charges imposed by the relevant Governmental Authority) to such Lender or Agent, as applicable, in the event such Lender or Agent is required to repay such refund to the relevant Governmental Authority. This Section 3.01(f) shall not be construed to require any Lender or Agent to make available its Tax returns (or any other information relating to its Taxes that it deems confidential) to any Loan Party or any other Person.</w:t>
      </w:r>
    </w:p>
    <w:p>
      <w:pPr>
        <w:spacing w:after="0" w:line="178" w:lineRule="exact"/>
        <w:rPr>
          <w:rFonts w:ascii="Arial" w:cs="Arial" w:eastAsia="Arial" w:hAnsi="Arial"/>
          <w:sz w:val="17"/>
          <w:szCs w:val="17"/>
          <w:color w:val="auto"/>
        </w:rPr>
      </w:pPr>
    </w:p>
    <w:p>
      <w:pPr>
        <w:ind w:left="1980" w:hanging="675"/>
        <w:spacing w:after="0"/>
        <w:tabs>
          <w:tab w:leader="none" w:pos="19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For the avoidance of doubt, the term “Lender” shall, for purposes of this Section 3.01, include any Swing Line Lender and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L/C Issuer.</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u w:val="single" w:color="auto"/>
          <w:color w:val="auto"/>
        </w:rPr>
        <w:t>Illegality.</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If any Lender determines in good faith in its reasonable discretion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6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Inability to Determine Rates.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in connection with any request for a Eurodollar Rate Loan or a conversion to or continuation thereof that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or (b) the Required Lenders determine that for any reason the Eurodollar Rate for any requested Interest Period with respect to a proposed Eurodollar Rate Loan does not adequately and fairly reflect the cost to such Lenders of funding such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w:t>
      </w:r>
    </w:p>
    <w:p>
      <w:pPr>
        <w:sectPr>
          <w:pgSz w:w="11900" w:h="16933" w:orient="portrait"/>
          <w:cols w:equalWidth="0" w:num="1">
            <w:col w:w="11420"/>
          </w:cols>
          <w:pgMar w:left="240" w:top="125" w:right="239" w:bottom="0" w:gutter="0" w:footer="0" w:header="0"/>
        </w:sectPr>
      </w:pPr>
    </w:p>
    <w:bookmarkStart w:id="67" w:name="page68"/>
    <w:bookmarkEnd w:id="67"/>
    <w:p>
      <w:pPr>
        <w:ind w:right="80"/>
        <w:spacing w:after="0" w:line="259" w:lineRule="auto"/>
        <w:rPr>
          <w:sz w:val="20"/>
          <w:szCs w:val="20"/>
          <w:color w:val="auto"/>
        </w:rPr>
      </w:pPr>
      <w:r>
        <w:rPr>
          <w:rFonts w:ascii="Arial" w:cs="Arial" w:eastAsia="Arial" w:hAnsi="Arial"/>
          <w:sz w:val="18"/>
          <w:szCs w:val="18"/>
          <w:color w:val="auto"/>
        </w:rPr>
        <w:t>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committed Borrowing of Base Rate Loans in the amount specified therein.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Increased Cost and Reduced Return; Capital Adequacy; Reserves on Eurodollar Rate Loans.</w:t>
      </w:r>
    </w:p>
    <w:p>
      <w:pPr>
        <w:spacing w:after="0" w:line="225" w:lineRule="exact"/>
        <w:rPr>
          <w:sz w:val="20"/>
          <w:szCs w:val="20"/>
          <w:color w:val="auto"/>
        </w:rPr>
      </w:pPr>
    </w:p>
    <w:p>
      <w:pPr>
        <w:ind w:left="1300" w:hanging="644"/>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ind w:left="660" w:right="60" w:firstLine="645"/>
        <w:spacing w:after="0" w:line="264" w:lineRule="auto"/>
        <w:tabs>
          <w:tab w:leader="none" w:pos="197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contemplated by Section 3.04(d)) or the L/C Issuer;</w:t>
      </w:r>
    </w:p>
    <w:p>
      <w:pPr>
        <w:spacing w:after="0" w:line="181" w:lineRule="exact"/>
        <w:rPr>
          <w:rFonts w:ascii="Arial" w:cs="Arial" w:eastAsia="Arial" w:hAnsi="Arial"/>
          <w:sz w:val="18"/>
          <w:szCs w:val="18"/>
          <w:color w:val="auto"/>
        </w:rPr>
      </w:pPr>
    </w:p>
    <w:p>
      <w:pPr>
        <w:ind w:left="660" w:right="140" w:firstLine="645"/>
        <w:spacing w:after="0" w:line="286" w:lineRule="auto"/>
        <w:tabs>
          <w:tab w:leader="none" w:pos="1987" w:val="left"/>
        </w:tabs>
        <w:numPr>
          <w:ilvl w:val="1"/>
          <w:numId w:val="192"/>
        </w:numPr>
        <w:rPr>
          <w:rFonts w:ascii="Arial" w:cs="Arial" w:eastAsia="Arial" w:hAnsi="Arial"/>
          <w:sz w:val="17"/>
          <w:szCs w:val="17"/>
          <w:color w:val="auto"/>
        </w:rPr>
      </w:pPr>
      <w:r>
        <w:rPr>
          <w:rFonts w:ascii="Arial" w:cs="Arial" w:eastAsia="Arial" w:hAnsi="Arial"/>
          <w:sz w:val="17"/>
          <w:szCs w:val="17"/>
          <w:color w:val="auto"/>
        </w:rPr>
        <w:t>subject any Lender or the L/C Issuer to any Tax of any kind whatsoever with respect to this Agreement, any Letter of Credit, any participation in a Letter of Credit or any Loan made by it, or change the basis of taxation of payments to such Lender or the L/C Issuer in respect thereof (except for (i) Indemnified Taxes or Other Taxes indemnifiable under Section 3.01 and (ii) Excluded Taxes); or</w:t>
      </w:r>
    </w:p>
    <w:p>
      <w:pPr>
        <w:spacing w:after="0" w:line="165" w:lineRule="exact"/>
        <w:rPr>
          <w:rFonts w:ascii="Arial" w:cs="Arial" w:eastAsia="Arial" w:hAnsi="Arial"/>
          <w:sz w:val="17"/>
          <w:szCs w:val="17"/>
          <w:color w:val="auto"/>
        </w:rPr>
      </w:pPr>
    </w:p>
    <w:p>
      <w:pPr>
        <w:ind w:left="660" w:right="580" w:firstLine="645"/>
        <w:spacing w:after="0" w:line="277" w:lineRule="auto"/>
        <w:tabs>
          <w:tab w:leader="none" w:pos="199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impose on any Lender or the L/C Issuer or the London interbank market any other condition, cost or expense affecting this Agreement or Eurodollar Rate Loans made by such Lender or any Letter of Credit or participation therein;</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and the result of any of the foregoing shall be to increase the cost to such Lender of making or maintaining any Loan the interest on which is determined by reference to the Eurodollar Rate (or, in the case of clause (ii) above,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 to the extent such compensation is sought from similarly situated borrowers.</w:t>
      </w:r>
    </w:p>
    <w:p>
      <w:pPr>
        <w:spacing w:after="0" w:line="178" w:lineRule="exact"/>
        <w:rPr>
          <w:sz w:val="20"/>
          <w:szCs w:val="20"/>
          <w:color w:val="auto"/>
        </w:rPr>
      </w:pPr>
    </w:p>
    <w:p>
      <w:pPr>
        <w:ind w:right="40" w:firstLine="656"/>
        <w:spacing w:after="0" w:line="270" w:lineRule="auto"/>
        <w:tabs>
          <w:tab w:leader="none" w:pos="1304"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the L/C Issuer determines in good faith in its reasonable discretion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or liquidity), then, to the extent such compensation is sought from similarly situated borrowers, the Borrower, upon request of such Lender or the L/C Issuer, as the case may be, will pay to such Lender or the L/C Issuer such additional amount or amounts as will compensate such Lender or the L/C Issuer or such Lender’s or the L/C Issuer’s holding company for any such reduction suffered.</w:t>
      </w:r>
    </w:p>
    <w:p>
      <w:pPr>
        <w:spacing w:after="0" w:line="177" w:lineRule="exact"/>
        <w:rPr>
          <w:rFonts w:ascii="Arial" w:cs="Arial" w:eastAsia="Arial" w:hAnsi="Arial"/>
          <w:sz w:val="17"/>
          <w:szCs w:val="17"/>
          <w:color w:val="auto"/>
        </w:rPr>
      </w:pPr>
    </w:p>
    <w:p>
      <w:pPr>
        <w:ind w:right="200" w:firstLine="656"/>
        <w:spacing w:after="0" w:line="277" w:lineRule="auto"/>
        <w:tabs>
          <w:tab w:leader="none" w:pos="1307"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the L/C Issuer setting forth the amount or amounts necessary to compensate such Lender or the L/C Issuer or 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holding company, as the case may be, as specified in subsection (a) or (b) of this Section and delivered to the Borrower shall be conclusive absent manifest error. The Borrower shall pay such Lender or the L/C Issuer, as the case may be, the amount shown as due on any such certificate within 10 days after receipt thereof.</w:t>
      </w:r>
    </w:p>
    <w:p>
      <w:pPr>
        <w:spacing w:after="0" w:line="181" w:lineRule="exact"/>
        <w:rPr>
          <w:sz w:val="20"/>
          <w:szCs w:val="20"/>
          <w:color w:val="auto"/>
        </w:rPr>
      </w:pPr>
    </w:p>
    <w:p>
      <w:pPr>
        <w:ind w:right="20" w:firstLine="656"/>
        <w:spacing w:after="0" w:line="272" w:lineRule="auto"/>
        <w:tabs>
          <w:tab w:leader="none" w:pos="1304"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Reserves on Eurodollar Rate Loans</w:t>
      </w:r>
      <w:r>
        <w:rPr>
          <w:rFonts w:ascii="Arial" w:cs="Arial" w:eastAsia="Arial" w:hAnsi="Arial"/>
          <w:sz w:val="17"/>
          <w:szCs w:val="17"/>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absent manifest error), which shall be due and payable on each date on which interest is payable on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Funding Losses.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Upon demand of any Lender (with a copy to the Administrative Agent) from time to time, the Borrower shall promptly compensate such Lender for and hold such Lender harmless from any loss, cost or expense actually incurred by it as a result of:</w:t>
      </w:r>
    </w:p>
    <w:p>
      <w:pPr>
        <w:spacing w:after="0" w:line="170" w:lineRule="exact"/>
        <w:rPr>
          <w:sz w:val="20"/>
          <w:szCs w:val="20"/>
          <w:color w:val="auto"/>
        </w:rPr>
      </w:pPr>
    </w:p>
    <w:p>
      <w:pPr>
        <w:ind w:left="660" w:right="280" w:firstLine="645"/>
        <w:spacing w:after="0" w:line="277" w:lineRule="auto"/>
        <w:tabs>
          <w:tab w:leader="none" w:pos="195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Eurodollar Rate Loan of the Borrower on a day other than the last day of the Interest Period for such Loan;</w:t>
      </w:r>
    </w:p>
    <w:p>
      <w:pPr>
        <w:spacing w:after="0" w:line="170"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Eurodollar Rate Loan of the Borrower on the date or in the amount notified by the Borrower; or</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6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assignment of a Eurodollar Rate Loan on a day other than the last day of the Interest Period therefor as a result of a request by the Borrower pursuant to Section 10.13;</w:t>
      </w:r>
    </w:p>
    <w:p>
      <w:pPr>
        <w:sectPr>
          <w:pgSz w:w="11900" w:h="16838" w:orient="portrait"/>
          <w:cols w:equalWidth="0" w:num="1">
            <w:col w:w="11400"/>
          </w:cols>
          <w:pgMar w:left="240" w:top="125" w:right="259" w:bottom="0" w:gutter="0" w:footer="0" w:header="0"/>
        </w:sectPr>
      </w:pPr>
    </w:p>
    <w:bookmarkStart w:id="68" w:name="page69"/>
    <w:bookmarkEnd w:id="68"/>
    <w:p>
      <w:pPr>
        <w:spacing w:after="0" w:line="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Matters Applicable to All Requests for Compensation.</w:t>
      </w:r>
    </w:p>
    <w:p>
      <w:pPr>
        <w:spacing w:after="0" w:line="225" w:lineRule="exact"/>
        <w:rPr>
          <w:sz w:val="20"/>
          <w:szCs w:val="20"/>
          <w:color w:val="auto"/>
        </w:rPr>
      </w:pPr>
    </w:p>
    <w:p>
      <w:pPr>
        <w:ind w:right="180" w:firstLine="1305"/>
        <w:spacing w:after="0" w:line="277" w:lineRule="auto"/>
        <w:tabs>
          <w:tab w:leader="none" w:pos="194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Agent or any Lender claiming compensation under this Article III shall deliver a certificate to the Borrower setting forth the additional amount or amounts to be paid to it hereunder which shall be conclusive in the absence of manifest error. In determining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amount, such Agent or such Lender may use any reasonable averaging and attribution methods.</w:t>
      </w:r>
    </w:p>
    <w:p>
      <w:pPr>
        <w:spacing w:after="0" w:line="225" w:lineRule="exact"/>
        <w:rPr>
          <w:sz w:val="20"/>
          <w:szCs w:val="20"/>
          <w:color w:val="auto"/>
        </w:rPr>
      </w:pPr>
    </w:p>
    <w:p>
      <w:pPr>
        <w:ind w:right="40" w:firstLine="1305"/>
        <w:spacing w:after="0" w:line="270" w:lineRule="auto"/>
        <w:tabs>
          <w:tab w:leader="none" w:pos="1952"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the L/C Issuer to demand compensation pursuant to Section 3.01, 3.02, 3.03 or 3.04 shall not constitute a waiver of such Lender’s or the L/C Issuer’s right to demand such compensation,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required to compensate such Lender for any amount incurred more than one hundred and eighty (180) days prior to the date that such Lender notifies the Borrower of the event that gives rise to such claim;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circumstance giving rise to such claim is retroactive, then such 180-day period referred to above shall be extended to include the period of retroactive effect thereof. If any Lender requests compensation by the Borrower under Section 3.04, the Borrower may, by notice to such Lender (with a copy to the Administrative Agent), suspend the obligation of such Lender to make or continue from one Interest Period to another applicable Eurodollar Rate Loans, or, if applicable, to convert Base Rate Loans into Eurodollar Rate Loans, until the event or condition giving rise to such request ceases to be in effect (in which case the provisions of Section 3.06(c) shall be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suspension shall not affect the right of such Lender to receive the compensation so requested.</w:t>
      </w:r>
    </w:p>
    <w:p>
      <w:pPr>
        <w:spacing w:after="0" w:line="181" w:lineRule="exact"/>
        <w:rPr>
          <w:rFonts w:ascii="Arial" w:cs="Arial" w:eastAsia="Arial" w:hAnsi="Arial"/>
          <w:sz w:val="17"/>
          <w:szCs w:val="17"/>
          <w:color w:val="auto"/>
        </w:rPr>
      </w:pPr>
    </w:p>
    <w:p>
      <w:pPr>
        <w:jc w:val="both"/>
        <w:ind w:right="40" w:firstLine="1305"/>
        <w:spacing w:after="0" w:line="297" w:lineRule="auto"/>
        <w:tabs>
          <w:tab w:leader="none" w:pos="195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If the obligation of any Lender to make or continue any Eurodollar Rate Loan, or to convert Base Rate Loans into Eurodollar Rate Loans shall be suspended pursuant to Section 3.06(b) hereof, such Lender’s applicable Eurodollar Rate Loans shall be automatically converted into Base Rate Loans (or, if such conversion is not possible, repaid) on the last day(s) of the then current Interest Period(s) for such Eurodollar Rate Loans (or, in the case of an immediate conversion required by Section 3.02, on such earlier date as required by Law) and, unless and until such Lender gives notice as provided below that the circumstances specified in Section 3.01, 3.02, 3.03 or 3.04 hereof that gave rise to such conversion no longer exist:</w:t>
      </w:r>
    </w:p>
    <w:p>
      <w:pPr>
        <w:spacing w:after="0" w:line="158" w:lineRule="exact"/>
        <w:rPr>
          <w:sz w:val="20"/>
          <w:szCs w:val="20"/>
          <w:color w:val="auto"/>
        </w:rPr>
      </w:pPr>
    </w:p>
    <w:p>
      <w:pPr>
        <w:ind w:left="660" w:right="320" w:firstLine="645"/>
        <w:spacing w:after="0" w:line="342" w:lineRule="auto"/>
        <w:tabs>
          <w:tab w:leader="none" w:pos="197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the extent that such Lender’s Eurodollar Rate Loans have been so converted, all payments and prepayments of principal that would otherwise be applied to such Lender’s applicable Eurodollar Rate Loans shall be applied instead to its Base Rate Loans; and</w:t>
      </w:r>
    </w:p>
    <w:p>
      <w:pPr>
        <w:spacing w:after="0" w:line="123" w:lineRule="exact"/>
        <w:rPr>
          <w:rFonts w:ascii="Arial" w:cs="Arial" w:eastAsia="Arial" w:hAnsi="Arial"/>
          <w:sz w:val="16"/>
          <w:szCs w:val="16"/>
          <w:color w:val="auto"/>
        </w:rPr>
      </w:pPr>
    </w:p>
    <w:p>
      <w:pPr>
        <w:ind w:left="660" w:right="20" w:firstLine="645"/>
        <w:spacing w:after="0" w:line="264" w:lineRule="auto"/>
        <w:tabs>
          <w:tab w:leader="none" w:pos="198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Loans that would otherwise be made or continued from one Interest Period to another by such Lender as Eurodollar Rate Loans shall be made or continued instead as Base Rate Loans (if possible), and all Base Rate Loans of such Lender that would otherwise be converted into Eurodollar Rate Loans shall remain as Base Rate Loans.</w:t>
      </w:r>
    </w:p>
    <w:p>
      <w:pPr>
        <w:spacing w:after="0" w:line="181" w:lineRule="exact"/>
        <w:rPr>
          <w:sz w:val="20"/>
          <w:szCs w:val="20"/>
          <w:color w:val="auto"/>
        </w:rPr>
      </w:pPr>
    </w:p>
    <w:p>
      <w:pPr>
        <w:ind w:left="1960" w:hanging="655"/>
        <w:spacing w:after="0"/>
        <w:tabs>
          <w:tab w:leader="none" w:pos="19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any Lender gives notice to the Borrower (with a copy to the Administrative Agent) that the circumstances specified in</w:t>
      </w:r>
    </w:p>
    <w:p>
      <w:pPr>
        <w:spacing w:after="0" w:line="2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Section 3.01, 3.02, 3.03 or 3.04 hereof that gave rise to the conversion of any of such Lender’s Eurodollar Rate Loans pursuant to this Section 3.06 no longer exist (which such Lender agrees to do promptly upon such circumstances ceasing to exist) at a time when Eurodollar Rate Loans made by other Lenders under the applicable Facility are outstanding, if applicable, such Lender’s Base Rate Loans shall be automatically converted, on the first day(s) of the next succeeding Interest Period(s) for such outstanding Eurodollar Rate Loans, to the extent necessary so that, after giving effect thereto, all Loans held by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Lenders holding Eurodollar Rate Loans under such Facility and by such Lender are held pro rata (as to principal amounts, interest rate basis, and Interest Periods) in accordance with their respective Commitments for the applicable Facility.</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Replacement of Lenders under Certain Circumstances.</w:t>
      </w:r>
    </w:p>
    <w:p>
      <w:pPr>
        <w:spacing w:after="0" w:line="225" w:lineRule="exact"/>
        <w:rPr>
          <w:sz w:val="20"/>
          <w:szCs w:val="20"/>
          <w:color w:val="auto"/>
        </w:rPr>
      </w:pPr>
    </w:p>
    <w:p>
      <w:pPr>
        <w:ind w:right="40" w:firstLine="656"/>
        <w:spacing w:after="0" w:line="270" w:lineRule="auto"/>
        <w:tabs>
          <w:tab w:leader="none" w:pos="1294"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If any Lender requests compensation under Section 3.04, or the Borrower is required to pay any additional amount to any Lender, the L/C Issuer, or any Governmental Authority for the account of any Lender or the L/C Issuer pursuant to Section 3.01, or if any Lender gives a notice pursuant to Section 3.02, then such Lender or the L/C Issuer shall, as applicable, use reasonable efforts to designate a different Lending Office for funding or booking its Loans hereunder or to assign its rights and obligations hereunder to another of its offices, branches or affiliates, if, in the reasonable judgment of such Lender or the L/C Issuer, such designation or assignment (i) would eliminate or reduce amounts payable pursuant to Section 3.01 or 3.04, as the case may be, in the future, or eliminate the need for the notice pursuant to Section 3.02, as applicable, and (ii) in each case, would not subject such Lender or the L/C Issuer, as the case may be, to any unreimbursed cost or expense and would not otherwise be materially disadvantageous to such Lender or the L/C Issuer, as the case may be. The Borrower hereby agrees to pay all reasonable costs and expenses incurred by any Lender or the L/C Issuer in connection with any such designation or assignment.</w:t>
      </w:r>
    </w:p>
    <w:p>
      <w:pPr>
        <w:spacing w:after="0" w:line="181" w:lineRule="exact"/>
        <w:rPr>
          <w:rFonts w:ascii="Arial" w:cs="Arial" w:eastAsia="Arial" w:hAnsi="Arial"/>
          <w:sz w:val="17"/>
          <w:szCs w:val="17"/>
          <w:color w:val="auto"/>
        </w:rPr>
      </w:pPr>
    </w:p>
    <w:p>
      <w:pPr>
        <w:ind w:right="400" w:firstLine="656"/>
        <w:spacing w:after="0" w:line="264" w:lineRule="auto"/>
        <w:tabs>
          <w:tab w:leader="none" w:pos="1304"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If any Lender requests compensation under Section 3.04, or if the Borrower is required to pay any additional amount to any Lender or any Governmental Authority for the account of any Lender pursuant to Section 3.01, the Borrower may replace such Lender in accordance with Section 10.13.</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7"/>
          <w:szCs w:val="17"/>
          <w:u w:val="single" w:color="auto"/>
          <w:color w:val="auto"/>
        </w:rPr>
        <w:t>Survival.</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All of the Borrower’s obligations under this Article III shall survive termination of the Aggregate Commitments, repayment of all other Obligations hereunder, resignation of the Administrative Agent and any assignment of rights by, or replacement of, a Lender or L/C Issuer.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 Precedent to Credit Extensions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Conditions of Initial Credit Extension.</w:t>
      </w:r>
    </w:p>
    <w:p>
      <w:pPr>
        <w:sectPr>
          <w:pgSz w:w="11900" w:h="16874" w:orient="portrait"/>
          <w:cols w:equalWidth="0" w:num="1">
            <w:col w:w="11420"/>
          </w:cols>
          <w:pgMar w:left="240" w:top="125" w:right="239" w:bottom="0" w:gutter="0" w:footer="0" w:header="0"/>
        </w:sectPr>
      </w:pPr>
    </w:p>
    <w:bookmarkStart w:id="69" w:name="page70"/>
    <w:bookmarkEnd w:id="69"/>
    <w:p>
      <w:pPr>
        <w:ind w:right="180" w:firstLine="648"/>
        <w:spacing w:after="0" w:line="277" w:lineRule="auto"/>
        <w:rPr>
          <w:sz w:val="20"/>
          <w:szCs w:val="20"/>
          <w:color w:val="auto"/>
        </w:rPr>
      </w:pPr>
      <w:r>
        <w:rPr>
          <w:rFonts w:ascii="Arial" w:cs="Arial" w:eastAsia="Arial" w:hAnsi="Arial"/>
          <w:sz w:val="18"/>
          <w:szCs w:val="18"/>
          <w:color w:val="auto"/>
        </w:rPr>
        <w:t>The obligation of the L/C Issuer and each Lender to make its initial Credit Extension hereunder is subject to satisfaction or waiver of the following conditions precedent:</w:t>
      </w:r>
    </w:p>
    <w:p>
      <w:pPr>
        <w:spacing w:after="0" w:line="170" w:lineRule="exact"/>
        <w:rPr>
          <w:sz w:val="20"/>
          <w:szCs w:val="20"/>
          <w:color w:val="auto"/>
        </w:rPr>
      </w:pPr>
    </w:p>
    <w:p>
      <w:pPr>
        <w:ind w:left="660" w:right="160" w:firstLine="645"/>
        <w:spacing w:after="0" w:line="312" w:lineRule="auto"/>
        <w:tabs>
          <w:tab w:leader="none" w:pos="195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executed counterparts of this Agreement, sufficient in number for distribution to the Administrative Agent, each Lender</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 the Borrower;</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requesting a Note;</w:t>
      </w:r>
    </w:p>
    <w:p>
      <w:pPr>
        <w:spacing w:after="0" w:line="225" w:lineRule="exact"/>
        <w:rPr>
          <w:rFonts w:ascii="Arial" w:cs="Arial" w:eastAsia="Arial" w:hAnsi="Arial"/>
          <w:sz w:val="18"/>
          <w:szCs w:val="18"/>
          <w:color w:val="auto"/>
        </w:rPr>
      </w:pPr>
    </w:p>
    <w:p>
      <w:pPr>
        <w:ind w:left="1300" w:right="80" w:firstLine="653"/>
        <w:spacing w:after="0" w:line="342" w:lineRule="auto"/>
        <w:tabs>
          <w:tab w:leader="none" w:pos="263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 security agreement, in substantially the form of Exhibit F hereto (together with each security agreement supplement delivered pursuant to Section 6.11, in each case as amended, the “</w:t>
      </w:r>
      <w:r>
        <w:rPr>
          <w:rFonts w:ascii="Arial" w:cs="Arial" w:eastAsia="Arial" w:hAnsi="Arial"/>
          <w:sz w:val="16"/>
          <w:szCs w:val="16"/>
          <w:b w:val="1"/>
          <w:bCs w:val="1"/>
          <w:color w:val="auto"/>
        </w:rPr>
        <w:t>Security Agreement</w:t>
      </w:r>
      <w:r>
        <w:rPr>
          <w:rFonts w:ascii="Arial" w:cs="Arial" w:eastAsia="Arial" w:hAnsi="Arial"/>
          <w:sz w:val="16"/>
          <w:szCs w:val="16"/>
          <w:color w:val="auto"/>
        </w:rPr>
        <w:t>”), duly executed by each Loan Party, together with:</w:t>
      </w:r>
    </w:p>
    <w:p>
      <w:pPr>
        <w:spacing w:after="0" w:line="123" w:lineRule="exact"/>
        <w:rPr>
          <w:rFonts w:ascii="Arial" w:cs="Arial" w:eastAsia="Arial" w:hAnsi="Arial"/>
          <w:sz w:val="16"/>
          <w:szCs w:val="16"/>
          <w:color w:val="auto"/>
        </w:rPr>
      </w:pPr>
    </w:p>
    <w:p>
      <w:pPr>
        <w:ind w:left="1960" w:right="180" w:firstLine="641"/>
        <w:spacing w:after="0" w:line="277" w:lineRule="auto"/>
        <w:tabs>
          <w:tab w:leader="none" w:pos="295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certificates and instruments representing the Collateral referred to therein accompanied by undated stock powers or instruments of transfer executed in blank,</w:t>
      </w:r>
    </w:p>
    <w:p>
      <w:pPr>
        <w:spacing w:after="0" w:line="170" w:lineRule="exact"/>
        <w:rPr>
          <w:rFonts w:ascii="Arial" w:cs="Arial" w:eastAsia="Arial" w:hAnsi="Arial"/>
          <w:sz w:val="18"/>
          <w:szCs w:val="18"/>
          <w:color w:val="auto"/>
        </w:rPr>
      </w:pPr>
    </w:p>
    <w:p>
      <w:pPr>
        <w:ind w:left="1960" w:right="40" w:firstLine="641"/>
        <w:spacing w:after="0" w:line="264" w:lineRule="auto"/>
        <w:tabs>
          <w:tab w:leader="none" w:pos="294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proper financing statements in form appropriate for filing under the Uniform Commercial Code of all jurisdictions that the Administrative Agent may deem necessary or desirable in order to perfect the Liens created under the Security Agreement, covering the Collateral described in the Security Agreement,</w:t>
      </w:r>
    </w:p>
    <w:p>
      <w:pPr>
        <w:spacing w:after="0" w:line="181" w:lineRule="exact"/>
        <w:rPr>
          <w:rFonts w:ascii="Arial" w:cs="Arial" w:eastAsia="Arial" w:hAnsi="Arial"/>
          <w:sz w:val="18"/>
          <w:szCs w:val="18"/>
          <w:color w:val="auto"/>
        </w:rPr>
      </w:pPr>
    </w:p>
    <w:p>
      <w:pPr>
        <w:ind w:left="1960" w:right="40" w:firstLine="641"/>
        <w:spacing w:after="0" w:line="255" w:lineRule="auto"/>
        <w:tabs>
          <w:tab w:leader="none" w:pos="294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copies of UCC, United States Patent and Trademark Office and United States Copyright Office,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are required by the Perfection Certificate or that the Administrative Agent reasonably deems necessary or appropriate, none of which encumber the Collateral covered or intended to be covered by the Collateral Documents (other than Permitted Liens),</w:t>
      </w:r>
    </w:p>
    <w:p>
      <w:pPr>
        <w:spacing w:after="0" w:line="189" w:lineRule="exact"/>
        <w:rPr>
          <w:rFonts w:ascii="Arial" w:cs="Arial" w:eastAsia="Arial" w:hAnsi="Arial"/>
          <w:sz w:val="18"/>
          <w:szCs w:val="18"/>
          <w:color w:val="auto"/>
        </w:rPr>
      </w:pPr>
    </w:p>
    <w:p>
      <w:pPr>
        <w:ind w:left="2940" w:hanging="339"/>
        <w:spacing w:after="0"/>
        <w:tabs>
          <w:tab w:leader="none" w:pos="29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Perfection Certificate duly executed by each of the Loan Parties, and</w:t>
      </w:r>
    </w:p>
    <w:p>
      <w:pPr>
        <w:spacing w:after="0" w:line="225" w:lineRule="exact"/>
        <w:rPr>
          <w:rFonts w:ascii="Arial" w:cs="Arial" w:eastAsia="Arial" w:hAnsi="Arial"/>
          <w:sz w:val="18"/>
          <w:szCs w:val="18"/>
          <w:color w:val="auto"/>
        </w:rPr>
      </w:pPr>
    </w:p>
    <w:p>
      <w:pPr>
        <w:ind w:left="1960" w:right="100" w:firstLine="641"/>
        <w:spacing w:after="0" w:line="255" w:lineRule="auto"/>
        <w:tabs>
          <w:tab w:leader="none" w:pos="294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Copyright Security Agreement, Patent Security Agreement and Trademark Security Agreement (as each such term is defined in the Security Agreement and to the extent applicable) (together with each other intellectual property security agreement delivered pursuant to Section 6.11, in each case as amended or supplemented, the “</w:t>
      </w:r>
      <w:r>
        <w:rPr>
          <w:rFonts w:ascii="Arial" w:cs="Arial" w:eastAsia="Arial" w:hAnsi="Arial"/>
          <w:sz w:val="18"/>
          <w:szCs w:val="18"/>
          <w:b w:val="1"/>
          <w:bCs w:val="1"/>
          <w:color w:val="auto"/>
        </w:rPr>
        <w:t>Intellectual Property 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duly executed by each applicable Loan Party, together with evidence that all action that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may reasonably deem necessary or desirable in order to perfect the Liens created under the Intellectual Property Security Agreement has been taken;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to the extent any security interest in any Collateral is not or cannot be provided and/or perfected on the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Date (other than the pledge and perfection of the security interests in (1) the certificated equity securities of any material wholly owned U.S. subsidiary of the Borrower, (2) intellectual property pursuant to filings with the United States Patent and Trademark Office and the United States Copyright Office and</w:t>
      </w:r>
    </w:p>
    <w:p>
      <w:pPr>
        <w:ind w:right="100" w:firstLine="8"/>
        <w:spacing w:after="0" w:line="254" w:lineRule="auto"/>
        <w:tabs>
          <w:tab w:leader="none" w:pos="2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other assets with respect to which a lien may be perfected by the filing of a financing statement under the UCC) after the Borrower’s use of commercially reasonable efforts to do so or without undue burden or expense, then the provision and/or perfection of a security interest in such Collateral shall not constitute a condition precedent to the availability of the initial Credit Extension on the Closing Date but instead shall be required to be delivered and/or perfected in the manner and during the period required by Schedule 4.01(a)(iii).</w:t>
      </w:r>
    </w:p>
    <w:p>
      <w:pPr>
        <w:spacing w:after="0" w:line="189" w:lineRule="exact"/>
        <w:rPr>
          <w:rFonts w:ascii="Arial" w:cs="Arial" w:eastAsia="Arial" w:hAnsi="Arial"/>
          <w:sz w:val="18"/>
          <w:szCs w:val="18"/>
          <w:color w:val="auto"/>
        </w:rPr>
      </w:pPr>
    </w:p>
    <w:p>
      <w:pPr>
        <w:ind w:left="1300" w:firstLine="653"/>
        <w:spacing w:after="0" w:line="259" w:lineRule="auto"/>
        <w:tabs>
          <w:tab w:leader="none" w:pos="2613" w:val="left"/>
        </w:tabs>
        <w:numPr>
          <w:ilvl w:val="1"/>
          <w:numId w:val="203"/>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186" w:lineRule="exact"/>
        <w:rPr>
          <w:rFonts w:ascii="Arial" w:cs="Arial" w:eastAsia="Arial" w:hAnsi="Arial"/>
          <w:sz w:val="18"/>
          <w:szCs w:val="18"/>
          <w:color w:val="auto"/>
        </w:rPr>
      </w:pPr>
    </w:p>
    <w:p>
      <w:pPr>
        <w:ind w:left="1300" w:right="160" w:firstLine="653"/>
        <w:spacing w:after="0" w:line="277" w:lineRule="auto"/>
        <w:tabs>
          <w:tab w:leader="none" w:pos="2604" w:val="left"/>
        </w:tabs>
        <w:numPr>
          <w:ilvl w:val="1"/>
          <w:numId w:val="203"/>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is duly organized or formed;</w:t>
      </w:r>
    </w:p>
    <w:p>
      <w:pPr>
        <w:spacing w:after="0" w:line="170" w:lineRule="exact"/>
        <w:rPr>
          <w:rFonts w:ascii="Arial" w:cs="Arial" w:eastAsia="Arial" w:hAnsi="Arial"/>
          <w:sz w:val="18"/>
          <w:szCs w:val="18"/>
          <w:color w:val="auto"/>
        </w:rPr>
      </w:pPr>
    </w:p>
    <w:p>
      <w:pPr>
        <w:ind w:left="1300" w:right="680" w:firstLine="653"/>
        <w:spacing w:after="0" w:line="308" w:lineRule="auto"/>
        <w:tabs>
          <w:tab w:leader="none" w:pos="2613"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 favorable opinion of Skadden, Arps, Slate, Meagher &amp; Flom LLP, counsel to the Loan Parties, addressed to the Administrative Agent and each Lender, in a form reasonably satisfactory to the Administrative Agent and the Arrangers;</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Borrower certifying that the conditions specified in Sections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4.02(i) and (ii) have been satisfied;</w:t>
      </w:r>
    </w:p>
    <w:p>
      <w:pPr>
        <w:spacing w:after="0" w:line="211" w:lineRule="exact"/>
        <w:rPr>
          <w:sz w:val="20"/>
          <w:szCs w:val="20"/>
          <w:color w:val="auto"/>
        </w:rPr>
      </w:pPr>
    </w:p>
    <w:p>
      <w:pPr>
        <w:ind w:left="1300" w:right="280" w:firstLine="653"/>
        <w:spacing w:after="0" w:line="312" w:lineRule="auto"/>
        <w:tabs>
          <w:tab w:leader="none" w:pos="261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 audited financial statements of the Borrower for each of the three fiscal years immediately preceding the initial funding ended more than 90 days prior to the Closing Date; and (ii) unaudited financial statements of the Borrower for any fiscal quarter ended after the date of the most recent audited financial statements of such Person and more than 45 days prior to the Closing Date;</w:t>
      </w:r>
    </w:p>
    <w:p>
      <w:pPr>
        <w:sectPr>
          <w:pgSz w:w="11900" w:h="16838" w:orient="portrait"/>
          <w:cols w:equalWidth="0" w:num="1">
            <w:col w:w="11420"/>
          </w:cols>
          <w:pgMar w:left="240" w:top="341" w:right="239" w:bottom="0" w:gutter="0" w:footer="0" w:header="0"/>
        </w:sectPr>
      </w:pPr>
    </w:p>
    <w:bookmarkStart w:id="70" w:name="page71"/>
    <w:bookmarkEnd w:id="70"/>
    <w:p>
      <w:pPr>
        <w:spacing w:after="0" w:line="82" w:lineRule="exact"/>
        <w:rPr>
          <w:sz w:val="20"/>
          <w:szCs w:val="20"/>
          <w:color w:val="auto"/>
        </w:rPr>
      </w:pPr>
    </w:p>
    <w:p>
      <w:pPr>
        <w:ind w:left="1300" w:right="40" w:firstLine="653"/>
        <w:spacing w:after="0" w:line="277" w:lineRule="auto"/>
        <w:tabs>
          <w:tab w:leader="none" w:pos="260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certificate attesting to the Solvency of the Borrower and its Subsidiaries on a consolidated basis, before and after giving effect to the Transaction, from the Borrower’s chief financial officer, substantially in the form of Exhibit K hereto;</w:t>
      </w:r>
    </w:p>
    <w:p>
      <w:pPr>
        <w:spacing w:after="0" w:line="170" w:lineRule="exact"/>
        <w:rPr>
          <w:rFonts w:ascii="Arial" w:cs="Arial" w:eastAsia="Arial" w:hAnsi="Arial"/>
          <w:sz w:val="18"/>
          <w:szCs w:val="18"/>
          <w:color w:val="auto"/>
        </w:rPr>
      </w:pPr>
    </w:p>
    <w:p>
      <w:pPr>
        <w:ind w:left="1300" w:right="360" w:firstLine="653"/>
        <w:spacing w:after="0" w:line="277" w:lineRule="auto"/>
        <w:tabs>
          <w:tab w:leader="none" w:pos="261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at least five Business Days prior to the Closing Date, all documentation and other information required by regulatory authorities with respect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580"/>
        <w:spacing w:after="0" w:line="342" w:lineRule="auto"/>
        <w:rPr>
          <w:sz w:val="20"/>
          <w:szCs w:val="20"/>
          <w:color w:val="auto"/>
        </w:rPr>
      </w:pPr>
      <w:r>
        <w:rPr>
          <w:rFonts w:ascii="Arial" w:cs="Arial" w:eastAsia="Arial" w:hAnsi="Arial"/>
          <w:sz w:val="16"/>
          <w:szCs w:val="16"/>
          <w:color w:val="auto"/>
        </w:rPr>
        <w:t>Borrower reasonably requested by the Initial Lenders under applicable “know your customer” and anti-money laundering rules and regulations, including with out limitation the USA Patriot Act, to the extent requested at least 10 days prior to the Closing Date; and</w:t>
      </w:r>
    </w:p>
    <w:p>
      <w:pPr>
        <w:spacing w:after="0" w:line="124" w:lineRule="exact"/>
        <w:rPr>
          <w:sz w:val="20"/>
          <w:szCs w:val="20"/>
          <w:color w:val="auto"/>
        </w:rPr>
      </w:pPr>
    </w:p>
    <w:p>
      <w:pPr>
        <w:ind w:left="1300" w:right="60" w:firstLine="653"/>
        <w:spacing w:after="0" w:line="269" w:lineRule="auto"/>
        <w:tabs>
          <w:tab w:leader="none" w:pos="2623" w:val="left"/>
        </w:tabs>
        <w:numPr>
          <w:ilvl w:val="1"/>
          <w:numId w:val="206"/>
        </w:numPr>
        <w:rPr>
          <w:rFonts w:ascii="Arial" w:cs="Arial" w:eastAsia="Arial" w:hAnsi="Arial"/>
          <w:sz w:val="17"/>
          <w:szCs w:val="17"/>
          <w:color w:val="auto"/>
        </w:rPr>
      </w:pPr>
      <w:r>
        <w:rPr>
          <w:rFonts w:ascii="Arial" w:cs="Arial" w:eastAsia="Arial" w:hAnsi="Arial"/>
          <w:sz w:val="17"/>
          <w:szCs w:val="17"/>
          <w:color w:val="auto"/>
        </w:rPr>
        <w:t xml:space="preserve">(A) the terms of the Stock Purchase Agreement will be reasonably satisfactory to the Arrangers;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Arrangers acknowledge that the Stock Purchase Agreement dated as of July 25, 2013 is reasonably satisfactory to the Arrangers and (B) no conditions precedent to the consummation of the Stock Buy-Back or other provision in the Stock Purchase Agreement dated as of July 25, 2013 shall have been waived, modified, supplemented or amended (and no consent granted), in a manner materially adverse to the Arrangers or the Lenders in their capacities as Lenders, in each case without the consent of the Arrangers, not to be unreasonably withheld or delayed (it being understood and agreed that any increase or reduction in the purchase price shall not be deemed to be materially adverse to the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increase in the purchase price shall be funded solely by the available domestic cash of the Borrower and its Subsidiaries (the “</w:t>
      </w:r>
      <w:r>
        <w:rPr>
          <w:rFonts w:ascii="Arial" w:cs="Arial" w:eastAsia="Arial" w:hAnsi="Arial"/>
          <w:sz w:val="17"/>
          <w:szCs w:val="17"/>
          <w:b w:val="1"/>
          <w:bCs w:val="1"/>
          <w:color w:val="auto"/>
        </w:rPr>
        <w:t>Domestic Cash</w:t>
      </w:r>
      <w:r>
        <w:rPr>
          <w:rFonts w:ascii="Arial" w:cs="Arial" w:eastAsia="Arial" w:hAnsi="Arial"/>
          <w:sz w:val="17"/>
          <w:szCs w:val="17"/>
          <w:color w:val="auto"/>
        </w:rPr>
        <w:t>”) and (ii) any reduction shall be allocated to ratably reduce the Domestic Cash, the Senior Notes (or bridge loans in lieu of the Senior Notes and/or any other securities issued or incurred in lieu of such bridge loans) and the Loans in proportion to the actual percentages that the amount of Domestic Cash, the Senior Notes (or bridge loans in lieu of the Senior Notes and/or any other securities issued or incurred in lieu of such bridge loans) and the Loan bear to the pro forma total capitalization of the Borrower and its Subsidiaries after giving effect to the Stock Buy-Back).</w:t>
      </w:r>
    </w:p>
    <w:p>
      <w:pPr>
        <w:spacing w:after="0" w:line="179" w:lineRule="exact"/>
        <w:rPr>
          <w:rFonts w:ascii="Arial" w:cs="Arial" w:eastAsia="Arial" w:hAnsi="Arial"/>
          <w:sz w:val="17"/>
          <w:szCs w:val="17"/>
          <w:color w:val="auto"/>
        </w:rPr>
      </w:pPr>
    </w:p>
    <w:p>
      <w:pPr>
        <w:ind w:left="660" w:right="160" w:firstLine="645"/>
        <w:spacing w:after="0" w:line="264" w:lineRule="auto"/>
        <w:tabs>
          <w:tab w:leader="none" w:pos="19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the extent invoiced at least three Business Days prior to the Closing Date, (i) all fees required to be paid to the Administrative Agent and the Arranger on or before the Closing Date shall have been paid and (ii) all fees required to be paid to the Lenders on or before the Closing Date shall have been paid.</w:t>
      </w:r>
    </w:p>
    <w:p>
      <w:pPr>
        <w:spacing w:after="0" w:line="181" w:lineRule="exact"/>
        <w:rPr>
          <w:rFonts w:ascii="Arial" w:cs="Arial" w:eastAsia="Arial" w:hAnsi="Arial"/>
          <w:sz w:val="18"/>
          <w:szCs w:val="18"/>
          <w:color w:val="auto"/>
        </w:rPr>
      </w:pPr>
    </w:p>
    <w:p>
      <w:pPr>
        <w:ind w:left="660" w:right="180" w:firstLine="645"/>
        <w:spacing w:after="0" w:line="264" w:lineRule="auto"/>
        <w:tabs>
          <w:tab w:leader="none" w:pos="196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Unless waived by the Administrative Agent, the Borrower shall have paid all fees, charges and disbursements of counsel to the Administrative Agent (directly to such counsel if requested by the Administrative Agent) to the extent invoiced at least two Business Days prior to the Closing Date.</w:t>
      </w:r>
    </w:p>
    <w:p>
      <w:pPr>
        <w:spacing w:after="0" w:line="181" w:lineRule="exact"/>
        <w:rPr>
          <w:rFonts w:ascii="Arial" w:cs="Arial" w:eastAsia="Arial" w:hAnsi="Arial"/>
          <w:sz w:val="18"/>
          <w:szCs w:val="18"/>
          <w:color w:val="auto"/>
        </w:rPr>
      </w:pPr>
    </w:p>
    <w:p>
      <w:pPr>
        <w:ind w:left="660" w:right="320" w:firstLine="645"/>
        <w:spacing w:after="0" w:line="279" w:lineRule="auto"/>
        <w:tabs>
          <w:tab w:leader="none" w:pos="1964"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Except as has been disclosed in the Borrower’s public filings with the SEC as of the date hereof (excluding any risk factor disclosures set forth under the heading “Risk Factors” or any disclosure of risks included in any “forward-looking statements” disclaimer to the extent that such disclosures are general in nature, or cautionary, predictive or forward-looking in nature), since December 31, 2012, there has not occurred any event that has had or would reasonably be expected to have a Company Material Adverse Effect.</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issuance of the Senior Notes shall occur prior to or substantially concurrently with the initial Credit Extension under this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conditions set forth in clauses (i), (ii) and (iii) of Section 4.02 are satisfied.</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Without limiting the generality of the provisions of Section 9.03(e),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r>
        <w:rPr>
          <w:rFonts w:ascii="Arial" w:cs="Arial" w:eastAsia="Arial" w:hAnsi="Arial"/>
          <w:sz w:val="18"/>
          <w:szCs w:val="18"/>
          <w:b w:val="1"/>
          <w:bCs w:val="1"/>
          <w:color w:val="auto"/>
        </w:rPr>
        <w:t>.</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Conditions to All Credit Extensions After the Closing Date.</w:t>
      </w:r>
    </w:p>
    <w:p>
      <w:pPr>
        <w:spacing w:after="0" w:line="225"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Following the Closing Date, the obligation of each Lender to honor any Request for Credit Extension (other than a Committed Loan Notice requesting only a conversion of Loans to the other Type, or a continuation of Eurodollar Rate Loans) is subject to the following conditions precedent:</w:t>
      </w:r>
    </w:p>
    <w:p>
      <w:pPr>
        <w:spacing w:after="0" w:line="124" w:lineRule="exact"/>
        <w:rPr>
          <w:sz w:val="20"/>
          <w:szCs w:val="20"/>
          <w:color w:val="auto"/>
        </w:rPr>
      </w:pPr>
    </w:p>
    <w:p>
      <w:pPr>
        <w:ind w:left="660" w:right="280" w:firstLine="645"/>
        <w:spacing w:after="0" w:line="302" w:lineRule="auto"/>
        <w:tabs>
          <w:tab w:leader="none" w:pos="197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Loan Party contained in Article V or any other Loan Document shall be true and correct in all material respects on and as of the date of such Credit Extension (except to the extent that such representations and warranties specifically refer to an earlier date, they shall be true and correct as of such earlier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such representations and warranties are qualified by materiality, material adverse effect or similar language, they shall be true and correct in all respects.</w:t>
      </w:r>
    </w:p>
    <w:p>
      <w:pPr>
        <w:spacing w:after="0" w:line="154" w:lineRule="exact"/>
        <w:rPr>
          <w:rFonts w:ascii="Arial" w:cs="Arial" w:eastAsia="Arial" w:hAnsi="Arial"/>
          <w:sz w:val="16"/>
          <w:szCs w:val="16"/>
          <w:color w:val="auto"/>
        </w:rPr>
      </w:pPr>
    </w:p>
    <w:p>
      <w:pPr>
        <w:ind w:left="660" w:right="380" w:firstLine="645"/>
        <w:spacing w:after="0" w:line="277" w:lineRule="auto"/>
        <w:tabs>
          <w:tab w:leader="none" w:pos="198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No Default or Event of Default shall exist or would result from such proposed Credit Extension or from the application of the proceeds therefrom.</w:t>
      </w:r>
    </w:p>
    <w:p>
      <w:pPr>
        <w:spacing w:after="0" w:line="170" w:lineRule="exact"/>
        <w:rPr>
          <w:rFonts w:ascii="Arial" w:cs="Arial" w:eastAsia="Arial" w:hAnsi="Arial"/>
          <w:sz w:val="18"/>
          <w:szCs w:val="18"/>
          <w:color w:val="auto"/>
        </w:rPr>
      </w:pPr>
    </w:p>
    <w:p>
      <w:pPr>
        <w:ind w:left="660" w:right="420" w:firstLine="645"/>
        <w:spacing w:after="0" w:line="277" w:lineRule="auto"/>
        <w:tabs>
          <w:tab w:leader="none" w:pos="199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Administrative Agent and, if applicable, the relevant L/C Issuer or the relevant Swing Line Lender shall have received a Request for Credit Extension in accordance with the requirements hereof.</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In the case of any incurrence of a Revolving Credit Loan or a Swing Line Loan or the issuance of a Letter of Credit (other than</w:t>
      </w:r>
    </w:p>
    <w:p>
      <w:pPr>
        <w:spacing w:after="0" w:line="46" w:lineRule="exact"/>
        <w:rPr>
          <w:rFonts w:ascii="Arial" w:cs="Arial" w:eastAsia="Arial" w:hAnsi="Arial"/>
          <w:sz w:val="16"/>
          <w:szCs w:val="16"/>
          <w:color w:val="auto"/>
        </w:rPr>
      </w:pPr>
    </w:p>
    <w:p>
      <w:pPr>
        <w:ind w:left="660" w:right="280" w:hanging="4"/>
        <w:spacing w:after="0" w:line="270" w:lineRule="auto"/>
        <w:tabs>
          <w:tab w:leader="none" w:pos="91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any Borrowing of Revolving Credit Loans to reimburse an Unreimbursed Amount or (2) any Credit Extension, if after giving effect (on a Pro Forma Basis) to such Credit Extension, the Outstanding Amount of Revolving Credit Loans (including the Outstanding Amount of Swing Line Loans and the aggregate Outstanding Amount of L/C Obligations, but excluding (i) all Letters of Credit that are Cash Collateralized and (ii) non-Cash Collateralized Letters of Credit in an aggregate amount not to exceed $20,000,000) does not exceed 15% of the total Revolving Credit Commitments of all Revolving Credit Lenders), the Consolidated Secured Debt Ratio for the most recently ended Test Period, calculated without giving effect to such Credit Extension, shall be less than or equal to 2.50 to 1.00.</w:t>
      </w:r>
    </w:p>
    <w:p>
      <w:pPr>
        <w:sectPr>
          <w:pgSz w:w="11900" w:h="16920" w:orient="portrait"/>
          <w:cols w:equalWidth="0" w:num="1">
            <w:col w:w="11400"/>
          </w:cols>
          <w:pgMar w:left="240" w:top="125" w:right="259" w:bottom="0" w:gutter="0" w:footer="0" w:header="0"/>
        </w:sectPr>
      </w:pPr>
    </w:p>
    <w:bookmarkStart w:id="71" w:name="page72"/>
    <w:bookmarkEnd w:id="71"/>
    <w:p>
      <w:pPr>
        <w:ind w:right="600"/>
        <w:spacing w:after="0" w:line="277" w:lineRule="auto"/>
        <w:rPr>
          <w:sz w:val="20"/>
          <w:szCs w:val="20"/>
          <w:color w:val="auto"/>
        </w:rPr>
      </w:pPr>
      <w:r>
        <w:rPr>
          <w:rFonts w:ascii="Arial" w:cs="Arial" w:eastAsia="Arial" w:hAnsi="Arial"/>
          <w:sz w:val="18"/>
          <w:szCs w:val="18"/>
          <w:color w:val="auto"/>
        </w:rPr>
        <w:t>Each Request for Credit Extension (other than a Committed Loan Notice requesting only a conversion of Loans to the other Type, or a continuation of Eurodollar Rate Loans) submitted by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Borrower shall be deemed to be a representation and warranty that the conditions specified in Sections 4.02(i), (ii) and (iv) (if applicable) have been satisfied on and as of the date of the applicable Credit Extension.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Loan Party represents and warrants to the Agents and the Lenders that: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Existence, Qualification and Power; Compliance with Laws.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Each Loan Party (a) is a Person duly organized or formed, validly existing and in good standing (where relevant) under the Laws of the jurisdiction of its incorporation or organization, (b) has all requisite power and authority to (i) own or lease its assets and carry on its business as currently conducted and</w:t>
      </w:r>
    </w:p>
    <w:p>
      <w:pPr>
        <w:ind w:right="200" w:firstLine="8"/>
        <w:spacing w:after="0" w:line="253" w:lineRule="auto"/>
        <w:tabs>
          <w:tab w:leader="none" w:pos="26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execute, deliver and perform its obligations under the Loan Documents to which it is a party,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governmental licenses, authorizations, consents and approvals to operate its business as currently conducted; except in each case referred to in clause (b)(i), (c), (d) or (e), to the extent that failure to do so could not reasonably be expected to have a Material Adverse Effect.</w:t>
      </w:r>
    </w:p>
    <w:p>
      <w:pPr>
        <w:spacing w:after="0" w:line="1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Authorization; No Contravention.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execution, delivery and performance by each Loan Party of each Loan Document to which such Person is a party, and the consummation of the Transaction, are within such Loan Party’s corporate or other powers, (a) have been duly authorized by all necessary corporate or other organizational action and (b) do not and will not (i) contravene the terms of any of such Person’s Organization Documents, (ii) conflict with or result in any breach or contravention of, or the creation of any Lien under (other than as permitted by Section 7.01) (x) any material order, injunction, writ or decree of any Governmental Authority or any arbitral award to which such Person or its property is subject or (y) any material agreement to which such Person is a party; or (iii) violate any material Law; except with respect to any conflict, breach, violation or contravention referred to in clause (ii) or (iii), to the extent that such conflict, breach, violation or contravention could not reasonably be expected to have a Material Adverse Effect.</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Governmental Authorization; Other Consents.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No material approval, consent, exemption, authorization, or other action by, or notice to, or filing with, any Governmental Authority is necessary or required in connection with (a) the execution, delivery or performance by any Loan Party of this Agreement or any other Loan Document, or for the consummation of the Transaction, (b) the grant by any Loan Party of the Liens granted by it pursuant to the Collateral Documents or (c) the perfection or maintenance of the Liens created under the Collateral Documents (including the priority thereof), except for (i) filings and registrations necessary to perfect the Liens on the Collateral granted by the Loan Parties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favor of the Secured Parties, (ii) the approvals, consents, exemptions, authorizations, actions, notices and filings which have been duly obtained, taken, given or made and are in full force and effect (or, with respect to consummation of the Transaction, will be duly obtained, taken, given or made and will be in full force and effect, in each case within the time period required to be so obtained, taken, given or made) and (iii) those approvals, consents, exemptions, authorizations or other actions, notices or filings, the failure of which to obtain or make could not reasonably be expected to have a Material Adverse Effect.</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7"/>
          <w:szCs w:val="17"/>
          <w:u w:val="single" w:color="auto"/>
          <w:color w:val="auto"/>
        </w:rPr>
        <w:t>Binding Effect.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This Agreement and each other Loan Document has been duly executed and delivered by each Loan Party that is a party thereto. This Agreement and each other Loan Document constitutes, a legal, valid and binding obligation of such Loan Party, enforceable against each Loan Party that is a party thereto in accordance with its terms, except as such enforceability may be limited by (i) Debtor Relief Laws and by general principles of equity and (ii) the need for filings and registrations necessary to perfect the Liens on the Collateral granted by the Loan Parties in favor of the Secured Parties and (iii) the effect of foreign Laws, rules and regulations as they relate to pledges of Equity Interests in Foreign Subsidiaries (other than those pledges made under the Laws of the jurisdiction of formation of the applicable Foreign Subsidiary).</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Financial Statements; No Material Adverse Effect.</w:t>
      </w:r>
    </w:p>
    <w:p>
      <w:pPr>
        <w:spacing w:after="0" w:line="225" w:lineRule="exact"/>
        <w:rPr>
          <w:sz w:val="20"/>
          <w:szCs w:val="20"/>
          <w:color w:val="auto"/>
        </w:rPr>
      </w:pPr>
    </w:p>
    <w:p>
      <w:pPr>
        <w:ind w:right="120" w:firstLine="1305"/>
        <w:spacing w:after="0" w:line="279" w:lineRule="auto"/>
        <w:tabs>
          <w:tab w:leader="none" w:pos="194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Audited Financial Statements and the Quarterly Financial Statements fairly present in all material respects the financial condition of the Borrower and its Subsidiaries as of the dates thereof and their results of operations for the period covered thereby in accordance with GAAP consistently applied throughout the periods covered thereby, (A) except as otherwise expressly noted therein and (B) subject, in the case of the Quarterly Financial Statements, to changes resulting from normal year-end adjustments and the absence of footnotes.</w:t>
      </w:r>
    </w:p>
    <w:p>
      <w:pPr>
        <w:spacing w:after="0" w:line="171" w:lineRule="exact"/>
        <w:rPr>
          <w:rFonts w:ascii="Arial" w:cs="Arial" w:eastAsia="Arial" w:hAnsi="Arial"/>
          <w:sz w:val="17"/>
          <w:szCs w:val="17"/>
          <w:color w:val="auto"/>
        </w:rPr>
      </w:pPr>
    </w:p>
    <w:p>
      <w:pPr>
        <w:ind w:right="200" w:firstLine="1305"/>
        <w:spacing w:after="0" w:line="255" w:lineRule="auto"/>
        <w:tabs>
          <w:tab w:leader="none" w:pos="19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Since the Closing Date, there has been no event or circumstance, either individually or in the aggregate, that has had or could reasonably be expected to have a Material Adverse Effect and (ii) for purposes of the initial borrowing and other Extensions of Credit on the Closing Date, except as has been disclosed in the Borrower’s public filings with the SEC as of the date hereof (excluding any risk factor disclosures set forth under the heading “Risk Factors” or any disclosure of risks included in any “forward-looking statements” disclaimer to the extent that such disclosures are general in nature, or cautionary, predictive or forward-looking in nature), since December 31, 2012, there has not occurred any event that has had or would reasonably be expected to have a Company Material Adverse Effect.</w:t>
      </w:r>
    </w:p>
    <w:p>
      <w:pPr>
        <w:sectPr>
          <w:pgSz w:w="11900" w:h="16838" w:orient="portrait"/>
          <w:cols w:equalWidth="0" w:num="1">
            <w:col w:w="11420"/>
          </w:cols>
          <w:pgMar w:left="240" w:top="341" w:right="239" w:bottom="0" w:gutter="0" w:footer="0" w:header="0"/>
        </w:sectPr>
      </w:pPr>
    </w:p>
    <w:bookmarkStart w:id="72" w:name="page73"/>
    <w:bookmarkEnd w:id="72"/>
    <w:p>
      <w:pPr>
        <w:spacing w:after="0" w:line="1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7"/>
          <w:szCs w:val="17"/>
          <w:u w:val="single" w:color="auto"/>
          <w:color w:val="auto"/>
        </w:rPr>
        <w:t>Litigation.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are no actions, suits, proceedings, claims or disputes pending or, to the knowledge of the Borrower, threatened in writing or contemplated, at law, in equity, in arbitration or before any Governmental Authority, by or against any Loan Party or any of its Subsidiaries or against any of their properties or revenues (other than actions, suits, proceedings and claims in connection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 the Transaction) that either individually or in the aggregate, could reasonably be expected to have a Material Adverse Effect.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6"/>
          <w:szCs w:val="16"/>
          <w:u w:val="single" w:color="auto"/>
          <w:color w:val="auto"/>
        </w:rPr>
        <w:t>No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Default has occurred and is continuing hereunder.</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Ownership of Property; Liens.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Each Loan Party and each of its Subsidiaries has good record title to, or valid leasehold interests in, or easements or other limited property interests in, all Real Property necessary in the ordinary conduct of its business, free and clear of all Liens except as set forth on Schedule 5.08 and except for minor defects in title that do not materially interfere with its ability to conduct its business or to utilize such assets for their intended purposes and Liens permitted by Section 7.01 and except where the failure to do so could not reasonably be expected to have, individually or in the aggregate, a Material Adverse Effect.</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Environmental Compliance.</w:t>
      </w:r>
    </w:p>
    <w:p>
      <w:pPr>
        <w:spacing w:after="0" w:line="225" w:lineRule="exact"/>
        <w:rPr>
          <w:sz w:val="20"/>
          <w:szCs w:val="20"/>
          <w:color w:val="auto"/>
        </w:rPr>
      </w:pPr>
    </w:p>
    <w:p>
      <w:pPr>
        <w:ind w:right="20" w:firstLine="1305"/>
        <w:spacing w:after="0" w:line="308" w:lineRule="auto"/>
        <w:tabs>
          <w:tab w:leader="none" w:pos="194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There are no claims, actions, suits, or proceedings alleging potential liability or responsibility for violation of, or otherwise relating to, any Environmental Law that could, individually or in the aggregate, reasonably be expected to have a Material Adverse Effect.</w:t>
      </w:r>
    </w:p>
    <w:p>
      <w:pPr>
        <w:spacing w:after="0" w:line="146" w:lineRule="exact"/>
        <w:rPr>
          <w:rFonts w:ascii="Arial" w:cs="Arial" w:eastAsia="Arial" w:hAnsi="Arial"/>
          <w:sz w:val="17"/>
          <w:szCs w:val="17"/>
          <w:color w:val="auto"/>
        </w:rPr>
      </w:pPr>
    </w:p>
    <w:p>
      <w:pPr>
        <w:ind w:firstLine="1305"/>
        <w:spacing w:after="0" w:line="289" w:lineRule="auto"/>
        <w:tabs>
          <w:tab w:leader="none" w:pos="195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Except as specifically disclosed in Schedule 5.09(b) or except as could not reasonably be expected to have, individually or in the aggregate, a Material Adverse Effect, (i) none of the properties currently or formerly owned, leased or operated by any Loan Party or any of its Subsidiaries is listed or proposed for listing on the NPL or on the CERCLIS or any analogous foreign, state or local list or is adjacent to any such property; (ii) there are no and never have been any underground or aboveground storage tanks or any surface impoundments, septic tanks, pits, sumps or lagoons in which Hazardous Materials are being or have been treated, stored or disposed on any property currently owned, leased or operated by any Loan Party or any of its Subsidiaries or, to its knowledge, on any property formerly owned or operated by any Loan Party or any of its Subsidiaries; (iii) there is no asbestos or asbestos-containing material on any property currently owned or operated by any Loan Party or any of its Subsidiaries; and (iv) Hazardous Materials have not been released, discharged or disposed of by any Person on any property currently or formerly owned, leased or operated by any Loan Party or any of its Subsidiaries and Hazardous Materials have not otherwise been released, discharged or disposed of by any Loan Party or any of its Subsidiaries at any other location.</w:t>
      </w:r>
    </w:p>
    <w:p>
      <w:pPr>
        <w:spacing w:after="0" w:line="166" w:lineRule="exact"/>
        <w:rPr>
          <w:rFonts w:ascii="Arial" w:cs="Arial" w:eastAsia="Arial" w:hAnsi="Arial"/>
          <w:sz w:val="16"/>
          <w:szCs w:val="16"/>
          <w:color w:val="auto"/>
        </w:rPr>
      </w:pPr>
    </w:p>
    <w:p>
      <w:pPr>
        <w:ind w:right="160" w:firstLine="1305"/>
        <w:spacing w:after="0" w:line="259" w:lineRule="auto"/>
        <w:tabs>
          <w:tab w:leader="none" w:pos="19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properties owned, leased or operated by the Loan Parties and their Subsidiaries do not contain any Hazardous Materials in amounts or concentrations which (i) constitute, or constituted a violation of, (ii) require remedial action under, or (iii) could give rise to liability under, Environmental Laws, which violations, remedial actions and liabilities, individually or in the aggregate, could reasonably be expected to result in a Material Adverse Effect.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76" w:lineRule="auto"/>
        <w:tabs>
          <w:tab w:leader="none" w:pos="195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Except as specifically disclosed in Schedule 5.09(d), none of the Loan Parties or their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except for such investigation or assessment or remedial or response action that, individually or in the aggregate, could not reasonably be expected to result in a Material Adverse Effect.</w:t>
      </w:r>
    </w:p>
    <w:p>
      <w:pPr>
        <w:spacing w:after="0" w:line="172" w:lineRule="exact"/>
        <w:rPr>
          <w:rFonts w:ascii="Arial" w:cs="Arial" w:eastAsia="Arial" w:hAnsi="Arial"/>
          <w:sz w:val="17"/>
          <w:szCs w:val="17"/>
          <w:color w:val="auto"/>
        </w:rPr>
      </w:pPr>
    </w:p>
    <w:p>
      <w:pPr>
        <w:ind w:right="60" w:firstLine="1305"/>
        <w:spacing w:after="0" w:line="264" w:lineRule="auto"/>
        <w:tabs>
          <w:tab w:leader="none" w:pos="195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All Hazardous Materials generated, used, treated, handled or stored at, or transported to or from, any property currently or formerly owned or operated by any Loan Party or any of its Subsidiaries have been disposed of in a manner not reasonably expected to result, individually or in the aggregate, in a Material Adverse Effect.</w:t>
      </w:r>
    </w:p>
    <w:p>
      <w:pPr>
        <w:spacing w:after="0" w:line="181" w:lineRule="exact"/>
        <w:rPr>
          <w:rFonts w:ascii="Arial" w:cs="Arial" w:eastAsia="Arial" w:hAnsi="Arial"/>
          <w:sz w:val="18"/>
          <w:szCs w:val="18"/>
          <w:color w:val="auto"/>
        </w:rPr>
      </w:pPr>
    </w:p>
    <w:p>
      <w:pPr>
        <w:ind w:right="240" w:firstLine="1305"/>
        <w:spacing w:after="0" w:line="308" w:lineRule="auto"/>
        <w:tabs>
          <w:tab w:leader="none" w:pos="194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Except as would not reasonably be expected to result, individually or in the aggregate, in a Material Adverse Effect, none of the Loan Parties or any of their Subsidiaries has contractually assumed any liability or obligation under or relating to any Environmental Law.</w:t>
      </w:r>
    </w:p>
    <w:p>
      <w:pPr>
        <w:spacing w:after="0" w:line="14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Except as could not, either individually or in the aggregate, reasonably be expected to result in a Material Adverse Effect, each of the Loan Parties and each of their Subsidiaries have filed all Tax returns required to be filed, and have paid all Taxes levied or imposed upon them or their properties (including in its capacity as withholding agent), that are due and payable, except those which are being contested in good faith by appropriate proceedings diligently conducted and for which adequate reserves have been provided in accordance with GAAP.</w:t>
      </w:r>
    </w:p>
    <w:p>
      <w:pPr>
        <w:spacing w:after="0" w:line="187"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ERISA Compliance.</w:t>
      </w:r>
    </w:p>
    <w:p>
      <w:pPr>
        <w:spacing w:after="0" w:line="225" w:lineRule="exact"/>
        <w:rPr>
          <w:sz w:val="20"/>
          <w:szCs w:val="20"/>
          <w:color w:val="auto"/>
        </w:rPr>
      </w:pPr>
    </w:p>
    <w:p>
      <w:pPr>
        <w:ind w:right="320" w:firstLine="1305"/>
        <w:spacing w:after="0" w:line="277" w:lineRule="auto"/>
        <w:tabs>
          <w:tab w:leader="none" w:pos="194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Except as could not, either individually or in the aggregate, reasonably be expected to result in a Material Adverse Effect, each Plan is in compliance with the applicable provisions of ERISA, the Code and other Federal or state Laws.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(i) No ERISA Event has occurred or is reasonably expected to occur with respect to any Pension Plan or Multiemployer Plan;</w:t>
      </w:r>
    </w:p>
    <w:p>
      <w:pPr>
        <w:spacing w:after="0" w:line="34" w:lineRule="exact"/>
        <w:rPr>
          <w:rFonts w:ascii="Arial" w:cs="Arial" w:eastAsia="Arial" w:hAnsi="Arial"/>
          <w:sz w:val="17"/>
          <w:szCs w:val="17"/>
          <w:color w:val="auto"/>
        </w:rPr>
      </w:pPr>
    </w:p>
    <w:p>
      <w:pPr>
        <w:ind w:right="200" w:firstLine="8"/>
        <w:spacing w:after="0" w:line="302" w:lineRule="auto"/>
        <w:tabs>
          <w:tab w:leader="none" w:pos="26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neither any Loan Party nor any ERISA Affiliate has incurred, or reasonably expects to incur, any liability (and no event has occurred which, with the giving of notice under Section 4219 of ERISA, would result in such liability) under Sections 4201 or 4243 of ERISA with respect to a Multiemployer Plan; and (iii) neither any Loan Party nor any ERISA Affiliate has engaged in a transaction that could be subject to Sections 4069 or 4212(c) of ERISA, except,</w:t>
      </w:r>
    </w:p>
    <w:p>
      <w:pPr>
        <w:sectPr>
          <w:pgSz w:w="11900" w:h="16944" w:orient="portrait"/>
          <w:cols w:equalWidth="0" w:num="1">
            <w:col w:w="11400"/>
          </w:cols>
          <w:pgMar w:left="240" w:top="125" w:right="259" w:bottom="0" w:gutter="0" w:footer="0" w:header="0"/>
        </w:sectPr>
      </w:pPr>
    </w:p>
    <w:bookmarkStart w:id="73" w:name="page74"/>
    <w:bookmarkEnd w:id="73"/>
    <w:p>
      <w:pPr>
        <w:ind w:right="520"/>
        <w:spacing w:after="0" w:line="277" w:lineRule="auto"/>
        <w:rPr>
          <w:sz w:val="20"/>
          <w:szCs w:val="20"/>
          <w:color w:val="auto"/>
        </w:rPr>
      </w:pPr>
      <w:r>
        <w:rPr>
          <w:rFonts w:ascii="Arial" w:cs="Arial" w:eastAsia="Arial" w:hAnsi="Arial"/>
          <w:sz w:val="18"/>
          <w:szCs w:val="18"/>
          <w:color w:val="auto"/>
        </w:rPr>
        <w:t>with respect to each of the foregoing clauses of this Section 5.11(b), as could not reasonably be expected, individually or in the aggregate, to result in a Material Adverse Effect.</w:t>
      </w:r>
    </w:p>
    <w:p>
      <w:pPr>
        <w:spacing w:after="0" w:line="170" w:lineRule="exact"/>
        <w:rPr>
          <w:sz w:val="20"/>
          <w:szCs w:val="20"/>
          <w:color w:val="auto"/>
        </w:rPr>
      </w:pPr>
    </w:p>
    <w:p>
      <w:pPr>
        <w:ind w:right="180" w:firstLine="1305"/>
        <w:spacing w:after="0" w:line="277" w:lineRule="auto"/>
        <w:tabs>
          <w:tab w:leader="none" w:pos="195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Foreign Plans of the Loan Parties and the Subsidiaries are in compliance with the requirements of any Law applicable in the jurisdiction in which the relevant Foreign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Plan is maintained, in each case, except as could not reasonably be expected, individually or in the aggregate, to have a Material Adverse Effect.</w:t>
      </w:r>
    </w:p>
    <w:p>
      <w:pPr>
        <w:spacing w:after="0" w:line="23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Subsidiaries; Equity Interests.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As of the Closing Date (after giving effect to any part of the Transaction that is consummated on or prior to the Closing Date), no Loan Party has any material Subsidiaries other than those specifically disclosed in Schedule 5.12, and all of the outstanding Equity Interests owned by the Loan Parties in such material Subsidiaries have been validly issued and are fully paid and all Equity Interests owned by a Loan Party in such material Subsidiaries are owned free and clear of all Liens except (i) those created under the Collateral Documents and (ii) any Lien that is permitted under Section 7.01. As of the Closing Date, Schedules 1(a) and 10(a) and (b) to the Perfection Certificate (a) set forth the name and jurisdiction of each Domestic Subsidiary that is a Loan Party and</w:t>
      </w:r>
    </w:p>
    <w:p>
      <w:pPr>
        <w:spacing w:after="0" w:line="2" w:lineRule="exact"/>
        <w:rPr>
          <w:sz w:val="20"/>
          <w:szCs w:val="20"/>
          <w:color w:val="auto"/>
        </w:rPr>
      </w:pPr>
    </w:p>
    <w:p>
      <w:pPr>
        <w:ind w:left="260" w:hanging="252"/>
        <w:spacing w:after="0"/>
        <w:tabs>
          <w:tab w:leader="none" w:pos="2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set forth the ownership interest of the Borrower and any other Subsidiary thereof in each Subsidiary, including the percentage of such ownership.</w:t>
      </w:r>
    </w:p>
    <w:p>
      <w:pPr>
        <w:spacing w:after="0" w:line="222"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Section 5.13</w:t>
      </w:r>
      <w:r>
        <w:rPr>
          <w:rFonts w:ascii="Arial" w:cs="Arial" w:eastAsia="Arial" w:hAnsi="Arial"/>
          <w:sz w:val="16"/>
          <w:szCs w:val="16"/>
          <w:u w:val="single" w:color="auto"/>
          <w:color w:val="auto"/>
        </w:rPr>
        <w:t>Margin Regulations; Investment Company Act.</w:t>
      </w:r>
    </w:p>
    <w:p>
      <w:pPr>
        <w:spacing w:after="0" w:line="225" w:lineRule="exact"/>
        <w:rPr>
          <w:rFonts w:ascii="Arial" w:cs="Arial" w:eastAsia="Arial" w:hAnsi="Arial"/>
          <w:sz w:val="17"/>
          <w:szCs w:val="17"/>
          <w:color w:val="auto"/>
        </w:rPr>
      </w:pPr>
    </w:p>
    <w:p>
      <w:pPr>
        <w:ind w:right="260" w:firstLine="1305"/>
        <w:spacing w:after="0" w:line="259" w:lineRule="auto"/>
        <w:tabs>
          <w:tab w:leader="none" w:pos="194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Borrower is not engaged nor will it engage, principally or as one of its important activities, in the business of purchasing or carrying margin stock (within the meaning of Regulation U issued by the FRB (“</w:t>
      </w:r>
      <w:r>
        <w:rPr>
          <w:rFonts w:ascii="Arial" w:cs="Arial" w:eastAsia="Arial" w:hAnsi="Arial"/>
          <w:sz w:val="18"/>
          <w:szCs w:val="18"/>
          <w:b w:val="1"/>
          <w:bCs w:val="1"/>
          <w:color w:val="auto"/>
        </w:rPr>
        <w:t>Margin Stock</w:t>
      </w:r>
      <w:r>
        <w:rPr>
          <w:rFonts w:ascii="Arial" w:cs="Arial" w:eastAsia="Arial" w:hAnsi="Arial"/>
          <w:sz w:val="18"/>
          <w:szCs w:val="18"/>
          <w:color w:val="auto"/>
        </w:rPr>
        <w:t>”)), or extending credit for the purpose of purchasing or carrying Margin Stock, and no proceeds of any Borrowings or drawings under any Letter of Credit will be used for the purpose of purchasing or carrying Margin Stock (other than the Stock Buy-Back) or any purpose that violates Regulation U.</w:t>
      </w:r>
    </w:p>
    <w:p>
      <w:pPr>
        <w:spacing w:after="0" w:line="186" w:lineRule="exact"/>
        <w:rPr>
          <w:rFonts w:ascii="Arial" w:cs="Arial" w:eastAsia="Arial" w:hAnsi="Arial"/>
          <w:sz w:val="18"/>
          <w:szCs w:val="18"/>
          <w:color w:val="auto"/>
        </w:rPr>
      </w:pPr>
    </w:p>
    <w:p>
      <w:pPr>
        <w:ind w:right="340" w:firstLine="1305"/>
        <w:spacing w:after="0" w:line="277" w:lineRule="auto"/>
        <w:tabs>
          <w:tab w:leader="none" w:pos="195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None of the Borrower or any of the Subsidiaries of the Borrower is or is required to be registered as an “investment company” under the Investment Company Act of 1940.</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Disclosure.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To the best of the Borrower’s knowledge, no report, financial statement, certificate or other written information (other than as set forth below and other than information of a general economic or industry nature) furnished by or on behalf of any Loan Party to any Agent or any Lender in connection with the Transaction and the negotiation of this Agreement or delivered hereunder or any other Loan Document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projected financial information and pro forma financial information, the Borrower represents only that such information was prepared in good faith based upon assumptions believed to be reasonable at the time of preparation; it being understood that such financial information as it relates to future events is not to be viewed as fact and that such projections may vary from actual results and that such variances may be material.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Patriot Act and OFAC.</w:t>
      </w:r>
    </w:p>
    <w:p>
      <w:pPr>
        <w:spacing w:after="0" w:line="225" w:lineRule="exact"/>
        <w:rPr>
          <w:sz w:val="20"/>
          <w:szCs w:val="20"/>
          <w:color w:val="auto"/>
        </w:rPr>
      </w:pPr>
    </w:p>
    <w:p>
      <w:pPr>
        <w:ind w:right="120" w:firstLine="1305"/>
        <w:spacing w:after="0" w:line="276" w:lineRule="auto"/>
        <w:tabs>
          <w:tab w:leader="none" w:pos="1942" w:val="left"/>
        </w:tabs>
        <w:numPr>
          <w:ilvl w:val="0"/>
          <w:numId w:val="219"/>
        </w:numPr>
        <w:rPr>
          <w:rFonts w:ascii="Arial" w:cs="Arial" w:eastAsia="Arial" w:hAnsi="Arial"/>
          <w:sz w:val="17"/>
          <w:szCs w:val="17"/>
          <w:color w:val="auto"/>
        </w:rPr>
      </w:pPr>
      <w:r>
        <w:rPr>
          <w:rFonts w:ascii="Arial" w:cs="Arial" w:eastAsia="Arial" w:hAnsi="Arial"/>
          <w:sz w:val="17"/>
          <w:szCs w:val="17"/>
          <w:color w:val="auto"/>
        </w:rPr>
        <w:t>No Loan Party is in violation of (i) any applicable requirement of Law relating to terrorism or money laundering in the respective jurisdictions in which such Loan Party or its Affiliates operates (“</w:t>
      </w:r>
      <w:r>
        <w:rPr>
          <w:rFonts w:ascii="Arial" w:cs="Arial" w:eastAsia="Arial" w:hAnsi="Arial"/>
          <w:sz w:val="17"/>
          <w:szCs w:val="17"/>
          <w:b w:val="1"/>
          <w:bCs w:val="1"/>
          <w:color w:val="auto"/>
        </w:rPr>
        <w:t>Anti-Terrorism Laws</w:t>
      </w:r>
      <w:r>
        <w:rPr>
          <w:rFonts w:ascii="Arial" w:cs="Arial" w:eastAsia="Arial" w:hAnsi="Arial"/>
          <w:sz w:val="17"/>
          <w:szCs w:val="17"/>
          <w:color w:val="auto"/>
        </w:rPr>
        <w:t>”), including Executive Order No. 13224 on Terrorist Financing, effective September 24, 2001 (the “</w:t>
      </w:r>
      <w:r>
        <w:rPr>
          <w:rFonts w:ascii="Arial" w:cs="Arial" w:eastAsia="Arial" w:hAnsi="Arial"/>
          <w:sz w:val="17"/>
          <w:szCs w:val="17"/>
          <w:b w:val="1"/>
          <w:bCs w:val="1"/>
          <w:color w:val="auto"/>
        </w:rPr>
        <w:t>Executive Order</w:t>
      </w:r>
      <w:r>
        <w:rPr>
          <w:rFonts w:ascii="Arial" w:cs="Arial" w:eastAsia="Arial" w:hAnsi="Arial"/>
          <w:sz w:val="17"/>
          <w:szCs w:val="17"/>
          <w:color w:val="auto"/>
        </w:rPr>
        <w:t>”), and the Uniting and Strengthening America by Providing Appropriate Tools Required to Intercept and Obstruct Terrorism Act of 2001, Public Law 107-56 (the “</w:t>
      </w:r>
      <w:r>
        <w:rPr>
          <w:rFonts w:ascii="Arial" w:cs="Arial" w:eastAsia="Arial" w:hAnsi="Arial"/>
          <w:sz w:val="17"/>
          <w:szCs w:val="17"/>
          <w:b w:val="1"/>
          <w:bCs w:val="1"/>
          <w:color w:val="auto"/>
        </w:rPr>
        <w:t>USA Patriot Act</w:t>
      </w:r>
      <w:r>
        <w:rPr>
          <w:rFonts w:ascii="Arial" w:cs="Arial" w:eastAsia="Arial" w:hAnsi="Arial"/>
          <w:sz w:val="17"/>
          <w:szCs w:val="17"/>
          <w:color w:val="auto"/>
        </w:rPr>
        <w:t>”) or (ii) the Trading with the Enemy Act, as amended or any of the foreign asset control regulations of the United States Department of the Treasury (31 C.F.R. Subtitle B, Chapter V) (“</w:t>
      </w:r>
      <w:r>
        <w:rPr>
          <w:rFonts w:ascii="Arial" w:cs="Arial" w:eastAsia="Arial" w:hAnsi="Arial"/>
          <w:sz w:val="17"/>
          <w:szCs w:val="17"/>
          <w:b w:val="1"/>
          <w:bCs w:val="1"/>
          <w:color w:val="auto"/>
        </w:rPr>
        <w:t>OFAC</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580" w:firstLine="1305"/>
        <w:spacing w:after="0" w:line="277" w:lineRule="auto"/>
        <w:tabs>
          <w:tab w:leader="none" w:pos="19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 Loan Party and, to the knowledge of each Loan Party, no Affiliate or broker or other agent of such Loan Party acting or benefiting in any capacity in connection with the Loans is any of the following:</w:t>
      </w:r>
    </w:p>
    <w:p>
      <w:pPr>
        <w:spacing w:after="0" w:line="170" w:lineRule="exact"/>
        <w:rPr>
          <w:sz w:val="20"/>
          <w:szCs w:val="20"/>
          <w:color w:val="auto"/>
        </w:rPr>
      </w:pPr>
    </w:p>
    <w:p>
      <w:pPr>
        <w:ind w:left="1980" w:hanging="675"/>
        <w:spacing w:after="0"/>
        <w:tabs>
          <w:tab w:leader="none" w:pos="1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person that is listed in the annex to, or is otherwise subject to the provisions of, the Executive Order;</w:t>
      </w:r>
    </w:p>
    <w:p>
      <w:pPr>
        <w:spacing w:after="0" w:line="225" w:lineRule="exact"/>
        <w:rPr>
          <w:rFonts w:ascii="Arial" w:cs="Arial" w:eastAsia="Arial" w:hAnsi="Arial"/>
          <w:sz w:val="18"/>
          <w:szCs w:val="18"/>
          <w:color w:val="auto"/>
        </w:rPr>
      </w:pPr>
    </w:p>
    <w:p>
      <w:pPr>
        <w:ind w:left="660" w:right="220" w:firstLine="645"/>
        <w:spacing w:after="0" w:line="277" w:lineRule="auto"/>
        <w:tabs>
          <w:tab w:leader="none" w:pos="19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the Executive Order;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 person with which any Lender is prohibited from dealing or otherwise engaging in any transaction by any Anti-Terrorism Law;</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person that commits, threatens or conspires to commit or supports “terrorism” as defined in the Executive Order; or</w:t>
      </w:r>
    </w:p>
    <w:p>
      <w:pPr>
        <w:spacing w:after="0" w:line="225"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and blocked person” on the most current list published by OFAC at its official website or any replacement website or other replacement official publication of such list.</w:t>
      </w:r>
    </w:p>
    <w:p>
      <w:pPr>
        <w:spacing w:after="0" w:line="170" w:lineRule="exact"/>
        <w:rPr>
          <w:sz w:val="20"/>
          <w:szCs w:val="20"/>
          <w:color w:val="auto"/>
        </w:rPr>
      </w:pPr>
    </w:p>
    <w:p>
      <w:pPr>
        <w:ind w:right="40" w:firstLine="1305"/>
        <w:spacing w:after="0" w:line="286" w:lineRule="auto"/>
        <w:tabs>
          <w:tab w:leader="none" w:pos="1955" w:val="left"/>
        </w:tabs>
        <w:numPr>
          <w:ilvl w:val="1"/>
          <w:numId w:val="221"/>
        </w:numPr>
        <w:rPr>
          <w:rFonts w:ascii="Arial" w:cs="Arial" w:eastAsia="Arial" w:hAnsi="Arial"/>
          <w:sz w:val="16"/>
          <w:szCs w:val="16"/>
          <w:color w:val="auto"/>
        </w:rPr>
      </w:pPr>
      <w:r>
        <w:rPr>
          <w:rFonts w:ascii="Arial" w:cs="Arial" w:eastAsia="Arial" w:hAnsi="Arial"/>
          <w:sz w:val="16"/>
          <w:szCs w:val="16"/>
          <w:color w:val="auto"/>
        </w:rPr>
        <w:t>No Loan Party and, to the knowledge of each Loan Party, no broker or other agent of such Loan Party acting in any capacity in connection with the Loans (i) conducts any business or engages in making or receiving any contribution of funds, goods or services to or for the benefit of any person described in paragraph (b) above (other than as authorized by OFAC) (solely with respect to the provision of services, to the Loan Parties’ knowledge), (ii) deals in, or otherwise engages in any transaction relating to, any property or interests in property blocked pursuant to the Executive Order, or</w:t>
      </w:r>
    </w:p>
    <w:p>
      <w:pPr>
        <w:spacing w:after="0" w:line="1" w:lineRule="exact"/>
        <w:rPr>
          <w:rFonts w:ascii="Arial" w:cs="Arial" w:eastAsia="Arial" w:hAnsi="Arial"/>
          <w:sz w:val="16"/>
          <w:szCs w:val="16"/>
          <w:color w:val="auto"/>
        </w:rPr>
      </w:pPr>
    </w:p>
    <w:p>
      <w:pPr>
        <w:ind w:right="260" w:firstLine="8"/>
        <w:spacing w:after="0" w:line="261" w:lineRule="auto"/>
        <w:tabs>
          <w:tab w:leader="none" w:pos="31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engages in or conspires to engage in any transaction that evades or avoids, or has the purpose of evading or avoiding, or attempts to violate, any of the prohibitions set forth in any Anti-Terrorism Law.</w:t>
      </w:r>
    </w:p>
    <w:p>
      <w:pPr>
        <w:sectPr>
          <w:pgSz w:w="11900" w:h="16838" w:orient="portrait"/>
          <w:cols w:equalWidth="0" w:num="1">
            <w:col w:w="11400"/>
          </w:cols>
          <w:pgMar w:left="240" w:top="125" w:right="259" w:bottom="0" w:gutter="0" w:footer="0" w:header="0"/>
        </w:sectPr>
      </w:pPr>
    </w:p>
    <w:bookmarkStart w:id="74" w:name="page75"/>
    <w:bookmarkEnd w:id="74"/>
    <w:p>
      <w:pPr>
        <w:ind w:right="160" w:firstLine="1305"/>
        <w:spacing w:after="0" w:line="308" w:lineRule="auto"/>
        <w:tabs>
          <w:tab w:leader="none" w:pos="1952" w:val="left"/>
        </w:tabs>
        <w:numPr>
          <w:ilvl w:val="0"/>
          <w:numId w:val="223"/>
        </w:numPr>
        <w:rPr>
          <w:rFonts w:ascii="Arial" w:cs="Arial" w:eastAsia="Arial" w:hAnsi="Arial"/>
          <w:sz w:val="17"/>
          <w:szCs w:val="17"/>
          <w:color w:val="auto"/>
        </w:rPr>
      </w:pPr>
      <w:r>
        <w:rPr>
          <w:rFonts w:ascii="Arial" w:cs="Arial" w:eastAsia="Arial" w:hAnsi="Arial"/>
          <w:sz w:val="17"/>
          <w:szCs w:val="17"/>
          <w:color w:val="auto"/>
        </w:rPr>
        <w:t>Neither the Borrower, nor any of its Subsidiaries, nor, to the knowledge of the Borrower and its Subsidiaries, any director, officer or employee thereof, is an individual or entity currently the subject of any Sanctions applicable in the jurisdictions in which the Borrower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operates, nor is the Borrower or any Subsidiary located, organized or resident in a Designated Jurisdiction.</w:t>
      </w:r>
    </w:p>
    <w:p>
      <w:pPr>
        <w:spacing w:after="0" w:line="225" w:lineRule="exact"/>
        <w:rPr>
          <w:sz w:val="20"/>
          <w:szCs w:val="20"/>
          <w:color w:val="auto"/>
        </w:rPr>
      </w:pPr>
    </w:p>
    <w:p>
      <w:pPr>
        <w:ind w:left="1960" w:hanging="655"/>
        <w:spacing w:after="0"/>
        <w:tabs>
          <w:tab w:leader="none" w:pos="1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use of proceeds of the Loans will not violate OFAC.</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Section 5.16</w:t>
      </w:r>
      <w:r>
        <w:rPr>
          <w:rFonts w:ascii="Arial" w:cs="Arial" w:eastAsia="Arial" w:hAnsi="Arial"/>
          <w:sz w:val="16"/>
          <w:szCs w:val="16"/>
          <w:u w:val="single" w:color="auto"/>
          <w:color w:val="auto"/>
        </w:rPr>
        <w:t>Intellectual Property; Licenses, Etc.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the Loan Parties and their Subsidiaries owns, licenses or possesses the right to use, all of the trademarks, service marks, trade names, domain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names, copyrights, patents, patent rights, technology, software, know-how database rights, design rights and other intellectual property rights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Rights</w:t>
      </w:r>
      <w:r>
        <w:rPr>
          <w:rFonts w:ascii="Arial" w:cs="Arial" w:eastAsia="Arial" w:hAnsi="Arial"/>
          <w:sz w:val="16"/>
          <w:szCs w:val="16"/>
          <w:color w:val="auto"/>
        </w:rPr>
        <w:t>”) that are used or held for use in connection with and reasonably necessary for the operation of their respective businesses as currently conducted,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without conflict with the rights of any Person, except to the extent such conflicts, either individually or in the aggregate, could not reasonably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expected to have a Material Adverse Effect. No IP Rights and, to the Loan Parties’ knowledge, no advertising, product, process, method, substance, part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material used by any Loan Party or any of its Subsidiaries in the operation of their respective businesses as currently conducted, infringes upon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held by any Person except for such infringements, individually or in the aggregate, which could not reasonably be expected to have a Material Adverse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No claim or litigation regarding any of the IP Rights, is pending or, to the knowledge of the Borrower, threatened against any Loan Party or any of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Subsidiaries, which, either individually or in the aggregate, could reasonably be expected to have a Material Adverse Effect.</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Except pursuant to licenses and other user agreements entered into by each Loan Party, on and as of the Closing Date (i) each Loan Party owns and possesses the right to use, and has not authorized any other Person to use, any copyright, patent or trademark listed in Schedule 12(a) or 12(b) to the Perfection Certificate and (ii) all registrations listed in Schedule 12(a) or 12(b) to the Perfection Certificate are valid and in full force and effect, except, in each case, to the extent failure to own or possess such right to use or of such registrations to be valid and in full force and effect could not reasonably be expected, individually or in the aggregate, to have a Material Adverse Effect.</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5.17</w:t>
      </w:r>
      <w:r>
        <w:rPr>
          <w:sz w:val="20"/>
          <w:szCs w:val="20"/>
          <w:color w:val="auto"/>
        </w:rPr>
        <w:tab/>
      </w:r>
      <w:r>
        <w:rPr>
          <w:rFonts w:ascii="Arial" w:cs="Arial" w:eastAsia="Arial" w:hAnsi="Arial"/>
          <w:sz w:val="16"/>
          <w:szCs w:val="16"/>
          <w:u w:val="single" w:color="auto"/>
          <w:color w:val="auto"/>
        </w:rPr>
        <w:t>Solvency.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Closing Date after giving effect to the Transaction, the Borrower and its Subsidiaries, on a consolidated basis, are Solvent.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5.18</w:t>
      </w:r>
      <w:r>
        <w:rPr>
          <w:sz w:val="20"/>
          <w:szCs w:val="20"/>
          <w:color w:val="auto"/>
        </w:rPr>
        <w:tab/>
      </w:r>
      <w:r>
        <w:rPr>
          <w:rFonts w:ascii="Arial" w:cs="Arial" w:eastAsia="Arial" w:hAnsi="Arial"/>
          <w:sz w:val="16"/>
          <w:szCs w:val="16"/>
          <w:u w:val="single" w:color="auto"/>
          <w:color w:val="auto"/>
        </w:rPr>
        <w:t>Subordination of Subordinated Indebtedness.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Obligations are “Senior Debt,” “Senior Indebtedness,” “Guarantor Senior Debt” or “Senior Secured Financing” (or any comparable term) under, and as defined in, any Subordinated Indebtedness Documentation.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5.19</w:t>
      </w:r>
      <w:r>
        <w:rPr>
          <w:sz w:val="20"/>
          <w:szCs w:val="20"/>
          <w:color w:val="auto"/>
        </w:rPr>
        <w:tab/>
      </w:r>
      <w:r>
        <w:rPr>
          <w:rFonts w:ascii="Arial" w:cs="Arial" w:eastAsia="Arial" w:hAnsi="Arial"/>
          <w:sz w:val="16"/>
          <w:szCs w:val="16"/>
          <w:u w:val="single" w:color="auto"/>
          <w:color w:val="auto"/>
        </w:rPr>
        <w:t>FCPA.</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No Loan Party, none of its Subsidiaries nor, to the knowledge of the Borrower, any director, officer, agent, employee or affiliate of the Borrower or any of its Subsidiaries is aware of or has taken any action, directly or indirectly, that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Borrower, its Subsidiaries and, to the knowledge of the Borrower, its affiliates have conducted their businesses in compliance with the FCPA and have instituted and maintain policies and procedures designed to ensure, and which are reasonably expected to continue to ensure, continued compliance therewith.</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5.20</w:t>
      </w:r>
      <w:r>
        <w:rPr>
          <w:sz w:val="20"/>
          <w:szCs w:val="20"/>
          <w:color w:val="auto"/>
        </w:rPr>
        <w:tab/>
      </w:r>
      <w:r>
        <w:rPr>
          <w:rFonts w:ascii="Arial" w:cs="Arial" w:eastAsia="Arial" w:hAnsi="Arial"/>
          <w:sz w:val="16"/>
          <w:szCs w:val="16"/>
          <w:u w:val="single" w:color="auto"/>
          <w:color w:val="auto"/>
        </w:rPr>
        <w:t>Security Documents.</w:t>
      </w:r>
    </w:p>
    <w:p>
      <w:pPr>
        <w:spacing w:after="0" w:line="225" w:lineRule="exact"/>
        <w:rPr>
          <w:sz w:val="20"/>
          <w:szCs w:val="20"/>
          <w:color w:val="auto"/>
        </w:rPr>
      </w:pPr>
    </w:p>
    <w:p>
      <w:pPr>
        <w:ind w:right="260" w:firstLine="1305"/>
        <w:spacing w:after="0" w:line="288" w:lineRule="auto"/>
        <w:tabs>
          <w:tab w:leader="none" w:pos="1942" w:val="left"/>
        </w:tabs>
        <w:numPr>
          <w:ilvl w:val="1"/>
          <w:numId w:val="225"/>
        </w:numPr>
        <w:rPr>
          <w:rFonts w:ascii="Arial" w:cs="Arial" w:eastAsia="Arial" w:hAnsi="Arial"/>
          <w:sz w:val="16"/>
          <w:szCs w:val="16"/>
          <w:color w:val="auto"/>
        </w:rPr>
      </w:pPr>
      <w:r>
        <w:rPr>
          <w:rFonts w:ascii="Arial" w:cs="Arial" w:eastAsia="Arial" w:hAnsi="Arial"/>
          <w:sz w:val="16"/>
          <w:szCs w:val="16"/>
          <w:i w:val="1"/>
          <w:iCs w:val="1"/>
          <w:color w:val="auto"/>
        </w:rPr>
        <w:t xml:space="preserve">Security Agreement. </w:t>
      </w:r>
      <w:r>
        <w:rPr>
          <w:rFonts w:ascii="Arial" w:cs="Arial" w:eastAsia="Arial" w:hAnsi="Arial"/>
          <w:sz w:val="16"/>
          <w:szCs w:val="16"/>
          <w:color w:val="auto"/>
        </w:rPr>
        <w:t>The Collateral Documents are effective to create in favor of the Collateral Agent for the benefit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Parties, legal, valid and enforceable Liens on, and security interests in, the Collateral described therein to the extent intended to be created thereby and (i) when financing statements and other filings in appropriate form are filed in the offices specified on Schedule 7 to the Perfection Certificate and</w:t>
      </w:r>
    </w:p>
    <w:p>
      <w:pPr>
        <w:ind w:firstLine="8"/>
        <w:spacing w:after="0" w:line="292" w:lineRule="auto"/>
        <w:tabs>
          <w:tab w:leader="none" w:pos="26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or the Intercreditor Agreement (if in effect), the Liens created by the Collateral Documents shall constitute fully perfected Liens on, and security interests in (to the extent intended to be created thereby), all right, title and interest of the grantors in such Collateral to the extent perfection can be obtained by filing financing statements or taking possession or control, in each case subject to no Liens other than Liens permitted hereunder.</w:t>
      </w:r>
    </w:p>
    <w:p>
      <w:pPr>
        <w:spacing w:after="0" w:line="162" w:lineRule="exact"/>
        <w:rPr>
          <w:rFonts w:ascii="Arial" w:cs="Arial" w:eastAsia="Arial" w:hAnsi="Arial"/>
          <w:sz w:val="16"/>
          <w:szCs w:val="16"/>
          <w:color w:val="auto"/>
        </w:rPr>
      </w:pPr>
    </w:p>
    <w:p>
      <w:pPr>
        <w:ind w:right="80" w:firstLine="1305"/>
        <w:spacing w:after="0" w:line="270" w:lineRule="auto"/>
        <w:tabs>
          <w:tab w:leader="none" w:pos="1952" w:val="left"/>
        </w:tabs>
        <w:numPr>
          <w:ilvl w:val="1"/>
          <w:numId w:val="226"/>
        </w:numPr>
        <w:rPr>
          <w:rFonts w:ascii="Arial" w:cs="Arial" w:eastAsia="Arial" w:hAnsi="Arial"/>
          <w:sz w:val="17"/>
          <w:szCs w:val="17"/>
          <w:color w:val="auto"/>
        </w:rPr>
      </w:pPr>
      <w:r>
        <w:rPr>
          <w:rFonts w:ascii="Arial" w:cs="Arial" w:eastAsia="Arial" w:hAnsi="Arial"/>
          <w:sz w:val="17"/>
          <w:szCs w:val="17"/>
          <w:i w:val="1"/>
          <w:iCs w:val="1"/>
          <w:color w:val="auto"/>
        </w:rPr>
        <w:t>PTO Filing; Copyright Office Filing</w:t>
      </w:r>
      <w:r>
        <w:rPr>
          <w:rFonts w:ascii="Arial" w:cs="Arial" w:eastAsia="Arial" w:hAnsi="Arial"/>
          <w:sz w:val="17"/>
          <w:szCs w:val="17"/>
          <w:color w:val="auto"/>
        </w:rPr>
        <w:t>. In addition to the actions taken pursuant to Section 5.21(a)(i), when the Security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or a short form thereof (including any Intellectual Property Security Agreement) is properly filed in the United States Patent and Trademark Office and the United States Copyright Office, the Liens created by such Security Agreement (or Intellectual Property Security Agreement) shall constitute fully perfected Liens on, and security interests in, all right, title and interest of the grantors thereunder (to the extent intended to be created thereby) in Patents (as defined in the Security Agreement) registered or applied for with the United States Patent and Trademark Office or Copyrights (as defined in such Security Agreement) and Trademarks (as defined in the Security Agreement) registered or applied for with the United States Copyright Office, as the case may be, in each case subject to no Liens other than Liens permitted hereunder (it being understood that subsequent recordings in the United States Patent and Trademark Office and the United States Copyright Office may be necessary to perfect a Lien on registered or applied-for Trademarks, Patents and Copyrights acquired by the grantors thereof after the Closing Date).</w:t>
      </w:r>
    </w:p>
    <w:p>
      <w:pPr>
        <w:sectPr>
          <w:pgSz w:w="11900" w:h="16838" w:orient="portrait"/>
          <w:cols w:equalWidth="0" w:num="1">
            <w:col w:w="11420"/>
          </w:cols>
          <w:pgMar w:left="240" w:top="125" w:right="239" w:bottom="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5" w:name="page76"/>
    <w:bookmarkEnd w:id="75"/>
    <w:p>
      <w:pPr>
        <w:ind w:right="40" w:firstLine="1305"/>
        <w:spacing w:after="0" w:line="254" w:lineRule="auto"/>
        <w:tabs>
          <w:tab w:leader="none" w:pos="1955"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Valid Liens. </w:t>
      </w:r>
      <w:r>
        <w:rPr>
          <w:rFonts w:ascii="Arial" w:cs="Arial" w:eastAsia="Arial" w:hAnsi="Arial"/>
          <w:sz w:val="18"/>
          <w:szCs w:val="18"/>
          <w:color w:val="auto"/>
        </w:rPr>
        <w:t>Each Collateral Document delivered pursuant to Sections 6.11 and 6.13 will, upon execution and delivery thereof,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to create in favor of the Collateral Agent, for the benefit of the Secured Parties, legal, valid and enforceable Liens on, and security interests in (to the extent intended to be created thereby), all of the Loan Parties’ right, title and interest in and to the Collateral thereunder and (i) when all appropriate filings, recordings, registrations or notifications are made as may be required under applicable Law and (ii) upon the taking of possession or control by the Collateral Agent of such Collateral with respect to which a security interest may be perfected only by possession or control (which possession or control shall be given to the Collateral Agent to the extent required by any such Collateral Document), such Collateral Documents will constitute fully perfected Liens on, and security interests in, all right, title and interest of the Loan Parties in such Collateral (to the extent required thereby), in each case subject to no Liens other than Liens permitted hereunder.</w:t>
      </w:r>
    </w:p>
    <w:p>
      <w:pPr>
        <w:spacing w:after="0" w:line="192" w:lineRule="exact"/>
        <w:rPr>
          <w:rFonts w:ascii="Arial" w:cs="Arial" w:eastAsia="Arial" w:hAnsi="Arial"/>
          <w:sz w:val="18"/>
          <w:szCs w:val="18"/>
          <w:color w:val="auto"/>
        </w:rPr>
      </w:pPr>
    </w:p>
    <w:p>
      <w:pPr>
        <w:ind w:firstLine="1305"/>
        <w:spacing w:after="0" w:line="257" w:lineRule="auto"/>
        <w:tabs>
          <w:tab w:leader="none" w:pos="195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Notwithstanding anything herein (including this Section 5.21) or in any other Loan Document to the contrary, neither the Borrower nor any other Loan Party makes any representation or warranty as to the effects of perfection or non-perfection, the priority or the enforceability of any pledge of or security interest (other than with respect to those pledges and security interests made under the Laws of the jurisdiction of formation of the applicable Foreign Subsidiary) in any Equity Interests of any Foreign Subsidiary, or as to the rights and remedies of the Agents or any Lender with respect thereto, under foreign Law.</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5.21</w:t>
      </w:r>
      <w:r>
        <w:rPr>
          <w:sz w:val="20"/>
          <w:szCs w:val="20"/>
          <w:color w:val="auto"/>
        </w:rPr>
        <w:tab/>
      </w:r>
      <w:r>
        <w:rPr>
          <w:rFonts w:ascii="Arial" w:cs="Arial" w:eastAsia="Arial" w:hAnsi="Arial"/>
          <w:sz w:val="15"/>
          <w:szCs w:val="15"/>
          <w:u w:val="single" w:color="auto"/>
          <w:color w:val="auto"/>
        </w:rPr>
        <w:t>Use of Proceeds.</w:t>
      </w:r>
    </w:p>
    <w:p>
      <w:pPr>
        <w:spacing w:after="0" w:line="225" w:lineRule="exact"/>
        <w:rPr>
          <w:sz w:val="20"/>
          <w:szCs w:val="20"/>
          <w:color w:val="auto"/>
        </w:rPr>
      </w:pPr>
    </w:p>
    <w:p>
      <w:pPr>
        <w:ind w:right="680" w:firstLine="1297"/>
        <w:spacing w:after="0" w:line="342" w:lineRule="auto"/>
        <w:rPr>
          <w:sz w:val="20"/>
          <w:szCs w:val="20"/>
          <w:color w:val="auto"/>
        </w:rPr>
      </w:pPr>
      <w:r>
        <w:rPr>
          <w:rFonts w:ascii="Arial" w:cs="Arial" w:eastAsia="Arial" w:hAnsi="Arial"/>
          <w:sz w:val="16"/>
          <w:szCs w:val="16"/>
          <w:color w:val="auto"/>
        </w:rPr>
        <w:t>The Borrower will use the proceeds of the Loans made on the Closing Date to fund the Stock Buy-Back and pay fees and expenses associated therewith and after the Closing Date use the proceeds of any Borrowing for general corporate purposes and working capital needs.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21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So long as any Lender shall have any Commitment hereunder, any Loan or other Obligation hereunder which is accrued and payable remains unpaid or unsatisfied, or any Letter of Credit shall remain outstanding, each of the Loan Parties shall, and shall cause each of their Restricted Subsidiaries to:</w:t>
      </w:r>
    </w:p>
    <w:p>
      <w:pPr>
        <w:spacing w:after="0" w:line="12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Financial Statements.</w:t>
      </w:r>
    </w:p>
    <w:p>
      <w:pPr>
        <w:spacing w:after="0" w:line="225" w:lineRule="exact"/>
        <w:rPr>
          <w:sz w:val="20"/>
          <w:szCs w:val="20"/>
          <w:color w:val="auto"/>
        </w:rPr>
      </w:pPr>
    </w:p>
    <w:p>
      <w:pPr>
        <w:ind w:right="20" w:firstLine="1305"/>
        <w:spacing w:after="0" w:line="273" w:lineRule="auto"/>
        <w:tabs>
          <w:tab w:leader="none" w:pos="1942" w:val="left"/>
        </w:tabs>
        <w:numPr>
          <w:ilvl w:val="0"/>
          <w:numId w:val="228"/>
        </w:numPr>
        <w:rPr>
          <w:rFonts w:ascii="Arial" w:cs="Arial" w:eastAsia="Arial" w:hAnsi="Arial"/>
          <w:sz w:val="17"/>
          <w:szCs w:val="17"/>
          <w:color w:val="auto"/>
        </w:rPr>
      </w:pPr>
      <w:r>
        <w:rPr>
          <w:rFonts w:ascii="Arial" w:cs="Arial" w:eastAsia="Arial" w:hAnsi="Arial"/>
          <w:sz w:val="17"/>
          <w:szCs w:val="17"/>
          <w:color w:val="auto"/>
        </w:rPr>
        <w:t>Deliver to the Administrative Agent for prompt further distribution to each Lender within ninety (90) days after the end of each fiscal year of the Borrower beginning with the 2013 fiscal year, a consolidated balance sheet of the Borrower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PricewaterhouseCoopers or any other independent registered public accounting firm of nationally recognized standing, which report and opinion shall be prepared in accordance with generally accepted auditing standards and shall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not be subject to any “going concern” or like qualification or exception or any qualification or exception as to the scope of such audit (other than any qualification that is expressly solely with respect to, or expressly resulting solely from, (A) an upcoming maturity date of the Revolving Facility or (B) any potential inability to satisfy a financial maintenance covenant on a future date or in a future period) (an “</w:t>
      </w:r>
      <w:r>
        <w:rPr>
          <w:rFonts w:ascii="Arial" w:cs="Arial" w:eastAsia="Arial" w:hAnsi="Arial"/>
          <w:sz w:val="17"/>
          <w:szCs w:val="17"/>
          <w:b w:val="1"/>
          <w:bCs w:val="1"/>
          <w:color w:val="auto"/>
        </w:rPr>
        <w:t>Accounting Opinion</w:t>
      </w:r>
      <w:r>
        <w:rPr>
          <w:rFonts w:ascii="Arial" w:cs="Arial" w:eastAsia="Arial" w:hAnsi="Arial"/>
          <w:sz w:val="17"/>
          <w:szCs w:val="17"/>
          <w:color w:val="auto"/>
        </w:rPr>
        <w:t>”); and</w:t>
      </w:r>
    </w:p>
    <w:p>
      <w:pPr>
        <w:spacing w:after="0" w:line="166" w:lineRule="exact"/>
        <w:rPr>
          <w:sz w:val="20"/>
          <w:szCs w:val="20"/>
          <w:color w:val="auto"/>
        </w:rPr>
      </w:pPr>
    </w:p>
    <w:p>
      <w:pPr>
        <w:ind w:right="40" w:firstLine="1305"/>
        <w:spacing w:after="0" w:line="288" w:lineRule="auto"/>
        <w:tabs>
          <w:tab w:leader="none" w:pos="1952" w:val="left"/>
        </w:tabs>
        <w:numPr>
          <w:ilvl w:val="1"/>
          <w:numId w:val="229"/>
        </w:numPr>
        <w:rPr>
          <w:rFonts w:ascii="Arial" w:cs="Arial" w:eastAsia="Arial" w:hAnsi="Arial"/>
          <w:sz w:val="16"/>
          <w:szCs w:val="16"/>
          <w:color w:val="auto"/>
        </w:rPr>
      </w:pPr>
      <w:r>
        <w:rPr>
          <w:rFonts w:ascii="Arial" w:cs="Arial" w:eastAsia="Arial" w:hAnsi="Arial"/>
          <w:sz w:val="16"/>
          <w:szCs w:val="16"/>
          <w:color w:val="auto"/>
        </w:rPr>
        <w:t>Deliver to the Administrative Agent for prompt further distribution to each Lender within forty-five (45) days after the end of each of the first three (3) fiscal quarters of each fiscal year of the Borrower, a consolidated balance sheet of the Borrower and its Subsidiaries as at the end of such fiscal quarter and the related (i) consolidated statements of income or operations for such fiscal quarter and for the portion of the fiscal year then ended and</w:t>
      </w:r>
    </w:p>
    <w:p>
      <w:pPr>
        <w:ind w:right="240" w:firstLine="8"/>
        <w:spacing w:after="0" w:line="295" w:lineRule="auto"/>
        <w:tabs>
          <w:tab w:leader="none" w:pos="26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stockholders’ equity and cash flows of the Borrower and its Subsidiaries in accordance with GAAP, subject only to normal year-end audit adjustments and the absence of footnotes.</w:t>
      </w:r>
    </w:p>
    <w:p>
      <w:pPr>
        <w:spacing w:after="0" w:line="162"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 xml:space="preserve">Notwithstanding the foregoing, the obligations in paragraphs (a) and (b) of this Section 6.01 may be satisfied with respect to financial information of the Borrower and the Restricted Subsidiaries by furnishing the Borrower’s Form 10-K or 10-Q, as applicable, filed with the SEC;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such information is in lieu of information required to be provided under Section 6.01(a), such materials are accompanied by an Accounting Opinion.</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Documents required to be delivered pursuant to Section 6.01 and Section 6.02(b) and (c) may be delivered electronically and if so delivered, shall be deemed to have been delivered on the date (i) on which the Borrower (or any direct or indirect parent of the Borrower) posts such documents, or provides a link thereto, at the website address listed on Schedule 10.02; or (ii) on which such documents are posted on the Borrower’s behalf on IntraLinks/IntraAgency or another relevant website, if any, to which each Lender and the Administrative Agent have access (whether a commercial, third-party website or whether sponsored by the Administrative Agent).</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Certificates; 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 to the Administrative Agent for prompt further distribution to each Lender:</w:t>
      </w:r>
    </w:p>
    <w:p>
      <w:pPr>
        <w:spacing w:after="0" w:line="225" w:lineRule="exact"/>
        <w:rPr>
          <w:sz w:val="20"/>
          <w:szCs w:val="20"/>
          <w:color w:val="auto"/>
        </w:rPr>
      </w:pPr>
    </w:p>
    <w:p>
      <w:pPr>
        <w:ind w:left="660" w:right="380" w:firstLine="645"/>
        <w:spacing w:after="0" w:line="277" w:lineRule="auto"/>
        <w:tabs>
          <w:tab w:leader="none" w:pos="195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later than five (5) days after the delivery of the financial statements referred to in Section 6.01(a) and (b), a duly completed Compliance Certificate signed by a Responsible Officer of the Borrower;</w:t>
      </w:r>
    </w:p>
    <w:p>
      <w:pPr>
        <w:spacing w:after="0" w:line="170" w:lineRule="exact"/>
        <w:rPr>
          <w:rFonts w:ascii="Arial" w:cs="Arial" w:eastAsia="Arial" w:hAnsi="Arial"/>
          <w:sz w:val="18"/>
          <w:szCs w:val="18"/>
          <w:color w:val="auto"/>
        </w:rPr>
      </w:pPr>
    </w:p>
    <w:p>
      <w:pPr>
        <w:ind w:left="660" w:right="20" w:firstLine="645"/>
        <w:spacing w:after="0" w:line="259" w:lineRule="auto"/>
        <w:tabs>
          <w:tab w:leader="none" w:pos="19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promptly after the same are publicly available, copies of all annual, regular, periodic and special reports and registration statements which the Borrower or any Subsidiary files with the SEC or with any Governmental Authority that may be substituted therefor (other than amendments to any registration statement (to the extent such registration statement, in the form it became effective, is delivered), exhibits to any registration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84" w:right="239" w:bottom="0" w:gutter="0" w:footer="0" w:header="0"/>
        </w:sectPr>
      </w:pPr>
    </w:p>
    <w:bookmarkStart w:id="76" w:name="page77"/>
    <w:bookmarkEnd w:id="76"/>
    <w:p>
      <w:pPr>
        <w:ind w:left="66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and, if applicable, any registration statement on Form S-8) and in any case not otherwise required to be delivered to the Administrative Agent pursuant hereto;</w:t>
      </w:r>
    </w:p>
    <w:p>
      <w:pPr>
        <w:spacing w:after="0" w:line="170" w:lineRule="exact"/>
        <w:rPr>
          <w:sz w:val="20"/>
          <w:szCs w:val="20"/>
          <w:color w:val="auto"/>
        </w:rPr>
      </w:pPr>
    </w:p>
    <w:p>
      <w:pPr>
        <w:ind w:left="660" w:right="100" w:firstLine="645"/>
        <w:spacing w:after="0" w:line="293" w:lineRule="auto"/>
        <w:tabs>
          <w:tab w:leader="none" w:pos="196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together with the delivery of each Compliance Certificate pursuant to Section 6.02(a) (but only together with the delivery of a Compliance Certificate in connection with financial statements delivered pursuant to Section 6.01(a)), (i) a report setting forth the information required by a Perfection Certificate Supplement or confirming that there has been no change in such information since the Closing Date or the date of the last such report (provided no such Perfection Certificate Supplement or confirmation shall be required in connection with the Compliance Certificate to be delivered for the financial statements relating to the fiscal year ended December 31, 2013) and (ii) a list of the Subsidiaries of the Borrower that identifies each Subsidiary as a Restricted or an Unrestricted Subsidiary as of the date of delivery of such Compliance Certificate; and</w:t>
      </w:r>
    </w:p>
    <w:p>
      <w:pPr>
        <w:spacing w:after="0" w:line="164" w:lineRule="exact"/>
        <w:rPr>
          <w:rFonts w:ascii="Arial" w:cs="Arial" w:eastAsia="Arial" w:hAnsi="Arial"/>
          <w:sz w:val="16"/>
          <w:szCs w:val="16"/>
          <w:color w:val="auto"/>
        </w:rPr>
      </w:pPr>
    </w:p>
    <w:p>
      <w:pPr>
        <w:jc w:val="both"/>
        <w:ind w:left="660" w:firstLine="645"/>
        <w:spacing w:after="0" w:line="264" w:lineRule="auto"/>
        <w:tabs>
          <w:tab w:leader="none" w:pos="196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legal, financial or corporate affairs of the Loan Parties or any of their respective Subsidiaries, or compliance with the terms of the Loan Documents, as the Administrative Agent or any Lender through the Administrative Agent may from time to time reasonably request.</w:t>
      </w:r>
    </w:p>
    <w:p>
      <w:pPr>
        <w:spacing w:after="0" w:line="181"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The Borrower hereby acknowledges that (a) the Administrative Agent and/or the Arranger will make available to the Lenders and the L/C Issuer materials and/or information provided by or on behalf of the Borrower hereunder (collectively, “</w:t>
      </w:r>
      <w:r>
        <w:rPr>
          <w:rFonts w:ascii="Arial" w:cs="Arial" w:eastAsia="Arial" w:hAnsi="Arial"/>
          <w:sz w:val="16"/>
          <w:szCs w:val="16"/>
          <w:b w:val="1"/>
          <w:bCs w:val="1"/>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b w:val="1"/>
          <w:bCs w:val="1"/>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securities that are registered or issued pursuant to a private offering or is actively contemplating issuing any such securities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such Borrower Materials constitute Information, they shall be treated as set forth in Section 10.07);</w:t>
      </w:r>
    </w:p>
    <w:p>
      <w:pPr>
        <w:spacing w:after="0" w:line="4" w:lineRule="exact"/>
        <w:rPr>
          <w:sz w:val="20"/>
          <w:szCs w:val="20"/>
          <w:color w:val="auto"/>
        </w:rPr>
      </w:pPr>
    </w:p>
    <w:p>
      <w:pPr>
        <w:ind w:left="260" w:hanging="252"/>
        <w:spacing w:after="0"/>
        <w:tabs>
          <w:tab w:leader="none" w:pos="2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all Borrower Materials marked “PUBLIC” are permitted to be made available through a portion of the Platform designated “Public Side Information;” and</w:t>
      </w:r>
    </w:p>
    <w:p>
      <w:pPr>
        <w:spacing w:after="0" w:line="32" w:lineRule="exact"/>
        <w:rPr>
          <w:rFonts w:ascii="Arial" w:cs="Arial" w:eastAsia="Arial" w:hAnsi="Arial"/>
          <w:sz w:val="16"/>
          <w:szCs w:val="16"/>
          <w:color w:val="auto"/>
        </w:rPr>
      </w:pPr>
    </w:p>
    <w:p>
      <w:pPr>
        <w:ind w:right="200" w:firstLine="8"/>
        <w:spacing w:after="0" w:line="255" w:lineRule="auto"/>
        <w:tabs>
          <w:tab w:leader="none" w:pos="24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Administrative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Promptly after a Responsible Officer of a Loan Party has obtained knowledge thereof, notify the Administrative Agent:</w:t>
      </w:r>
    </w:p>
    <w:p>
      <w:pPr>
        <w:spacing w:after="0" w:line="225" w:lineRule="exact"/>
        <w:rPr>
          <w:sz w:val="20"/>
          <w:szCs w:val="20"/>
          <w:color w:val="auto"/>
        </w:rPr>
      </w:pPr>
    </w:p>
    <w:p>
      <w:pPr>
        <w:ind w:left="1940" w:hanging="635"/>
        <w:spacing w:after="0"/>
        <w:tabs>
          <w:tab w:leader="none" w:pos="19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of the occurrence of any ERISA Event;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Each notice pursuant to this Section shall be accompanied by a written statement of a Responsible Officer of the Borrower setting forth details of the occurrence referred to therein and stating what action the Borrower has taken and proposes to take with respect thereto.</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5"/>
          <w:szCs w:val="15"/>
          <w:u w:val="single" w:color="auto"/>
          <w:color w:val="auto"/>
        </w:rPr>
        <w:t>Payment of Taxes.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Pay, discharge or otherwise satisfy as the same shall become due and payable in the normal conduct of its business, all its obligations and liabilities in respect of Taxes imposed upon it (including in its capacity as withholding agent) or upon its income or profits or in respect of its property, except, in each case, (i) to the extent the failure to pay or discharge the same could not reasonably be expected to have, individually or in the aggregate, a Material Adverse Effect or (ii) which are being contested in good faith by appropriate proceedings diligently conducted and for which adequate reserves have been provided in accordance with GAAP.</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Preservation of Existence, Etc.</w:t>
      </w:r>
    </w:p>
    <w:p>
      <w:pPr>
        <w:spacing w:after="0" w:line="225" w:lineRule="exact"/>
        <w:rPr>
          <w:sz w:val="20"/>
          <w:szCs w:val="20"/>
          <w:color w:val="auto"/>
        </w:rPr>
      </w:pPr>
    </w:p>
    <w:p>
      <w:pPr>
        <w:ind w:left="1940" w:hanging="635"/>
        <w:spacing w:after="0"/>
        <w:tabs>
          <w:tab w:leader="none" w:pos="194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Preserve, renew and maintain in full force and effect its legal existence under the Laws of the jurisdiction of its organization except</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in a transaction permitted by Section 7.03 or 7.04 and (y) any Restricted Subsidiary may merge or consolidate with any other Restricted Subsidiary and</w:t>
      </w:r>
    </w:p>
    <w:p>
      <w:pPr>
        <w:spacing w:after="0" w:line="32" w:lineRule="exact"/>
        <w:rPr>
          <w:rFonts w:ascii="Arial" w:cs="Arial" w:eastAsia="Arial" w:hAnsi="Arial"/>
          <w:sz w:val="16"/>
          <w:szCs w:val="16"/>
          <w:color w:val="auto"/>
        </w:rPr>
      </w:pPr>
    </w:p>
    <w:p>
      <w:pPr>
        <w:ind w:right="20" w:firstLine="8"/>
        <w:spacing w:after="0" w:line="302" w:lineRule="auto"/>
        <w:tabs>
          <w:tab w:leader="none" w:pos="25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take all reasonable action to maintain all rights, privileges (including its good standing where applicable in the relevant jurisdiction), permits, licenses and franchises necessary or desirable in the normal conduct of its business, except (i) to the extent that failure to do so could not reasonably be expected to have, individually or in the aggregate, a Material Adverse Effect or (ii) pursuant to a transaction permitted by Section 7.03 or 7.04 or clause (y) of this Section 6.05.</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u w:val="single" w:color="auto"/>
          <w:color w:val="auto"/>
        </w:rPr>
        <w:t>Maintenance of Properties.</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Except if the failure to do so could not reasonably be expected to have, individually or in the aggregate, a Material Adverse Effect, (a) maintain, preserve and protect all of its material tangible properties and equipment necessary in the operation of its business in good working order, repair and condition, ordinary wear and tear excepted and casualty or condemnation excepted, and (b) make all necessary renewals, replacements, modifications, improvements, upgrades,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33" w:right="259" w:bottom="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extensions and additions thereof or thereto in accordance with prudent industry practice and in the normal conduct of its business.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Maintenance of Insurance.</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 All such insurance policies of the Loan Parties shall name the Collateral Agent as additional insured or loss payee, as applicable. With respect to each parcel of Real Property that is subject to a Mortgage, obtain flood insurance in such total amount as the Administrative Agent or the Required Lenders may from time to time reasonably require, if at any time the area in which any improvements located on such Real Property is designated a “flood hazard area” in any Flood Insurance Rate Map published by the Federal Emergency Management Agency (or any successor agency), and otherwise comply with the National Flood Insurance Program as set forth in the Flood Disaster Protection Act of 1973, as amended from time to time.</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Compliance with Laws.</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Comply in all material respects with the requirements of all Laws and all orders, writs, injunctions and decrees applicable to it or to its business or property, except if the failure to comply therewith could not reasonably be expected to have, individually or in the aggregate, a Material Adverse Effect.</w:t>
      </w:r>
    </w:p>
    <w:p>
      <w:pPr>
        <w:spacing w:after="0" w:line="12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5"/>
          <w:szCs w:val="15"/>
          <w:u w:val="single" w:color="auto"/>
          <w:color w:val="auto"/>
        </w:rPr>
        <w:t>Books and Records.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Maintain proper books of record and account, in which entries are full, true and correct in all material respects and are in conformity with GAAP consistently applied and which reflect all material financial transactions and matters involving the business of the Loan Parties or a Restricted Subsidiary, as the case may be (it being understood and agreed that certain Foreign Subsidiaries maintain individual books and records in conformity with generally accepted accounting principles in their respective countries of organization and that such maintenance shall not constitute a breach of the representations, warranties or covenants hereunder).</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Inspection Rights.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senior officers, and independent public accountants, all at reasonable times during normal business hours, upon reasonable advance notice to the Borrower; </w:t>
      </w:r>
      <w:r>
        <w:rPr>
          <w:rFonts w:ascii="Arial" w:cs="Arial" w:eastAsia="Arial" w:hAnsi="Arial"/>
          <w:sz w:val="18"/>
          <w:szCs w:val="18"/>
          <w:i w:val="1"/>
          <w:iCs w:val="1"/>
          <w:color w:val="auto"/>
        </w:rPr>
        <w:t>provided, however</w:t>
      </w:r>
      <w:r>
        <w:rPr>
          <w:rFonts w:ascii="Arial" w:cs="Arial" w:eastAsia="Arial" w:hAnsi="Arial"/>
          <w:sz w:val="18"/>
          <w:szCs w:val="18"/>
          <w:color w:val="auto"/>
        </w:rPr>
        <w:t>, (a) unless an Event of Default exists, only the Administrative Agent on behalf of the Lenders may exercise the rights under this Section 6.10 and the Administrative Agent shall not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exercise such rights more often than one time during any calendar year (at the expense of the Borrower in accordance with Section 10.04), (b) if an Event of Default exists and an individual Lender elects to exercise rights under this Section 6.10, (x) such Lender shall coordinate with the Administrative Agent and any other Lender electing to exercise such rights and shall share the results of such inspection with the Administrative Agent on behalf of the Lenders and</w:t>
      </w:r>
    </w:p>
    <w:p>
      <w:pPr>
        <w:ind w:firstLine="8"/>
        <w:spacing w:after="0" w:line="292" w:lineRule="auto"/>
        <w:tabs>
          <w:tab w:leader="none" w:pos="25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number of visits and expense associated with such individual Lender inspections must be reasonable, (c) no Loan Party will be required to disclose, permit the inspection, examination or making copies of or abstracts from, or discussion of, any document, information or other matter that (i) constitutes trade secrets or proprietary information, (ii) in respect of which disclosure to the Administrative Agent or any Lender (or their respective representatives or contractors) is prohibited by Law or any Contractual Obligations or (iii) is subject to attorney-client or similar privilege or constitutes attorney work product, and (d) the Borrower shall have the opportunity to participate in any discussions with the Borrower’s independent public accountants.</w:t>
      </w:r>
    </w:p>
    <w:p>
      <w:pPr>
        <w:spacing w:after="0" w:line="163"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Additional Collateral; Additional Guarantors.</w:t>
      </w:r>
    </w:p>
    <w:p>
      <w:pPr>
        <w:spacing w:after="0" w:line="225" w:lineRule="exact"/>
        <w:rPr>
          <w:sz w:val="20"/>
          <w:szCs w:val="20"/>
          <w:color w:val="auto"/>
        </w:rPr>
      </w:pPr>
    </w:p>
    <w:p>
      <w:pPr>
        <w:ind w:right="80" w:firstLine="1305"/>
        <w:spacing w:after="0" w:line="288" w:lineRule="auto"/>
        <w:tabs>
          <w:tab w:leader="none" w:pos="1942" w:val="left"/>
        </w:tabs>
        <w:numPr>
          <w:ilvl w:val="1"/>
          <w:numId w:val="239"/>
        </w:numPr>
        <w:rPr>
          <w:rFonts w:ascii="Arial" w:cs="Arial" w:eastAsia="Arial" w:hAnsi="Arial"/>
          <w:sz w:val="16"/>
          <w:szCs w:val="16"/>
          <w:color w:val="auto"/>
        </w:rPr>
      </w:pPr>
      <w:r>
        <w:rPr>
          <w:rFonts w:ascii="Arial" w:cs="Arial" w:eastAsia="Arial" w:hAnsi="Arial"/>
          <w:sz w:val="16"/>
          <w:szCs w:val="16"/>
          <w:color w:val="auto"/>
        </w:rPr>
        <w:t>Subject to this Section 6.11 and Section 6.13(b), with respect to any property acquired after the Closing Date by any Loan Party that is intended to be subject to the Lien created by any of the Collateral Documents but is not so subject, promptly (and in any event within 60 days after the acquisition thereof (or, with respect to intellectual property, in any event on a quarterly basis) (or such later date as the Administrative Agent may agree))</w:t>
      </w:r>
    </w:p>
    <w:p>
      <w:pPr>
        <w:ind w:right="180" w:firstLine="8"/>
        <w:spacing w:after="0" w:line="268" w:lineRule="auto"/>
        <w:tabs>
          <w:tab w:leader="none" w:pos="21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execute and deliver to the Administrative Agent and the Collateral Agent such amendments or supplements to the relevant Collateral Documents or such other documents as the Administrative Agent or the Collateral Agent shall reasonably deem necessary or advisable to grant to the Collateral Agent, for its benefit and for the benefit of the other Secured Parties, a Lien on such property subject to no Liens other than Liens permitted hereunder, and (ii) take all commercially reasonable actions necessary to cause such Lien to be duly perfected within the United States to the extent required by such Collateral Document in accordance with all applicable Law, including the filing of financing statements in such jurisdictions within the United States as may be reasonably requested by the Administrative Agent. The Borrower shall otherwise take such commercially reasonable actions and execute and/or deliver to the Collateral Agent such documents as the Administrative Agent or the Collateral Agent shall reasonably require to confirm the validity, perfection and priority of the Lien of the Collateral Documents on such after-acquired properties.</w:t>
      </w:r>
    </w:p>
    <w:p>
      <w:pPr>
        <w:spacing w:after="0" w:line="184" w:lineRule="exact"/>
        <w:rPr>
          <w:rFonts w:ascii="Arial" w:cs="Arial" w:eastAsia="Arial" w:hAnsi="Arial"/>
          <w:sz w:val="17"/>
          <w:szCs w:val="17"/>
          <w:color w:val="auto"/>
        </w:rPr>
      </w:pPr>
    </w:p>
    <w:p>
      <w:pPr>
        <w:ind w:firstLine="1305"/>
        <w:spacing w:after="0" w:line="272" w:lineRule="auto"/>
        <w:tabs>
          <w:tab w:leader="none" w:pos="1952" w:val="left"/>
        </w:tabs>
        <w:numPr>
          <w:ilvl w:val="1"/>
          <w:numId w:val="240"/>
        </w:numPr>
        <w:rPr>
          <w:rFonts w:ascii="Arial" w:cs="Arial" w:eastAsia="Arial" w:hAnsi="Arial"/>
          <w:sz w:val="17"/>
          <w:szCs w:val="17"/>
          <w:color w:val="auto"/>
        </w:rPr>
      </w:pPr>
      <w:r>
        <w:rPr>
          <w:rFonts w:ascii="Arial" w:cs="Arial" w:eastAsia="Arial" w:hAnsi="Arial"/>
          <w:sz w:val="17"/>
          <w:szCs w:val="17"/>
          <w:color w:val="auto"/>
        </w:rPr>
        <w:t>With respect to any Person that is or becomes a direct Subsidiary of a Loan Party after the Closing Date or ceases to be an Excluded Subsidiary, promptly (and in any event within 60 days after such Person becomes a Subsidiary or the Borrower delivers to the Administrative Agent financial statements upon which it is determined that such Person ceased to be an Excluded Subsidiary (or such later date as the Administrative Agent may agree)) (i) deliver to the Collateral Agent the certificates, if any, representing all of the Equity Interests of such Subsidiary owned by such Loan Party, together with undated stock powers or other appropriate instruments of transfer executed and delivered in blank by a duly authorized officer of the holder(s) of such Equity Interests, and all intercompany notes owing from such Subsidiary to any Loan Party together with instruments of transfer executed and delivered in blank by a duly authorized officer of such Loan Party (in each case, with respect to Foreign Subsidiaries, to the extent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289" w:gutter="0" w:footer="0" w:header="0"/>
        </w:sectPr>
      </w:pPr>
    </w:p>
    <w:bookmarkStart w:id="78" w:name="page79"/>
    <w:bookmarkEnd w:id="78"/>
    <w:p>
      <w:pPr>
        <w:spacing w:after="0" w:line="11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applicable and permitted under foreign laws, rules or regulations) or, if necessary to perfect a Lien under applicable Law, by means of an applicable Collateral Document, to create a Lien on such Equity Interests and intercompany notes in favor of the Collateral Agent on behalf of the Secured Parties and (ii) cause any such Subsidiary (A) to execute a joinder agreement reasonably acceptable to the Administrative Agent or such comparable documentation to become a Subsidiary Guarantor and a joinder agreement to the applicable Collateral Documents (including the Security Agreement), substantially in the form annexed thereto, and (B) to take all actions reasonably necessary or advisable in the opinion of the Administrative Agent or the Collateral Agent to cause the Lien created by the applicable Collateral Documents (including the Security Agreement) to be duly perfected within the United States to the extent required by such agreement in accordance with all applicable Law, including the filing of financing statements in such jurisdictions within the United States as may be reasonably requested by the Administrative Agent or the Collateral Agent. Notwithstanding the foregoing, (1) the Equity Interests required to be delivered to the Collateral Agent, or on which a Lien is required to be created, pursuant to clause (i) of this Section 6.11(b) shall not include any Equity Interests of a Foreign Subsidiary that is an Excluded Subsidiary by reason of clauses (b), (d) or (f) of the definition of Excluded Subsidiary, (2) no Excluded Subsidiary or Unrestricted Subsidiary shall be required to take the actions specified in clause (ii) of this Section 6.11(b) and (3) no more than (A) 65% of the total voting power of all outstanding voting stock and (B) 100% of the Equity Interests not constituting voting stock of any CFC or CFC Holdco (except that any such Equity Interests constituting “stock entitled to vote” within the meaning of Treasury Regulation Section 1.956-2(c)(2) shall be treated as voting stock for purposes of this Section 6.11(b)) shall be required to be pledged.</w:t>
      </w:r>
    </w:p>
    <w:p>
      <w:pPr>
        <w:spacing w:after="0" w:line="185" w:lineRule="exact"/>
        <w:rPr>
          <w:sz w:val="20"/>
          <w:szCs w:val="20"/>
          <w:color w:val="auto"/>
        </w:rPr>
      </w:pPr>
    </w:p>
    <w:p>
      <w:pPr>
        <w:ind w:right="40" w:firstLine="1305"/>
        <w:spacing w:after="0" w:line="284" w:lineRule="auto"/>
        <w:tabs>
          <w:tab w:leader="none" w:pos="195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Promptly grant to the Collateral Agent, within 90 days of the acquisition thereof (or such later date as the Administrative Agent may agree), a security interest in and mortgage in a form reasonably satisfactory to the Administrative Agent and Collateral Agent (a “</w:t>
      </w:r>
      <w:r>
        <w:rPr>
          <w:rFonts w:ascii="Arial" w:cs="Arial" w:eastAsia="Arial" w:hAnsi="Arial"/>
          <w:sz w:val="16"/>
          <w:szCs w:val="16"/>
          <w:b w:val="1"/>
          <w:bCs w:val="1"/>
          <w:color w:val="auto"/>
        </w:rPr>
        <w:t>Mortgage</w:t>
      </w:r>
      <w:r>
        <w:rPr>
          <w:rFonts w:ascii="Arial" w:cs="Arial" w:eastAsia="Arial" w:hAnsi="Arial"/>
          <w:sz w:val="16"/>
          <w:szCs w:val="16"/>
          <w:color w:val="auto"/>
        </w:rPr>
        <w:t>”) on each parcel of Real Property owned in fee by such Loan Party as is acquired by such Loan Party after the Closing Date and that, together with any improvements thereon, individually has a fair market value of at least $5 million as additional security for the Obligations (unless the subject property is already mortgaged to a third party to the extent permitted hereunder). Such Mortgages shall be granted pursuant to documentation reasonably satisfactory in form and substance to the Administrative Agent and the Collateral Agent and shall constitute valid and enforceable perfected Liens subject only to Liens permitted hereunder.</w:t>
      </w:r>
    </w:p>
    <w:p>
      <w:pPr>
        <w:spacing w:after="0" w:line="4" w:lineRule="exact"/>
        <w:rPr>
          <w:rFonts w:ascii="Arial" w:cs="Arial" w:eastAsia="Arial" w:hAnsi="Arial"/>
          <w:sz w:val="16"/>
          <w:szCs w:val="16"/>
          <w:color w:val="auto"/>
        </w:rPr>
      </w:pPr>
    </w:p>
    <w:p>
      <w:pPr>
        <w:ind w:right="60"/>
        <w:spacing w:after="0" w:line="268" w:lineRule="auto"/>
        <w:rPr>
          <w:rFonts w:ascii="Arial" w:cs="Arial" w:eastAsia="Arial" w:hAnsi="Arial"/>
          <w:sz w:val="16"/>
          <w:szCs w:val="16"/>
          <w:color w:val="auto"/>
        </w:rPr>
      </w:pPr>
      <w:r>
        <w:rPr>
          <w:rFonts w:ascii="Arial" w:cs="Arial" w:eastAsia="Arial" w:hAnsi="Arial"/>
          <w:sz w:val="17"/>
          <w:szCs w:val="17"/>
          <w:color w:val="auto"/>
        </w:rPr>
        <w:t>The Mortgages or instruments related thereto shall be duly recorded or filed in such manner and in such places as are required by Law to establish, perfect, preserve and protect the Liens in favor of the Collateral Agent required to be granted pursuant to the Mortgages and all taxes, fees and other charges payable in connection therewith shall be paid in full. Such Loan Party shall otherwise take such commercially reasonable actions and execute and/or deliver to the Collateral Agent such documents as the Administrative Agent or the Collateral Agent shall reasonably require to confirm the validity, perfection and priority of the Lien of any existing Mortgage or new Mortgage against such after-acquired Real Property (including a Title Policy, a Survey, local counsel opinion (in form and substance reasonably satisfactory to the Administrative Agent and the Collateral Agent) and a completed “Life-of-Loan” Federal Emergency Management Agency standard flood hazard determination, together with a notice executed by such Loan Party about special flood hazard area status, if applicable, in respect of such Mortgage).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69" w:lineRule="auto"/>
        <w:tabs>
          <w:tab w:leader="none" w:pos="195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foregoing clauses (a) through (c) shall not require the creation or perfection of pledges of or security interests in, or the obtaining of title insurance or surveys with respect to, particular assets if and for so long as (i) in the reasonable judgment of the Administrative Agent and the Borrower in writing, the cost of creating or perfecting such pledges or security interests in such assets or obtaining title insurance or surveys in respect of such assets shall be excessive in view of the benefits to be obtained by the Lenders therefrom or (ii) such asset constitutes an Excluded Asset (as such term is defined in the Security Agreement). In addition, the foregoing will not require actions under this Section 6.11 by a Person if and to the extent that such action would (a) go beyond the corporate or other powers of the Person concerned (and then only as such corporate or other power cannot be modified or excluded to allow such action) or (b) unavoidably result in material issues of director’s personal liability, breach of fiduciary duty or criminal liability. The Administrative Agent may grant extensions of time for the perfection of security interests in or the obtaining of title insurance with respect to particular assets (including extensions beyond the Closing Date for the perfection of security interests in the assets of the Loan Parties on such date) where it reasonably determines, in consultation with the Borrower, that perfection cannot be accomplished without undue effort or expense by the time or times at which it would otherwise be required by this Agreement or the Collateral Documents.</w:t>
      </w:r>
    </w:p>
    <w:p>
      <w:pPr>
        <w:spacing w:after="0" w:line="182" w:lineRule="exact"/>
        <w:rPr>
          <w:rFonts w:ascii="Arial" w:cs="Arial" w:eastAsia="Arial" w:hAnsi="Arial"/>
          <w:sz w:val="17"/>
          <w:szCs w:val="17"/>
          <w:color w:val="auto"/>
        </w:rPr>
      </w:pPr>
    </w:p>
    <w:p>
      <w:pPr>
        <w:ind w:right="20" w:firstLine="1305"/>
        <w:spacing w:after="0" w:line="276" w:lineRule="auto"/>
        <w:tabs>
          <w:tab w:leader="none" w:pos="195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6.11 or anything in this Agreement or any other Loan Document to the contrary, Liens required to be granted from time to time pursuant to this Section 6.11 shall be subject to exceptions and limitations set forth herein, in the Collateral Documents and, to the extent appropriate in the applicable jurisdiction, as agreed between the Collateral Agent and the Borrower. Notwithstanding the foregoing provisions of this Section 6.11 or anything in this Agreement or any other Loan Document to the contrary, any Subsidiary of the Borrower that Guarantees the Senior Notes shall be a Guarantor hereunder for so long as it Guarantees such Indebtedness.</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Compliance with Environmental Laws.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Except, in each case, to the extent that the failure to do so could not reasonably be expected to have, individually or in the aggregate, a Material Adverse Effect, comply, and take all reasonable actions to cause all lessees and other Persons operating or occupying its properties to comply with all applicable Environmental Laws and Environmental Permits; obtain and renew all Environmental Permits necessary for its operations and properties; and, in each case to the extent the Loan Parties are required by Environmental Laws, conduct any investigation, study, sampling and testing, and undertake any cleanup, removal, remedial or other action necessary to remove and clean up all Hazardous Materials from any affected property, in accordance with the requirements of all Environmental Laws.</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Further Assurances and Post-Closing Conditions.</w:t>
      </w:r>
    </w:p>
    <w:p>
      <w:pPr>
        <w:spacing w:after="0" w:line="225" w:lineRule="exact"/>
        <w:rPr>
          <w:sz w:val="20"/>
          <w:szCs w:val="20"/>
          <w:color w:val="auto"/>
        </w:rPr>
      </w:pPr>
    </w:p>
    <w:p>
      <w:pPr>
        <w:ind w:right="160" w:firstLine="1305"/>
        <w:spacing w:after="0" w:line="259" w:lineRule="auto"/>
        <w:tabs>
          <w:tab w:leader="none" w:pos="194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Within ninety (90) days after the Closing Date (subject to extension by the Administrative Agent in its discretion), deliver each Collateral Document set forth on Schedule 6.13(a), duly executed by each Loan Party party thereto, together with all documents and instruments required to perfect the security interest of the Administrative Agent in the Collateral (if any) free of any other pledges, security interests or mortgages, except Liens permitted 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305"/>
        <w:spacing w:after="0" w:line="312" w:lineRule="auto"/>
        <w:tabs>
          <w:tab w:leader="none" w:pos="195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Promptly upon reasonable request by the Administrative Agent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deeds, certificates, assurances and other</w:t>
      </w:r>
    </w:p>
    <w:p>
      <w:pPr>
        <w:sectPr>
          <w:pgSz w:w="11900" w:h="16952" w:orient="portrait"/>
          <w:cols w:equalWidth="0" w:num="1">
            <w:col w:w="11400"/>
          </w:cols>
          <w:pgMar w:left="240" w:top="341" w:right="259" w:bottom="0" w:gutter="0" w:footer="0" w:header="0"/>
        </w:sectPr>
      </w:pPr>
    </w:p>
    <w:bookmarkStart w:id="79" w:name="page80"/>
    <w:bookmarkEnd w:id="79"/>
    <w:p>
      <w:pPr>
        <w:ind w:right="40"/>
        <w:spacing w:after="0" w:line="257" w:lineRule="auto"/>
        <w:rPr>
          <w:sz w:val="20"/>
          <w:szCs w:val="20"/>
          <w:color w:val="auto"/>
        </w:rPr>
      </w:pPr>
      <w:r>
        <w:rPr>
          <w:rFonts w:ascii="Arial" w:cs="Arial" w:eastAsia="Arial" w:hAnsi="Arial"/>
          <w:sz w:val="18"/>
          <w:szCs w:val="18"/>
          <w:color w:val="auto"/>
        </w:rPr>
        <w:t>instruments as the Administrative Agent may reasonably request from time to time in order to carry out more effectively the purposes of the Collateral Documents. If the Administrative Agent, the Collateral Agent or the Required Lenders determine that they are required by applicable Law to have appraisals prepared in respect of the Real Property of any Loan Party constituting Collateral, the Borrower shall provide to the Administrative Agent appraisals that satisfy the applicable requirements of the Real Estate Appraisal Reform Amendments of FIRREA and are otherwise in form and substance reasonably satisfactory to the Administrative Agent and the Collateral Agent.</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Borrower may designate any Subsidiary of the Borrower (including any existing Subsidiary and any newly acquired or newly formed Subsidiary) to be an Unrestricted Subsidiary unless such Subsidiary or any of its Subsidiaries owns any Equity Interests or Indebtedness of, or owns or holds any Lien on, any property of, the Borrower or any Subsidiary of the Borrower (other than solely any Subsidiary of the Subsidiary to be so designated); provided that:</w:t>
      </w:r>
    </w:p>
    <w:p>
      <w:pPr>
        <w:spacing w:after="0" w:line="187" w:lineRule="exact"/>
        <w:rPr>
          <w:sz w:val="20"/>
          <w:szCs w:val="20"/>
          <w:color w:val="auto"/>
        </w:rPr>
      </w:pPr>
    </w:p>
    <w:p>
      <w:pPr>
        <w:ind w:right="40" w:firstLine="1305"/>
        <w:spacing w:after="0" w:line="264" w:lineRule="auto"/>
        <w:tabs>
          <w:tab w:leader="none" w:pos="194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Unrestricted Subsidiary must be an entity of which the Equity Interests entitled to cast at least a majority of the votes that may be cast by all Equity Interests having ordinary voting power for the election of directors or Persons performing a similar function are owned, directly or indirectly, by the Borrower;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such designation complies with Section 7.05;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of:</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Subsidiary to be so designated; and</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its Subsidiaries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has not at the time of designation, and does not thereafter, create, incur, issue, assume, guarantee or otherwise become directly or indirectly liable with respect to any Indebtedness pursuant to which the lender has recourse to any of the assets of the Borrower or any Restricted Subsidiary.</w:t>
      </w:r>
    </w:p>
    <w:p>
      <w:pPr>
        <w:spacing w:after="0" w:line="14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The Borrower may designate and re-designate any Unrestricted Subsidiary to be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immediately after giving effect to such designation, no Default shall have occurred and be continuing and either:</w:t>
      </w:r>
    </w:p>
    <w:p>
      <w:pPr>
        <w:spacing w:after="0" w:line="170" w:lineRule="exact"/>
        <w:rPr>
          <w:sz w:val="20"/>
          <w:szCs w:val="20"/>
          <w:color w:val="auto"/>
        </w:rPr>
      </w:pPr>
    </w:p>
    <w:p>
      <w:pPr>
        <w:ind w:left="660" w:right="160" w:firstLine="645"/>
        <w:spacing w:after="0" w:line="277" w:lineRule="auto"/>
        <w:tabs>
          <w:tab w:leader="none" w:pos="195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Borrower could incur at least $1.00 of additional Indebtedness pursuant to the Fixed Charge Coverage Ratio test described in Section 7.02(a);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60" w:firstLine="645"/>
        <w:spacing w:after="0" w:line="277" w:lineRule="auto"/>
        <w:tabs>
          <w:tab w:leader="none" w:pos="196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Fixed Charge Coverage Ratio for the Borrower and its Restricted Subsidiaries would be equal to or greater than such ratio immediately prior to such designation,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each case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taking into account such designation.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such designation by the Borrower shall be notified by the Borrower to the Administrative Agent by promptly filing with the Administrative Agent a copy of the resolution of the board of directors of the Borrower or any committee thereof giving effect to such designation and an officer’s certificate certifying that such designation complied with the foregoing provisions.</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6"/>
          <w:szCs w:val="16"/>
          <w:u w:val="single" w:color="auto"/>
          <w:color w:val="auto"/>
        </w:rPr>
        <w:t>ERISA Reports.</w:t>
      </w:r>
    </w:p>
    <w:p>
      <w:pPr>
        <w:spacing w:after="0" w:line="225" w:lineRule="exact"/>
        <w:rPr>
          <w:sz w:val="20"/>
          <w:szCs w:val="20"/>
          <w:color w:val="auto"/>
        </w:rPr>
      </w:pPr>
    </w:p>
    <w:p>
      <w:pPr>
        <w:ind w:right="80" w:firstLine="1297"/>
        <w:spacing w:after="0" w:line="289" w:lineRule="auto"/>
        <w:rPr>
          <w:sz w:val="20"/>
          <w:szCs w:val="20"/>
          <w:color w:val="auto"/>
        </w:rPr>
      </w:pPr>
      <w:r>
        <w:rPr>
          <w:rFonts w:ascii="Arial" w:cs="Arial" w:eastAsia="Arial" w:hAnsi="Arial"/>
          <w:sz w:val="16"/>
          <w:szCs w:val="16"/>
          <w:color w:val="auto"/>
        </w:rPr>
        <w:t xml:space="preserve">Furnish to the Administrative Agent as soon as practicable after request by the Administrative Agent, (x) copies of (i) each Schedule B (Actuarial Information) to the annual report (Form 5500 Series) filed by the Borrower, its Subsidiaries or any ERISA Affiliate with the Internal Revenue Service with respect to each Plan; (ii) the most recent actuarial valuation report for each Plan; (iii) such other documents or governmental reports or filings relating to any Plan as the Administrative Agent shall reasonably request and (y) with respect to any Multiemployer Plan, (i) any documents described in Section 101(k) of ERISA that the Borrower, any of its Subsidiaries or any ERISA Affiliate may request and (ii) any notices described in Section 101(1) of ERISA that the Borrower, its Subsidiaries or any ERISA Affiliate may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Borrower, its Subsidiaries or any ERISA Affiliate has not requested such documents or notices from the administrator or sponsor of the applicable Multiemployer Plan, the Borrower, Subsidiary or ERISA Affiliate shall make a request for such documents or notices from such administrator or sponsor as soon as reasonably practicable after request by the Administrative Agent for such documents and notices and shall provide copies of such documents and notices as soon as reasonably practicable after receipt thereof.</w:t>
      </w:r>
    </w:p>
    <w:p>
      <w:pPr>
        <w:spacing w:after="0" w:line="16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6.16</w:t>
      </w:r>
      <w:r>
        <w:rPr>
          <w:sz w:val="20"/>
          <w:szCs w:val="20"/>
          <w:color w:val="auto"/>
        </w:rPr>
        <w:tab/>
      </w:r>
      <w:r>
        <w:rPr>
          <w:rFonts w:ascii="Arial" w:cs="Arial" w:eastAsia="Arial" w:hAnsi="Arial"/>
          <w:sz w:val="15"/>
          <w:szCs w:val="15"/>
          <w:u w:val="single" w:color="auto"/>
          <w:color w:val="auto"/>
        </w:rPr>
        <w:t>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Use the proceeds of the Credit Extensions not in contravention of any Law or of any Loan Document.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6.17</w:t>
      </w:r>
      <w:r>
        <w:rPr>
          <w:sz w:val="20"/>
          <w:szCs w:val="20"/>
          <w:color w:val="auto"/>
        </w:rPr>
        <w:tab/>
      </w:r>
      <w:r>
        <w:rPr>
          <w:rFonts w:ascii="Arial" w:cs="Arial" w:eastAsia="Arial" w:hAnsi="Arial"/>
          <w:sz w:val="16"/>
          <w:szCs w:val="16"/>
          <w:u w:val="single" w:color="auto"/>
          <w:color w:val="auto"/>
        </w:rPr>
        <w:t>Maintenance of Ratings.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respect of the Borrower, use commercially reasonable efforts to (i) cause each Facility to be continuously rated (but not any specific rating) by S&amp;P and Moody’s and (ii) maintain a public corporate rating (but not any specific rating) from S&amp;P and a public corporate family rating (but not any specific rating) from Moody’s.</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6.18</w:t>
      </w:r>
      <w:r>
        <w:rPr>
          <w:sz w:val="20"/>
          <w:szCs w:val="20"/>
          <w:color w:val="auto"/>
        </w:rPr>
        <w:tab/>
      </w:r>
      <w:r>
        <w:rPr>
          <w:rFonts w:ascii="Arial" w:cs="Arial" w:eastAsia="Arial" w:hAnsi="Arial"/>
          <w:sz w:val="16"/>
          <w:szCs w:val="16"/>
          <w:u w:val="single" w:color="auto"/>
          <w:color w:val="auto"/>
        </w:rPr>
        <w:t>Lender Calls.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Within 45 days after the end of each of the first three fiscal quarters of each fiscal year of the Borrower or 90 days after the end of the fiscal year of the Borrower, at the request of the</w:t>
      </w:r>
    </w:p>
    <w:p>
      <w:pPr>
        <w:sectPr>
          <w:pgSz w:w="11900" w:h="16838" w:orient="portrait"/>
          <w:cols w:equalWidth="0" w:num="1">
            <w:col w:w="11380"/>
          </w:cols>
          <w:pgMar w:left="240" w:top="125" w:right="279" w:bottom="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80" w:name="page81"/>
    <w:bookmarkEnd w:id="80"/>
    <w:p>
      <w:pPr>
        <w:ind w:right="100"/>
        <w:spacing w:after="0" w:line="279" w:lineRule="auto"/>
        <w:rPr>
          <w:sz w:val="20"/>
          <w:szCs w:val="20"/>
          <w:color w:val="auto"/>
        </w:rPr>
      </w:pPr>
      <w:r>
        <w:rPr>
          <w:rFonts w:ascii="Arial" w:cs="Arial" w:eastAsia="Arial" w:hAnsi="Arial"/>
          <w:sz w:val="17"/>
          <w:szCs w:val="17"/>
          <w:color w:val="auto"/>
        </w:rPr>
        <w:t xml:space="preserve">Administrative Agent or of the Required Lenders and upon reasonable prior notice, hold a conference call (at a location and time selected by the Administrative Agent and the Borrower) with all Lenders who choose to attend such conference call, at which conference call shall be reviewed the financial results of the previous fiscal quarter or fiscal year, as applicable, and the financial condition of the Borrower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the requirement set forth in this Section 6.18 may be satisfied with a public earnings call.</w:t>
      </w:r>
    </w:p>
    <w:p>
      <w:pPr>
        <w:spacing w:after="0" w:line="17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6.19</w:t>
      </w:r>
      <w:r>
        <w:rPr>
          <w:sz w:val="20"/>
          <w:szCs w:val="20"/>
          <w:color w:val="auto"/>
        </w:rPr>
        <w:tab/>
      </w:r>
      <w:r>
        <w:rPr>
          <w:rFonts w:ascii="Arial" w:cs="Arial" w:eastAsia="Arial" w:hAnsi="Arial"/>
          <w:sz w:val="17"/>
          <w:szCs w:val="17"/>
          <w:u w:val="single" w:color="auto"/>
          <w:color w:val="auto"/>
        </w:rPr>
        <w:t>Amber Holding.</w:t>
      </w:r>
    </w:p>
    <w:p>
      <w:pPr>
        <w:spacing w:after="0" w:line="225" w:lineRule="exact"/>
        <w:rPr>
          <w:sz w:val="20"/>
          <w:szCs w:val="20"/>
          <w:color w:val="auto"/>
        </w:rPr>
      </w:pPr>
    </w:p>
    <w:p>
      <w:pPr>
        <w:ind w:firstLine="1305"/>
        <w:spacing w:after="0" w:line="255" w:lineRule="auto"/>
        <w:tabs>
          <w:tab w:leader="none" w:pos="194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Amber Holding shall not conduct, transact or otherwise engage in any material business or operations; </w:t>
      </w:r>
      <w:r>
        <w:rPr>
          <w:rFonts w:ascii="Arial" w:cs="Arial" w:eastAsia="Arial" w:hAnsi="Arial"/>
          <w:sz w:val="18"/>
          <w:szCs w:val="18"/>
          <w:i w:val="1"/>
          <w:iCs w:val="1"/>
          <w:color w:val="auto"/>
        </w:rPr>
        <w:t>provided</w:t>
      </w:r>
      <w:r>
        <w:rPr>
          <w:rFonts w:ascii="Arial" w:cs="Arial" w:eastAsia="Arial" w:hAnsi="Arial"/>
          <w:sz w:val="18"/>
          <w:szCs w:val="18"/>
          <w:color w:val="auto"/>
        </w:rPr>
        <w:t>, that the following shall be permitted in any event: (i) its ownership of the Equity Interests of the Borrower and activities incidental thereto; (ii) the consummation of the Transaction; (iii) the payment of dividends and distributions and the making of contributions to the capital of the Borrower; (iv) the maintenance of its legal existence (including the ability to incur fees, costs and expenses relating to such maintenance and performance of activities relating to its officers, directors, managers and employees); (v) the performing of its obligations with respect to the Stock Purchase Agreement and the other agreements contemplated thereby; and (vi) activities reasonably related, ancillary or incidental to any of the foregoing.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So long as any Lender shall have any Commitment hereunder, any Loan or other Obligation hereunder which is accrued and payable shall remain unpaid or unsatisfied, or any Letter of Credit shall remain outstanding:</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Liens.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Borrower will not, and will not permit any Guarantor to, directly or indirectly, create, incur, assume or suffer to exist any Lien that secures any obligation or any related guarantee, on any asset or property of the Borrower or any Guarantor, or any income or profits therefrom, or assign or convey any right to receive income therefrom, other than the following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181" w:lineRule="exact"/>
        <w:rPr>
          <w:sz w:val="20"/>
          <w:szCs w:val="20"/>
          <w:color w:val="auto"/>
        </w:rPr>
      </w:pPr>
    </w:p>
    <w:p>
      <w:pPr>
        <w:ind w:left="660" w:right="20" w:firstLine="645"/>
        <w:spacing w:after="0" w:line="271" w:lineRule="auto"/>
        <w:tabs>
          <w:tab w:leader="none" w:pos="196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pledges, deposits or security by such Person under workmen’s compensation laws, unemployment insurance, employers’ health tax, and other social security laws or similar legislation, or other insurance related obligations (including, but not limited to, in respect of deductibles, self-insured retention amounts and premiums and adjustments thereto) or indemnification obligations of (including obligations in respect of letters of credit or bank guarantees for the benefit of) insurance carriers providing property, casualty or liability insurance,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stay, customs or appeal bonds to which such Person is a party, or deposits as security for contested taxes or import duties or for the payment of rent, performance and return of money bonds and other similar obligations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(including letters of credit issued in lieu of any such bonds or to support the issuance thereof and including those to secure health, safety and environmental obligations), in each case incurred in the ordinary course of business;</w:t>
      </w:r>
    </w:p>
    <w:p>
      <w:pPr>
        <w:spacing w:after="0" w:line="170" w:lineRule="exact"/>
        <w:rPr>
          <w:sz w:val="20"/>
          <w:szCs w:val="20"/>
          <w:color w:val="auto"/>
        </w:rPr>
      </w:pPr>
    </w:p>
    <w:p>
      <w:pPr>
        <w:ind w:left="660" w:right="240" w:firstLine="645"/>
        <w:spacing w:after="0" w:line="279" w:lineRule="auto"/>
        <w:tabs>
          <w:tab w:leader="none" w:pos="196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Liens imposed by law or regulation, such as carriers’, warehousemen’s and mechanics’ Liens, in each case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171" w:lineRule="exact"/>
        <w:rPr>
          <w:rFonts w:ascii="Arial" w:cs="Arial" w:eastAsia="Arial" w:hAnsi="Arial"/>
          <w:sz w:val="17"/>
          <w:szCs w:val="17"/>
          <w:color w:val="auto"/>
        </w:rPr>
      </w:pPr>
    </w:p>
    <w:p>
      <w:pPr>
        <w:ind w:left="660" w:right="40" w:firstLine="645"/>
        <w:spacing w:after="0" w:line="264" w:lineRule="auto"/>
        <w:tabs>
          <w:tab w:leader="none" w:pos="196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payable or subject to penalties for nonpayment or which are being contested in good faith by appropriate proceedings diligently conducted, if adequate reserves with respect thereto are maintained on the books of such Person in accordance with GAAP;</w:t>
      </w:r>
    </w:p>
    <w:p>
      <w:pPr>
        <w:spacing w:after="0" w:line="181" w:lineRule="exact"/>
        <w:rPr>
          <w:rFonts w:ascii="Arial" w:cs="Arial" w:eastAsia="Arial" w:hAnsi="Arial"/>
          <w:sz w:val="18"/>
          <w:szCs w:val="18"/>
          <w:color w:val="auto"/>
        </w:rPr>
      </w:pPr>
    </w:p>
    <w:p>
      <w:pPr>
        <w:ind w:left="660" w:right="100" w:firstLine="645"/>
        <w:spacing w:after="0" w:line="264" w:lineRule="auto"/>
        <w:tabs>
          <w:tab w:leader="none" w:pos="196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Liens in favor of issuers of performance, surety bonds or bid, indemnity, warranty, release, appeal or similar bonds or with respect to other regulatory requirements or letters of credit issued pursuant to the request of and for the account of such Person in the ordinary course of its business;</w:t>
      </w:r>
    </w:p>
    <w:p>
      <w:pPr>
        <w:spacing w:after="0" w:line="181" w:lineRule="exact"/>
        <w:rPr>
          <w:rFonts w:ascii="Arial" w:cs="Arial" w:eastAsia="Arial" w:hAnsi="Arial"/>
          <w:sz w:val="18"/>
          <w:szCs w:val="18"/>
          <w:color w:val="auto"/>
        </w:rPr>
      </w:pPr>
    </w:p>
    <w:p>
      <w:pPr>
        <w:ind w:left="660" w:right="200" w:firstLine="645"/>
        <w:spacing w:after="0" w:line="297" w:lineRule="auto"/>
        <w:tabs>
          <w:tab w:leader="none" w:pos="196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minor survey exceptions, minor encumbrances, easements or reservations of, or rights of others for, licenses, rights-of-way, sewers, electric lines, telegraph and telephone lines and other similar purposes, or zoning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58" w:lineRule="exact"/>
        <w:rPr>
          <w:rFonts w:ascii="Arial" w:cs="Arial" w:eastAsia="Arial" w:hAnsi="Arial"/>
          <w:sz w:val="16"/>
          <w:szCs w:val="16"/>
          <w:color w:val="auto"/>
        </w:rPr>
      </w:pPr>
    </w:p>
    <w:p>
      <w:pPr>
        <w:ind w:left="660" w:right="280" w:firstLine="645"/>
        <w:spacing w:after="0" w:line="308" w:lineRule="auto"/>
        <w:tabs>
          <w:tab w:leader="none" w:pos="196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to be incurred pursuant to clause (4), (11) or (16) of Section 7.02(b);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Liens securing Indebtedness permitted to be incurred pursuant to clause (16) extend only to the assets of Foreign Subsidiaries;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Liens existing on the Closing Date listed on Schedule 7.01(b);</w:t>
      </w:r>
    </w:p>
    <w:p>
      <w:pPr>
        <w:spacing w:after="0" w:line="225" w:lineRule="exact"/>
        <w:rPr>
          <w:rFonts w:ascii="Arial" w:cs="Arial" w:eastAsia="Arial" w:hAnsi="Arial"/>
          <w:sz w:val="18"/>
          <w:szCs w:val="18"/>
          <w:color w:val="auto"/>
        </w:rPr>
      </w:pPr>
    </w:p>
    <w:p>
      <w:pPr>
        <w:ind w:left="660" w:right="120" w:firstLine="645"/>
        <w:spacing w:after="0" w:line="286" w:lineRule="auto"/>
        <w:tabs>
          <w:tab w:leader="none" w:pos="196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Liens on property or shares of stock of a Person at the time such Person becomes a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such Liens are not created or incurred in connection with, or in contemplation of, such other Person becoming such a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Liens may not extend to any other property owned by the Borrower or any of its Restricted Subsidiaries;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81" w:name="page82"/>
    <w:bookmarkEnd w:id="81"/>
    <w:p>
      <w:pPr>
        <w:ind w:left="4" w:right="60" w:firstLine="645"/>
        <w:spacing w:after="0" w:line="259" w:lineRule="auto"/>
        <w:tabs>
          <w:tab w:leader="none" w:pos="130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Liens on property at the time the Borrower or a Restricted Subsidiary acquired the property, including any acquisition by means of a merger or consolidation with or into the Borrower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Liens are not created or incurred in connection with, or in contemplation of, such acquisition, merger or consolidation;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Liens may not extend to any other property owned by the Borrower or any of its Restricted Subsidiaries;</w:t>
      </w:r>
    </w:p>
    <w:p>
      <w:pPr>
        <w:spacing w:after="0" w:line="186" w:lineRule="exact"/>
        <w:rPr>
          <w:rFonts w:ascii="Arial" w:cs="Arial" w:eastAsia="Arial" w:hAnsi="Arial"/>
          <w:sz w:val="18"/>
          <w:szCs w:val="18"/>
          <w:color w:val="auto"/>
        </w:rPr>
      </w:pPr>
    </w:p>
    <w:p>
      <w:pPr>
        <w:ind w:left="4" w:right="20" w:firstLine="645"/>
        <w:spacing w:after="0" w:line="277" w:lineRule="auto"/>
        <w:tabs>
          <w:tab w:leader="none" w:pos="13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Restricted Subsidiary owing to the Borrower or another Restricted Subsidiary permitted to be incurred under Section 7.02;</w:t>
      </w:r>
    </w:p>
    <w:p>
      <w:pPr>
        <w:spacing w:after="0" w:line="170" w:lineRule="exact"/>
        <w:rPr>
          <w:rFonts w:ascii="Arial" w:cs="Arial" w:eastAsia="Arial" w:hAnsi="Arial"/>
          <w:sz w:val="18"/>
          <w:szCs w:val="18"/>
          <w:color w:val="auto"/>
        </w:rPr>
      </w:pPr>
    </w:p>
    <w:p>
      <w:pPr>
        <w:ind w:left="4" w:right="180" w:firstLine="645"/>
        <w:spacing w:after="0" w:line="308" w:lineRule="auto"/>
        <w:tabs>
          <w:tab w:leader="none" w:pos="1296" w:val="left"/>
        </w:tabs>
        <w:numPr>
          <w:ilvl w:val="0"/>
          <w:numId w:val="251"/>
        </w:numPr>
        <w:rPr>
          <w:rFonts w:ascii="Arial" w:cs="Arial" w:eastAsia="Arial" w:hAnsi="Arial"/>
          <w:sz w:val="17"/>
          <w:szCs w:val="17"/>
          <w:color w:val="auto"/>
        </w:rPr>
      </w:pPr>
      <w:r>
        <w:rPr>
          <w:rFonts w:ascii="Arial" w:cs="Arial" w:eastAsia="Arial" w:hAnsi="Arial"/>
          <w:sz w:val="17"/>
          <w:szCs w:val="17"/>
          <w:color w:val="auto"/>
        </w:rPr>
        <w:t>Liens securing Hedging Obligations so long as, in the case of Hedging Obligations related to interest, the related Indebtedness is, and is permitted to be under this Agreement, secured by a Lien on the same property securing such Hedging Obligations;</w:t>
      </w:r>
    </w:p>
    <w:p>
      <w:pPr>
        <w:spacing w:after="0" w:line="146" w:lineRule="exact"/>
        <w:rPr>
          <w:rFonts w:ascii="Arial" w:cs="Arial" w:eastAsia="Arial" w:hAnsi="Arial"/>
          <w:sz w:val="17"/>
          <w:szCs w:val="17"/>
          <w:color w:val="auto"/>
        </w:rPr>
      </w:pPr>
    </w:p>
    <w:p>
      <w:pPr>
        <w:ind w:left="4" w:right="140" w:firstLine="645"/>
        <w:spacing w:after="0" w:line="264" w:lineRule="auto"/>
        <w:tabs>
          <w:tab w:leader="none" w:pos="13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Liens on specific items of inventory of other goods and proceeds of any Person securing such Person’s obligations in respect of bankers’ acceptances or trade letters of credit issued or created for the account of such Person to facilitate the purchase, shipment or storage of such inventory or other goods;</w:t>
      </w:r>
    </w:p>
    <w:p>
      <w:pPr>
        <w:spacing w:after="0" w:line="181" w:lineRule="exact"/>
        <w:rPr>
          <w:rFonts w:ascii="Arial" w:cs="Arial" w:eastAsia="Arial" w:hAnsi="Arial"/>
          <w:sz w:val="18"/>
          <w:szCs w:val="18"/>
          <w:color w:val="auto"/>
        </w:rPr>
      </w:pPr>
    </w:p>
    <w:p>
      <w:pPr>
        <w:jc w:val="both"/>
        <w:ind w:left="4" w:right="260" w:firstLine="645"/>
        <w:spacing w:after="0" w:line="264" w:lineRule="auto"/>
        <w:tabs>
          <w:tab w:leader="none" w:pos="13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leases, subleases, licenses or sublicenses (including of intellectual property) granted to others in the ordinary course of business which do not materially interfere with the ordinary conduct of the business of the Borrower or any of its Restricted Subsidiaries and do not secure any Indebtedness;</w:t>
      </w:r>
    </w:p>
    <w:p>
      <w:pPr>
        <w:spacing w:after="0" w:line="181" w:lineRule="exact"/>
        <w:rPr>
          <w:rFonts w:ascii="Arial" w:cs="Arial" w:eastAsia="Arial" w:hAnsi="Arial"/>
          <w:sz w:val="18"/>
          <w:szCs w:val="18"/>
          <w:color w:val="auto"/>
        </w:rPr>
      </w:pPr>
    </w:p>
    <w:p>
      <w:pPr>
        <w:ind w:left="4" w:right="20" w:firstLine="645"/>
        <w:spacing w:after="0" w:line="277" w:lineRule="auto"/>
        <w:tabs>
          <w:tab w:leader="none" w:pos="13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Liens arising from Uniform Commercial Code (or equivalent statute) financing statement filings regarding operating leases entered into by the Borrower and its Restricted Subsidiaries in the ordinary course of business;</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Liens in favor of the Borrower or any Guarantor;</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Liens on equipment of the Borrower or any of its Restricted Subsidiaries granted in the ordinary course of business;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Liens on accounts receivable and related assets incurred in connection with a Receivables Facility;</w:t>
      </w:r>
    </w:p>
    <w:p>
      <w:pPr>
        <w:spacing w:after="0" w:line="225" w:lineRule="exact"/>
        <w:rPr>
          <w:rFonts w:ascii="Arial" w:cs="Arial" w:eastAsia="Arial" w:hAnsi="Arial"/>
          <w:sz w:val="18"/>
          <w:szCs w:val="18"/>
          <w:color w:val="auto"/>
        </w:rPr>
      </w:pPr>
    </w:p>
    <w:p>
      <w:pPr>
        <w:ind w:left="4" w:right="80" w:firstLine="645"/>
        <w:spacing w:after="0" w:line="297" w:lineRule="auto"/>
        <w:tabs>
          <w:tab w:leader="none" w:pos="1303"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Liens to secure any refinancing, refunding, extension, renewal or replacement (or successive refinancing, refunding, extensions, renewals or replacements) as a whole, or in part, of any Indebtedness secured by any Lien referred to in the foregoing clauses (6), (7), (8), (9) and (18);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new Lien shall be limited to all or part of the same property that secured the original Lien (plus improvements on such property), and (b) the Indebtedness secured by such Lien at such time is not increased to any amount greater than the sum of (i) the outstanding principal amount or, if greater, committed amount of the Indebtedness described under clauses (6), (7), (8),</w:t>
      </w:r>
    </w:p>
    <w:p>
      <w:pPr>
        <w:spacing w:after="0" w:line="15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80" w:hanging="4"/>
        <w:spacing w:after="0" w:line="308" w:lineRule="auto"/>
        <w:tabs>
          <w:tab w:leader="none" w:pos="259"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and (18) at the time the original Lien became a Permitted Lien under this Agreement, and (ii) an amount necessary to pay any fees and expenses, including premiums, and accrued and unpaid interest related to such refinancing, refunding, extension, renewal or replacement;</w:t>
      </w:r>
    </w:p>
    <w:p>
      <w:pPr>
        <w:spacing w:after="0" w:line="146" w:lineRule="exact"/>
        <w:rPr>
          <w:rFonts w:ascii="Arial" w:cs="Arial" w:eastAsia="Arial" w:hAnsi="Arial"/>
          <w:sz w:val="17"/>
          <w:szCs w:val="17"/>
          <w:color w:val="auto"/>
        </w:rPr>
      </w:pPr>
    </w:p>
    <w:p>
      <w:pPr>
        <w:ind w:left="1304" w:hanging="655"/>
        <w:spacing w:after="0"/>
        <w:tabs>
          <w:tab w:leader="none" w:pos="130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deposits made in the ordinary course of business to secure liability to insurance carriers;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other Liens securing obligations which do not exceed $100,000,000 at any one time outstanding;</w:t>
      </w:r>
    </w:p>
    <w:p>
      <w:pPr>
        <w:spacing w:after="0" w:line="225" w:lineRule="exact"/>
        <w:rPr>
          <w:rFonts w:ascii="Arial" w:cs="Arial" w:eastAsia="Arial" w:hAnsi="Arial"/>
          <w:sz w:val="18"/>
          <w:szCs w:val="18"/>
          <w:color w:val="auto"/>
        </w:rPr>
      </w:pPr>
    </w:p>
    <w:p>
      <w:pPr>
        <w:ind w:left="4" w:right="80" w:firstLine="645"/>
        <w:spacing w:after="0" w:line="264" w:lineRule="auto"/>
        <w:tabs>
          <w:tab w:leader="none" w:pos="130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Liens securing judgments for the payment of money not constituting an Event of Default under Section 8.01(h) so long as such Liens are adequately bonded and any appropriate legal proceedings that may have been duly initiated for the review of such judgment have not been finally terminated or the period within which such proceedings may be initiated has not expired;</w:t>
      </w:r>
    </w:p>
    <w:p>
      <w:pPr>
        <w:spacing w:after="0" w:line="181" w:lineRule="exact"/>
        <w:rPr>
          <w:rFonts w:ascii="Arial" w:cs="Arial" w:eastAsia="Arial" w:hAnsi="Arial"/>
          <w:sz w:val="18"/>
          <w:szCs w:val="18"/>
          <w:color w:val="auto"/>
        </w:rPr>
      </w:pPr>
    </w:p>
    <w:p>
      <w:pPr>
        <w:ind w:left="4" w:right="360" w:firstLine="645"/>
        <w:spacing w:after="0" w:line="277" w:lineRule="auto"/>
        <w:tabs>
          <w:tab w:leader="none" w:pos="130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4" w:right="40" w:firstLine="645"/>
        <w:spacing w:after="0" w:line="259" w:lineRule="auto"/>
        <w:tabs>
          <w:tab w:leader="none" w:pos="130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Uniform Commercial Code or any comparable or successor provision on items in the course of collection, (ii) attaching to commodity trading accounts or other commodity brokerage accounts incurred in the ordinary course of business, and (iii) in favor of banking or other financial institutions arising as a matter of law encumbering deposits (including the right of set-off) and which are within the general parameters customary in the banking industry;</w:t>
      </w:r>
    </w:p>
    <w:p>
      <w:pPr>
        <w:spacing w:after="0" w:line="186" w:lineRule="exact"/>
        <w:rPr>
          <w:rFonts w:ascii="Arial" w:cs="Arial" w:eastAsia="Arial" w:hAnsi="Arial"/>
          <w:sz w:val="18"/>
          <w:szCs w:val="18"/>
          <w:color w:val="auto"/>
        </w:rPr>
      </w:pPr>
    </w:p>
    <w:p>
      <w:pPr>
        <w:ind w:left="4" w:right="160" w:firstLine="645"/>
        <w:spacing w:after="0" w:line="277" w:lineRule="auto"/>
        <w:tabs>
          <w:tab w:leader="none" w:pos="130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Section 7.02;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any assets other than those that are the subject of such repurchase agreement;</w:t>
      </w:r>
    </w:p>
    <w:p>
      <w:pPr>
        <w:spacing w:after="0" w:line="170" w:lineRule="exact"/>
        <w:rPr>
          <w:rFonts w:ascii="Arial" w:cs="Arial" w:eastAsia="Arial" w:hAnsi="Arial"/>
          <w:sz w:val="18"/>
          <w:szCs w:val="18"/>
          <w:color w:val="auto"/>
        </w:rPr>
      </w:pPr>
    </w:p>
    <w:p>
      <w:pPr>
        <w:ind w:left="4" w:right="280" w:firstLine="645"/>
        <w:spacing w:after="0" w:line="308" w:lineRule="auto"/>
        <w:tabs>
          <w:tab w:leader="none" w:pos="1303" w:val="left"/>
        </w:tabs>
        <w:numPr>
          <w:ilvl w:val="1"/>
          <w:numId w:val="252"/>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46" w:lineRule="exact"/>
        <w:rPr>
          <w:rFonts w:ascii="Arial" w:cs="Arial" w:eastAsia="Arial" w:hAnsi="Arial"/>
          <w:sz w:val="17"/>
          <w:szCs w:val="17"/>
          <w:color w:val="auto"/>
        </w:rPr>
      </w:pPr>
    </w:p>
    <w:p>
      <w:pPr>
        <w:ind w:left="4" w:firstLine="645"/>
        <w:spacing w:after="0" w:line="257" w:lineRule="auto"/>
        <w:tabs>
          <w:tab w:leader="none" w:pos="130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Liens that are contractual rights of set-off (i) relating to the establishment of depository relations with banks not given in connection with the issuance of Indebtedness, (ii) relating to pooled deposit or sweep accounts of the Borrower or any of its Restricted Subsidiaries to permit satisfaction of overdraft or similar obligations incurred in the ordinary course of business of the Borrower and its Restricted Subsidiaries or (iii) relating to purchase orders and other agreements entered into with customers of the Borrower or any of its Restricted Subsidiaries in the ordinary course of business;</w:t>
      </w:r>
    </w:p>
    <w:p>
      <w:pPr>
        <w:spacing w:after="0" w:line="188" w:lineRule="exact"/>
        <w:rPr>
          <w:rFonts w:ascii="Arial" w:cs="Arial" w:eastAsia="Arial" w:hAnsi="Arial"/>
          <w:sz w:val="18"/>
          <w:szCs w:val="18"/>
          <w:color w:val="auto"/>
        </w:rPr>
      </w:pPr>
    </w:p>
    <w:p>
      <w:pPr>
        <w:ind w:left="1304" w:hanging="655"/>
        <w:spacing w:after="0"/>
        <w:tabs>
          <w:tab w:leader="none" w:pos="130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316" w:gutter="0" w:footer="0" w:header="0"/>
        </w:sectPr>
      </w:pPr>
    </w:p>
    <w:bookmarkStart w:id="82" w:name="page83"/>
    <w:bookmarkEnd w:id="82"/>
    <w:p>
      <w:pPr>
        <w:spacing w:after="0" w:line="137" w:lineRule="exact"/>
        <w:rPr>
          <w:sz w:val="20"/>
          <w:szCs w:val="20"/>
          <w:color w:val="auto"/>
        </w:rPr>
      </w:pPr>
    </w:p>
    <w:p>
      <w:pPr>
        <w:ind w:left="4" w:right="80" w:firstLine="645"/>
        <w:spacing w:after="0" w:line="264" w:lineRule="auto"/>
        <w:tabs>
          <w:tab w:leader="none" w:pos="130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on Collateral securing Indebtedness incurred pursuant to Section 7.02(b)(20) and 7.02(b)(21), in each case so long as such Indebtedness is subject to the Intercreditor Agreement (or Second Lien Intercreditor Agreement in the case of Permitted Junior Secured Refinancing Debt);</w:t>
      </w:r>
    </w:p>
    <w:p>
      <w:pPr>
        <w:spacing w:after="0" w:line="181" w:lineRule="exact"/>
        <w:rPr>
          <w:rFonts w:ascii="Arial" w:cs="Arial" w:eastAsia="Arial" w:hAnsi="Arial"/>
          <w:sz w:val="18"/>
          <w:szCs w:val="18"/>
          <w:color w:val="auto"/>
        </w:rPr>
      </w:pPr>
    </w:p>
    <w:p>
      <w:pPr>
        <w:ind w:left="1304" w:hanging="655"/>
        <w:spacing w:after="0"/>
        <w:tabs>
          <w:tab w:leader="none" w:pos="130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Liens on the Equity Interests of Unrestricted Subsidiaries that secure Indebtedness of such Unrestricted Subsidiaries;</w:t>
      </w:r>
    </w:p>
    <w:p>
      <w:pPr>
        <w:spacing w:after="0" w:line="225" w:lineRule="exact"/>
        <w:rPr>
          <w:rFonts w:ascii="Arial" w:cs="Arial" w:eastAsia="Arial" w:hAnsi="Arial"/>
          <w:sz w:val="18"/>
          <w:szCs w:val="18"/>
          <w:color w:val="auto"/>
        </w:rPr>
      </w:pPr>
    </w:p>
    <w:p>
      <w:pPr>
        <w:ind w:left="4" w:right="240" w:firstLine="645"/>
        <w:spacing w:after="0" w:line="277" w:lineRule="auto"/>
        <w:tabs>
          <w:tab w:leader="none" w:pos="130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or similar arrangement pursuant to any joint venture or similar agreement; and</w:t>
      </w:r>
    </w:p>
    <w:p>
      <w:pPr>
        <w:spacing w:after="0" w:line="170" w:lineRule="exact"/>
        <w:rPr>
          <w:rFonts w:ascii="Arial" w:cs="Arial" w:eastAsia="Arial" w:hAnsi="Arial"/>
          <w:sz w:val="18"/>
          <w:szCs w:val="18"/>
          <w:color w:val="auto"/>
        </w:rPr>
      </w:pPr>
    </w:p>
    <w:p>
      <w:pPr>
        <w:ind w:left="4" w:right="160" w:firstLine="645"/>
        <w:spacing w:after="0" w:line="277" w:lineRule="auto"/>
        <w:tabs>
          <w:tab w:leader="none" w:pos="130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Liens on property or assets used to defease or to irrevocably satisfy and discharge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defeasance or satisfaction and discharge is not prohibited by this Agreement; and</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Liens on Equity Interests constituting Margin Stock or Amber Holding Equity Interests.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purposes of this Section 7.01, the term “Indebtedness” shall be deemed to include interest on and the costs in respect of such Indebtedness.</w:t>
      </w:r>
    </w:p>
    <w:p>
      <w:pPr>
        <w:spacing w:after="0" w:line="248" w:lineRule="exact"/>
        <w:rPr>
          <w:sz w:val="20"/>
          <w:szCs w:val="20"/>
          <w:color w:val="auto"/>
        </w:rPr>
      </w:pPr>
    </w:p>
    <w:p>
      <w:pPr>
        <w:ind w:left="644"/>
        <w:spacing w:after="0"/>
        <w:tabs>
          <w:tab w:leader="none" w:pos="1923"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Incurrence of Indebtedness and Issuance of Disqualified Stock and Preferred Stock.</w:t>
      </w:r>
    </w:p>
    <w:p>
      <w:pPr>
        <w:spacing w:after="0" w:line="225" w:lineRule="exact"/>
        <w:rPr>
          <w:sz w:val="20"/>
          <w:szCs w:val="20"/>
          <w:color w:val="auto"/>
        </w:rPr>
      </w:pPr>
    </w:p>
    <w:p>
      <w:pPr>
        <w:ind w:left="4" w:right="40" w:firstLine="645"/>
        <w:spacing w:after="0" w:line="287" w:lineRule="auto"/>
        <w:tabs>
          <w:tab w:leader="none" w:pos="129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Borrower will not, and will not permit any of its Restricted Subsidiaries to, directly or indirectly, create, incur, issue, assume, guarantee or otherwise become directly or indirectly liable, contingently, or otherwise (collectively, “</w:t>
      </w:r>
      <w:r>
        <w:rPr>
          <w:rFonts w:ascii="Arial" w:cs="Arial" w:eastAsia="Arial" w:hAnsi="Arial"/>
          <w:sz w:val="16"/>
          <w:szCs w:val="16"/>
          <w:i w:val="1"/>
          <w:iCs w:val="1"/>
          <w:color w:val="auto"/>
        </w:rPr>
        <w:t>incur</w:t>
      </w:r>
      <w:r>
        <w:rPr>
          <w:rFonts w:ascii="Arial" w:cs="Arial" w:eastAsia="Arial" w:hAnsi="Arial"/>
          <w:sz w:val="16"/>
          <w:szCs w:val="16"/>
          <w:color w:val="auto"/>
        </w:rPr>
        <w:t>” and collectively, an “</w:t>
      </w:r>
      <w:r>
        <w:rPr>
          <w:rFonts w:ascii="Arial" w:cs="Arial" w:eastAsia="Arial" w:hAnsi="Arial"/>
          <w:sz w:val="16"/>
          <w:szCs w:val="16"/>
          <w:i w:val="1"/>
          <w:iCs w:val="1"/>
          <w:color w:val="auto"/>
        </w:rPr>
        <w:t>incurrence</w:t>
      </w:r>
      <w:r>
        <w:rPr>
          <w:rFonts w:ascii="Arial" w:cs="Arial" w:eastAsia="Arial" w:hAnsi="Arial"/>
          <w:sz w:val="16"/>
          <w:szCs w:val="16"/>
          <w:color w:val="auto"/>
        </w:rPr>
        <w:t xml:space="preserve">”) with respect to any Indebtedness (including Acquired Indebtedness) and the Borrower will not issue any shares of Disqualified Stock and will not permit any Restricted Subsidiary to issue any shares of Disqualified Stock or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Borrower may incur Indebtedness (including Acquired Indebtedness) or issue shares of Disqualified Stock, and any of its Restricted Subsidiaries may incur Indebtedness (including Acquired Indebtedness), issue shares of Disqualified Stock and issue shares of Preferred Stock, if the Fixed Charge Coverage Ratio on a consolidated basis for the Borrower and its Restricted Subsidiaries’ most recently ended four fiscal quarters for which internal financial statements are available immediately preceding the date on which such additional Indebtedness is incurred or such Disqualified Stock or Preferred Stock is issued would have been at least 2.25 to 1.00,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(including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application of the net proceeds therefrom), as if the additional Indebtedness had been incurred, or the Disqualified Stock or Preferred Stock had been issued, as the case may be, and the application of proceeds therefrom had occurred at the beginning of the most recently ended four fiscal quarters for which internal financial statements are available;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amount of Indebtedness (including Acquired Indebtedness), Disqualified Stock and Preferred Stock that may be</w:t>
      </w:r>
    </w:p>
    <w:p>
      <w:pPr>
        <w:spacing w:after="0" w:line="16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7"/>
          <w:szCs w:val="17"/>
          <w:color w:val="auto"/>
        </w:rPr>
        <w:t>incurred or issued, as applicable, pursuant to the foregoing by non-Loan Parties shall not exceed $250,000,000 at any one time outstanding.</w:t>
      </w:r>
    </w:p>
    <w:p>
      <w:pPr>
        <w:spacing w:after="0" w:line="237" w:lineRule="exact"/>
        <w:rPr>
          <w:sz w:val="20"/>
          <w:szCs w:val="20"/>
          <w:color w:val="auto"/>
        </w:rPr>
      </w:pPr>
    </w:p>
    <w:p>
      <w:pPr>
        <w:ind w:left="1304" w:hanging="655"/>
        <w:spacing w:after="0"/>
        <w:tabs>
          <w:tab w:leader="none" w:pos="130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provisions of Section 7.02(a) hereof shall not apply to:</w:t>
      </w:r>
    </w:p>
    <w:p>
      <w:pPr>
        <w:spacing w:after="0" w:line="225" w:lineRule="exact"/>
        <w:rPr>
          <w:sz w:val="20"/>
          <w:szCs w:val="20"/>
          <w:color w:val="auto"/>
        </w:rPr>
      </w:pPr>
    </w:p>
    <w:p>
      <w:pPr>
        <w:ind w:left="1304" w:hanging="655"/>
        <w:spacing w:after="0"/>
        <w:tabs>
          <w:tab w:leader="none" w:pos="1304"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Indebtedness of any Loan Party under the Loan Documents;</w:t>
      </w:r>
    </w:p>
    <w:p>
      <w:pPr>
        <w:spacing w:after="0" w:line="225" w:lineRule="exact"/>
        <w:rPr>
          <w:rFonts w:ascii="Arial" w:cs="Arial" w:eastAsia="Arial" w:hAnsi="Arial"/>
          <w:sz w:val="18"/>
          <w:szCs w:val="18"/>
          <w:color w:val="auto"/>
        </w:rPr>
      </w:pPr>
    </w:p>
    <w:p>
      <w:pPr>
        <w:ind w:left="4" w:right="460" w:firstLine="645"/>
        <w:spacing w:after="0" w:line="277" w:lineRule="auto"/>
        <w:tabs>
          <w:tab w:leader="none" w:pos="130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incurrence by the Borrower and any Guarantor of Indebtedness represented by the Senior Notes (including any guarantee thereof) issued and outstanding on the Closing Date;</w:t>
      </w:r>
    </w:p>
    <w:p>
      <w:pPr>
        <w:spacing w:after="0" w:line="170" w:lineRule="exact"/>
        <w:rPr>
          <w:rFonts w:ascii="Arial" w:cs="Arial" w:eastAsia="Arial" w:hAnsi="Arial"/>
          <w:sz w:val="18"/>
          <w:szCs w:val="18"/>
          <w:color w:val="auto"/>
        </w:rPr>
      </w:pPr>
    </w:p>
    <w:p>
      <w:pPr>
        <w:ind w:left="4" w:right="180" w:firstLine="645"/>
        <w:spacing w:after="0" w:line="277" w:lineRule="auto"/>
        <w:tabs>
          <w:tab w:leader="none" w:pos="130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Indebtedness of the Borrower and its Restricted Subsidiaries in existence on the Closing Date (other than Indebtedness described in clauses (1) and (2)) listed on Schedule 7.02(b);</w:t>
      </w:r>
    </w:p>
    <w:p>
      <w:pPr>
        <w:spacing w:after="0" w:line="170" w:lineRule="exact"/>
        <w:rPr>
          <w:rFonts w:ascii="Arial" w:cs="Arial" w:eastAsia="Arial" w:hAnsi="Arial"/>
          <w:sz w:val="18"/>
          <w:szCs w:val="18"/>
          <w:color w:val="auto"/>
        </w:rPr>
      </w:pPr>
    </w:p>
    <w:p>
      <w:pPr>
        <w:ind w:left="4" w:right="140" w:firstLine="645"/>
        <w:spacing w:after="0" w:line="285" w:lineRule="auto"/>
        <w:tabs>
          <w:tab w:leader="none" w:pos="1308" w:val="left"/>
        </w:tabs>
        <w:numPr>
          <w:ilvl w:val="1"/>
          <w:numId w:val="256"/>
        </w:numPr>
        <w:rPr>
          <w:rFonts w:ascii="Arial" w:cs="Arial" w:eastAsia="Arial" w:hAnsi="Arial"/>
          <w:sz w:val="16"/>
          <w:szCs w:val="16"/>
          <w:color w:val="auto"/>
        </w:rPr>
      </w:pPr>
      <w:r>
        <w:rPr>
          <w:rFonts w:ascii="Arial" w:cs="Arial" w:eastAsia="Arial" w:hAnsi="Arial"/>
          <w:sz w:val="16"/>
          <w:szCs w:val="16"/>
          <w:color w:val="auto"/>
        </w:rPr>
        <w:t>Indebtedness (including Capitalized Lease Obligations), Disqualified Stock and Preferred Stock incurred by the Borrower or any of its Restricted Subsidiaries, to finance the purchase, lease, construction or improvement of property (real or personal) or equipment that is used or useful in a Similar Business, whether through the direct purchase of assets or the Capital Stock of any Person owning such assets, in an aggregate principal amount or liquidation preference which, when aggregated with the principal amount of all other Indebtedness, Disqualified Stock and Preferred Stock then outstanding and together with any other Indebtedness incurred under this clause (4) not to exceed the greater of</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$125,000,000 and (y) 1.0% of the Total Assets at the time of incurrence;</w:t>
      </w:r>
    </w:p>
    <w:p>
      <w:pPr>
        <w:spacing w:after="0" w:line="210" w:lineRule="exact"/>
        <w:rPr>
          <w:rFonts w:ascii="Arial" w:cs="Arial" w:eastAsia="Arial" w:hAnsi="Arial"/>
          <w:sz w:val="18"/>
          <w:szCs w:val="18"/>
          <w:color w:val="auto"/>
        </w:rPr>
      </w:pPr>
    </w:p>
    <w:p>
      <w:pPr>
        <w:ind w:left="4" w:right="80" w:firstLine="645"/>
        <w:spacing w:after="0" w:line="255" w:lineRule="auto"/>
        <w:tabs>
          <w:tab w:leader="none" w:pos="130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Indebtedness incurred by the Borrower or any of its Restricted Subsidiaries constituting reimbursement obligations with respect to letters of credit, bankers’ acceptances, bank guarantees, warehouse receipts or similar facilities issued or entered into in the ordinary course of business, including letters of credit in respect of workers’ compensation claims, performance or surety bonds, health, disability or other employee benefits or property, casualty or liability insurance or self-insurance or other Indebtedness with respect to reimbursement type obligations regarding workers’ compensation claims, performance or surety bonds, health, disability or other employee benefits or property, casualty or liability insurance or self-insurance;</w:t>
      </w:r>
    </w:p>
    <w:p>
      <w:pPr>
        <w:spacing w:after="0" w:line="193" w:lineRule="exact"/>
        <w:rPr>
          <w:rFonts w:ascii="Arial" w:cs="Arial" w:eastAsia="Arial" w:hAnsi="Arial"/>
          <w:sz w:val="18"/>
          <w:szCs w:val="18"/>
          <w:color w:val="auto"/>
        </w:rPr>
      </w:pPr>
    </w:p>
    <w:p>
      <w:pPr>
        <w:ind w:left="4" w:right="120" w:firstLine="645"/>
        <w:spacing w:after="0" w:line="273" w:lineRule="auto"/>
        <w:tabs>
          <w:tab w:leader="none" w:pos="1308" w:val="left"/>
        </w:tabs>
        <w:numPr>
          <w:ilvl w:val="1"/>
          <w:numId w:val="257"/>
        </w:numPr>
        <w:rPr>
          <w:rFonts w:ascii="Arial" w:cs="Arial" w:eastAsia="Arial" w:hAnsi="Arial"/>
          <w:sz w:val="17"/>
          <w:szCs w:val="17"/>
          <w:color w:val="auto"/>
        </w:rPr>
      </w:pPr>
      <w:r>
        <w:rPr>
          <w:rFonts w:ascii="Arial" w:cs="Arial" w:eastAsia="Arial" w:hAnsi="Arial"/>
          <w:sz w:val="17"/>
          <w:szCs w:val="17"/>
          <w:color w:val="auto"/>
        </w:rPr>
        <w:t xml:space="preserve">Indebtedness arising from agreements of the Borrower or its Restricted Subsidiaries providing for indemnification, adjustment of purchase price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maximum assumable liability in respect of all such Indebtedness shall at no time exceed the gross proceeds including non-cash proceeds (the fair market value (as determined in good faith by the Borrower) of such non-cash proceeds being measured at the time received and without giving effect to</w:t>
      </w:r>
    </w:p>
    <w:p>
      <w:pPr>
        <w:spacing w:after="0" w:line="17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subsequent changes in value) actually received by the Borrower and its Restricted Subsidiaries in connection with such disposition;</w:t>
      </w:r>
    </w:p>
    <w:p>
      <w:pPr>
        <w:spacing w:after="0" w:line="237" w:lineRule="exact"/>
        <w:rPr>
          <w:sz w:val="20"/>
          <w:szCs w:val="20"/>
          <w:color w:val="auto"/>
        </w:rPr>
      </w:pPr>
    </w:p>
    <w:p>
      <w:pPr>
        <w:ind w:left="4" w:firstLine="645"/>
        <w:spacing w:after="0" w:line="342" w:lineRule="auto"/>
        <w:tabs>
          <w:tab w:leader="none" w:pos="130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Indebtedness of the Borrower to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Indebtedness owing to a Restricted Subsidiary that is not a Guarantor is expressly subordinated in right of payment to the Obligations;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subsequent issuance or transfer of any</w:t>
      </w:r>
    </w:p>
    <w:p>
      <w:pPr>
        <w:sectPr>
          <w:pgSz w:w="11900" w:h="16975" w:orient="portrait"/>
          <w:cols w:equalWidth="0" w:num="1">
            <w:col w:w="10764"/>
          </w:cols>
          <w:pgMar w:left="896" w:top="125" w:right="239" w:bottom="0" w:gutter="0" w:footer="0" w:header="0"/>
        </w:sectPr>
      </w:pPr>
    </w:p>
    <w:bookmarkStart w:id="83" w:name="page84"/>
    <w:bookmarkEnd w:id="83"/>
    <w:p>
      <w:pPr>
        <w:ind w:right="120"/>
        <w:spacing w:after="0" w:line="286" w:lineRule="auto"/>
        <w:rPr>
          <w:sz w:val="20"/>
          <w:szCs w:val="20"/>
          <w:color w:val="auto"/>
        </w:rPr>
      </w:pPr>
      <w:r>
        <w:rPr>
          <w:rFonts w:ascii="Arial" w:cs="Arial" w:eastAsia="Arial" w:hAnsi="Arial"/>
          <w:sz w:val="17"/>
          <w:szCs w:val="17"/>
          <w:color w:val="auto"/>
        </w:rPr>
        <w:t>Capital Stock or any other event which results in any Restricted Subsidiary ceasing to be a Restricted Subsidiary or any other subsequent transfer of any such Indebtedness (except to the Borrower or another Restricted Subsidiary or any pledge of such Indebtedness constituting a Permitted Lien) shall be deemed, in each case, to be an incurrence of such Indebtedness not permitted by this clause (7);</w:t>
      </w:r>
    </w:p>
    <w:p>
      <w:pPr>
        <w:spacing w:after="0" w:line="166" w:lineRule="exact"/>
        <w:rPr>
          <w:sz w:val="20"/>
          <w:szCs w:val="20"/>
          <w:color w:val="auto"/>
        </w:rPr>
      </w:pPr>
    </w:p>
    <w:p>
      <w:pPr>
        <w:jc w:val="both"/>
        <w:ind w:right="200" w:firstLine="645"/>
        <w:spacing w:after="0" w:line="279" w:lineRule="auto"/>
        <w:tabs>
          <w:tab w:leader="none" w:pos="1304"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shares of Preferred Stock of a Restricted Subsidiary issued to the Borrower or another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the Borrower or another of its Restricted Subsidiaries) shall be deemed in each case to be an issuance of such shares of Preferred Stock not permitted by this clause (8);</w:t>
      </w:r>
    </w:p>
    <w:p>
      <w:pPr>
        <w:spacing w:after="0" w:line="171" w:lineRule="exact"/>
        <w:rPr>
          <w:rFonts w:ascii="Arial" w:cs="Arial" w:eastAsia="Arial" w:hAnsi="Arial"/>
          <w:sz w:val="17"/>
          <w:szCs w:val="17"/>
          <w:color w:val="auto"/>
        </w:rPr>
      </w:pPr>
    </w:p>
    <w:p>
      <w:pPr>
        <w:ind w:firstLine="645"/>
        <w:spacing w:after="0" w:line="308" w:lineRule="auto"/>
        <w:tabs>
          <w:tab w:leader="none" w:pos="1304" w:val="left"/>
        </w:tabs>
        <w:numPr>
          <w:ilvl w:val="0"/>
          <w:numId w:val="259"/>
        </w:numPr>
        <w:rPr>
          <w:rFonts w:ascii="Arial" w:cs="Arial" w:eastAsia="Arial" w:hAnsi="Arial"/>
          <w:sz w:val="17"/>
          <w:szCs w:val="17"/>
          <w:color w:val="auto"/>
        </w:rPr>
      </w:pPr>
      <w:r>
        <w:rPr>
          <w:rFonts w:ascii="Arial" w:cs="Arial" w:eastAsia="Arial" w:hAnsi="Arial"/>
          <w:sz w:val="17"/>
          <w:szCs w:val="17"/>
          <w:color w:val="auto"/>
        </w:rPr>
        <w:t>Hedging Obligations (excluding Hedging Obligations entered into for speculative purposes) for the purpose of limiting interest rate risk with respect to any Indebtedness permitted to be incurred pursuant to this Section 7.02, exchange rate risk or commodity pricing risk;</w:t>
      </w:r>
    </w:p>
    <w:p>
      <w:pPr>
        <w:spacing w:after="0" w:line="146" w:lineRule="exact"/>
        <w:rPr>
          <w:rFonts w:ascii="Arial" w:cs="Arial" w:eastAsia="Arial" w:hAnsi="Arial"/>
          <w:sz w:val="17"/>
          <w:szCs w:val="17"/>
          <w:color w:val="auto"/>
        </w:rPr>
      </w:pPr>
    </w:p>
    <w:p>
      <w:pPr>
        <w:jc w:val="both"/>
        <w:ind w:right="20" w:firstLine="645"/>
        <w:spacing w:after="0" w:line="264" w:lineRule="auto"/>
        <w:tabs>
          <w:tab w:leader="none" w:pos="129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obligations in respect of performance, bid, appeal and surety bonds and completion guarantees and similar obligations provided by the Borrower or any of its Restricted Subsidiary or obligations in respect of letters of credit, bank guarantees or similar instruments related thereto, in each case in the ordinary course of business or consistent with past practice;</w:t>
      </w:r>
    </w:p>
    <w:p>
      <w:pPr>
        <w:spacing w:after="0" w:line="181" w:lineRule="exact"/>
        <w:rPr>
          <w:rFonts w:ascii="Arial" w:cs="Arial" w:eastAsia="Arial" w:hAnsi="Arial"/>
          <w:sz w:val="18"/>
          <w:szCs w:val="18"/>
          <w:color w:val="auto"/>
        </w:rPr>
      </w:pPr>
    </w:p>
    <w:p>
      <w:pPr>
        <w:ind w:firstLine="645"/>
        <w:spacing w:after="0" w:line="254" w:lineRule="auto"/>
        <w:tabs>
          <w:tab w:leader="none" w:pos="129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Indebtedness or Disqualified Stock of the Borrower and Indebtedness, Disqualified Stock or Preferred Stock of the Borrower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clause (11), does not at any one time outstanding exceed the greater of (x) $400,000,000 and (y) 3.0% of Total Assets (it being understood that any Indebtedness, Disqualified Stock or Preferred Stock incurred pursuant to this clause (11) shall cease to be deemed incurred or outstanding for purposes of this clause (11) but shall be deemed incurred under Section 7.02(a) from and after the first date on which the Borrower or such Restricted Subsidiary could have incurred such Indebtedness, Disqualified Stock or Preferred Stock under Section 7.02(a) without reliance on this clause (11);</w:t>
      </w:r>
    </w:p>
    <w:p>
      <w:pPr>
        <w:spacing w:after="0" w:line="192" w:lineRule="exact"/>
        <w:rPr>
          <w:rFonts w:ascii="Arial" w:cs="Arial" w:eastAsia="Arial" w:hAnsi="Arial"/>
          <w:sz w:val="18"/>
          <w:szCs w:val="18"/>
          <w:color w:val="auto"/>
        </w:rPr>
      </w:pPr>
    </w:p>
    <w:p>
      <w:pPr>
        <w:ind w:right="160" w:firstLine="645"/>
        <w:spacing w:after="0" w:line="277" w:lineRule="auto"/>
        <w:tabs>
          <w:tab w:leader="none" w:pos="129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incurrence by the Borrower or any Restricted Subsidiary of Indebtedness, Disqualified Stock or Preferred Stock which serves to refund or refinance:</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47"/>
        <w:spacing w:after="0"/>
        <w:tabs>
          <w:tab w:leader="none" w:pos="194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any Indebtedness, Disqualified Stock or Preferred Stock incurred as permitted under Section 7.02(a) hereof and clauses</w:t>
      </w:r>
    </w:p>
    <w:p>
      <w:pPr>
        <w:spacing w:after="0" w:line="46" w:lineRule="exact"/>
        <w:rPr>
          <w:rFonts w:ascii="Arial" w:cs="Arial" w:eastAsia="Arial" w:hAnsi="Arial"/>
          <w:sz w:val="16"/>
          <w:szCs w:val="16"/>
          <w:color w:val="auto"/>
        </w:rPr>
      </w:pPr>
    </w:p>
    <w:p>
      <w:pPr>
        <w:ind w:left="900" w:hanging="255"/>
        <w:spacing w:after="0"/>
        <w:tabs>
          <w:tab w:leader="none" w:pos="9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and (3) above, this clause (12) and clauses (13) and (19) below of this Section 7.02(b), or</w:t>
      </w:r>
    </w:p>
    <w:p>
      <w:pPr>
        <w:spacing w:after="0" w:line="210" w:lineRule="exact"/>
        <w:rPr>
          <w:rFonts w:ascii="Arial" w:cs="Arial" w:eastAsia="Arial" w:hAnsi="Arial"/>
          <w:sz w:val="18"/>
          <w:szCs w:val="18"/>
          <w:color w:val="auto"/>
        </w:rPr>
      </w:pPr>
    </w:p>
    <w:p>
      <w:pPr>
        <w:ind w:left="640" w:right="220" w:firstLine="653"/>
        <w:spacing w:after="0" w:line="277" w:lineRule="auto"/>
        <w:tabs>
          <w:tab w:leader="none" w:pos="194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Indebtedness, Disqualified Stock or Preferred Stock issued to so refund or refinance the Indebtedness, Disqualified Stock or Preferred Stock described in clause (a) above of this Section 7.02(b)(12),</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including, in each case, additional Indebtedness, Disqualified Stock or Preferred Stock incurred to pay premiums (including tender premiums), defeasance costs and fees and expenses in connection therewith (collectively, the “</w:t>
      </w:r>
      <w:r>
        <w:rPr>
          <w:rFonts w:ascii="Arial" w:cs="Arial" w:eastAsia="Arial" w:hAnsi="Arial"/>
          <w:sz w:val="18"/>
          <w:szCs w:val="18"/>
          <w:b w:val="1"/>
          <w:bCs w:val="1"/>
          <w:color w:val="auto"/>
        </w:rPr>
        <w:t>Refinancing Indebtedness</w:t>
      </w:r>
      <w:r>
        <w:rPr>
          <w:rFonts w:ascii="Arial" w:cs="Arial" w:eastAsia="Arial" w:hAnsi="Arial"/>
          <w:sz w:val="18"/>
          <w:szCs w:val="18"/>
          <w:color w:val="auto"/>
        </w:rPr>
        <w:t xml:space="preserve">”) prior to its respective maturity;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Refinancing Indebtedness:</w:t>
      </w:r>
    </w:p>
    <w:p>
      <w:pPr>
        <w:spacing w:after="0" w:line="181" w:lineRule="exact"/>
        <w:rPr>
          <w:sz w:val="20"/>
          <w:szCs w:val="20"/>
          <w:color w:val="auto"/>
        </w:rPr>
      </w:pPr>
    </w:p>
    <w:p>
      <w:pPr>
        <w:ind w:left="640" w:right="100" w:firstLine="653"/>
        <w:spacing w:after="0" w:line="342" w:lineRule="auto"/>
        <w:tabs>
          <w:tab w:leader="none" w:pos="195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has a Weighted Average Life to Maturity at the time such Refinancing Indebtedness is incurred which is not less than the remaining Weighted Average Life to Maturity of the Indebtedness, Disqualified Stock or Preferred Stock being refunded or refinanced,</w:t>
      </w:r>
    </w:p>
    <w:p>
      <w:pPr>
        <w:spacing w:after="0" w:line="123" w:lineRule="exact"/>
        <w:rPr>
          <w:rFonts w:ascii="Arial" w:cs="Arial" w:eastAsia="Arial" w:hAnsi="Arial"/>
          <w:sz w:val="16"/>
          <w:szCs w:val="16"/>
          <w:color w:val="auto"/>
        </w:rPr>
      </w:pPr>
    </w:p>
    <w:p>
      <w:pPr>
        <w:ind w:left="640" w:right="60" w:firstLine="653"/>
        <w:spacing w:after="0" w:line="279" w:lineRule="auto"/>
        <w:tabs>
          <w:tab w:leader="none" w:pos="194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to the extent such Refinancing Indebtedness refinances (i) Indebtedness subordinated to or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the Obligations or the Guaranty, such Refinancing Indebtedness is subordinated to or ranking </w:t>
      </w:r>
      <w:r>
        <w:rPr>
          <w:rFonts w:ascii="Arial" w:cs="Arial" w:eastAsia="Arial" w:hAnsi="Arial"/>
          <w:sz w:val="17"/>
          <w:szCs w:val="17"/>
          <w:i w:val="1"/>
          <w:iCs w:val="1"/>
          <w:color w:val="auto"/>
        </w:rPr>
        <w:t>pari passu</w:t>
      </w:r>
      <w:r>
        <w:rPr>
          <w:rFonts w:ascii="Arial" w:cs="Arial" w:eastAsia="Arial" w:hAnsi="Arial"/>
          <w:sz w:val="17"/>
          <w:szCs w:val="17"/>
          <w:color w:val="auto"/>
        </w:rPr>
        <w:t>, as the case may be, to the Obligations or the Guaranty at least to the same extent as the Indebtedness being refinanced or refunded or (ii) Disqualified Stock or Preferred Stock, such Refinancing Indebtedness must be Disqualified Stock or Preferred Stock, respectively, and</w:t>
      </w:r>
    </w:p>
    <w:p>
      <w:pPr>
        <w:spacing w:after="0" w:line="171" w:lineRule="exact"/>
        <w:rPr>
          <w:rFonts w:ascii="Arial" w:cs="Arial" w:eastAsia="Arial" w:hAnsi="Arial"/>
          <w:sz w:val="17"/>
          <w:szCs w:val="17"/>
          <w:color w:val="auto"/>
        </w:rPr>
      </w:pPr>
    </w:p>
    <w:p>
      <w:pPr>
        <w:ind w:left="1960" w:hanging="667"/>
        <w:spacing w:after="0"/>
        <w:tabs>
          <w:tab w:leader="none" w:pos="19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shall not include:</w:t>
      </w:r>
    </w:p>
    <w:p>
      <w:pPr>
        <w:spacing w:after="0" w:line="225" w:lineRule="exact"/>
        <w:rPr>
          <w:rFonts w:ascii="Arial" w:cs="Arial" w:eastAsia="Arial" w:hAnsi="Arial"/>
          <w:sz w:val="18"/>
          <w:szCs w:val="18"/>
          <w:color w:val="auto"/>
        </w:rPr>
      </w:pPr>
    </w:p>
    <w:p>
      <w:pPr>
        <w:ind w:left="1300" w:right="120" w:firstLine="641"/>
        <w:spacing w:after="0" w:line="277" w:lineRule="auto"/>
        <w:tabs>
          <w:tab w:leader="none" w:pos="261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Subsidiary of the Borrower that is not a Guarantor that refinances Indebtedness, Disqualified Stock or Preferred Stock of the Borrower;</w:t>
      </w:r>
    </w:p>
    <w:p>
      <w:pPr>
        <w:spacing w:after="0" w:line="170" w:lineRule="exact"/>
        <w:rPr>
          <w:rFonts w:ascii="Arial" w:cs="Arial" w:eastAsia="Arial" w:hAnsi="Arial"/>
          <w:sz w:val="18"/>
          <w:szCs w:val="18"/>
          <w:color w:val="auto"/>
        </w:rPr>
      </w:pPr>
    </w:p>
    <w:p>
      <w:pPr>
        <w:ind w:left="1300" w:right="100" w:firstLine="641"/>
        <w:spacing w:after="0" w:line="277" w:lineRule="auto"/>
        <w:tabs>
          <w:tab w:leader="none" w:pos="262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Subsidiary of the Borrower that is not a Guarantor that refinances Indebtedness, Disqualified Stock or Preferred Stock of a Guarantor; or</w:t>
      </w:r>
    </w:p>
    <w:p>
      <w:pPr>
        <w:spacing w:after="0" w:line="170" w:lineRule="exact"/>
        <w:rPr>
          <w:sz w:val="20"/>
          <w:szCs w:val="20"/>
          <w:color w:val="auto"/>
        </w:rPr>
      </w:pPr>
    </w:p>
    <w:p>
      <w:pPr>
        <w:ind w:left="1300" w:right="200" w:firstLine="641"/>
        <w:spacing w:after="0" w:line="277" w:lineRule="auto"/>
        <w:tabs>
          <w:tab w:leader="none" w:pos="262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the Borrower or a Restricted Subsidiary that refinances Indebtedness, Disqualified Stock or Preferred Stock of an Unrestricted Subsidiary;</w:t>
      </w:r>
    </w:p>
    <w:p>
      <w:pPr>
        <w:spacing w:after="0" w:line="170" w:lineRule="exact"/>
        <w:rPr>
          <w:rFonts w:ascii="Arial" w:cs="Arial" w:eastAsia="Arial" w:hAnsi="Arial"/>
          <w:sz w:val="18"/>
          <w:szCs w:val="18"/>
          <w:color w:val="auto"/>
        </w:rPr>
      </w:pPr>
    </w:p>
    <w:p>
      <w:pPr>
        <w:ind w:right="140" w:firstLine="645"/>
        <w:spacing w:after="0" w:line="259" w:lineRule="auto"/>
        <w:tabs>
          <w:tab w:leader="none" w:pos="129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Indebtedness, Disqualified Stock or Preferred Stock of (x) the Borrower or a Restricted Subsidiary incurred to finance an acquisition or (y) Persons that are acquired by the Borrower or any Restricted Subsidiary or merged into or consolidated with the Borrower or a Restricted Subsidiary in accordance with the terms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to such acquisition, merger or consolidation, either:</w:t>
      </w:r>
    </w:p>
    <w:p>
      <w:pPr>
        <w:spacing w:after="0" w:line="1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0" w:firstLine="653"/>
        <w:spacing w:after="0" w:line="277" w:lineRule="auto"/>
        <w:tabs>
          <w:tab w:leader="none" w:pos="193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Borrower would be permitted to incur at least $1.00 of additional Indebtedness pursuant to the Fixed Charge Coverage Ratio test set forth in Section 7.02(a), or</w:t>
      </w:r>
    </w:p>
    <w:p>
      <w:pPr>
        <w:spacing w:after="0" w:line="170" w:lineRule="exact"/>
        <w:rPr>
          <w:rFonts w:ascii="Arial" w:cs="Arial" w:eastAsia="Arial" w:hAnsi="Arial"/>
          <w:sz w:val="18"/>
          <w:szCs w:val="18"/>
          <w:color w:val="auto"/>
        </w:rPr>
      </w:pPr>
    </w:p>
    <w:p>
      <w:pPr>
        <w:ind w:left="640" w:right="160" w:firstLine="653"/>
        <w:spacing w:after="0" w:line="277" w:lineRule="auto"/>
        <w:tabs>
          <w:tab w:leader="none" w:pos="194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Fixed Charge Coverage Ratio of the Borrower and its Restricted Subsidiaries is equal to or greater than immediately prior to such acquisition, merger or consolidation;</w:t>
      </w:r>
    </w:p>
    <w:p>
      <w:pPr>
        <w:sectPr>
          <w:pgSz w:w="11900" w:h="16838" w:orient="portrait"/>
          <w:cols w:equalWidth="0" w:num="1">
            <w:col w:w="10760"/>
          </w:cols>
          <w:pgMar w:left="900" w:top="125" w:right="239" w:bottom="0" w:gutter="0" w:footer="0" w:header="0"/>
        </w:sectPr>
      </w:pPr>
    </w:p>
    <w:bookmarkStart w:id="84" w:name="page85"/>
    <w:bookmarkEnd w:id="84"/>
    <w:p>
      <w:pPr>
        <w:spacing w:after="0" w:line="137" w:lineRule="exact"/>
        <w:rPr>
          <w:sz w:val="20"/>
          <w:szCs w:val="20"/>
          <w:color w:val="auto"/>
        </w:rPr>
      </w:pPr>
    </w:p>
    <w:p>
      <w:pPr>
        <w:ind w:left="660" w:right="20" w:firstLine="645"/>
        <w:spacing w:after="0" w:line="264" w:lineRule="auto"/>
        <w:tabs>
          <w:tab w:leader="none" w:pos="195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is extinguished within five Business Days of notice of its incurrence;</w:t>
      </w:r>
    </w:p>
    <w:p>
      <w:pPr>
        <w:spacing w:after="0" w:line="181" w:lineRule="exact"/>
        <w:rPr>
          <w:rFonts w:ascii="Arial" w:cs="Arial" w:eastAsia="Arial" w:hAnsi="Arial"/>
          <w:sz w:val="18"/>
          <w:szCs w:val="18"/>
          <w:color w:val="auto"/>
        </w:rPr>
      </w:pPr>
    </w:p>
    <w:p>
      <w:pPr>
        <w:ind w:left="660" w:right="100" w:firstLine="699"/>
        <w:spacing w:after="0" w:line="342" w:lineRule="auto"/>
        <w:tabs>
          <w:tab w:leader="none" w:pos="1959"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 any guarantee by the Borrower or a Restricted Subsidiary of Indebtedness or other obligations of any Restricted Subsidiary so long as the incurrence of such Indebtedness incurred by such Restricted Subsidiary is permitted under the terms of this Agreement, or</w:t>
      </w:r>
    </w:p>
    <w:p>
      <w:pPr>
        <w:spacing w:after="0" w:line="123" w:lineRule="exact"/>
        <w:rPr>
          <w:rFonts w:ascii="Arial" w:cs="Arial" w:eastAsia="Arial" w:hAnsi="Arial"/>
          <w:sz w:val="16"/>
          <w:szCs w:val="16"/>
          <w:color w:val="auto"/>
        </w:rPr>
      </w:pPr>
    </w:p>
    <w:p>
      <w:pPr>
        <w:ind w:left="2600" w:hanging="647"/>
        <w:spacing w:after="0"/>
        <w:tabs>
          <w:tab w:leader="none" w:pos="260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any guarantee by a Restricted Subsidiary of Indebtedness of the Borrower;</w:t>
      </w:r>
    </w:p>
    <w:p>
      <w:pPr>
        <w:spacing w:after="0" w:line="225" w:lineRule="exact"/>
        <w:rPr>
          <w:sz w:val="20"/>
          <w:szCs w:val="20"/>
          <w:color w:val="auto"/>
        </w:rPr>
      </w:pPr>
    </w:p>
    <w:p>
      <w:pPr>
        <w:ind w:left="660" w:right="160" w:firstLine="645"/>
        <w:spacing w:after="0" w:line="297" w:lineRule="auto"/>
        <w:tabs>
          <w:tab w:leader="none" w:pos="1959" w:val="left"/>
        </w:tabs>
        <w:numPr>
          <w:ilvl w:val="1"/>
          <w:numId w:val="267"/>
        </w:numPr>
        <w:rPr>
          <w:rFonts w:ascii="Arial" w:cs="Arial" w:eastAsia="Arial" w:hAnsi="Arial"/>
          <w:sz w:val="16"/>
          <w:szCs w:val="16"/>
          <w:color w:val="auto"/>
        </w:rPr>
      </w:pPr>
      <w:r>
        <w:rPr>
          <w:rFonts w:ascii="Arial" w:cs="Arial" w:eastAsia="Arial" w:hAnsi="Arial"/>
          <w:sz w:val="16"/>
          <w:szCs w:val="16"/>
          <w:color w:val="auto"/>
        </w:rPr>
        <w:t>Indebtedness of Foreign Subsidiaries of the Borrower at any one time outstanding and together with any other Indebtedness incurred under this clause (16) not to exceed the greater of (x) $200 million and (y) 5.0% of the Total Assets of the Foreign Subsidiaries at the time of incurrence (it being understood that any Indebtedness incurred pursuant to this clause (16) shall cease to be deemed incurred or outstanding for purposes of this clause (16) but shall be deemed incurred for the purposes of Section 7.02(a) from and after the first date on which such Foreign Subsidiary could have incurred such Indebtedness under Section 7.02(a) without reliance on this clause (16));</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Indebtedness of the Borrower or any of its Restricted Subsidiaries consisting of (i) the financing of insurance premiums or</w:t>
      </w:r>
    </w:p>
    <w:p>
      <w:pPr>
        <w:spacing w:after="0" w:line="34" w:lineRule="exact"/>
        <w:rPr>
          <w:rFonts w:ascii="Arial" w:cs="Arial" w:eastAsia="Arial" w:hAnsi="Arial"/>
          <w:sz w:val="17"/>
          <w:szCs w:val="17"/>
          <w:color w:val="auto"/>
        </w:rPr>
      </w:pPr>
    </w:p>
    <w:p>
      <w:pPr>
        <w:ind w:left="920" w:hanging="264"/>
        <w:spacing w:after="0"/>
        <w:tabs>
          <w:tab w:leader="none" w:pos="9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take-or-pay obligations contained in supply arrangements in each case, incurred in the ordinary course of business;</w:t>
      </w:r>
    </w:p>
    <w:p>
      <w:pPr>
        <w:spacing w:after="0" w:line="210" w:lineRule="exact"/>
        <w:rPr>
          <w:rFonts w:ascii="Arial" w:cs="Arial" w:eastAsia="Arial" w:hAnsi="Arial"/>
          <w:sz w:val="18"/>
          <w:szCs w:val="18"/>
          <w:color w:val="auto"/>
        </w:rPr>
      </w:pPr>
    </w:p>
    <w:p>
      <w:pPr>
        <w:ind w:left="660" w:right="320" w:firstLine="645"/>
        <w:spacing w:after="0" w:line="277" w:lineRule="auto"/>
        <w:tabs>
          <w:tab w:leader="none" w:pos="1959"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Indebtedness of the Borrower or any of its Restricted Subsidiaries undertaken in connection with cash management and related activities with respect to any Subsidiary or joint venture in the ordinary course of business;</w:t>
      </w:r>
    </w:p>
    <w:p>
      <w:pPr>
        <w:spacing w:after="0" w:line="170" w:lineRule="exact"/>
        <w:rPr>
          <w:rFonts w:ascii="Arial" w:cs="Arial" w:eastAsia="Arial" w:hAnsi="Arial"/>
          <w:sz w:val="18"/>
          <w:szCs w:val="18"/>
          <w:color w:val="auto"/>
        </w:rPr>
      </w:pPr>
    </w:p>
    <w:p>
      <w:pPr>
        <w:ind w:left="660" w:right="140" w:firstLine="645"/>
        <w:spacing w:after="0" w:line="264" w:lineRule="auto"/>
        <w:tabs>
          <w:tab w:leader="none" w:pos="1959"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Indebtedness consisting of Indebtedness issued by the Borrower or any of its Restricted Subsidiaries to current or former officers, directors and employees thereof, their respective estates, spouses or former spouses, in each case to finance the purchase or redemption of Equity Interests of the Borrower permitted under Section 7.05(b)(4);</w:t>
      </w:r>
    </w:p>
    <w:p>
      <w:pPr>
        <w:spacing w:after="0" w:line="181" w:lineRule="exact"/>
        <w:rPr>
          <w:rFonts w:ascii="Arial" w:cs="Arial" w:eastAsia="Arial" w:hAnsi="Arial"/>
          <w:sz w:val="18"/>
          <w:szCs w:val="18"/>
          <w:color w:val="auto"/>
        </w:rPr>
      </w:pPr>
    </w:p>
    <w:p>
      <w:pPr>
        <w:ind w:left="660" w:right="140" w:firstLine="645"/>
        <w:spacing w:after="0" w:line="277" w:lineRule="auto"/>
        <w:tabs>
          <w:tab w:leader="none" w:pos="1959"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Indebtedness incurred pursuant to a Permitted Debt Offering so long as the aggregate principal amount of such Indebtedness does not exceed the Maximum Incremental Facilities Amount;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Credit Agreement Refinancing Indebtedness.</w:t>
      </w:r>
    </w:p>
    <w:p>
      <w:pPr>
        <w:spacing w:after="0" w:line="225" w:lineRule="exact"/>
        <w:rPr>
          <w:sz w:val="20"/>
          <w:szCs w:val="20"/>
          <w:color w:val="auto"/>
        </w:rPr>
      </w:pPr>
    </w:p>
    <w:p>
      <w:pPr>
        <w:ind w:left="1960" w:hanging="655"/>
        <w:spacing w:after="0"/>
        <w:tabs>
          <w:tab w:leader="none" w:pos="19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For purposes of determining compliance with this Section 7.02:</w:t>
      </w:r>
    </w:p>
    <w:p>
      <w:pPr>
        <w:spacing w:after="0" w:line="225" w:lineRule="exact"/>
        <w:rPr>
          <w:sz w:val="20"/>
          <w:szCs w:val="20"/>
          <w:color w:val="auto"/>
        </w:rPr>
      </w:pPr>
    </w:p>
    <w:p>
      <w:pPr>
        <w:ind w:left="660" w:right="120" w:firstLine="645"/>
        <w:spacing w:after="0" w:line="274" w:lineRule="auto"/>
        <w:tabs>
          <w:tab w:leader="none" w:pos="1964" w:val="left"/>
        </w:tabs>
        <w:numPr>
          <w:ilvl w:val="0"/>
          <w:numId w:val="271"/>
        </w:numPr>
        <w:rPr>
          <w:rFonts w:ascii="Arial" w:cs="Arial" w:eastAsia="Arial" w:hAnsi="Arial"/>
          <w:sz w:val="17"/>
          <w:szCs w:val="17"/>
          <w:color w:val="auto"/>
        </w:rPr>
      </w:pPr>
      <w:r>
        <w:rPr>
          <w:rFonts w:ascii="Arial" w:cs="Arial" w:eastAsia="Arial" w:hAnsi="Arial"/>
          <w:sz w:val="17"/>
          <w:szCs w:val="17"/>
          <w:color w:val="auto"/>
        </w:rPr>
        <w:t>in the event that an item of Indebtedness, Disqualified Stock or Preferred Stock (or any portion thereof) meets the criteria of more than one of the categories of permitted Indebtedness, Disqualified Stock or Preferred Stock described in clauses (1) through (21) of</w:t>
      </w:r>
    </w:p>
    <w:p>
      <w:pPr>
        <w:ind w:left="660" w:right="4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Section 7.02(b) above or is entitled to be incurred pursuant to Section 7.02(a) hereof, the Borrower, in its sole discretion, will classify or reclassify such item of Indebtedness, Disqualified Stock or Preferred Stock (or any portion thereof) and will only be required to include the amount and type of such Indebtedness, Disqualified Stock or Preferred Stock in one of the above clauses;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Indebtedness outstanding under the Credit Facilities on the Closing Date will be treated as incurred on the Closing Date under clause (1) of Section 7.02(b) hereof and will not later be reclassified; and</w:t>
      </w:r>
    </w:p>
    <w:p>
      <w:pPr>
        <w:spacing w:after="0" w:line="191" w:lineRule="exact"/>
        <w:rPr>
          <w:rFonts w:ascii="Arial" w:cs="Arial" w:eastAsia="Arial" w:hAnsi="Arial"/>
          <w:sz w:val="17"/>
          <w:szCs w:val="17"/>
          <w:color w:val="auto"/>
        </w:rPr>
      </w:pPr>
    </w:p>
    <w:p>
      <w:pPr>
        <w:ind w:left="660" w:right="40" w:firstLine="645"/>
        <w:spacing w:after="0" w:line="277" w:lineRule="auto"/>
        <w:tabs>
          <w:tab w:leader="none" w:pos="196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at the time of incurrence, the Borrower will be entitled to divide and classify an item of Indebtedness in more than one of the types of Indebtedness described in Section 7.02(a) and Section 7.02(b) hereof.</w:t>
      </w:r>
    </w:p>
    <w:p>
      <w:pPr>
        <w:spacing w:after="0" w:line="170"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Accrual of interest, the accretion of accreted value and the payment of interest or dividends in the form of additional Indebtedness, Disqualified Stock or Preferred Stock, as applicable, will not be deemed to be an incurrence of Indebtedness, Disqualified Stock or Preferred Stock for purposes of this</w:t>
      </w:r>
    </w:p>
    <w:p>
      <w:pPr>
        <w:jc w:val="both"/>
        <w:ind w:right="80"/>
        <w:spacing w:after="0" w:line="255" w:lineRule="auto"/>
        <w:rPr>
          <w:sz w:val="20"/>
          <w:szCs w:val="20"/>
          <w:color w:val="auto"/>
        </w:rPr>
      </w:pPr>
      <w:r>
        <w:rPr>
          <w:rFonts w:ascii="Arial" w:cs="Arial" w:eastAsia="Arial" w:hAnsi="Arial"/>
          <w:sz w:val="18"/>
          <w:szCs w:val="18"/>
          <w:color w:val="auto"/>
        </w:rPr>
        <w:t>Section 7.02. Any refinancing Indebtedness and any Indebtedness incurred to refinance Indebtedness incurred pursuant to clauses (1) and (11) above shall be permitted to include additional Indebtedness, Disqualified Stock or Preferred Stock incurred to pay premiums (including tender premiums), defeasance costs, accrued and unpaid interest, fees and expenses in connection with such refinancing.</w:t>
      </w:r>
    </w:p>
    <w:p>
      <w:pPr>
        <w:spacing w:after="0" w:line="1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w:t>
      </w:r>
    </w:p>
    <w:p>
      <w:pPr>
        <w:spacing w:after="0" w:line="18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Notwithstanding anything to the contrary contained in this Section 7.02, the Borrower will not, and will not permit any Guarantor to, directly or indirectly, incur any Indebtedness (including Acquired Indebtedness) that is subordinated or junior in right of payment to any Indebtedness of the Borrower or such Guarantor, as the case may be, unless such Indebtedness is expressly subordinated in right of payment to the Obligations or such Guarantor’s Guarantee to the extent and in the same manner as such Indebtedness is subordinated to other Indebtedness of the Borrower or such Guarantor, as the case may be.</w:t>
      </w:r>
    </w:p>
    <w:p>
      <w:pPr>
        <w:spacing w:after="0" w:line="154"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For the purposes of this Agreement, (1) Indebtedness that is unsecured is not deemed to be subordinated or junior to Secured Indebtedness merely because it is unsecured, and (2) Senior Indebtedness is not deemed to be subordinated or junior to any other Senior Indebtedness merely because it has a</w:t>
      </w:r>
    </w:p>
    <w:p>
      <w:pPr>
        <w:sectPr>
          <w:pgSz w:w="11900" w:h="16975" w:orient="portrait"/>
          <w:cols w:equalWidth="0" w:num="1">
            <w:col w:w="11420"/>
          </w:cols>
          <w:pgMar w:left="240" w:top="125" w:right="239" w:bottom="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junior priority with respect to the same collateral.</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5"/>
          <w:szCs w:val="15"/>
          <w:u w:val="single" w:color="auto"/>
          <w:color w:val="auto"/>
        </w:rPr>
        <w:t>Fundamental Changes.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Neither the Borrower nor any of its Restricted Subsidiaries shall merge, dissolve, liquidate, consolidate with or into another Person, or Dispose of (whether in one transaction or in a series of transactions) all or substantially all of its assets (whether now owned or hereafter acquired) to or in favor of any Person (other than as part of the Transaction), except that:</w:t>
      </w:r>
    </w:p>
    <w:p>
      <w:pPr>
        <w:spacing w:after="0" w:line="181" w:lineRule="exact"/>
        <w:rPr>
          <w:sz w:val="20"/>
          <w:szCs w:val="20"/>
          <w:color w:val="auto"/>
        </w:rPr>
      </w:pPr>
    </w:p>
    <w:p>
      <w:pPr>
        <w:ind w:left="660" w:right="200" w:firstLine="645"/>
        <w:spacing w:after="0" w:line="259" w:lineRule="auto"/>
        <w:tabs>
          <w:tab w:leader="none" w:pos="195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or consolidate with (i) the Borrower (including a merger, the purpose of which is to reorganize the Borrower into a new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the continuing or surviving Person or (ii) one or more other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when any Person that is a Loan Party is merging with a Restricted Subsidiary under clause (a), a Loan Party shall be the continuing or surviving Person;</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(i) any Subsidiary that is not a Loan Party may merge or consolidate with or into any other Subsidiary that is not a Loan Party and</w:t>
      </w:r>
    </w:p>
    <w:p>
      <w:pPr>
        <w:spacing w:after="0" w:line="46" w:lineRule="exact"/>
        <w:rPr>
          <w:rFonts w:ascii="Arial" w:cs="Arial" w:eastAsia="Arial" w:hAnsi="Arial"/>
          <w:sz w:val="16"/>
          <w:szCs w:val="16"/>
          <w:color w:val="auto"/>
        </w:rPr>
      </w:pPr>
    </w:p>
    <w:p>
      <w:pPr>
        <w:ind w:left="660" w:right="140" w:hanging="4"/>
        <w:spacing w:after="0" w:line="261" w:lineRule="auto"/>
        <w:tabs>
          <w:tab w:leader="none" w:pos="92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Subsidiary may liquidate or dissolve if the Borrower determines in good faith that such action is in the best interest of the Borrower and its Subsidiaries and if not materially disadvantageous to the Lenders;</w:t>
      </w:r>
    </w:p>
    <w:p>
      <w:pPr>
        <w:spacing w:after="0" w:line="183" w:lineRule="exact"/>
        <w:rPr>
          <w:rFonts w:ascii="Arial" w:cs="Arial" w:eastAsia="Arial" w:hAnsi="Arial"/>
          <w:sz w:val="18"/>
          <w:szCs w:val="18"/>
          <w:color w:val="auto"/>
        </w:rPr>
      </w:pPr>
    </w:p>
    <w:p>
      <w:pPr>
        <w:ind w:left="660" w:right="180" w:firstLine="645"/>
        <w:spacing w:after="0" w:line="276" w:lineRule="auto"/>
        <w:tabs>
          <w:tab w:leader="none" w:pos="1967" w:val="left"/>
        </w:tabs>
        <w:numPr>
          <w:ilvl w:val="1"/>
          <w:numId w:val="273"/>
        </w:numPr>
        <w:rPr>
          <w:rFonts w:ascii="Arial" w:cs="Arial" w:eastAsia="Arial" w:hAnsi="Arial"/>
          <w:sz w:val="17"/>
          <w:szCs w:val="17"/>
          <w:color w:val="auto"/>
        </w:rPr>
      </w:pPr>
      <w:r>
        <w:rPr>
          <w:rFonts w:ascii="Arial" w:cs="Arial" w:eastAsia="Arial" w:hAnsi="Arial"/>
          <w:sz w:val="17"/>
          <w:szCs w:val="17"/>
          <w:color w:val="auto"/>
        </w:rPr>
        <w:t xml:space="preserve">the Borrower or any Restricted Subsidiary may Dispose of all or substantially all of its assets (upon voluntary liquidation or otherwise) to the Borrower or to another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transferor in such a transaction is the Borrower or a Guarantor, then (i) the transferee must be the Borrower or a Guarantor or (ii) to the extent constituting an Investment, such Investment must be a permitted Investment in or Indebtedness of a Restricted Subsidiary which is not a Loan Party in accordance with Sections 7.02 and 7.05 or the definition of Permitted Investment (other than clause (d) thereof), respectively; and</w:t>
      </w:r>
    </w:p>
    <w:p>
      <w:pPr>
        <w:spacing w:after="0" w:line="172" w:lineRule="exact"/>
        <w:rPr>
          <w:rFonts w:ascii="Arial" w:cs="Arial" w:eastAsia="Arial" w:hAnsi="Arial"/>
          <w:sz w:val="17"/>
          <w:szCs w:val="17"/>
          <w:color w:val="auto"/>
        </w:rPr>
      </w:pPr>
    </w:p>
    <w:p>
      <w:pPr>
        <w:jc w:val="both"/>
        <w:ind w:left="660" w:right="180" w:firstLine="645"/>
        <w:spacing w:after="0" w:line="259" w:lineRule="auto"/>
        <w:tabs>
          <w:tab w:leader="none" w:pos="196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so long as no Default exists or would result therefrom, the Borrower may merge or consolidate with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Borrower shall be the continuing or surviving corporation or (ii) if the Person formed by or surviving any such merger or consolidation (any such Person, the “</w:t>
      </w:r>
      <w:r>
        <w:rPr>
          <w:rFonts w:ascii="Arial" w:cs="Arial" w:eastAsia="Arial" w:hAnsi="Arial"/>
          <w:sz w:val="18"/>
          <w:szCs w:val="18"/>
          <w:b w:val="1"/>
          <w:bCs w:val="1"/>
          <w:color w:val="auto"/>
        </w:rPr>
        <w:t>Successor Company</w:t>
      </w:r>
      <w:r>
        <w:rPr>
          <w:rFonts w:ascii="Arial" w:cs="Arial" w:eastAsia="Arial" w:hAnsi="Arial"/>
          <w:sz w:val="18"/>
          <w:szCs w:val="18"/>
          <w:color w:val="auto"/>
        </w:rPr>
        <w:t>”) is not the Borrower, (A) the Successor Company shall be an entity organized or existing under the laws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84" w:lineRule="auto"/>
        <w:rPr>
          <w:sz w:val="20"/>
          <w:szCs w:val="20"/>
          <w:color w:val="auto"/>
        </w:rPr>
      </w:pPr>
      <w:r>
        <w:rPr>
          <w:rFonts w:ascii="Arial" w:cs="Arial" w:eastAsia="Arial" w:hAnsi="Arial"/>
          <w:sz w:val="16"/>
          <w:szCs w:val="16"/>
          <w:color w:val="auto"/>
        </w:rPr>
        <w:t>of the United States, any state thereof, the District of Columbia or any territory thereof, (B) the Successor Company shall expressly assume all the obligations of the Borrower under this Agreement and the other Loan Documents to which the Borrower is a party pursuant to a supplement hereto or thereto in form reasonably satisfactory to the Administrative Agent, (C) each Guarantor, unless it is the other party to such merger or consolidation, shall have confirmed that its Guarantee shall apply to the Successor Company’s obligations under the Loan Documents, (D) each Guarantor, unless it is the other party to such merger or consolidation, shall have by a supplement to the Security Agreement and other applicable Collateral Documents confirmed that its obligations thereunder shall apply to the Successor Company’s obligations under the Loan Documents,</w:t>
      </w:r>
    </w:p>
    <w:p>
      <w:pPr>
        <w:spacing w:after="0" w:line="5" w:lineRule="exact"/>
        <w:rPr>
          <w:sz w:val="20"/>
          <w:szCs w:val="20"/>
          <w:color w:val="auto"/>
        </w:rPr>
      </w:pPr>
    </w:p>
    <w:p>
      <w:pPr>
        <w:ind w:left="660" w:hanging="4"/>
        <w:spacing w:after="0" w:line="252" w:lineRule="auto"/>
        <w:tabs>
          <w:tab w:leader="none" w:pos="93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each mortgagor of a parcel of Real Property that is subject to a Mortgage, unless it is the other party to such merger or consolidation, shall have by an amendment to or restatement of the applicable Mortgage confirmed that its obligations thereunder shall apply to the Successor Company’s obligations under the Loan Documents, and (F) the Borrower shall have delivered to the Administrative Agent an officer’s certificate and an opinion of counsel, each stating that such merger or consolidation and such supplement to this Agreement or any Collateral Document comply with this 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the foregoing are satisfied, the Successor Company will succeed to, and be substituted for, the Borrower under this Agreement;</w:t>
      </w:r>
    </w:p>
    <w:p>
      <w:pPr>
        <w:spacing w:after="0" w:line="194" w:lineRule="exact"/>
        <w:rPr>
          <w:rFonts w:ascii="Arial" w:cs="Arial" w:eastAsia="Arial" w:hAnsi="Arial"/>
          <w:sz w:val="18"/>
          <w:szCs w:val="18"/>
          <w:color w:val="auto"/>
        </w:rPr>
      </w:pPr>
    </w:p>
    <w:p>
      <w:pPr>
        <w:ind w:left="1960" w:hanging="655"/>
        <w:spacing w:after="0"/>
        <w:tabs>
          <w:tab w:leader="none" w:pos="196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so long as no Default exists or would result therefrom, a Guarantor may merge or consolidate with any 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660" w:right="18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(i) such Guarantor shall be the continuing or surviving corporation or (ii) if the Successor Company is not such Guarantor, (A) the Successor Company shall be an entity organized or existing under the laws of the United States, any state thereof, the District of Columbia or any territory thereof, (B) the Successor Company shall expressly assume all the obligations of such Guarantor under this Agreement and the other Loan Documents to which such Guarantor is a party pursuant to a supplement hereto or thereto in form reasonably satisfactory to the Administrative Agent, (C) each other Guarantor, unless it is the other party to such merger or consolidation, shall have confirmed that its Guarantee shall apply to the Successor Company’s obligations under the Loan Documents, (D) each other Guarantor, unless it is the other party to such merger or consolidation, shall have by a supplement to the Security Agreement and other applicable Collateral Documents confirmed that its obligations thereunder shall apply to the Successor Company’s obligations under the Loan Documents, (E) each mortgagor of a parcel of Real Property that is subject to a Mortgage, unless it is the other party to such merger or consolidation, shall have by an amendment to or restatement of the applicable Mortgage confirmed that its obligations thereunder shall apply to the Successor Company’s obligations under the Loan Documents, and (F) such Guarantor shall have delivered to the Administrative Agent an officer’s certificate and an opinion of counsel, each stating that such merger or consolidation and such supplement to this Agreement or any Collateral Document comply with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foregoing are satisfied, the Successor Company will succeed to, and be substituted for, such Guarantor under this Agreement;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59" w:lineRule="auto"/>
        <w:tabs>
          <w:tab w:leader="none" w:pos="196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so long as no Default exists or would result therefrom, the Borrower or any Restricted Subsidiary may merge or consolidate with any other Person in order to effect an Investment permitted pursuant to Section 7.05;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continuing or surviving Person shall be the Borrower or a Restricted Subsidiary, which together with each of its Restricted Subsidiaries, shall have complied with the requirements of Section 6.11; and</w:t>
      </w:r>
    </w:p>
    <w:p>
      <w:pPr>
        <w:spacing w:after="0" w:line="186" w:lineRule="exact"/>
        <w:rPr>
          <w:rFonts w:ascii="Arial" w:cs="Arial" w:eastAsia="Arial" w:hAnsi="Arial"/>
          <w:sz w:val="18"/>
          <w:szCs w:val="18"/>
          <w:color w:val="auto"/>
        </w:rPr>
      </w:pPr>
    </w:p>
    <w:p>
      <w:pPr>
        <w:ind w:left="660" w:firstLine="645"/>
        <w:spacing w:after="0" w:line="277" w:lineRule="auto"/>
        <w:tabs>
          <w:tab w:leader="none" w:pos="197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so long as no Default exists or would result therefrom, a merger, dissolution, liquidation, consolidation or Disposition, the purpose of which is to effect a Disposition permitted pursuant to Section 7.04.</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Dispositions.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not, and shall not permit any of its Restricted Subsidiaries to, consummate any Disposition, except:</w:t>
      </w:r>
    </w:p>
    <w:p>
      <w:pPr>
        <w:sectPr>
          <w:pgSz w:w="11900" w:h="16838" w:orient="portrait"/>
          <w:cols w:equalWidth="0" w:num="1">
            <w:col w:w="11360"/>
          </w:cols>
          <w:pgMar w:left="240" w:top="125" w:right="299" w:bottom="0" w:gutter="0" w:footer="0" w:header="0"/>
        </w:sectPr>
      </w:pPr>
    </w:p>
    <w:bookmarkStart w:id="86" w:name="page87"/>
    <w:bookmarkEnd w:id="86"/>
    <w:p>
      <w:pPr>
        <w:spacing w:after="0" w:line="36" w:lineRule="exact"/>
        <w:rPr>
          <w:sz w:val="20"/>
          <w:szCs w:val="20"/>
          <w:color w:val="auto"/>
        </w:rPr>
      </w:pPr>
    </w:p>
    <w:p>
      <w:pPr>
        <w:ind w:left="4" w:right="520" w:firstLine="645"/>
        <w:spacing w:after="0" w:line="342" w:lineRule="auto"/>
        <w:tabs>
          <w:tab w:leader="none" w:pos="1297"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any disposition of Cash Equivalents or Investment Grade Securities or obsolete or worn out equipment or other assets in the ordinary course of business or any disposition of inventory or goods (or other assets) held for sale in the ordinary course of business;</w:t>
      </w:r>
    </w:p>
    <w:p>
      <w:pPr>
        <w:spacing w:after="0" w:line="123" w:lineRule="exact"/>
        <w:rPr>
          <w:rFonts w:ascii="Arial" w:cs="Arial" w:eastAsia="Arial" w:hAnsi="Arial"/>
          <w:sz w:val="16"/>
          <w:szCs w:val="16"/>
          <w:color w:val="auto"/>
        </w:rPr>
      </w:pPr>
    </w:p>
    <w:p>
      <w:pPr>
        <w:ind w:left="4" w:right="540" w:firstLine="645"/>
        <w:spacing w:after="0" w:line="277" w:lineRule="auto"/>
        <w:tabs>
          <w:tab w:leader="none" w:pos="130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disposition of all or substantially all of the assets of the Borrower in a manner permitted pursuant to Section 7.03 or any disposition that constitutes a Change of Control pursuant to this Agreement;</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making of any Restricted Payment or Permitted Investment that is permitted to be made, and is made, under Section 7.05;</w:t>
      </w:r>
    </w:p>
    <w:p>
      <w:pPr>
        <w:spacing w:after="0" w:line="248" w:lineRule="exact"/>
        <w:rPr>
          <w:rFonts w:ascii="Arial" w:cs="Arial" w:eastAsia="Arial" w:hAnsi="Arial"/>
          <w:sz w:val="16"/>
          <w:szCs w:val="16"/>
          <w:color w:val="auto"/>
        </w:rPr>
      </w:pPr>
    </w:p>
    <w:p>
      <w:pPr>
        <w:ind w:left="4" w:right="680" w:firstLine="645"/>
        <w:spacing w:after="0" w:line="308" w:lineRule="auto"/>
        <w:tabs>
          <w:tab w:leader="none" w:pos="130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any disposition of assets or issuance or sale of Equity Interests of any Restricted Subsidiary in any transaction or series of transactions with an aggregate fair market value (as determined in good faith by the Borrower) of less than $75,000,000;</w:t>
      </w:r>
    </w:p>
    <w:p>
      <w:pPr>
        <w:spacing w:after="0" w:line="146" w:lineRule="exact"/>
        <w:rPr>
          <w:rFonts w:ascii="Arial" w:cs="Arial" w:eastAsia="Arial" w:hAnsi="Arial"/>
          <w:sz w:val="17"/>
          <w:szCs w:val="17"/>
          <w:color w:val="auto"/>
        </w:rPr>
      </w:pPr>
    </w:p>
    <w:p>
      <w:pPr>
        <w:ind w:left="4" w:right="60" w:firstLine="645"/>
        <w:spacing w:after="0" w:line="277" w:lineRule="auto"/>
        <w:tabs>
          <w:tab w:leader="none" w:pos="131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disposition of property or assets or issuance of securities by a Restricted Subsidiary of the Borrower to the Borrower or by the Borrower or a Restricted Subsidiary of the Borrower to another Restricted Subsidiary of the Borrower;</w:t>
      </w:r>
    </w:p>
    <w:p>
      <w:pPr>
        <w:spacing w:after="0" w:line="170" w:lineRule="exact"/>
        <w:rPr>
          <w:rFonts w:ascii="Arial" w:cs="Arial" w:eastAsia="Arial" w:hAnsi="Arial"/>
          <w:sz w:val="18"/>
          <w:szCs w:val="18"/>
          <w:color w:val="auto"/>
        </w:rPr>
      </w:pPr>
    </w:p>
    <w:p>
      <w:pPr>
        <w:ind w:left="4" w:right="160" w:firstLine="645"/>
        <w:spacing w:after="0" w:line="277" w:lineRule="auto"/>
        <w:tabs>
          <w:tab w:leader="none" w:pos="130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Internal Revenue Code of 1986, or any comparable or successor provision, any exchange of like property (excluding any boot thereon) for use in a Similar Business;</w:t>
      </w:r>
    </w:p>
    <w:p>
      <w:pPr>
        <w:spacing w:after="0" w:line="170" w:lineRule="exact"/>
        <w:rPr>
          <w:rFonts w:ascii="Arial" w:cs="Arial" w:eastAsia="Arial" w:hAnsi="Arial"/>
          <w:sz w:val="18"/>
          <w:szCs w:val="18"/>
          <w:color w:val="auto"/>
        </w:rPr>
      </w:pPr>
    </w:p>
    <w:p>
      <w:pPr>
        <w:ind w:left="1324" w:hanging="675"/>
        <w:spacing w:after="0"/>
        <w:tabs>
          <w:tab w:leader="none" w:pos="13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lease, assignment or sub-lease of any real or personal property in the ordinary course of business;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issuance or sale of Equity Interests in, or Indebtedness or other securities of, an Unrestricted Subsidiary;</w:t>
      </w:r>
    </w:p>
    <w:p>
      <w:pPr>
        <w:spacing w:after="0" w:line="225" w:lineRule="exact"/>
        <w:rPr>
          <w:rFonts w:ascii="Arial" w:cs="Arial" w:eastAsia="Arial" w:hAnsi="Arial"/>
          <w:sz w:val="18"/>
          <w:szCs w:val="18"/>
          <w:color w:val="auto"/>
        </w:rPr>
      </w:pPr>
    </w:p>
    <w:p>
      <w:pPr>
        <w:ind w:left="1324" w:hanging="675"/>
        <w:spacing w:after="0"/>
        <w:tabs>
          <w:tab w:leader="none" w:pos="13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foreclosures on assets;</w:t>
      </w:r>
    </w:p>
    <w:p>
      <w:pPr>
        <w:spacing w:after="0" w:line="22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4" w:hanging="655"/>
        <w:spacing w:after="0"/>
        <w:tabs>
          <w:tab w:leader="none" w:pos="1304" w:val="left"/>
        </w:tabs>
        <w:numPr>
          <w:ilvl w:val="1"/>
          <w:numId w:val="277"/>
        </w:numPr>
        <w:rPr>
          <w:rFonts w:ascii="Arial" w:cs="Arial" w:eastAsia="Arial" w:hAnsi="Arial"/>
          <w:sz w:val="18"/>
          <w:szCs w:val="18"/>
          <w:color w:val="auto"/>
        </w:rPr>
      </w:pPr>
      <w:r>
        <w:rPr>
          <w:rFonts w:ascii="Arial" w:cs="Arial" w:eastAsia="Arial" w:hAnsi="Arial"/>
          <w:sz w:val="18"/>
          <w:szCs w:val="18"/>
          <w:color w:val="auto"/>
        </w:rPr>
        <w:t>sales of accounts receivable, or participations therein, in connection with any Receivables Facility;</w:t>
      </w:r>
    </w:p>
    <w:p>
      <w:pPr>
        <w:spacing w:after="0" w:line="225" w:lineRule="exact"/>
        <w:rPr>
          <w:rFonts w:ascii="Arial" w:cs="Arial" w:eastAsia="Arial" w:hAnsi="Arial"/>
          <w:sz w:val="18"/>
          <w:szCs w:val="18"/>
          <w:color w:val="auto"/>
        </w:rPr>
      </w:pPr>
    </w:p>
    <w:p>
      <w:pPr>
        <w:ind w:left="4" w:right="60" w:firstLine="645"/>
        <w:spacing w:after="0" w:line="277" w:lineRule="auto"/>
        <w:tabs>
          <w:tab w:leader="none" w:pos="130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financing transaction with respect to property built or acquired by the Borrower or any Restricted Subsidiary after the Closing Date, including Sale and Lease-Back Transactions and asset securitizations permitted by this Agreement;</w:t>
      </w:r>
    </w:p>
    <w:p>
      <w:pPr>
        <w:spacing w:after="0" w:line="170" w:lineRule="exact"/>
        <w:rPr>
          <w:rFonts w:ascii="Arial" w:cs="Arial" w:eastAsia="Arial" w:hAnsi="Arial"/>
          <w:sz w:val="18"/>
          <w:szCs w:val="18"/>
          <w:color w:val="auto"/>
        </w:rPr>
      </w:pPr>
    </w:p>
    <w:p>
      <w:pPr>
        <w:ind w:left="4" w:right="300" w:firstLine="645"/>
        <w:spacing w:after="0" w:line="277" w:lineRule="auto"/>
        <w:tabs>
          <w:tab w:leader="none" w:pos="132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other general intangibles in the ordinary course of business (other than exclusive, world-wide licenses that are longer than three years);</w:t>
      </w:r>
    </w:p>
    <w:p>
      <w:pPr>
        <w:spacing w:after="0" w:line="170" w:lineRule="exact"/>
        <w:rPr>
          <w:rFonts w:ascii="Arial" w:cs="Arial" w:eastAsia="Arial" w:hAnsi="Arial"/>
          <w:sz w:val="18"/>
          <w:szCs w:val="18"/>
          <w:color w:val="auto"/>
        </w:rPr>
      </w:pPr>
    </w:p>
    <w:p>
      <w:pPr>
        <w:ind w:left="4" w:right="280" w:firstLine="645"/>
        <w:spacing w:after="0" w:line="342" w:lineRule="auto"/>
        <w:tabs>
          <w:tab w:leader="none" w:pos="1304" w:val="left"/>
        </w:tabs>
        <w:numPr>
          <w:ilvl w:val="1"/>
          <w:numId w:val="277"/>
        </w:numPr>
        <w:rPr>
          <w:rFonts w:ascii="Arial" w:cs="Arial" w:eastAsia="Arial" w:hAnsi="Arial"/>
          <w:sz w:val="16"/>
          <w:szCs w:val="16"/>
          <w:color w:val="auto"/>
        </w:rPr>
      </w:pPr>
      <w:r>
        <w:rPr>
          <w:rFonts w:ascii="Arial" w:cs="Arial" w:eastAsia="Arial" w:hAnsi="Arial"/>
          <w:sz w:val="16"/>
          <w:szCs w:val="16"/>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23" w:lineRule="exact"/>
        <w:rPr>
          <w:rFonts w:ascii="Arial" w:cs="Arial" w:eastAsia="Arial" w:hAnsi="Arial"/>
          <w:sz w:val="16"/>
          <w:szCs w:val="16"/>
          <w:color w:val="auto"/>
        </w:rPr>
      </w:pPr>
    </w:p>
    <w:p>
      <w:pPr>
        <w:jc w:val="both"/>
        <w:ind w:left="4" w:right="400" w:firstLine="645"/>
        <w:spacing w:after="0" w:line="342" w:lineRule="auto"/>
        <w:tabs>
          <w:tab w:leader="none" w:pos="1308"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lapse or abandonment of intellectual property rights in the ordinary course of business which, in the reasonable good faith determination of the Borrower, are not material to the conduct of the business of the Borrower and its Restricted Subsidiaries taken as a whole;</w:t>
      </w:r>
    </w:p>
    <w:p>
      <w:pPr>
        <w:spacing w:after="0" w:line="123" w:lineRule="exact"/>
        <w:rPr>
          <w:rFonts w:ascii="Arial" w:cs="Arial" w:eastAsia="Arial" w:hAnsi="Arial"/>
          <w:sz w:val="16"/>
          <w:szCs w:val="16"/>
          <w:color w:val="auto"/>
        </w:rPr>
      </w:pPr>
    </w:p>
    <w:p>
      <w:pPr>
        <w:ind w:left="4" w:right="40" w:firstLine="645"/>
        <w:spacing w:after="0" w:line="291" w:lineRule="auto"/>
        <w:tabs>
          <w:tab w:leader="none" w:pos="1308" w:val="left"/>
        </w:tabs>
        <w:numPr>
          <w:ilvl w:val="1"/>
          <w:numId w:val="277"/>
        </w:numPr>
        <w:rPr>
          <w:rFonts w:ascii="Arial" w:cs="Arial" w:eastAsia="Arial" w:hAnsi="Arial"/>
          <w:sz w:val="16"/>
          <w:szCs w:val="16"/>
          <w:color w:val="auto"/>
        </w:rPr>
      </w:pPr>
      <w:r>
        <w:rPr>
          <w:rFonts w:ascii="Arial" w:cs="Arial" w:eastAsia="Arial" w:hAnsi="Arial"/>
          <w:sz w:val="16"/>
          <w:szCs w:val="16"/>
          <w:color w:val="auto"/>
        </w:rPr>
        <w:t>(1) Dispositions in which the Borrower or such Restricted Subsidiary, as the case may be, receives consideration at the time of such Disposition at least equal to the fair market value (as determined in good faith by the Borrower) of the assets sold or otherwise disposed of; and</w:t>
      </w:r>
    </w:p>
    <w:p>
      <w:pPr>
        <w:ind w:left="4" w:right="120" w:hanging="4"/>
        <w:spacing w:after="0" w:line="261" w:lineRule="auto"/>
        <w:tabs>
          <w:tab w:leader="none" w:pos="25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except in the case of a Permitted Asset Swap, at least 75% of the consideration therefor received by the Borrower or such Restricted Subsidiary, as the case may be, is in the form of cash or Cash Equivalents;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w:t>
      </w:r>
    </w:p>
    <w:p>
      <w:pPr>
        <w:spacing w:after="0" w:line="183" w:lineRule="exact"/>
        <w:rPr>
          <w:rFonts w:ascii="Arial" w:cs="Arial" w:eastAsia="Arial" w:hAnsi="Arial"/>
          <w:sz w:val="18"/>
          <w:szCs w:val="18"/>
          <w:color w:val="auto"/>
        </w:rPr>
      </w:pPr>
    </w:p>
    <w:p>
      <w:pPr>
        <w:ind w:left="644" w:right="20" w:firstLine="653"/>
        <w:spacing w:after="0" w:line="272" w:lineRule="auto"/>
        <w:tabs>
          <w:tab w:leader="none" w:pos="1962" w:val="left"/>
        </w:tabs>
        <w:numPr>
          <w:ilvl w:val="2"/>
          <w:numId w:val="278"/>
        </w:numPr>
        <w:rPr>
          <w:rFonts w:ascii="Arial" w:cs="Arial" w:eastAsia="Arial" w:hAnsi="Arial"/>
          <w:sz w:val="17"/>
          <w:szCs w:val="17"/>
          <w:color w:val="auto"/>
        </w:rPr>
      </w:pPr>
      <w:r>
        <w:rPr>
          <w:rFonts w:ascii="Arial" w:cs="Arial" w:eastAsia="Arial" w:hAnsi="Arial"/>
          <w:sz w:val="17"/>
          <w:szCs w:val="17"/>
          <w:color w:val="auto"/>
        </w:rPr>
        <w:t>any liabilities (as shown on the Borrower’s or such Restricted Subsidiary’s most recent consolidated balance sheet or in the footnotes thereto, or if incurred or accrued subsequent to the date of such balance sheet, such liabilities that would have been reflected on the Borrower’s consolidated balance sheet or in the footnotes thereto if such incurrence or accrual had taken place on or prior to the date of such balance sheet, as determined in good faith by the Borrower) of the Borrower or such Restricted Subsidiary, other than liabilities that are by their terms subordinated to the Obligations, that are assumed by the transferee of any such assets (or are otherwise extinguished by the transferee in connection with the transactions relating to such Disposition) and for which the Borrower and all such Restricted Subsidiaries have been validly released by all applicable creditors in writing,</w:t>
      </w:r>
    </w:p>
    <w:p>
      <w:pPr>
        <w:spacing w:after="0" w:line="177" w:lineRule="exact"/>
        <w:rPr>
          <w:rFonts w:ascii="Arial" w:cs="Arial" w:eastAsia="Arial" w:hAnsi="Arial"/>
          <w:sz w:val="17"/>
          <w:szCs w:val="17"/>
          <w:color w:val="auto"/>
        </w:rPr>
      </w:pPr>
    </w:p>
    <w:p>
      <w:pPr>
        <w:ind w:left="644" w:right="400" w:firstLine="653"/>
        <w:spacing w:after="0" w:line="264" w:lineRule="auto"/>
        <w:tabs>
          <w:tab w:leader="none" w:pos="1971" w:val="left"/>
        </w:tabs>
        <w:numPr>
          <w:ilvl w:val="2"/>
          <w:numId w:val="278"/>
        </w:numPr>
        <w:rPr>
          <w:rFonts w:ascii="Arial" w:cs="Arial" w:eastAsia="Arial" w:hAnsi="Arial"/>
          <w:sz w:val="18"/>
          <w:szCs w:val="18"/>
          <w:color w:val="auto"/>
        </w:rPr>
      </w:pPr>
      <w:r>
        <w:rPr>
          <w:rFonts w:ascii="Arial" w:cs="Arial" w:eastAsia="Arial" w:hAnsi="Arial"/>
          <w:sz w:val="18"/>
          <w:szCs w:val="18"/>
          <w:color w:val="auto"/>
        </w:rPr>
        <w:t>any securities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w:t>
      </w:r>
    </w:p>
    <w:p>
      <w:pPr>
        <w:spacing w:after="0" w:line="18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received), in each case, within 180 days following the closing of such Disposition, and</w:t>
      </w:r>
    </w:p>
    <w:p>
      <w:pPr>
        <w:spacing w:after="0" w:line="225" w:lineRule="exact"/>
        <w:rPr>
          <w:sz w:val="20"/>
          <w:szCs w:val="20"/>
          <w:color w:val="auto"/>
        </w:rPr>
      </w:pPr>
    </w:p>
    <w:p>
      <w:pPr>
        <w:ind w:left="644" w:right="300" w:firstLine="653"/>
        <w:spacing w:after="0" w:line="288" w:lineRule="auto"/>
        <w:tabs>
          <w:tab w:leader="none" w:pos="1981"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any Designated Non-cash Consideration received by the Borrower or such Restricted Subsidiary in such Disposition having an aggregate fair market value (as determined in good faith by the Borrower), taken together with all other Designated Non-cash Consideration received pursuant to this clause (iii) that is at that time outstanding, not to exceed the greater of (x) $300,000,000 and</w:t>
      </w:r>
    </w:p>
    <w:p>
      <w:pPr>
        <w:ind w:left="644" w:firstLine="5"/>
        <w:spacing w:after="0" w:line="255" w:lineRule="auto"/>
        <w:tabs>
          <w:tab w:leader="none" w:pos="89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2.50% of Total Assets at the time of the receipt of such Designated Non-cash Consideration, with the fair market value (as determined in good faith by the Borrower) of each item of Designated Non-cash Consideration being measured at the time received and without giving effect to subsequent changes in value,</w:t>
      </w:r>
    </w:p>
    <w:p>
      <w:pPr>
        <w:spacing w:after="0" w:line="19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shall be deemed to be cash for purposes of clause (2) above and for no other purpose; and</w:t>
      </w:r>
    </w:p>
    <w:p>
      <w:pPr>
        <w:spacing w:after="0" w:line="225" w:lineRule="exact"/>
        <w:rPr>
          <w:sz w:val="20"/>
          <w:szCs w:val="20"/>
          <w:color w:val="auto"/>
        </w:rPr>
      </w:pPr>
    </w:p>
    <w:p>
      <w:pPr>
        <w:ind w:left="1304" w:hanging="655"/>
        <w:spacing w:after="0"/>
        <w:tabs>
          <w:tab w:leader="none" w:pos="13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disposition of any Equity Interests constituting Margin Stock or Amber Holding Equity Interests.</w:t>
      </w:r>
    </w:p>
    <w:p>
      <w:pPr>
        <w:spacing w:after="0" w:line="225"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Section 7.05</w:t>
      </w:r>
      <w:r>
        <w:rPr>
          <w:rFonts w:ascii="Arial" w:cs="Arial" w:eastAsia="Arial" w:hAnsi="Arial"/>
          <w:sz w:val="15"/>
          <w:szCs w:val="15"/>
          <w:u w:val="single" w:color="auto"/>
          <w:color w:val="auto"/>
        </w:rPr>
        <w:t>Restricted Payments.</w:t>
      </w:r>
    </w:p>
    <w:p>
      <w:pPr>
        <w:sectPr>
          <w:pgSz w:w="11900" w:h="16874" w:orient="portrait"/>
          <w:cols w:equalWidth="0" w:num="1">
            <w:col w:w="10744"/>
          </w:cols>
          <w:pgMar w:left="896" w:top="125" w:right="259" w:bottom="0" w:gutter="0" w:footer="0" w:header="0"/>
        </w:sectPr>
      </w:pPr>
    </w:p>
    <w:bookmarkStart w:id="87" w:name="page88"/>
    <w:bookmarkEnd w:id="87"/>
    <w:p>
      <w:pPr>
        <w:ind w:left="-8" w:firstLine="1305"/>
        <w:spacing w:after="0" w:line="283" w:lineRule="auto"/>
        <w:tabs>
          <w:tab w:leader="none" w:pos="1934" w:val="left"/>
        </w:tabs>
        <w:numPr>
          <w:ilvl w:val="1"/>
          <w:numId w:val="282"/>
        </w:numPr>
        <w:rPr>
          <w:rFonts w:ascii="Arial" w:cs="Arial" w:eastAsia="Arial" w:hAnsi="Arial"/>
          <w:sz w:val="16"/>
          <w:szCs w:val="16"/>
          <w:color w:val="auto"/>
        </w:rPr>
      </w:pPr>
      <w:r>
        <w:rPr>
          <w:rFonts w:ascii="Arial" w:cs="Arial" w:eastAsia="Arial" w:hAnsi="Arial"/>
          <w:sz w:val="16"/>
          <w:szCs w:val="16"/>
          <w:color w:val="auto"/>
        </w:rPr>
        <w:t>The Borrower will not, and will not permit any of its Restricted Subsidiaries to, directly or indirectly, (I) declare or pay any dividend or make any payment or distribution on account of the Borrower’s or any of its Restricted Subsidiaries’ Equity Interests, including any dividend or distribution payable in connection with any merger or consolidation other than (x) dividends or distributions payable by the Borrower solely in Equity Interests (other than Disqualified Stock) of the Borrower, or (y) dividends or distributions by a Restricted Subsidiary so long as, in the case of any dividend or distribution payable on or in respect of any class or series of securities issued by a Restricted Subsidiary other than a Wholly-Owned Subsidiary, the Borrower or a Restricted Subsidiary receives at least its pro rata share of such dividend or distribution in accordance with its Equity Interests in such class or series of securities; (II) purchase, redeem, defease or otherwise acquire or retire for value any Equity Interests of the Borrower, including in connection with any merger or consolidation; (III) make any principal payment on, or redeem, repurchase, defease or otherwise acquire or retire for value in each case, prior to any scheduled repayment, sinking fund payment or maturity, any Subordinated Indebtedness other than (x) Indebtedness permitted under Section 7.02(b)(7); or</w:t>
      </w:r>
    </w:p>
    <w:p>
      <w:pPr>
        <w:spacing w:after="0" w:line="6" w:lineRule="exact"/>
        <w:rPr>
          <w:rFonts w:ascii="Arial" w:cs="Arial" w:eastAsia="Arial" w:hAnsi="Arial"/>
          <w:sz w:val="16"/>
          <w:szCs w:val="16"/>
          <w:color w:val="auto"/>
        </w:rPr>
      </w:pPr>
    </w:p>
    <w:p>
      <w:pPr>
        <w:ind w:left="-8" w:right="140" w:firstLine="8"/>
        <w:spacing w:after="0" w:line="254" w:lineRule="auto"/>
        <w:tabs>
          <w:tab w:leader="none" w:pos="2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purchase, repurchase or other acquisition of Subordinated Indebtedness purchased in anticipation of satisfying a sinking fund obligation, principal installment or final maturity, in each case due within one year of the date of purchase, repurchase or acquisition; or (IV) make any Restricted Investment (all such payments and other actions set forth in clauses (I) through (IV) above being collectively referred to as “</w:t>
      </w:r>
      <w:r>
        <w:rPr>
          <w:rFonts w:ascii="Arial" w:cs="Arial" w:eastAsia="Arial" w:hAnsi="Arial"/>
          <w:sz w:val="18"/>
          <w:szCs w:val="18"/>
          <w:b w:val="1"/>
          <w:bCs w:val="1"/>
          <w:color w:val="auto"/>
        </w:rPr>
        <w:t>Restricted Payments</w:t>
      </w:r>
      <w:r>
        <w:rPr>
          <w:rFonts w:ascii="Arial" w:cs="Arial" w:eastAsia="Arial" w:hAnsi="Arial"/>
          <w:sz w:val="18"/>
          <w:szCs w:val="18"/>
          <w:color w:val="auto"/>
        </w:rPr>
        <w:t>”), unless, at the time of such Restricted Payment:</w:t>
      </w:r>
    </w:p>
    <w:p>
      <w:pPr>
        <w:spacing w:after="0" w:line="190" w:lineRule="exact"/>
        <w:rPr>
          <w:sz w:val="20"/>
          <w:szCs w:val="20"/>
          <w:color w:val="auto"/>
        </w:rPr>
      </w:pPr>
    </w:p>
    <w:p>
      <w:pPr>
        <w:ind w:left="5572" w:right="2900" w:hanging="4275"/>
        <w:spacing w:after="0" w:line="528" w:lineRule="auto"/>
        <w:tabs>
          <w:tab w:leader="none" w:pos="1953" w:val="left"/>
        </w:tabs>
        <w:numPr>
          <w:ilvl w:val="0"/>
          <w:numId w:val="284"/>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occur as a consequence thereof; 133</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52" w:right="20" w:firstLine="645"/>
        <w:spacing w:after="0" w:line="277" w:lineRule="auto"/>
        <w:tabs>
          <w:tab w:leader="none" w:pos="195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such transaction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the Borrower could incur $1.00 of additional Indebtedness pursuant to the Fixed Charge Coverage Ratio test set forth in Section 7.02(a); and</w:t>
      </w:r>
    </w:p>
    <w:p>
      <w:pPr>
        <w:spacing w:after="0" w:line="170" w:lineRule="exact"/>
        <w:rPr>
          <w:rFonts w:ascii="Arial" w:cs="Arial" w:eastAsia="Arial" w:hAnsi="Arial"/>
          <w:sz w:val="18"/>
          <w:szCs w:val="18"/>
          <w:color w:val="auto"/>
        </w:rPr>
      </w:pPr>
    </w:p>
    <w:p>
      <w:pPr>
        <w:ind w:left="652" w:right="260" w:firstLine="645"/>
        <w:spacing w:after="0" w:line="259" w:lineRule="auto"/>
        <w:tabs>
          <w:tab w:leader="none" w:pos="195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Borrower and its Restricted Subsidiaries after the Closing Date (including Restricted Payments permitted by Section 7.05(b)(1), (2) (with respect to the payment of dividends on Refunding Capital Stock pursuant to clause (b) thereof only), (8) and (12), but excluding all other Restricted Payments permitted by Section 7.05(b)), is less than the sum of (without duplication):</w:t>
      </w:r>
    </w:p>
    <w:p>
      <w:pPr>
        <w:spacing w:after="0" w:line="186" w:lineRule="exact"/>
        <w:rPr>
          <w:rFonts w:ascii="Arial" w:cs="Arial" w:eastAsia="Arial" w:hAnsi="Arial"/>
          <w:sz w:val="18"/>
          <w:szCs w:val="18"/>
          <w:color w:val="auto"/>
        </w:rPr>
      </w:pPr>
    </w:p>
    <w:p>
      <w:pPr>
        <w:ind w:left="1292" w:right="40" w:firstLine="653"/>
        <w:spacing w:after="0" w:line="286" w:lineRule="auto"/>
        <w:tabs>
          <w:tab w:leader="none" w:pos="2609" w:val="left"/>
        </w:tabs>
        <w:numPr>
          <w:ilvl w:val="1"/>
          <w:numId w:val="284"/>
        </w:numPr>
        <w:rPr>
          <w:rFonts w:ascii="Arial" w:cs="Arial" w:eastAsia="Arial" w:hAnsi="Arial"/>
          <w:sz w:val="17"/>
          <w:szCs w:val="17"/>
          <w:color w:val="auto"/>
        </w:rPr>
      </w:pPr>
      <w:r>
        <w:rPr>
          <w:rFonts w:ascii="Arial" w:cs="Arial" w:eastAsia="Arial" w:hAnsi="Arial"/>
          <w:sz w:val="17"/>
          <w:szCs w:val="17"/>
          <w:color w:val="auto"/>
        </w:rPr>
        <w:t xml:space="preserve">50% of the Consolidated Net Income of the Borrower for the period (taken as one accounting period) beginning July 1, 2013 to the end of the Borrower’s most recently ended fiscal quarter for which internal financial statements are available at the time of such Restricted Payment or, in the case such Consolidated Net Income for such period is a deficit, minus 100% of such deficit; </w:t>
      </w:r>
      <w:r>
        <w:rPr>
          <w:rFonts w:ascii="Arial" w:cs="Arial" w:eastAsia="Arial" w:hAnsi="Arial"/>
          <w:sz w:val="17"/>
          <w:szCs w:val="17"/>
          <w:i w:val="1"/>
          <w:iCs w:val="1"/>
          <w:color w:val="auto"/>
        </w:rPr>
        <w:t>plus</w:t>
      </w:r>
    </w:p>
    <w:p>
      <w:pPr>
        <w:spacing w:after="0" w:line="165" w:lineRule="exact"/>
        <w:rPr>
          <w:rFonts w:ascii="Arial" w:cs="Arial" w:eastAsia="Arial" w:hAnsi="Arial"/>
          <w:sz w:val="17"/>
          <w:szCs w:val="17"/>
          <w:color w:val="auto"/>
        </w:rPr>
      </w:pPr>
    </w:p>
    <w:p>
      <w:pPr>
        <w:ind w:left="1292" w:right="500" w:firstLine="653"/>
        <w:spacing w:after="0" w:line="342" w:lineRule="auto"/>
        <w:tabs>
          <w:tab w:leader="none" w:pos="2599" w:val="left"/>
        </w:tabs>
        <w:numPr>
          <w:ilvl w:val="1"/>
          <w:numId w:val="284"/>
        </w:numPr>
        <w:rPr>
          <w:rFonts w:ascii="Arial" w:cs="Arial" w:eastAsia="Arial" w:hAnsi="Arial"/>
          <w:sz w:val="16"/>
          <w:szCs w:val="16"/>
          <w:color w:val="auto"/>
        </w:rPr>
      </w:pPr>
      <w:r>
        <w:rPr>
          <w:rFonts w:ascii="Arial" w:cs="Arial" w:eastAsia="Arial" w:hAnsi="Arial"/>
          <w:sz w:val="16"/>
          <w:szCs w:val="16"/>
          <w:color w:val="auto"/>
        </w:rPr>
        <w:t>100% of the aggregate net cash proceeds and the fair market value, as determined in good faith by the Borrower, of marketable securities or other property received by the Borrower since immediately after the Closing Date from the issue or sale of:</w:t>
      </w:r>
    </w:p>
    <w:p>
      <w:pPr>
        <w:spacing w:after="0" w:line="123" w:lineRule="exact"/>
        <w:rPr>
          <w:rFonts w:ascii="Arial" w:cs="Arial" w:eastAsia="Arial" w:hAnsi="Arial"/>
          <w:sz w:val="16"/>
          <w:szCs w:val="16"/>
          <w:color w:val="auto"/>
        </w:rPr>
      </w:pPr>
    </w:p>
    <w:p>
      <w:pPr>
        <w:ind w:left="1952" w:right="300" w:firstLine="641"/>
        <w:spacing w:after="0" w:line="342" w:lineRule="auto"/>
        <w:tabs>
          <w:tab w:leader="none" w:pos="3270" w:val="left"/>
        </w:tabs>
        <w:numPr>
          <w:ilvl w:val="2"/>
          <w:numId w:val="284"/>
        </w:numPr>
        <w:rPr>
          <w:rFonts w:ascii="Arial" w:cs="Arial" w:eastAsia="Arial" w:hAnsi="Arial"/>
          <w:sz w:val="16"/>
          <w:szCs w:val="16"/>
          <w:color w:val="auto"/>
        </w:rPr>
      </w:pPr>
      <w:r>
        <w:rPr>
          <w:rFonts w:ascii="Arial" w:cs="Arial" w:eastAsia="Arial" w:hAnsi="Arial"/>
          <w:sz w:val="16"/>
          <w:szCs w:val="16"/>
          <w:color w:val="auto"/>
        </w:rPr>
        <w:t>Equity Interests of the Borrower, including Treasury Capital Stock, but excluding cash proceeds and the fair market value, as determined in good faith by the Borrower, of marketable securities or other property received from the sale of:</w:t>
      </w:r>
    </w:p>
    <w:p>
      <w:pPr>
        <w:spacing w:after="0" w:line="123" w:lineRule="exact"/>
        <w:rPr>
          <w:rFonts w:ascii="Arial" w:cs="Arial" w:eastAsia="Arial" w:hAnsi="Arial"/>
          <w:sz w:val="16"/>
          <w:szCs w:val="16"/>
          <w:color w:val="auto"/>
        </w:rPr>
      </w:pPr>
    </w:p>
    <w:p>
      <w:pPr>
        <w:ind w:left="2592" w:right="120" w:firstLine="649"/>
        <w:spacing w:after="0" w:line="264" w:lineRule="auto"/>
        <w:tabs>
          <w:tab w:leader="none" w:pos="3896" w:val="left"/>
        </w:tabs>
        <w:numPr>
          <w:ilvl w:val="3"/>
          <w:numId w:val="284"/>
        </w:numPr>
        <w:rPr>
          <w:rFonts w:ascii="Arial" w:cs="Arial" w:eastAsia="Arial" w:hAnsi="Arial"/>
          <w:sz w:val="18"/>
          <w:szCs w:val="18"/>
          <w:color w:val="auto"/>
        </w:rPr>
      </w:pPr>
      <w:r>
        <w:rPr>
          <w:rFonts w:ascii="Arial" w:cs="Arial" w:eastAsia="Arial" w:hAnsi="Arial"/>
          <w:sz w:val="18"/>
          <w:szCs w:val="18"/>
          <w:color w:val="auto"/>
        </w:rPr>
        <w:t>Equity Interests to members of management, directors or consultants of the Borrower after the Closing Date to the extent such amounts have been applied to Restricted Payments made in accordance with Section 7.05(b)(4); and</w:t>
      </w:r>
    </w:p>
    <w:p>
      <w:pPr>
        <w:spacing w:after="0" w:line="181" w:lineRule="exact"/>
        <w:rPr>
          <w:rFonts w:ascii="Arial" w:cs="Arial" w:eastAsia="Arial" w:hAnsi="Arial"/>
          <w:sz w:val="18"/>
          <w:szCs w:val="18"/>
          <w:color w:val="auto"/>
        </w:rPr>
      </w:pPr>
    </w:p>
    <w:p>
      <w:pPr>
        <w:ind w:left="3892" w:hanging="651"/>
        <w:spacing w:after="0"/>
        <w:tabs>
          <w:tab w:leader="none" w:pos="3892" w:val="left"/>
        </w:tabs>
        <w:numPr>
          <w:ilvl w:val="3"/>
          <w:numId w:val="284"/>
        </w:numPr>
        <w:rPr>
          <w:rFonts w:ascii="Arial" w:cs="Arial" w:eastAsia="Arial" w:hAnsi="Arial"/>
          <w:sz w:val="18"/>
          <w:szCs w:val="18"/>
          <w:color w:val="auto"/>
        </w:rPr>
      </w:pPr>
      <w:r>
        <w:rPr>
          <w:rFonts w:ascii="Arial" w:cs="Arial" w:eastAsia="Arial" w:hAnsi="Arial"/>
          <w:sz w:val="18"/>
          <w:szCs w:val="18"/>
          <w:color w:val="auto"/>
        </w:rPr>
        <w:t>Designated Preferred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-3528060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1952" w:right="200" w:firstLine="641"/>
        <w:spacing w:after="0" w:line="277" w:lineRule="auto"/>
        <w:tabs>
          <w:tab w:leader="none" w:pos="327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debt securities of the Borrower or a Restricted Subsidiary that have been converted into or exchanged for such Equity Interests of the Borrower;</w:t>
      </w:r>
    </w:p>
    <w:p>
      <w:pPr>
        <w:spacing w:after="0" w:line="170" w:lineRule="exact"/>
        <w:rPr>
          <w:sz w:val="20"/>
          <w:szCs w:val="20"/>
          <w:color w:val="auto"/>
        </w:rPr>
      </w:pPr>
    </w:p>
    <w:p>
      <w:pPr>
        <w:ind w:left="1292" w:right="6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Section 7.05(a)(3)(B) shall not include the proceeds from (W) Refunding Capital Stock, (X) Equity Interests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convertible debt securities of the Borrower sold to a Restricted Subsidiary or (Y) Disqualified Stock or debt securities that have been converted or exchanged into Disqualified Stock; </w:t>
      </w:r>
      <w:r>
        <w:rPr>
          <w:rFonts w:ascii="Arial" w:cs="Arial" w:eastAsia="Arial" w:hAnsi="Arial"/>
          <w:sz w:val="18"/>
          <w:szCs w:val="18"/>
          <w:i w:val="1"/>
          <w:iCs w:val="1"/>
          <w:color w:val="auto"/>
        </w:rPr>
        <w:t>plus</w:t>
      </w:r>
    </w:p>
    <w:p>
      <w:pPr>
        <w:spacing w:after="0" w:line="181" w:lineRule="exact"/>
        <w:rPr>
          <w:sz w:val="20"/>
          <w:szCs w:val="20"/>
          <w:color w:val="auto"/>
        </w:rPr>
      </w:pPr>
    </w:p>
    <w:p>
      <w:pPr>
        <w:ind w:left="1292" w:right="680" w:firstLine="653"/>
        <w:spacing w:after="0" w:line="277" w:lineRule="auto"/>
        <w:tabs>
          <w:tab w:leader="none" w:pos="259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100% of the aggregate amount of cash and the fair market value, as determined in good faith by the Borrower, of marketable securities or other property</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 xml:space="preserve">contributed to the capital of the Borrower following the Closing Date (other than by a Restricted Subsidiary); </w:t>
      </w:r>
      <w:r>
        <w:rPr>
          <w:rFonts w:ascii="Arial" w:cs="Arial" w:eastAsia="Arial" w:hAnsi="Arial"/>
          <w:sz w:val="18"/>
          <w:szCs w:val="18"/>
          <w:i w:val="1"/>
          <w:iCs w:val="1"/>
          <w:color w:val="auto"/>
        </w:rPr>
        <w:t>plus</w:t>
      </w:r>
    </w:p>
    <w:p>
      <w:pPr>
        <w:spacing w:after="0" w:line="225" w:lineRule="exact"/>
        <w:rPr>
          <w:sz w:val="20"/>
          <w:szCs w:val="20"/>
          <w:color w:val="auto"/>
        </w:rPr>
      </w:pPr>
    </w:p>
    <w:p>
      <w:pPr>
        <w:ind w:left="1292" w:right="20" w:firstLine="653"/>
        <w:spacing w:after="0" w:line="277" w:lineRule="auto"/>
        <w:tabs>
          <w:tab w:leader="none" w:pos="2609" w:val="left"/>
        </w:tabs>
        <w:numPr>
          <w:ilvl w:val="0"/>
          <w:numId w:val="287"/>
        </w:numPr>
        <w:rPr>
          <w:rFonts w:ascii="Arial" w:cs="Arial" w:eastAsia="Arial" w:hAnsi="Arial"/>
          <w:sz w:val="18"/>
          <w:szCs w:val="18"/>
          <w:color w:val="auto"/>
        </w:rPr>
      </w:pPr>
      <w:r>
        <w:rPr>
          <w:rFonts w:ascii="Arial" w:cs="Arial" w:eastAsia="Arial" w:hAnsi="Arial"/>
          <w:sz w:val="18"/>
          <w:szCs w:val="18"/>
          <w:color w:val="auto"/>
        </w:rPr>
        <w:t>100% of the aggregate amount received in cash and the fair market value, as determined in good faith by the Borrower, of marketable securities or other property received by means of:</w:t>
      </w:r>
    </w:p>
    <w:p>
      <w:pPr>
        <w:spacing w:after="0" w:line="170" w:lineRule="exact"/>
        <w:rPr>
          <w:rFonts w:ascii="Arial" w:cs="Arial" w:eastAsia="Arial" w:hAnsi="Arial"/>
          <w:sz w:val="18"/>
          <w:szCs w:val="18"/>
          <w:color w:val="auto"/>
        </w:rPr>
      </w:pPr>
    </w:p>
    <w:p>
      <w:pPr>
        <w:ind w:left="1952" w:right="300" w:firstLine="641"/>
        <w:spacing w:after="0" w:line="302" w:lineRule="auto"/>
        <w:tabs>
          <w:tab w:leader="none" w:pos="327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the sale or other disposition (other than to the Borrower or a Restricted Subsidiary) of Restricted Investments made by the Borrower or its Restricted Subsidiaries and repurchases and redemptions of such Restricted Investments from the Borrower or its Restricted Subsidiaries and repayments of loans or advances, and releases of guarantees, which constitute Restricted Investments by the Borrower or its Restricted Subsidiaries, in each case after the Closing Date; or</w:t>
      </w:r>
    </w:p>
    <w:p>
      <w:pPr>
        <w:spacing w:after="0" w:line="154" w:lineRule="exact"/>
        <w:rPr>
          <w:rFonts w:ascii="Arial" w:cs="Arial" w:eastAsia="Arial" w:hAnsi="Arial"/>
          <w:sz w:val="16"/>
          <w:szCs w:val="16"/>
          <w:color w:val="auto"/>
        </w:rPr>
      </w:pPr>
    </w:p>
    <w:p>
      <w:pPr>
        <w:ind w:left="3272" w:hanging="679"/>
        <w:spacing w:after="0"/>
        <w:tabs>
          <w:tab w:leader="none" w:pos="3272" w:val="left"/>
        </w:tabs>
        <w:numPr>
          <w:ilvl w:val="1"/>
          <w:numId w:val="287"/>
        </w:numPr>
        <w:rPr>
          <w:rFonts w:ascii="Arial" w:cs="Arial" w:eastAsia="Arial" w:hAnsi="Arial"/>
          <w:sz w:val="16"/>
          <w:szCs w:val="16"/>
          <w:color w:val="auto"/>
        </w:rPr>
      </w:pPr>
      <w:r>
        <w:rPr>
          <w:rFonts w:ascii="Arial" w:cs="Arial" w:eastAsia="Arial" w:hAnsi="Arial"/>
          <w:sz w:val="16"/>
          <w:szCs w:val="16"/>
          <w:color w:val="auto"/>
        </w:rPr>
        <w:t xml:space="preserve">the sale (other than to the Borrower or a Restricted Subsidiary) of the stock of an Unrestricted Subsidiary; </w:t>
      </w:r>
      <w:r>
        <w:rPr>
          <w:rFonts w:ascii="Arial" w:cs="Arial" w:eastAsia="Arial" w:hAnsi="Arial"/>
          <w:sz w:val="16"/>
          <w:szCs w:val="16"/>
          <w:i w:val="1"/>
          <w:iCs w:val="1"/>
          <w:color w:val="auto"/>
        </w:rPr>
        <w:t>plus</w:t>
      </w:r>
    </w:p>
    <w:p>
      <w:pPr>
        <w:spacing w:after="0" w:line="248" w:lineRule="exact"/>
        <w:rPr>
          <w:rFonts w:ascii="Arial" w:cs="Arial" w:eastAsia="Arial" w:hAnsi="Arial"/>
          <w:sz w:val="16"/>
          <w:szCs w:val="16"/>
          <w:color w:val="auto"/>
        </w:rPr>
      </w:pPr>
    </w:p>
    <w:p>
      <w:pPr>
        <w:jc w:val="both"/>
        <w:ind w:left="1292" w:right="80" w:firstLine="653"/>
        <w:spacing w:after="0" w:line="279" w:lineRule="auto"/>
        <w:tabs>
          <w:tab w:leader="none" w:pos="2602" w:val="left"/>
        </w:tabs>
        <w:numPr>
          <w:ilvl w:val="0"/>
          <w:numId w:val="287"/>
        </w:numPr>
        <w:rPr>
          <w:rFonts w:ascii="Arial" w:cs="Arial" w:eastAsia="Arial" w:hAnsi="Arial"/>
          <w:sz w:val="17"/>
          <w:szCs w:val="17"/>
          <w:color w:val="auto"/>
        </w:rPr>
      </w:pPr>
      <w:r>
        <w:rPr>
          <w:rFonts w:ascii="Arial" w:cs="Arial" w:eastAsia="Arial" w:hAnsi="Arial"/>
          <w:sz w:val="17"/>
          <w:szCs w:val="17"/>
          <w:color w:val="auto"/>
        </w:rPr>
        <w:t>in the case of the redesignation of an Unrestricted Subsidiary as a Restricted Subsidiary after the Closing Date, the fair market value of the Investment in such Unrestricted Subsidiary, as determined by the Borrower in good faith or if such fair market value may exceed $100,000,000, in writing by an Independent Financial Advisor, at the time of the redesignation of such Unrestricted Subsidiary as a Restricted Subsidiary other than to the extent such Investment constituted a Permitted Investment.</w:t>
      </w:r>
    </w:p>
    <w:p>
      <w:pPr>
        <w:sectPr>
          <w:pgSz w:w="11900" w:h="16838" w:orient="portrait"/>
          <w:cols w:equalWidth="0" w:num="1">
            <w:col w:w="11412"/>
          </w:cols>
          <w:pgMar w:left="248" w:top="341" w:right="239" w:bottom="0" w:gutter="0" w:footer="0" w:header="0"/>
        </w:sectPr>
      </w:pPr>
    </w:p>
    <w:bookmarkStart w:id="88" w:name="page89"/>
    <w:bookmarkEnd w:id="88"/>
    <w:p>
      <w:pPr>
        <w:spacing w:after="0" w:line="90" w:lineRule="exact"/>
        <w:rPr>
          <w:sz w:val="20"/>
          <w:szCs w:val="20"/>
          <w:color w:val="auto"/>
        </w:rPr>
      </w:pPr>
    </w:p>
    <w:p>
      <w:pPr>
        <w:ind w:left="1304" w:hanging="655"/>
        <w:spacing w:after="0"/>
        <w:tabs>
          <w:tab w:leader="none" w:pos="130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foregoing provisions of Section 7.05(a) will not prohibit:</w:t>
      </w:r>
    </w:p>
    <w:p>
      <w:pPr>
        <w:spacing w:after="0" w:line="225" w:lineRule="exact"/>
        <w:rPr>
          <w:sz w:val="20"/>
          <w:szCs w:val="20"/>
          <w:color w:val="auto"/>
        </w:rPr>
      </w:pPr>
    </w:p>
    <w:p>
      <w:pPr>
        <w:ind w:left="4" w:right="220" w:firstLine="645"/>
        <w:spacing w:after="0" w:line="259" w:lineRule="auto"/>
        <w:tabs>
          <w:tab w:leader="none" w:pos="130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 as if it were and is deemed at such time to be a Restricted Payment at the time of such notice;</w:t>
      </w:r>
    </w:p>
    <w:p>
      <w:pPr>
        <w:spacing w:after="0" w:line="186" w:lineRule="exact"/>
        <w:rPr>
          <w:rFonts w:ascii="Arial" w:cs="Arial" w:eastAsia="Arial" w:hAnsi="Arial"/>
          <w:sz w:val="18"/>
          <w:szCs w:val="18"/>
          <w:color w:val="auto"/>
        </w:rPr>
      </w:pPr>
    </w:p>
    <w:p>
      <w:pPr>
        <w:ind w:left="4" w:firstLine="645"/>
        <w:spacing w:after="0" w:line="286" w:lineRule="auto"/>
        <w:tabs>
          <w:tab w:leader="none" w:pos="130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(a) any Restricted Payment in exchange for, or out of the proceeds of the substantially concurrent sale (other than to the Borrower or a Restricted Subsidiary) of, Equity Interests of the Borrower (other than any Disqualified Stock) (“</w:t>
      </w:r>
      <w:r>
        <w:rPr>
          <w:rFonts w:ascii="Arial" w:cs="Arial" w:eastAsia="Arial" w:hAnsi="Arial"/>
          <w:sz w:val="16"/>
          <w:szCs w:val="16"/>
          <w:b w:val="1"/>
          <w:bCs w:val="1"/>
          <w:color w:val="auto"/>
        </w:rPr>
        <w:t>Refunding Capital Stock</w:t>
      </w:r>
      <w:r>
        <w:rPr>
          <w:rFonts w:ascii="Arial" w:cs="Arial" w:eastAsia="Arial" w:hAnsi="Arial"/>
          <w:sz w:val="16"/>
          <w:szCs w:val="16"/>
          <w:color w:val="auto"/>
        </w:rPr>
        <w:t>”), (b) the declaration and payment of dividends on any redeemed, repurchased, retired or otherwise acquired Equity Interests of the Borrower (“</w:t>
      </w:r>
      <w:r>
        <w:rPr>
          <w:rFonts w:ascii="Arial" w:cs="Arial" w:eastAsia="Arial" w:hAnsi="Arial"/>
          <w:sz w:val="16"/>
          <w:szCs w:val="16"/>
          <w:b w:val="1"/>
          <w:bCs w:val="1"/>
          <w:color w:val="auto"/>
        </w:rPr>
        <w:t>Treasury Capital Stock</w:t>
      </w:r>
      <w:r>
        <w:rPr>
          <w:rFonts w:ascii="Arial" w:cs="Arial" w:eastAsia="Arial" w:hAnsi="Arial"/>
          <w:sz w:val="16"/>
          <w:szCs w:val="16"/>
          <w:color w:val="auto"/>
        </w:rPr>
        <w:t>”) out of the proceeds of the substantially concurrent sale (other than to the Borrower or a Restricted Subsidiary) of the Refunding Capital Stock, and</w:t>
      </w:r>
    </w:p>
    <w:p>
      <w:pPr>
        <w:spacing w:after="0" w:line="1" w:lineRule="exact"/>
        <w:rPr>
          <w:rFonts w:ascii="Arial" w:cs="Arial" w:eastAsia="Arial" w:hAnsi="Arial"/>
          <w:sz w:val="16"/>
          <w:szCs w:val="16"/>
          <w:color w:val="auto"/>
        </w:rPr>
      </w:pPr>
    </w:p>
    <w:p>
      <w:pPr>
        <w:ind w:left="244" w:hanging="244"/>
        <w:spacing w:after="0"/>
        <w:tabs>
          <w:tab w:leader="none" w:pos="24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if immediately prior to the retirement of Treasury Capital Stock, the declaration and payment of dividends thereon was permitted under</w:t>
      </w:r>
    </w:p>
    <w:p>
      <w:pPr>
        <w:spacing w:after="0" w:line="21" w:lineRule="exact"/>
        <w:rPr>
          <w:sz w:val="20"/>
          <w:szCs w:val="20"/>
          <w:color w:val="auto"/>
        </w:rPr>
      </w:pPr>
    </w:p>
    <w:p>
      <w:pPr>
        <w:ind w:left="4" w:right="580"/>
        <w:spacing w:after="0" w:line="261" w:lineRule="auto"/>
        <w:rPr>
          <w:sz w:val="20"/>
          <w:szCs w:val="20"/>
          <w:color w:val="auto"/>
        </w:rPr>
      </w:pPr>
      <w:r>
        <w:rPr>
          <w:rFonts w:ascii="Arial" w:cs="Arial" w:eastAsia="Arial" w:hAnsi="Arial"/>
          <w:sz w:val="18"/>
          <w:szCs w:val="18"/>
          <w:color w:val="auto"/>
        </w:rPr>
        <w:t>Section 7.05(b)(6) and not made pursuant to clause (b) above, the declaration and payment of dividends on the Refunding Capital Stock in an aggregate amount per year no greater than the aggregate amount of dividends</w:t>
      </w:r>
    </w:p>
    <w:p>
      <w:pPr>
        <w:spacing w:after="0" w:line="18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 annum that were declarable and payable on such Treasury Capital Stock immediately prior to such retirement;</w:t>
      </w:r>
    </w:p>
    <w:p>
      <w:pPr>
        <w:spacing w:after="0" w:line="225" w:lineRule="exact"/>
        <w:rPr>
          <w:sz w:val="20"/>
          <w:szCs w:val="20"/>
          <w:color w:val="auto"/>
        </w:rPr>
      </w:pPr>
    </w:p>
    <w:p>
      <w:pPr>
        <w:ind w:left="4" w:right="100" w:firstLine="645"/>
        <w:spacing w:after="0" w:line="264" w:lineRule="auto"/>
        <w:tabs>
          <w:tab w:leader="none" w:pos="130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purchase, redemption, defeasance, repurchase or other acquisition or retirement of Subordinated Indebtedness of the Borrower or a Guarantor made by exchange for, or out of the proceeds of the substantially concurrent sale of, new Indebtedness of the Borrower or a Guarantor, as the case may be, which is incurred in compliance with Section 7.02 so long as:</w:t>
      </w:r>
    </w:p>
    <w:p>
      <w:pPr>
        <w:spacing w:after="0" w:line="181" w:lineRule="exact"/>
        <w:rPr>
          <w:rFonts w:ascii="Arial" w:cs="Arial" w:eastAsia="Arial" w:hAnsi="Arial"/>
          <w:sz w:val="18"/>
          <w:szCs w:val="18"/>
          <w:color w:val="auto"/>
        </w:rPr>
      </w:pPr>
    </w:p>
    <w:p>
      <w:pPr>
        <w:ind w:left="644" w:right="140" w:firstLine="653"/>
        <w:spacing w:after="0" w:line="276" w:lineRule="auto"/>
        <w:tabs>
          <w:tab w:leader="none" w:pos="1937" w:val="left"/>
        </w:tabs>
        <w:numPr>
          <w:ilvl w:val="1"/>
          <w:numId w:val="291"/>
        </w:numPr>
        <w:rPr>
          <w:rFonts w:ascii="Arial" w:cs="Arial" w:eastAsia="Arial" w:hAnsi="Arial"/>
          <w:sz w:val="17"/>
          <w:szCs w:val="17"/>
          <w:color w:val="auto"/>
        </w:rPr>
      </w:pPr>
      <w:r>
        <w:rPr>
          <w:rFonts w:ascii="Arial" w:cs="Arial" w:eastAsia="Arial" w:hAnsi="Arial"/>
          <w:sz w:val="17"/>
          <w:szCs w:val="17"/>
          <w:color w:val="auto"/>
        </w:rPr>
        <w:t>the principal amount (or accreted value, if applicable) of such new Indebtedness does not exceed the principal amount of (or accreted value, if applicable), plus any accrued and unpaid interest on, the Subordinated Indebtedness being so purchased, redeemed, defeased, repurchased, acquired or retired for value, plus the amount of any premium required to be paid under the terms of the instrument governing the Subordinated Indebtedness being so purchased, redeemed, defeased, repurchased, acquired or retired and any fees and expenses incurred in connection with the issuance of such new Indebtedness;</w:t>
      </w:r>
    </w:p>
    <w:p>
      <w:pPr>
        <w:spacing w:after="0" w:line="172" w:lineRule="exact"/>
        <w:rPr>
          <w:rFonts w:ascii="Arial" w:cs="Arial" w:eastAsia="Arial" w:hAnsi="Arial"/>
          <w:sz w:val="17"/>
          <w:szCs w:val="17"/>
          <w:color w:val="auto"/>
        </w:rPr>
      </w:pPr>
    </w:p>
    <w:p>
      <w:pPr>
        <w:ind w:left="644" w:right="580" w:firstLine="653"/>
        <w:spacing w:after="0" w:line="342" w:lineRule="auto"/>
        <w:tabs>
          <w:tab w:leader="none" w:pos="1947" w:val="left"/>
        </w:tabs>
        <w:numPr>
          <w:ilvl w:val="1"/>
          <w:numId w:val="291"/>
        </w:numPr>
        <w:rPr>
          <w:rFonts w:ascii="Arial" w:cs="Arial" w:eastAsia="Arial" w:hAnsi="Arial"/>
          <w:sz w:val="16"/>
          <w:szCs w:val="16"/>
          <w:color w:val="auto"/>
        </w:rPr>
      </w:pPr>
      <w:r>
        <w:rPr>
          <w:rFonts w:ascii="Arial" w:cs="Arial" w:eastAsia="Arial" w:hAnsi="Arial"/>
          <w:sz w:val="16"/>
          <w:szCs w:val="16"/>
          <w:color w:val="auto"/>
        </w:rPr>
        <w:t>such new Indebtedness is subordinated to the Loans or the applicable Guarantee at least to the same extent as such Subordinated Indebtedness so purchased, exchanged, redeemed, defeased, repurchased, acquired or retired for value;</w:t>
      </w:r>
    </w:p>
    <w:p>
      <w:pPr>
        <w:spacing w:after="0" w:line="123" w:lineRule="exact"/>
        <w:rPr>
          <w:rFonts w:ascii="Arial" w:cs="Arial" w:eastAsia="Arial" w:hAnsi="Arial"/>
          <w:sz w:val="16"/>
          <w:szCs w:val="16"/>
          <w:color w:val="auto"/>
        </w:rPr>
      </w:pPr>
    </w:p>
    <w:p>
      <w:pPr>
        <w:ind w:left="644" w:right="200" w:firstLine="653"/>
        <w:spacing w:after="0" w:line="308" w:lineRule="auto"/>
        <w:tabs>
          <w:tab w:leader="none" w:pos="1951" w:val="left"/>
        </w:tabs>
        <w:numPr>
          <w:ilvl w:val="1"/>
          <w:numId w:val="291"/>
        </w:numPr>
        <w:rPr>
          <w:rFonts w:ascii="Arial" w:cs="Arial" w:eastAsia="Arial" w:hAnsi="Arial"/>
          <w:sz w:val="17"/>
          <w:szCs w:val="17"/>
          <w:color w:val="auto"/>
        </w:rPr>
      </w:pPr>
      <w:r>
        <w:rPr>
          <w:rFonts w:ascii="Arial" w:cs="Arial" w:eastAsia="Arial" w:hAnsi="Arial"/>
          <w:sz w:val="17"/>
          <w:szCs w:val="17"/>
          <w:color w:val="auto"/>
        </w:rPr>
        <w:t>such new Indebtedness has a final scheduled maturity date equal to or later than the final scheduled maturity date of the Subordinated Indebtedness being so purchased, exchanged, redeemed, defeased, repurchased, acquired or retired; and</w:t>
      </w:r>
    </w:p>
    <w:p>
      <w:pPr>
        <w:spacing w:after="0" w:line="146" w:lineRule="exact"/>
        <w:rPr>
          <w:rFonts w:ascii="Arial" w:cs="Arial" w:eastAsia="Arial" w:hAnsi="Arial"/>
          <w:sz w:val="17"/>
          <w:szCs w:val="17"/>
          <w:color w:val="auto"/>
        </w:rPr>
      </w:pPr>
    </w:p>
    <w:p>
      <w:pPr>
        <w:ind w:left="644" w:right="40" w:firstLine="653"/>
        <w:spacing w:after="0" w:line="342" w:lineRule="auto"/>
        <w:tabs>
          <w:tab w:leader="none" w:pos="1947" w:val="left"/>
        </w:tabs>
        <w:numPr>
          <w:ilvl w:val="1"/>
          <w:numId w:val="291"/>
        </w:numPr>
        <w:rPr>
          <w:rFonts w:ascii="Arial" w:cs="Arial" w:eastAsia="Arial" w:hAnsi="Arial"/>
          <w:sz w:val="16"/>
          <w:szCs w:val="16"/>
          <w:color w:val="auto"/>
        </w:rPr>
      </w:pPr>
      <w:r>
        <w:rPr>
          <w:rFonts w:ascii="Arial" w:cs="Arial" w:eastAsia="Arial" w:hAnsi="Arial"/>
          <w:sz w:val="16"/>
          <w:szCs w:val="16"/>
          <w:color w:val="auto"/>
        </w:rPr>
        <w:t>such new Indebtedness has a Weighted Average Life to Maturity equal to or greater than the remaining Weighted Average Life to Maturity of the Subordinated Indebtedness being so purchased, exchanged, redeemed, defeased, repurchased, acquired or retired;</w:t>
      </w:r>
    </w:p>
    <w:p>
      <w:pPr>
        <w:spacing w:after="0" w:line="123" w:lineRule="exact"/>
        <w:rPr>
          <w:rFonts w:ascii="Arial" w:cs="Arial" w:eastAsia="Arial" w:hAnsi="Arial"/>
          <w:sz w:val="16"/>
          <w:szCs w:val="16"/>
          <w:color w:val="auto"/>
        </w:rPr>
      </w:pPr>
    </w:p>
    <w:p>
      <w:pPr>
        <w:ind w:left="4" w:right="180" w:firstLine="645"/>
        <w:spacing w:after="0" w:line="255" w:lineRule="auto"/>
        <w:tabs>
          <w:tab w:leader="none" w:pos="130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a Restricted Payment to pay for the repurchase, retirement or other acquisition or retirement for value of Equity Interests (other than Disqualified Stock) of the Borrower held by any future, present or former employee, director or consultant of the Borrower or any of its Subsidiaries pursuant to any management equity plan or stock option plan or any other management or employee benefit plan or agreement, or any stock subscription or shareholder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aggregate Restricted Payments made under this Section 7.05(b)(4) do not exceed in any calendar year $25,000,000 (with unused amounts in any calendar year being carried over to succeeding calendar years subject to a maximum of $50,000,000 in any calendar year);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amount in any calendar year may be increased by an amount not to exceed:</w:t>
      </w:r>
    </w:p>
    <w:p>
      <w:pPr>
        <w:spacing w:after="0" w:line="189" w:lineRule="exact"/>
        <w:rPr>
          <w:rFonts w:ascii="Arial" w:cs="Arial" w:eastAsia="Arial" w:hAnsi="Arial"/>
          <w:sz w:val="18"/>
          <w:szCs w:val="18"/>
          <w:color w:val="auto"/>
        </w:rPr>
      </w:pPr>
    </w:p>
    <w:p>
      <w:pPr>
        <w:ind w:left="644" w:right="640" w:firstLine="653"/>
        <w:spacing w:after="0" w:line="277" w:lineRule="auto"/>
        <w:tabs>
          <w:tab w:leader="none" w:pos="1937"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cash proceeds from the sale of Equity Interests (other than Disqualified Stock) of the Borrower to members of management, directors or consultants</w:t>
      </w:r>
    </w:p>
    <w:p>
      <w:pPr>
        <w:spacing w:after="0" w:line="17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300"/>
        <w:spacing w:after="0" w:line="308" w:lineRule="auto"/>
        <w:rPr>
          <w:sz w:val="20"/>
          <w:szCs w:val="20"/>
          <w:color w:val="auto"/>
        </w:rPr>
      </w:pPr>
      <w:r>
        <w:rPr>
          <w:rFonts w:ascii="Arial" w:cs="Arial" w:eastAsia="Arial" w:hAnsi="Arial"/>
          <w:sz w:val="17"/>
          <w:szCs w:val="17"/>
          <w:color w:val="auto"/>
        </w:rPr>
        <w:t xml:space="preserve">of the Borrower or any of its Subsidiaries that occurs after the Closing Date, to the extent the cash proceeds from the sale of such Equity Interests have not otherwise been applied to the payment of Restricted Payments by virtue of Section 7.05(a)(3); </w:t>
      </w:r>
      <w:r>
        <w:rPr>
          <w:rFonts w:ascii="Arial" w:cs="Arial" w:eastAsia="Arial" w:hAnsi="Arial"/>
          <w:sz w:val="17"/>
          <w:szCs w:val="17"/>
          <w:i w:val="1"/>
          <w:iCs w:val="1"/>
          <w:color w:val="auto"/>
        </w:rPr>
        <w:t>plus</w:t>
      </w:r>
    </w:p>
    <w:p>
      <w:pPr>
        <w:spacing w:after="0" w:line="147" w:lineRule="exact"/>
        <w:rPr>
          <w:sz w:val="20"/>
          <w:szCs w:val="20"/>
          <w:color w:val="auto"/>
        </w:rPr>
      </w:pPr>
    </w:p>
    <w:p>
      <w:pPr>
        <w:ind w:left="644" w:right="200" w:firstLine="653"/>
        <w:spacing w:after="0" w:line="277" w:lineRule="auto"/>
        <w:tabs>
          <w:tab w:leader="none" w:pos="194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the cash proceeds of key man life insurance policies received by the Borrower or any of its Restricted Subsidiaries after the Closing Date; </w:t>
      </w:r>
      <w:r>
        <w:rPr>
          <w:rFonts w:ascii="Arial" w:cs="Arial" w:eastAsia="Arial" w:hAnsi="Arial"/>
          <w:sz w:val="18"/>
          <w:szCs w:val="18"/>
          <w:i w:val="1"/>
          <w:iCs w:val="1"/>
          <w:color w:val="auto"/>
        </w:rPr>
        <w:t>less</w:t>
      </w:r>
    </w:p>
    <w:p>
      <w:pPr>
        <w:spacing w:after="0" w:line="170" w:lineRule="exact"/>
        <w:rPr>
          <w:rFonts w:ascii="Arial" w:cs="Arial" w:eastAsia="Arial" w:hAnsi="Arial"/>
          <w:sz w:val="18"/>
          <w:szCs w:val="18"/>
          <w:color w:val="auto"/>
        </w:rPr>
      </w:pPr>
    </w:p>
    <w:p>
      <w:pPr>
        <w:ind w:left="644" w:right="280" w:firstLine="653"/>
        <w:spacing w:after="0" w:line="277" w:lineRule="auto"/>
        <w:tabs>
          <w:tab w:leader="none" w:pos="195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amount of any Restricted Payments previously made with the cash proceeds described in clauses (a) and (b) of this Section 7.05(b)(4);</w:t>
      </w:r>
    </w:p>
    <w:p>
      <w:pPr>
        <w:spacing w:after="0" w:line="170" w:lineRule="exact"/>
        <w:rPr>
          <w:sz w:val="20"/>
          <w:szCs w:val="20"/>
          <w:color w:val="auto"/>
        </w:rPr>
      </w:pPr>
    </w:p>
    <w:p>
      <w:pPr>
        <w:ind w:left="4" w:right="40"/>
        <w:spacing w:after="0" w:line="286"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cancellation of Indebtedness owing to the Borrower or any Restricted Subsidiary from members of management of the Borrower or any of the Borrower’s Restricted Subsidiaries in connection with a repurchase of Equity Interests of the Borrower will not be deemed to constitute a Restricted Payment for purposes of this Section 7.05 or any other provision of this Agreement;</w:t>
      </w:r>
    </w:p>
    <w:p>
      <w:pPr>
        <w:spacing w:after="0" w:line="166" w:lineRule="exact"/>
        <w:rPr>
          <w:sz w:val="20"/>
          <w:szCs w:val="20"/>
          <w:color w:val="auto"/>
        </w:rPr>
      </w:pPr>
    </w:p>
    <w:p>
      <w:pPr>
        <w:ind w:left="4" w:right="500" w:firstLine="645"/>
        <w:spacing w:after="0" w:line="342" w:lineRule="auto"/>
        <w:tabs>
          <w:tab w:leader="none" w:pos="130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declaration and payment of dividends to holders of any class or series of Disqualified Stock of the Borrower or any of its Restricted Subsidiaries issued in accordance with Section 7.02 to the extent such dividends are included in the definition of “Fixed Charges”;</w:t>
      </w:r>
    </w:p>
    <w:p>
      <w:pPr>
        <w:spacing w:after="0" w:line="123" w:lineRule="exact"/>
        <w:rPr>
          <w:rFonts w:ascii="Arial" w:cs="Arial" w:eastAsia="Arial" w:hAnsi="Arial"/>
          <w:sz w:val="16"/>
          <w:szCs w:val="16"/>
          <w:color w:val="auto"/>
        </w:rPr>
      </w:pPr>
    </w:p>
    <w:p>
      <w:pPr>
        <w:ind w:left="4" w:right="840" w:firstLine="645"/>
        <w:spacing w:after="0" w:line="277" w:lineRule="auto"/>
        <w:tabs>
          <w:tab w:leader="none" w:pos="130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the declaration and payment of dividends to holders of any class or series of Designated Preferred Stock (other than Disqualified Stock) issued by the Borrower after the Closing Date; or</w:t>
      </w:r>
    </w:p>
    <w:p>
      <w:pPr>
        <w:spacing w:after="0" w:line="170" w:lineRule="exact"/>
        <w:rPr>
          <w:sz w:val="20"/>
          <w:szCs w:val="20"/>
          <w:color w:val="auto"/>
        </w:rPr>
      </w:pPr>
    </w:p>
    <w:p>
      <w:pPr>
        <w:ind w:left="4" w:right="100" w:firstLine="645"/>
        <w:spacing w:after="0" w:line="277" w:lineRule="auto"/>
        <w:tabs>
          <w:tab w:leader="none" w:pos="130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declaration and payment of dividends on Refunding Capital Stock that is Preferred Stock in excess of the dividends declarable and payable thereon pursuant to Section 7.05(b)(2);</w:t>
      </w:r>
    </w:p>
    <w:p>
      <w:pPr>
        <w:sectPr>
          <w:pgSz w:w="11900" w:h="16929" w:orient="portrait"/>
          <w:cols w:equalWidth="0" w:num="1">
            <w:col w:w="10764"/>
          </w:cols>
          <w:pgMar w:left="896" w:top="125" w:right="239" w:bottom="0" w:gutter="0" w:footer="0" w:header="0"/>
        </w:sectPr>
      </w:pPr>
    </w:p>
    <w:bookmarkStart w:id="89" w:name="page90"/>
    <w:bookmarkEnd w:id="89"/>
    <w:p>
      <w:pPr>
        <w:spacing w:after="0" w:line="137"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in the case of each of clauses (a) and (b) of this Section 7.05(b)(6), that for the most recently ended four full fiscal quarters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internal financial statements are available immediately preceding the date of issuance of such Designated Preferred Stock or the declaration of such dividends on Refunding Capital Stock that is Preferred Stock, after giving effect to such issuance or declaration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Borrower and its Restricted Subsidiaries on a consolidated basis would have had a Fixed Charge Coverage Ratio of at least 2.00 to 1.00;</w:t>
      </w:r>
    </w:p>
    <w:p>
      <w:pPr>
        <w:spacing w:after="0" w:line="154" w:lineRule="exact"/>
        <w:rPr>
          <w:sz w:val="20"/>
          <w:szCs w:val="20"/>
          <w:color w:val="auto"/>
        </w:rPr>
      </w:pPr>
    </w:p>
    <w:p>
      <w:pPr>
        <w:jc w:val="both"/>
        <w:ind w:left="660" w:right="160" w:firstLine="645"/>
        <w:spacing w:after="0" w:line="264" w:lineRule="auto"/>
        <w:tabs>
          <w:tab w:leader="none" w:pos="196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repurchases of Equity Interests deemed to occur (i) upon exercise of stock options or warrants if such Equity Interests represent a portion of the exercise price of such options or warrants or (ii) for purposes of satisfying any required tax withholding obligation upon the exercise or vesting of a grant or award that was granted or awarded to an employee;</w:t>
      </w:r>
    </w:p>
    <w:p>
      <w:pPr>
        <w:spacing w:after="0" w:line="181" w:lineRule="exact"/>
        <w:rPr>
          <w:rFonts w:ascii="Arial" w:cs="Arial" w:eastAsia="Arial" w:hAnsi="Arial"/>
          <w:sz w:val="18"/>
          <w:szCs w:val="18"/>
          <w:color w:val="auto"/>
        </w:rPr>
      </w:pPr>
    </w:p>
    <w:p>
      <w:pPr>
        <w:ind w:left="660" w:right="360" w:firstLine="645"/>
        <w:spacing w:after="0" w:line="277" w:lineRule="auto"/>
        <w:tabs>
          <w:tab w:leader="none" w:pos="196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Restricted Payments on the Borrower’s common stock (x) of an aggregate amount not to exceed $150,000,000 in any calendar year, with such amount increasing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520"/>
        <w:spacing w:after="0" w:line="264" w:lineRule="auto"/>
        <w:rPr>
          <w:sz w:val="20"/>
          <w:szCs w:val="20"/>
          <w:color w:val="auto"/>
        </w:rPr>
      </w:pPr>
      <w:r>
        <w:rPr>
          <w:rFonts w:ascii="Arial" w:cs="Arial" w:eastAsia="Arial" w:hAnsi="Arial"/>
          <w:sz w:val="18"/>
          <w:szCs w:val="18"/>
          <w:color w:val="auto"/>
        </w:rPr>
        <w:t xml:space="preserve">7.5% each calendar year after the Closing Date, and (y) held by Amber Holding to the extent it is a wholly owned Subsidiary of the Borrower;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Restricted Payments under this subclause (y) shall be distributed to the Borrower by Amber Holding promptly following any</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Payment made pursuant to this subclause (y);</w:t>
      </w:r>
    </w:p>
    <w:p>
      <w:pPr>
        <w:spacing w:after="0" w:line="181" w:lineRule="exact"/>
        <w:rPr>
          <w:sz w:val="20"/>
          <w:szCs w:val="20"/>
          <w:color w:val="auto"/>
        </w:rPr>
      </w:pPr>
    </w:p>
    <w:p>
      <w:pPr>
        <w:ind w:left="660" w:right="660" w:firstLine="645"/>
        <w:spacing w:after="0" w:line="277" w:lineRule="auto"/>
        <w:tabs>
          <w:tab w:leader="none" w:pos="19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other Restricted Payments in an aggregate amount taken together with all other Restricted Payments made pursuant to this clause (9) not to exceed $250,000,000;</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distributions or payments of Receivables Fees;</w:t>
      </w:r>
    </w:p>
    <w:p>
      <w:pPr>
        <w:spacing w:after="0" w:line="225" w:lineRule="exact"/>
        <w:rPr>
          <w:rFonts w:ascii="Arial" w:cs="Arial" w:eastAsia="Arial" w:hAnsi="Arial"/>
          <w:sz w:val="18"/>
          <w:szCs w:val="18"/>
          <w:color w:val="auto"/>
        </w:rPr>
      </w:pPr>
    </w:p>
    <w:p>
      <w:pPr>
        <w:ind w:left="660" w:firstLine="645"/>
        <w:spacing w:after="0" w:line="277" w:lineRule="auto"/>
        <w:tabs>
          <w:tab w:leader="none" w:pos="195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Restricted Payment used to fund the Transaction and the fees and expenses related thereto or owed to Affiliates, in each case to the extent permitted by Section 7.07;</w:t>
      </w:r>
    </w:p>
    <w:p>
      <w:pPr>
        <w:spacing w:after="0" w:line="170" w:lineRule="exact"/>
        <w:rPr>
          <w:rFonts w:ascii="Arial" w:cs="Arial" w:eastAsia="Arial" w:hAnsi="Arial"/>
          <w:sz w:val="18"/>
          <w:szCs w:val="18"/>
          <w:color w:val="auto"/>
        </w:rPr>
      </w:pPr>
    </w:p>
    <w:p>
      <w:pPr>
        <w:ind w:left="660" w:right="180" w:firstLine="699"/>
        <w:spacing w:after="0" w:line="312" w:lineRule="auto"/>
        <w:tabs>
          <w:tab w:leader="none" w:pos="1959"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repurchase, redemption or other acquisition for value of Equity Interests of the Borrower deemed to occur in connection with paying cash in lieu of fractional shares of such Equity Interests in connection with a share dividend, distribution, share split, reverse share split, merger, consolidation, amalgamation or other business combination of the Borrower, in each case, permitted under this Agreement; and</w:t>
      </w:r>
    </w:p>
    <w:p>
      <w:pPr>
        <w:spacing w:after="0" w:line="147" w:lineRule="exact"/>
        <w:rPr>
          <w:sz w:val="20"/>
          <w:szCs w:val="20"/>
          <w:color w:val="auto"/>
        </w:rPr>
      </w:pPr>
    </w:p>
    <w:p>
      <w:pPr>
        <w:ind w:left="660" w:right="400" w:firstLine="645"/>
        <w:spacing w:after="0" w:line="342" w:lineRule="auto"/>
        <w:tabs>
          <w:tab w:leader="none" w:pos="1959"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distribution, by dividend or otherwise, of shares of Capital Stock of, or Indebtedness owed to the Borrower or a Restricted Subsidiary by Unrestricted Subsidiaries (other than Unrestricted Subsidiaries, the primary assets of which are cash and/or Cash Equivalents);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at the time of, and after giving effect to, any Restricted Payment permitted under clauses (8), (9) and (13), no Default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and be continuing or would occur as a consequence thereof.</w:t>
      </w:r>
    </w:p>
    <w:p>
      <w:pPr>
        <w:spacing w:after="0" w:line="170" w:lineRule="exact"/>
        <w:rPr>
          <w:sz w:val="20"/>
          <w:szCs w:val="20"/>
          <w:color w:val="auto"/>
        </w:rPr>
      </w:pPr>
    </w:p>
    <w:p>
      <w:pPr>
        <w:ind w:left="660" w:firstLine="645"/>
        <w:spacing w:after="0" w:line="297" w:lineRule="auto"/>
        <w:tabs>
          <w:tab w:leader="none" w:pos="1967" w:val="left"/>
        </w:tabs>
        <w:numPr>
          <w:ilvl w:val="0"/>
          <w:numId w:val="298"/>
        </w:numPr>
        <w:rPr>
          <w:rFonts w:ascii="Arial" w:cs="Arial" w:eastAsia="Arial" w:hAnsi="Arial"/>
          <w:sz w:val="16"/>
          <w:szCs w:val="16"/>
          <w:color w:val="auto"/>
        </w:rPr>
      </w:pPr>
      <w:r>
        <w:rPr>
          <w:rFonts w:ascii="Arial" w:cs="Arial" w:eastAsia="Arial" w:hAnsi="Arial"/>
          <w:sz w:val="16"/>
          <w:szCs w:val="16"/>
          <w:color w:val="auto"/>
        </w:rPr>
        <w:t>For purposes of designating any Restricted Subsidiary as an Unrestricted Subsidiary, all outstanding Investments by the Borrower and its Restricted Subsidiaries (except to the extent repaid) in the Subsidiary so designated will be deemed to be Restricted Payments in an amount determined as set forth in the last sentence of the definition of “Investment.” Such designation will be permitted only if a Restricted Payment in such amount would be permitted at such time, whether pursuant to Section 7.05(a) or clause (9) or (13) of Section 7.05(b), or pursuant to the definition of “Permitted Investments,” and if such Subsidiary otherwise meets the definition of an Unrestricted Subsidiary.</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Change in Nature of Business.</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The Borrower shall not, nor shall the Borrower permit any of the Restricted Subsidiaries to, directly or indirectly, engage in any material line of business substantially different from those lines of business conducted by any the Borrower or Restricted Subsidiary on the Closing Date or any business reasonably related, complementary, ancillary or incidental thereto.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Transactions with Affiliates.</w:t>
      </w:r>
    </w:p>
    <w:p>
      <w:pPr>
        <w:spacing w:after="0" w:line="225" w:lineRule="exact"/>
        <w:rPr>
          <w:sz w:val="20"/>
          <w:szCs w:val="20"/>
          <w:color w:val="auto"/>
        </w:rPr>
      </w:pPr>
    </w:p>
    <w:p>
      <w:pPr>
        <w:ind w:right="20" w:firstLine="1305"/>
        <w:spacing w:after="0" w:line="270" w:lineRule="auto"/>
        <w:tabs>
          <w:tab w:leader="none" w:pos="1942" w:val="left"/>
        </w:tabs>
        <w:numPr>
          <w:ilvl w:val="1"/>
          <w:numId w:val="299"/>
        </w:numPr>
        <w:rPr>
          <w:rFonts w:ascii="Arial" w:cs="Arial" w:eastAsia="Arial" w:hAnsi="Arial"/>
          <w:sz w:val="17"/>
          <w:szCs w:val="17"/>
          <w:color w:val="auto"/>
        </w:rPr>
      </w:pPr>
      <w:r>
        <w:rPr>
          <w:rFonts w:ascii="Arial" w:cs="Arial" w:eastAsia="Arial" w:hAnsi="Arial"/>
          <w:sz w:val="17"/>
          <w:szCs w:val="17"/>
          <w:color w:val="auto"/>
        </w:rPr>
        <w:t>The Borrower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Borrower (each of the foregoing, an “Affiliate Transaction”) involving aggregate payments or consideration in excess of $25,000,000 unless: (i) such Affiliate Transaction is on terms that are not materially less favorable to the Borrower or its relevant Restricted Subsidiary than those that would have been obtained in a comparable transaction by the Borrower or such Restricted Subsidiary with an unrelated Person on an arm’s-length basis; and (ii) the Borrower delivers to the Administrative Agent with respect to any Affiliate Transaction or series of related Affiliate Transactions involving aggregate payments or consideration in excess of $100,000,000, a resolution adopted by the majority of the board of directors of the Borrower approving such Affiliate Transaction and set forth in an officer’s certificate certifying that such Affiliate Transaction complies with clause (i) above.</w:t>
      </w:r>
    </w:p>
    <w:p>
      <w:pPr>
        <w:spacing w:after="0" w:line="181" w:lineRule="exact"/>
        <w:rPr>
          <w:rFonts w:ascii="Arial" w:cs="Arial" w:eastAsia="Arial" w:hAnsi="Arial"/>
          <w:sz w:val="17"/>
          <w:szCs w:val="17"/>
          <w:color w:val="auto"/>
        </w:rPr>
      </w:pPr>
    </w:p>
    <w:p>
      <w:pPr>
        <w:ind w:left="1320" w:hanging="664"/>
        <w:spacing w:after="0"/>
        <w:tabs>
          <w:tab w:leader="none" w:pos="13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foregoing provisions will not apply to the following:</w:t>
      </w:r>
    </w:p>
    <w:p>
      <w:pPr>
        <w:spacing w:after="0" w:line="225" w:lineRule="exact"/>
        <w:rPr>
          <w:sz w:val="20"/>
          <w:szCs w:val="20"/>
          <w:color w:val="auto"/>
        </w:rPr>
      </w:pPr>
    </w:p>
    <w:p>
      <w:pPr>
        <w:ind w:left="660" w:right="780" w:firstLine="645"/>
        <w:spacing w:after="0" w:line="277" w:lineRule="auto"/>
        <w:tabs>
          <w:tab w:leader="none" w:pos="196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transactions between or among the Borrower or any of its Restricted Subsidiaries or any entity that becomes a Restricted Subsidiary as a result of such transaction;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Restricted Payments permitted to be made pursuant to Section 7.05 and Permitted Investments;</w:t>
      </w:r>
    </w:p>
    <w:p>
      <w:pPr>
        <w:spacing w:after="0" w:line="225" w:lineRule="exact"/>
        <w:rPr>
          <w:rFonts w:ascii="Arial" w:cs="Arial" w:eastAsia="Arial" w:hAnsi="Arial"/>
          <w:sz w:val="18"/>
          <w:szCs w:val="18"/>
          <w:color w:val="auto"/>
        </w:rPr>
      </w:pPr>
    </w:p>
    <w:p>
      <w:pPr>
        <w:ind w:left="660" w:right="20" w:firstLine="645"/>
        <w:spacing w:after="0" w:line="342" w:lineRule="auto"/>
        <w:tabs>
          <w:tab w:leader="none" w:pos="196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payment of reasonable and customary fees and compensation paid to, and indemnities and reimbursements and employment and severance arrangements provided on behalf of, officers, directors, employees or consultants of the Borrower or any of its Restricted Subsidiaries;</w:t>
      </w:r>
    </w:p>
    <w:p>
      <w:pPr>
        <w:sectPr>
          <w:pgSz w:w="11900" w:h="16975" w:orient="portrait"/>
          <w:cols w:equalWidth="0" w:num="1">
            <w:col w:w="11420"/>
          </w:cols>
          <w:pgMar w:left="240" w:top="341" w:right="239" w:bottom="0" w:gutter="0" w:footer="0" w:header="0"/>
        </w:sectPr>
      </w:pPr>
    </w:p>
    <w:bookmarkStart w:id="90" w:name="page91"/>
    <w:bookmarkEnd w:id="90"/>
    <w:p>
      <w:pPr>
        <w:spacing w:after="0" w:line="74" w:lineRule="exact"/>
        <w:rPr>
          <w:sz w:val="20"/>
          <w:szCs w:val="20"/>
          <w:color w:val="auto"/>
        </w:rPr>
      </w:pPr>
    </w:p>
    <w:p>
      <w:pPr>
        <w:jc w:val="both"/>
        <w:ind w:left="660" w:right="40" w:firstLine="645"/>
        <w:spacing w:after="0" w:line="302" w:lineRule="auto"/>
        <w:tabs>
          <w:tab w:leader="none" w:pos="1964" w:val="left"/>
        </w:tabs>
        <w:numPr>
          <w:ilvl w:val="1"/>
          <w:numId w:val="302"/>
        </w:numPr>
        <w:rPr>
          <w:rFonts w:ascii="Arial" w:cs="Arial" w:eastAsia="Arial" w:hAnsi="Arial"/>
          <w:sz w:val="16"/>
          <w:szCs w:val="16"/>
          <w:color w:val="auto"/>
        </w:rPr>
      </w:pPr>
      <w:r>
        <w:rPr>
          <w:rFonts w:ascii="Arial" w:cs="Arial" w:eastAsia="Arial" w:hAnsi="Arial"/>
          <w:sz w:val="16"/>
          <w:szCs w:val="16"/>
          <w:color w:val="auto"/>
        </w:rPr>
        <w:t>transactions in which the Borrower or any of its Restricted Subsidiaries, as the case may be, delivers to the Administrative Agent a letter from an Independent Financial Advisor stating that such transaction is fair to the Borrower or such Restricted Subsidiary from a financial point of view or stating that the terms are not materially less favorable to the Borrower or its relevant Restricted Subsidiary than those that would have been obtained in a comparable transaction by the Borrower or such Restricted Subsidiary with an unrelated Person on an arm’s-length basis;</w:t>
      </w:r>
    </w:p>
    <w:p>
      <w:pPr>
        <w:spacing w:after="0" w:line="154" w:lineRule="exact"/>
        <w:rPr>
          <w:rFonts w:ascii="Arial" w:cs="Arial" w:eastAsia="Arial" w:hAnsi="Arial"/>
          <w:sz w:val="16"/>
          <w:szCs w:val="16"/>
          <w:color w:val="auto"/>
        </w:rPr>
      </w:pPr>
    </w:p>
    <w:p>
      <w:pPr>
        <w:ind w:left="660" w:right="240" w:firstLine="645"/>
        <w:spacing w:after="0" w:line="264" w:lineRule="auto"/>
        <w:tabs>
          <w:tab w:leader="none" w:pos="196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agreement as in effect as of the Closing Date, or any amendment thereto (so long as any such amendment is not disadvantageous in any material respect to the Lenders when taken as a whole as compared to the applicable agreement as in effect on the Closing Date, as determined in good faith by the Borrower);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the existence of, or the performance by the Borrower or any of its Restricted Subsidiaries of its obligations under the terms of,</w:t>
      </w:r>
    </w:p>
    <w:p>
      <w:pPr>
        <w:spacing w:after="0" w:line="34" w:lineRule="exact"/>
        <w:rPr>
          <w:rFonts w:ascii="Arial" w:cs="Arial" w:eastAsia="Arial" w:hAnsi="Arial"/>
          <w:sz w:val="17"/>
          <w:szCs w:val="17"/>
          <w:color w:val="auto"/>
        </w:rPr>
      </w:pPr>
    </w:p>
    <w:p>
      <w:pPr>
        <w:ind w:left="900" w:hanging="244"/>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stockholders agreement (including any registration rights agreement or purchase agreement related thereto)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73" w:lineRule="auto"/>
        <w:rPr>
          <w:sz w:val="20"/>
          <w:szCs w:val="20"/>
          <w:color w:val="auto"/>
        </w:rPr>
      </w:pPr>
      <w:r>
        <w:rPr>
          <w:rFonts w:ascii="Arial" w:cs="Arial" w:eastAsia="Arial" w:hAnsi="Arial"/>
          <w:sz w:val="17"/>
          <w:szCs w:val="17"/>
          <w:color w:val="auto"/>
        </w:rPr>
        <w:t xml:space="preserve">which it is a party as of the Closing Date (b) the stockholders agreement to be entered into among the Issuer, ASAC II LP, Robert A. Kotick and Brian G. Kelly in connection with the Transaction (including any registration rights agreement or purchase agreement related thereto) and (c) any similar agreements which it may enter into thereafter;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existence of, or the performance by the Borrower or any of its Restricted Subsidiaries of obligations under any future amendment to any such existing agreement or under any similar agreement entered into after the Closing Date shall only be permitted by this clause (6) to the extent that the terms of any such amendment or new agreement are not otherwise disadvantageous to the Lenders in any material respect when taken as a whole;</w:t>
      </w:r>
    </w:p>
    <w:p>
      <w:pPr>
        <w:spacing w:after="0" w:line="178" w:lineRule="exact"/>
        <w:rPr>
          <w:sz w:val="20"/>
          <w:szCs w:val="20"/>
          <w:color w:val="auto"/>
        </w:rPr>
      </w:pPr>
    </w:p>
    <w:p>
      <w:pPr>
        <w:ind w:left="1960" w:hanging="655"/>
        <w:spacing w:after="0"/>
        <w:tabs>
          <w:tab w:leader="none" w:pos="19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Transaction and the payment of all fees and expenses related to the Transaction;</w:t>
      </w:r>
    </w:p>
    <w:p>
      <w:pPr>
        <w:spacing w:after="0" w:line="225" w:lineRule="exact"/>
        <w:rPr>
          <w:rFonts w:ascii="Arial" w:cs="Arial" w:eastAsia="Arial" w:hAnsi="Arial"/>
          <w:sz w:val="18"/>
          <w:szCs w:val="18"/>
          <w:color w:val="auto"/>
        </w:rPr>
      </w:pPr>
    </w:p>
    <w:p>
      <w:pPr>
        <w:ind w:left="660" w:right="140" w:firstLine="645"/>
        <w:spacing w:after="0" w:line="259" w:lineRule="auto"/>
        <w:tabs>
          <w:tab w:leader="none" w:pos="196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transactions with customers, clients, suppliers, or purchasers or sellers of goods or services, in each case in the ordinary course of business and otherwise in compliance with the terms of this Agreement which are fair to the Borrower and its Restricted Subsidiaries, in the reasonable determination of the board of directors of the Borrower or the senior management thereof, or are on terms at least as favorable as might reasonably have been obtained at such time from an unaffiliated party;</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issuance or transfer of Equity Interests (other than Disqualified Stock) of the Borrower to any director, officer, employee 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consultant;</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sales of accounts receivable, or participations therein, in connection with any Receivables Facility;</w:t>
      </w:r>
    </w:p>
    <w:p>
      <w:pPr>
        <w:spacing w:after="0" w:line="225" w:lineRule="exact"/>
        <w:rPr>
          <w:rFonts w:ascii="Arial" w:cs="Arial" w:eastAsia="Arial" w:hAnsi="Arial"/>
          <w:sz w:val="18"/>
          <w:szCs w:val="18"/>
          <w:color w:val="auto"/>
        </w:rPr>
      </w:pPr>
    </w:p>
    <w:p>
      <w:pPr>
        <w:ind w:left="660" w:firstLine="645"/>
        <w:spacing w:after="0" w:line="264" w:lineRule="auto"/>
        <w:tabs>
          <w:tab w:leader="none" w:pos="195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payments or loans (or cancellation of loans) to employees, directors or consultants of the Borrower or any of its Restricted Subsidiaries and employment agreements, stock option plans and other similar arrangements with such employees, directors or consultants which, in each case, are approved by the Borrower in good faith; and</w:t>
      </w:r>
    </w:p>
    <w:p>
      <w:pPr>
        <w:spacing w:after="0" w:line="181" w:lineRule="exact"/>
        <w:rPr>
          <w:sz w:val="20"/>
          <w:szCs w:val="20"/>
          <w:color w:val="auto"/>
        </w:rPr>
      </w:pPr>
    </w:p>
    <w:p>
      <w:pPr>
        <w:ind w:left="1960" w:hanging="655"/>
        <w:spacing w:after="0"/>
        <w:tabs>
          <w:tab w:leader="none" w:pos="19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transactions with joint ventures for the purchase or sale of goods, equipment and services entered into in the ordinary course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Burdensome Agreements.</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Borrower shall not, and shall not permit any of its Restricted Subsidiaries that are not Guarantors to, directly or indirectly, create or otherwise cause or suffer to exist or become effective any consensual encumbrance or consensual restriction on the ability of any such Restricted Subsidiary to:</w:t>
      </w:r>
    </w:p>
    <w:p>
      <w:pPr>
        <w:spacing w:after="0" w:line="124" w:lineRule="exact"/>
        <w:rPr>
          <w:sz w:val="20"/>
          <w:szCs w:val="20"/>
          <w:color w:val="auto"/>
        </w:rPr>
      </w:pPr>
    </w:p>
    <w:p>
      <w:pPr>
        <w:ind w:left="660" w:right="60" w:firstLine="645"/>
        <w:spacing w:after="0" w:line="277" w:lineRule="auto"/>
        <w:tabs>
          <w:tab w:leader="none" w:pos="196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pay dividends or make any other distributions to the Borrower or any of its Restricted Subsidiaries on its Capital Stock or with respect to any other interest or participation in, or measured by, its profits,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pay any Indebtedness owed to the Borrower or any of its Restricted Subsidiaries;</w:t>
      </w:r>
    </w:p>
    <w:p>
      <w:pPr>
        <w:spacing w:after="0" w:line="225" w:lineRule="exact"/>
        <w:rPr>
          <w:sz w:val="20"/>
          <w:szCs w:val="20"/>
          <w:color w:val="auto"/>
        </w:rPr>
      </w:pPr>
    </w:p>
    <w:p>
      <w:pPr>
        <w:ind w:left="1960" w:hanging="655"/>
        <w:spacing w:after="0"/>
        <w:tabs>
          <w:tab w:leader="none" w:pos="19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make loans or advances to the Borrower or any of its Restricted Subsidiaries; or</w:t>
      </w:r>
    </w:p>
    <w:p>
      <w:pPr>
        <w:spacing w:after="0" w:line="225" w:lineRule="exact"/>
        <w:rPr>
          <w:rFonts w:ascii="Arial" w:cs="Arial" w:eastAsia="Arial" w:hAnsi="Arial"/>
          <w:sz w:val="18"/>
          <w:szCs w:val="18"/>
          <w:color w:val="auto"/>
        </w:rPr>
      </w:pPr>
    </w:p>
    <w:p>
      <w:pPr>
        <w:ind w:right="2000" w:firstLine="1305"/>
        <w:spacing w:after="0" w:line="501" w:lineRule="auto"/>
        <w:tabs>
          <w:tab w:leader="none" w:pos="195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Borrower or any of its Restricted Subsidiaries, except (in each case) for such encumbrances or restrictions existing under or by reason of:</w:t>
      </w:r>
    </w:p>
    <w:p>
      <w:pPr>
        <w:ind w:left="1940" w:hanging="635"/>
        <w:spacing w:after="0"/>
        <w:tabs>
          <w:tab w:leader="none" w:pos="19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contractual encumbrances or restrictions in effect on the Closing Date, including pursuant to the Senior Notes Indenture;</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Loan Documents;</w:t>
      </w:r>
    </w:p>
    <w:p>
      <w:pPr>
        <w:spacing w:after="0" w:line="225" w:lineRule="exact"/>
        <w:rPr>
          <w:rFonts w:ascii="Arial" w:cs="Arial" w:eastAsia="Arial" w:hAnsi="Arial"/>
          <w:sz w:val="18"/>
          <w:szCs w:val="18"/>
          <w:color w:val="auto"/>
        </w:rPr>
      </w:pPr>
    </w:p>
    <w:p>
      <w:pPr>
        <w:ind w:left="660" w:right="560" w:firstLine="645"/>
        <w:spacing w:after="0" w:line="277" w:lineRule="auto"/>
        <w:tabs>
          <w:tab w:leader="none" w:pos="196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Capitalized Lease Obligations that impose restrictions of the nature discussed in clause (3) above on the property so acquired;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applicable law or any applicable rule, regulation or order;</w:t>
      </w:r>
    </w:p>
    <w:p>
      <w:pPr>
        <w:spacing w:after="0" w:line="225" w:lineRule="exact"/>
        <w:rPr>
          <w:rFonts w:ascii="Arial" w:cs="Arial" w:eastAsia="Arial" w:hAnsi="Arial"/>
          <w:sz w:val="18"/>
          <w:szCs w:val="18"/>
          <w:color w:val="auto"/>
        </w:rPr>
      </w:pPr>
    </w:p>
    <w:p>
      <w:pPr>
        <w:ind w:left="660" w:firstLine="645"/>
        <w:spacing w:after="0" w:line="259" w:lineRule="auto"/>
        <w:tabs>
          <w:tab w:leader="none" w:pos="196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or merged or consolidated with or into the Borrower or any of its Restricted Subsidiaries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w:t>
      </w:r>
    </w:p>
    <w:p>
      <w:pPr>
        <w:sectPr>
          <w:pgSz w:w="11900" w:h="16912" w:orient="portrait"/>
          <w:cols w:equalWidth="0" w:num="1">
            <w:col w:w="11420"/>
          </w:cols>
          <w:pgMar w:left="240" w:top="341" w:right="239" w:bottom="0" w:gutter="0" w:footer="0" w:header="0"/>
        </w:sectPr>
      </w:pPr>
    </w:p>
    <w:bookmarkStart w:id="91" w:name="page92"/>
    <w:bookmarkEnd w:id="91"/>
    <w:p>
      <w:pPr>
        <w:spacing w:after="0" w:line="122" w:lineRule="exact"/>
        <w:rPr>
          <w:sz w:val="20"/>
          <w:szCs w:val="20"/>
          <w:color w:val="auto"/>
        </w:rPr>
      </w:pPr>
    </w:p>
    <w:p>
      <w:pPr>
        <w:ind w:left="660" w:right="60" w:firstLine="645"/>
        <w:spacing w:after="0" w:line="264" w:lineRule="auto"/>
        <w:tabs>
          <w:tab w:leader="none" w:pos="196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contracts for the sale of assets, including customary restrictions with respect to a Subsidiary of the Borrower, pursuant to an agreement that has been entered into for the sale or disposition of all or substantially all of the Capital Stock or assets of such Subsidiary that impose restrictions on the assets to be sold;</w:t>
      </w:r>
    </w:p>
    <w:p>
      <w:pPr>
        <w:spacing w:after="0" w:line="181" w:lineRule="exact"/>
        <w:rPr>
          <w:rFonts w:ascii="Arial" w:cs="Arial" w:eastAsia="Arial" w:hAnsi="Arial"/>
          <w:sz w:val="18"/>
          <w:szCs w:val="18"/>
          <w:color w:val="auto"/>
        </w:rPr>
      </w:pPr>
    </w:p>
    <w:p>
      <w:pPr>
        <w:ind w:left="660" w:right="140" w:firstLine="645"/>
        <w:spacing w:after="0" w:line="277" w:lineRule="auto"/>
        <w:tabs>
          <w:tab w:leader="none" w:pos="197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Secured Indebtedness otherwise permitted to be incurred under Sections 7.01 and 7.02 that limit the right of the debtor to dispose of the assets securing such Indebtedness;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660" w:right="500" w:firstLine="645"/>
        <w:spacing w:after="0" w:line="277" w:lineRule="auto"/>
        <w:tabs>
          <w:tab w:leader="none" w:pos="197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other Indebtedness, Disqualified Stock or Preferred Stock of Foreign Subsidiaries permitted to be incurred subsequent to the Closing Date under Section 7.02;</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customary provisions in joint venture agreements or arrangements and other similar agreements or arrangements relating solely to such joint venture;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77" w:lineRule="auto"/>
        <w:tabs>
          <w:tab w:leader="none" w:pos="196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or sub-licenses of intellectual property and other agreements, in each case, entered into in the ordinary course of business;</w:t>
      </w:r>
    </w:p>
    <w:p>
      <w:pPr>
        <w:spacing w:after="0" w:line="170" w:lineRule="exact"/>
        <w:rPr>
          <w:rFonts w:ascii="Arial" w:cs="Arial" w:eastAsia="Arial" w:hAnsi="Arial"/>
          <w:sz w:val="18"/>
          <w:szCs w:val="18"/>
          <w:color w:val="auto"/>
        </w:rPr>
      </w:pPr>
    </w:p>
    <w:p>
      <w:pPr>
        <w:ind w:left="660" w:right="140" w:firstLine="645"/>
        <w:spacing w:after="0" w:line="255" w:lineRule="auto"/>
        <w:tabs>
          <w:tab w:leader="none" w:pos="197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of the type referred to in clauses (1), (2) and (3) above imposed by any amendments, modifications, restatements, renewals, increases, supplements, refundings, replacements or refinancings of the contracts, instruments or obligations referred to in clauses (a) through (k)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amendments, modifications, restatements, renewals, increases, supplements, refundings, replacements or refinancings are, in the good faith judgment of the Borrower, no more restrictive in any material respect with respect to such encumbrance and other restrictions taken as a whole than those prior to such amendment, modification, restatement, renewal, increase, supplement, refunding, replacement or refinancing;</w:t>
      </w:r>
    </w:p>
    <w:p>
      <w:pPr>
        <w:spacing w:after="0" w:line="193" w:lineRule="exact"/>
        <w:rPr>
          <w:rFonts w:ascii="Arial" w:cs="Arial" w:eastAsia="Arial" w:hAnsi="Arial"/>
          <w:sz w:val="18"/>
          <w:szCs w:val="18"/>
          <w:color w:val="auto"/>
        </w:rPr>
      </w:pPr>
    </w:p>
    <w:p>
      <w:pPr>
        <w:ind w:left="660" w:right="60" w:firstLine="645"/>
        <w:spacing w:after="0" w:line="277" w:lineRule="auto"/>
        <w:tabs>
          <w:tab w:leader="none" w:pos="19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restrictions created in connection with any Receivables Facility that, in the good faith determination of the Borrower are necessary or advisable to effect such Receivables Facility;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restrictions on Equity Interests constituting Margin Stock or Amber Holding Equity Interests.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u w:val="single" w:color="auto"/>
          <w:color w:val="auto"/>
        </w:rPr>
        <w:t>Financial Covenant.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The Borrower shall not permit the Consolidated Secured Debt Ratio as of the last day of any Test Period to be higher than 2.50 to 1.00;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this Section 7.09 shall not be applicable to any such last day of such Test Period if on such last day of such Test Period, the Outstanding Amount of Revolving Credit Loans (including the Outstanding Amount of Swing Line Loans and the aggregate Outstanding Amount of L/C Obligations, but excluding (i) all Letters of Credit that are Cash Collateralized and (ii) non-Cash Collateralized Letters of Credit in an aggregate amount not to exceed $20,000,000)) is equal to or less than 15% of the total Revolving Credit Commitments of all Revolving Credit Lenders.</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provisions of this Section 7.09 are for the benefit of the Revolving Credit Lenders only and the Required Class Lenders may amend, waive or otherwise modify this Section 7.09 or the defined terms used solely for purposes of this Section 7.09 or waive any Default resulting from a breach of this Section 7.09 without the consent of any Lenders other than the Required Class Lenders in accordance with the provisions of clause (v) of the second proviso of Section 10.01.</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u w:val="single" w:color="auto"/>
          <w:color w:val="auto"/>
        </w:rPr>
        <w:t>Accounting Changes.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The Borrower shall not make any change in its fiscal year (other than in connection with a change in accounting practices pursuant to Section 6.01);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Borrower may, upon written notice to the Administrative Agent, change its fiscal year to any other fiscal year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to the Administrative Agent, in which case, the Borrower and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Administrative Agent will, and are hereby authorized by the Lenders to, make any adjustments to this Agreement that are necessary to reflect such change in fiscal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Events Of Default and Remedies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Events of Default.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left="1940" w:hanging="635"/>
        <w:spacing w:after="0"/>
        <w:tabs>
          <w:tab w:leader="none" w:pos="1940" w:val="left"/>
        </w:tabs>
        <w:numPr>
          <w:ilvl w:val="1"/>
          <w:numId w:val="312"/>
        </w:numPr>
        <w:rPr>
          <w:rFonts w:ascii="Arial" w:cs="Arial" w:eastAsia="Arial" w:hAnsi="Arial"/>
          <w:sz w:val="17"/>
          <w:szCs w:val="17"/>
          <w:color w:val="auto"/>
        </w:rPr>
      </w:pPr>
      <w:r>
        <w:rPr>
          <w:rFonts w:ascii="Arial" w:cs="Arial" w:eastAsia="Arial" w:hAnsi="Arial"/>
          <w:sz w:val="17"/>
          <w:szCs w:val="17"/>
          <w:i w:val="1"/>
          <w:iCs w:val="1"/>
          <w:color w:val="auto"/>
        </w:rPr>
        <w:t xml:space="preserve">Non-Payment. </w:t>
      </w:r>
      <w:r>
        <w:rPr>
          <w:rFonts w:ascii="Arial" w:cs="Arial" w:eastAsia="Arial" w:hAnsi="Arial"/>
          <w:sz w:val="17"/>
          <w:szCs w:val="17"/>
          <w:color w:val="auto"/>
        </w:rPr>
        <w:t>Any Loan Party fails to pay (i) when and as required to be paid herein, any amount of principal of any Loan,</w:t>
      </w:r>
    </w:p>
    <w:p>
      <w:pPr>
        <w:spacing w:after="0" w:line="34" w:lineRule="exact"/>
        <w:rPr>
          <w:rFonts w:ascii="Arial" w:cs="Arial" w:eastAsia="Arial" w:hAnsi="Arial"/>
          <w:sz w:val="17"/>
          <w:szCs w:val="17"/>
          <w:color w:val="auto"/>
        </w:rPr>
      </w:pPr>
    </w:p>
    <w:p>
      <w:pPr>
        <w:ind w:left="660" w:hanging="4"/>
        <w:spacing w:after="0" w:line="261" w:lineRule="auto"/>
        <w:tabs>
          <w:tab w:leader="none" w:pos="92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within five (5) Business Days after the same becomes due, any interest on any Loan or (iii) within ten (10) Business Days after the same becomes due, any other amount payable hereunder or with respect to any other Loan Document; or</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313"/>
        </w:numPr>
        <w:rPr>
          <w:rFonts w:ascii="Arial" w:cs="Arial" w:eastAsia="Arial" w:hAnsi="Arial"/>
          <w:sz w:val="17"/>
          <w:szCs w:val="17"/>
          <w:color w:val="auto"/>
        </w:rPr>
      </w:pPr>
      <w:r>
        <w:rPr>
          <w:rFonts w:ascii="Arial" w:cs="Arial" w:eastAsia="Arial" w:hAnsi="Arial"/>
          <w:sz w:val="17"/>
          <w:szCs w:val="17"/>
          <w:i w:val="1"/>
          <w:iCs w:val="1"/>
          <w:color w:val="auto"/>
        </w:rPr>
        <w:t xml:space="preserve">Specific Covenants. </w:t>
      </w:r>
      <w:r>
        <w:rPr>
          <w:rFonts w:ascii="Arial" w:cs="Arial" w:eastAsia="Arial" w:hAnsi="Arial"/>
          <w:sz w:val="17"/>
          <w:szCs w:val="17"/>
          <w:color w:val="auto"/>
        </w:rPr>
        <w:t>The Borrower fails to perform or observe any term, covenant or agreement contained in any of Sections</w:t>
      </w:r>
    </w:p>
    <w:p>
      <w:pPr>
        <w:spacing w:after="0" w:line="35" w:lineRule="exact"/>
        <w:rPr>
          <w:sz w:val="20"/>
          <w:szCs w:val="20"/>
          <w:color w:val="auto"/>
        </w:rPr>
      </w:pPr>
    </w:p>
    <w:p>
      <w:pPr>
        <w:ind w:left="660" w:right="200"/>
        <w:spacing w:after="0" w:line="323" w:lineRule="auto"/>
        <w:rPr>
          <w:sz w:val="20"/>
          <w:szCs w:val="20"/>
          <w:color w:val="auto"/>
        </w:rPr>
      </w:pPr>
      <w:r>
        <w:rPr>
          <w:rFonts w:ascii="Arial" w:cs="Arial" w:eastAsia="Arial" w:hAnsi="Arial"/>
          <w:sz w:val="16"/>
          <w:szCs w:val="16"/>
          <w:color w:val="auto"/>
        </w:rPr>
        <w:t xml:space="preserve">6.03(a) or 6.05(a) (solely with respect to the Borrower) or Article VII;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Default as a result of a breach of Section 7.09 (a “</w:t>
      </w:r>
      <w:r>
        <w:rPr>
          <w:rFonts w:ascii="Arial" w:cs="Arial" w:eastAsia="Arial" w:hAnsi="Arial"/>
          <w:sz w:val="16"/>
          <w:szCs w:val="16"/>
          <w:b w:val="1"/>
          <w:bCs w:val="1"/>
          <w:color w:val="auto"/>
        </w:rPr>
        <w:t>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Covenant Event of Default</w:t>
      </w:r>
      <w:r>
        <w:rPr>
          <w:rFonts w:ascii="Arial" w:cs="Arial" w:eastAsia="Arial" w:hAnsi="Arial"/>
          <w:sz w:val="16"/>
          <w:szCs w:val="16"/>
          <w:color w:val="auto"/>
        </w:rPr>
        <w:t>”) shall not constitute an Event of Default with respect to any Term Loans, Incremental Term Loans or Extended Term</w:t>
      </w:r>
    </w:p>
    <w:p>
      <w:pPr>
        <w:sectPr>
          <w:pgSz w:w="11900" w:h="16960" w:orient="portrait"/>
          <w:cols w:equalWidth="0" w:num="1">
            <w:col w:w="11420"/>
          </w:cols>
          <w:pgMar w:left="240" w:top="341" w:right="239" w:bottom="0" w:gutter="0" w:footer="0" w:header="0"/>
        </w:sectPr>
      </w:pPr>
    </w:p>
    <w:bookmarkStart w:id="92" w:name="page93"/>
    <w:bookmarkEnd w:id="92"/>
    <w:p>
      <w:pPr>
        <w:jc w:val="both"/>
        <w:ind w:left="4" w:right="160"/>
        <w:spacing w:after="0" w:line="264" w:lineRule="auto"/>
        <w:rPr>
          <w:sz w:val="20"/>
          <w:szCs w:val="20"/>
          <w:color w:val="auto"/>
        </w:rPr>
      </w:pPr>
      <w:r>
        <w:rPr>
          <w:rFonts w:ascii="Arial" w:cs="Arial" w:eastAsia="Arial" w:hAnsi="Arial"/>
          <w:sz w:val="18"/>
          <w:szCs w:val="18"/>
          <w:color w:val="auto"/>
        </w:rPr>
        <w:t>Loans unless and until the Revolving Credit Lenders have declared all amounts outstanding under the Revolving Credit Facility to be immediately due and payable and all outstanding Revolving Credit Commitments to be immediately terminated, in each case in accordance with this Agreement (the “</w:t>
      </w:r>
      <w:r>
        <w:rPr>
          <w:rFonts w:ascii="Arial" w:cs="Arial" w:eastAsia="Arial" w:hAnsi="Arial"/>
          <w:sz w:val="18"/>
          <w:szCs w:val="18"/>
          <w:b w:val="1"/>
          <w:bCs w:val="1"/>
          <w:color w:val="auto"/>
        </w:rPr>
        <w:t>Term Loan Standstill Period</w:t>
      </w:r>
      <w:r>
        <w:rPr>
          <w:rFonts w:ascii="Arial" w:cs="Arial" w:eastAsia="Arial" w:hAnsi="Arial"/>
          <w:sz w:val="18"/>
          <w:szCs w:val="18"/>
          <w:color w:val="auto"/>
        </w:rPr>
        <w:t>”); or</w:t>
      </w:r>
    </w:p>
    <w:p>
      <w:pPr>
        <w:spacing w:after="0" w:line="181" w:lineRule="exact"/>
        <w:rPr>
          <w:sz w:val="20"/>
          <w:szCs w:val="20"/>
          <w:color w:val="auto"/>
        </w:rPr>
      </w:pPr>
    </w:p>
    <w:p>
      <w:pPr>
        <w:ind w:left="1304" w:hanging="655"/>
        <w:spacing w:after="0"/>
        <w:tabs>
          <w:tab w:leader="none" w:pos="1304" w:val="left"/>
        </w:tabs>
        <w:numPr>
          <w:ilvl w:val="1"/>
          <w:numId w:val="314"/>
        </w:numPr>
        <w:rPr>
          <w:rFonts w:ascii="Arial" w:cs="Arial" w:eastAsia="Arial" w:hAnsi="Arial"/>
          <w:sz w:val="16"/>
          <w:szCs w:val="16"/>
          <w:color w:val="auto"/>
        </w:rPr>
      </w:pPr>
      <w:r>
        <w:rPr>
          <w:rFonts w:ascii="Arial" w:cs="Arial" w:eastAsia="Arial" w:hAnsi="Arial"/>
          <w:sz w:val="16"/>
          <w:szCs w:val="16"/>
          <w:i w:val="1"/>
          <w:iCs w:val="1"/>
          <w:color w:val="auto"/>
        </w:rPr>
        <w:t xml:space="preserve">Other Defaults. </w:t>
      </w:r>
      <w:r>
        <w:rPr>
          <w:rFonts w:ascii="Arial" w:cs="Arial" w:eastAsia="Arial" w:hAnsi="Arial"/>
          <w:sz w:val="16"/>
          <w:szCs w:val="16"/>
          <w:color w:val="auto"/>
        </w:rPr>
        <w:t>Any Loan Party fails to perform or observe any other covenant or agreement (not specified in Section 8.01(a) or</w:t>
      </w:r>
    </w:p>
    <w:p>
      <w:pPr>
        <w:spacing w:after="0" w:line="46" w:lineRule="exact"/>
        <w:rPr>
          <w:rFonts w:ascii="Arial" w:cs="Arial" w:eastAsia="Arial" w:hAnsi="Arial"/>
          <w:sz w:val="16"/>
          <w:szCs w:val="16"/>
          <w:color w:val="auto"/>
        </w:rPr>
      </w:pPr>
    </w:p>
    <w:p>
      <w:pPr>
        <w:ind w:left="4" w:right="520" w:hanging="4"/>
        <w:spacing w:after="0" w:line="261" w:lineRule="auto"/>
        <w:tabs>
          <w:tab w:leader="none" w:pos="25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above) contained in any Loan Document on its part to be performed or observed and such failure continues for thirty (30) days after notice thereof by the Administrative Agent to the Borrower; or</w:t>
      </w:r>
    </w:p>
    <w:p>
      <w:pPr>
        <w:spacing w:after="0" w:line="183" w:lineRule="exact"/>
        <w:rPr>
          <w:rFonts w:ascii="Arial" w:cs="Arial" w:eastAsia="Arial" w:hAnsi="Arial"/>
          <w:sz w:val="18"/>
          <w:szCs w:val="18"/>
          <w:color w:val="auto"/>
        </w:rPr>
      </w:pPr>
    </w:p>
    <w:p>
      <w:pPr>
        <w:ind w:left="4" w:right="220" w:firstLine="645"/>
        <w:spacing w:after="0" w:line="286" w:lineRule="auto"/>
        <w:tabs>
          <w:tab w:leader="none" w:pos="1308" w:val="left"/>
        </w:tabs>
        <w:numPr>
          <w:ilvl w:val="1"/>
          <w:numId w:val="315"/>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and Warranties. </w:t>
      </w:r>
      <w:r>
        <w:rPr>
          <w:rFonts w:ascii="Arial" w:cs="Arial" w:eastAsia="Arial" w:hAnsi="Arial"/>
          <w:sz w:val="17"/>
          <w:szCs w:val="17"/>
          <w:color w:val="auto"/>
        </w:rPr>
        <w:t>Any representation, warranty, certification or statement of fact made or deemed made by or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the Borrower or any other Loan Party herein, in any other Loan Document, or in any document required to be delivered in connection herewith or therewith shall be incorrect or misleading in any material respect when made or deemed made; or</w:t>
      </w:r>
    </w:p>
    <w:p>
      <w:pPr>
        <w:spacing w:after="0" w:line="165" w:lineRule="exact"/>
        <w:rPr>
          <w:rFonts w:ascii="Arial" w:cs="Arial" w:eastAsia="Arial" w:hAnsi="Arial"/>
          <w:sz w:val="17"/>
          <w:szCs w:val="17"/>
          <w:color w:val="auto"/>
        </w:rPr>
      </w:pPr>
    </w:p>
    <w:p>
      <w:pPr>
        <w:ind w:left="4" w:right="40" w:firstLine="645"/>
        <w:spacing w:after="0" w:line="255" w:lineRule="auto"/>
        <w:tabs>
          <w:tab w:leader="none" w:pos="1311" w:val="left"/>
        </w:tabs>
        <w:numPr>
          <w:ilvl w:val="1"/>
          <w:numId w:val="315"/>
        </w:numPr>
        <w:rPr>
          <w:rFonts w:ascii="Arial" w:cs="Arial" w:eastAsia="Arial" w:hAnsi="Arial"/>
          <w:sz w:val="18"/>
          <w:szCs w:val="18"/>
          <w:color w:val="auto"/>
        </w:rPr>
      </w:pPr>
      <w:r>
        <w:rPr>
          <w:rFonts w:ascii="Arial" w:cs="Arial" w:eastAsia="Arial" w:hAnsi="Arial"/>
          <w:sz w:val="18"/>
          <w:szCs w:val="18"/>
          <w:i w:val="1"/>
          <w:iCs w:val="1"/>
          <w:color w:val="auto"/>
        </w:rPr>
        <w:t xml:space="preserve">Cross-Default. </w:t>
      </w:r>
      <w:r>
        <w:rPr>
          <w:rFonts w:ascii="Arial" w:cs="Arial" w:eastAsia="Arial" w:hAnsi="Arial"/>
          <w:sz w:val="18"/>
          <w:szCs w:val="18"/>
          <w:color w:val="auto"/>
        </w:rPr>
        <w:t>Any Loan Party or any Restricted Subsidiary (A) fails to make any payment beyond the applicable grace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thereto, if any (whether by scheduled maturity, required prepayment, acceleration, demand, or otherwise) in respect of any Indebtedness (other than Indebtedness hereunder) having an aggregate principal amount of not less than the Threshold Amount, or (B) fails to observe or perform any other agreement or condition relating to any such Indebtedness, or any other event occurs (other than, with respect to Indebtedness consisting of Swap Contracts, termination events or equivalent events pursuant to the terms of such Swap Contracts), the effect of which default or other event is to cause, or to permit the holder or holders of</w:t>
      </w:r>
    </w:p>
    <w:p>
      <w:pPr>
        <w:spacing w:after="0" w:line="19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color w:val="auto"/>
        </w:rPr>
        <w:t xml:space="preserve">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(e)(B) shall not apply to secured Indebtedness that becomes due as a result of the voluntary sale or transfer of the property or assets securing such Indebtedness, if such sale or transfer is permitted hereunder and under the documents providing for such Indebtedness;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notwithstanding any provision of this clause (e) to the contrary, to the extent that the terms of any such agreement or instrument governing the sale, pledge or disposal of Margin Stock or the Equity Interests in Amber Holding or utilization of the proceeds of such Indebtedness in connection therewith would result in such acceleration and in a Default or an Event of Default under this Agreement, and would cause this Agreement or any Loan to be subject to the margin requirements or any other restriction under Regulation U issued by the FRB, then such acceleration shall not constitute a Default or Event of Default under this clause (e); or</w:t>
      </w:r>
    </w:p>
    <w:p>
      <w:pPr>
        <w:spacing w:after="0" w:line="178" w:lineRule="exact"/>
        <w:rPr>
          <w:sz w:val="20"/>
          <w:szCs w:val="20"/>
          <w:color w:val="auto"/>
        </w:rPr>
      </w:pPr>
    </w:p>
    <w:p>
      <w:pPr>
        <w:ind w:left="4" w:right="80" w:firstLine="645"/>
        <w:spacing w:after="0" w:line="254" w:lineRule="auto"/>
        <w:tabs>
          <w:tab w:leader="none" w:pos="1305"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 xml:space="preserve">Insolvency Proceedings, Etc. </w:t>
      </w:r>
      <w:r>
        <w:rPr>
          <w:rFonts w:ascii="Arial" w:cs="Arial" w:eastAsia="Arial" w:hAnsi="Arial"/>
          <w:sz w:val="18"/>
          <w:szCs w:val="18"/>
          <w:color w:val="auto"/>
        </w:rPr>
        <w:t>Any Loan Party or any Restricted Subsidiary institutes or consents to the institution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92" w:lineRule="exact"/>
        <w:rPr>
          <w:rFonts w:ascii="Arial" w:cs="Arial" w:eastAsia="Arial" w:hAnsi="Arial"/>
          <w:sz w:val="18"/>
          <w:szCs w:val="18"/>
          <w:color w:val="auto"/>
        </w:rPr>
      </w:pPr>
    </w:p>
    <w:p>
      <w:pPr>
        <w:ind w:left="4" w:right="100" w:firstLine="645"/>
        <w:spacing w:after="0" w:line="279" w:lineRule="auto"/>
        <w:tabs>
          <w:tab w:leader="none" w:pos="1321" w:val="left"/>
        </w:tabs>
        <w:numPr>
          <w:ilvl w:val="0"/>
          <w:numId w:val="316"/>
        </w:numPr>
        <w:rPr>
          <w:rFonts w:ascii="Arial" w:cs="Arial" w:eastAsia="Arial" w:hAnsi="Arial"/>
          <w:sz w:val="17"/>
          <w:szCs w:val="17"/>
          <w:color w:val="auto"/>
        </w:rPr>
      </w:pPr>
      <w:r>
        <w:rPr>
          <w:rFonts w:ascii="Arial" w:cs="Arial" w:eastAsia="Arial" w:hAnsi="Arial"/>
          <w:sz w:val="17"/>
          <w:szCs w:val="17"/>
          <w:i w:val="1"/>
          <w:iCs w:val="1"/>
          <w:color w:val="auto"/>
        </w:rPr>
        <w:t xml:space="preserve">Inability to Pay Debts; Attachment. </w:t>
      </w:r>
      <w:r>
        <w:rPr>
          <w:rFonts w:ascii="Arial" w:cs="Arial" w:eastAsia="Arial" w:hAnsi="Arial"/>
          <w:sz w:val="17"/>
          <w:szCs w:val="17"/>
          <w:color w:val="auto"/>
        </w:rPr>
        <w:t>(i) Any Loan Party or any Restricted Subsidiary becomes unable or admits in writing its</w:t>
      </w:r>
      <w:r>
        <w:rPr>
          <w:rFonts w:ascii="Arial" w:cs="Arial" w:eastAsia="Arial" w:hAnsi="Arial"/>
          <w:sz w:val="17"/>
          <w:szCs w:val="17"/>
          <w:i w:val="1"/>
          <w:iCs w:val="1"/>
          <w:color w:val="auto"/>
        </w:rPr>
        <w:t xml:space="preserve"> </w:t>
      </w:r>
      <w:r>
        <w:rPr>
          <w:rFonts w:ascii="Arial" w:cs="Arial" w:eastAsia="Arial" w:hAnsi="Arial"/>
          <w:sz w:val="17"/>
          <w:szCs w:val="17"/>
          <w:color w:val="auto"/>
        </w:rPr>
        <w:t>inability or fails generally to pay its debts in excess of the Threshold Amount as they become due, or (ii) any writ or warrant of attachment or execution or similar process is issued or levied against all or any material part of the property of the Borrower and the Restricted Subsidiaries, taken as a whole, and is not released, vacated or fully bonded within sixty (60) days after its issue or levy; or</w:t>
      </w:r>
    </w:p>
    <w:p>
      <w:pPr>
        <w:spacing w:after="0" w:line="171" w:lineRule="exact"/>
        <w:rPr>
          <w:rFonts w:ascii="Arial" w:cs="Arial" w:eastAsia="Arial" w:hAnsi="Arial"/>
          <w:sz w:val="17"/>
          <w:szCs w:val="17"/>
          <w:color w:val="auto"/>
        </w:rPr>
      </w:pPr>
    </w:p>
    <w:p>
      <w:pPr>
        <w:jc w:val="both"/>
        <w:ind w:left="4" w:right="20" w:firstLine="645"/>
        <w:spacing w:after="0" w:line="279" w:lineRule="auto"/>
        <w:tabs>
          <w:tab w:leader="none" w:pos="1308" w:val="left"/>
        </w:tabs>
        <w:numPr>
          <w:ilvl w:val="0"/>
          <w:numId w:val="316"/>
        </w:numPr>
        <w:rPr>
          <w:rFonts w:ascii="Arial" w:cs="Arial" w:eastAsia="Arial" w:hAnsi="Arial"/>
          <w:sz w:val="17"/>
          <w:szCs w:val="17"/>
          <w:color w:val="auto"/>
        </w:rPr>
      </w:pPr>
      <w:r>
        <w:rPr>
          <w:rFonts w:ascii="Arial" w:cs="Arial" w:eastAsia="Arial" w:hAnsi="Arial"/>
          <w:sz w:val="17"/>
          <w:szCs w:val="17"/>
          <w:i w:val="1"/>
          <w:iCs w:val="1"/>
          <w:color w:val="auto"/>
        </w:rPr>
        <w:t xml:space="preserve">Judgments. </w:t>
      </w:r>
      <w:r>
        <w:rPr>
          <w:rFonts w:ascii="Arial" w:cs="Arial" w:eastAsia="Arial" w:hAnsi="Arial"/>
          <w:sz w:val="17"/>
          <w:szCs w:val="17"/>
          <w:color w:val="auto"/>
        </w:rPr>
        <w:t>There is entered against any Loan Party or any Restricted Subsidiary a final judgment or order for the payment of</w:t>
      </w:r>
      <w:r>
        <w:rPr>
          <w:rFonts w:ascii="Arial" w:cs="Arial" w:eastAsia="Arial" w:hAnsi="Arial"/>
          <w:sz w:val="17"/>
          <w:szCs w:val="17"/>
          <w:i w:val="1"/>
          <w:iCs w:val="1"/>
          <w:color w:val="auto"/>
        </w:rPr>
        <w:t xml:space="preserve"> </w:t>
      </w:r>
      <w:r>
        <w:rPr>
          <w:rFonts w:ascii="Arial" w:cs="Arial" w:eastAsia="Arial" w:hAnsi="Arial"/>
          <w:sz w:val="17"/>
          <w:szCs w:val="17"/>
          <w:color w:val="auto"/>
        </w:rPr>
        <w:t>money in an aggregate amount exceeding the Threshold Amount (to the extent not covered by independent third-party insurance as to which the insurer has been notified of such judgment or order and has not disputed coverage) and such judgment or order shall not have been satisfied, vacated, discharged or stayed or bonded pending an appeal for a period of sixty (60) consecutive days; or</w:t>
      </w:r>
    </w:p>
    <w:p>
      <w:pPr>
        <w:spacing w:after="0" w:line="17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firstLine="645"/>
        <w:spacing w:after="0" w:line="272" w:lineRule="auto"/>
        <w:tabs>
          <w:tab w:leader="none" w:pos="1322" w:val="left"/>
        </w:tabs>
        <w:numPr>
          <w:ilvl w:val="0"/>
          <w:numId w:val="317"/>
        </w:numPr>
        <w:rPr>
          <w:rFonts w:ascii="Arial" w:cs="Arial" w:eastAsia="Arial" w:hAnsi="Arial"/>
          <w:sz w:val="17"/>
          <w:szCs w:val="17"/>
          <w:color w:val="auto"/>
        </w:rPr>
      </w:pPr>
      <w:r>
        <w:rPr>
          <w:rFonts w:ascii="Arial" w:cs="Arial" w:eastAsia="Arial" w:hAnsi="Arial"/>
          <w:sz w:val="17"/>
          <w:szCs w:val="17"/>
          <w:i w:val="1"/>
          <w:iCs w:val="1"/>
          <w:color w:val="auto"/>
        </w:rPr>
        <w:t xml:space="preserve">Invalidity of Loan Documents. </w:t>
      </w:r>
      <w:r>
        <w:rPr>
          <w:rFonts w:ascii="Arial" w:cs="Arial" w:eastAsia="Arial" w:hAnsi="Arial"/>
          <w:sz w:val="17"/>
          <w:szCs w:val="17"/>
          <w:color w:val="auto"/>
        </w:rPr>
        <w:t>Any material provision of any Loan Document, at any time after its execution and delivery and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reason other than as expressly permitted hereunder or thereunder (including as a result of a transaction permitted under Section 7.03 or 7.04) or as a result of acts or omissions by the Administrative Agent or Collateral Agent or any Lender or the satisfaction in full of all the Obligations, ceases to be in full force and effect; or any Loan Party contests in writing the validity or enforceability of any provision of any Loan Document or the validity or priority of a Lien as required by the Collateral Documents on a material portion of the Collateral; or any Loan Party denies in writing that it has any or further liability or obligation under any Loan Document (other than as a result of repayment in full of the Obligations and termination of the Aggregate Commitments), or purports in writing to revoke or rescind any Loan Document; or</w:t>
      </w:r>
    </w:p>
    <w:p>
      <w:pPr>
        <w:spacing w:after="0" w:line="177" w:lineRule="exact"/>
        <w:rPr>
          <w:rFonts w:ascii="Arial" w:cs="Arial" w:eastAsia="Arial" w:hAnsi="Arial"/>
          <w:sz w:val="17"/>
          <w:szCs w:val="17"/>
          <w:color w:val="auto"/>
        </w:rPr>
      </w:pPr>
    </w:p>
    <w:p>
      <w:pPr>
        <w:ind w:left="1304" w:hanging="655"/>
        <w:spacing w:after="0"/>
        <w:tabs>
          <w:tab w:leader="none" w:pos="1304"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There occurs any Change of Control; or</w:t>
      </w:r>
    </w:p>
    <w:p>
      <w:pPr>
        <w:spacing w:after="0" w:line="225" w:lineRule="exact"/>
        <w:rPr>
          <w:rFonts w:ascii="Arial" w:cs="Arial" w:eastAsia="Arial" w:hAnsi="Arial"/>
          <w:sz w:val="18"/>
          <w:szCs w:val="18"/>
          <w:color w:val="auto"/>
        </w:rPr>
      </w:pPr>
    </w:p>
    <w:p>
      <w:pPr>
        <w:ind w:left="4" w:right="20" w:firstLine="645"/>
        <w:spacing w:after="0" w:line="271" w:lineRule="auto"/>
        <w:tabs>
          <w:tab w:leader="none" w:pos="1308" w:val="left"/>
        </w:tabs>
        <w:numPr>
          <w:ilvl w:val="0"/>
          <w:numId w:val="317"/>
        </w:numPr>
        <w:rPr>
          <w:rFonts w:ascii="Arial" w:cs="Arial" w:eastAsia="Arial" w:hAnsi="Arial"/>
          <w:sz w:val="17"/>
          <w:szCs w:val="17"/>
          <w:color w:val="auto"/>
        </w:rPr>
      </w:pPr>
      <w:r>
        <w:rPr>
          <w:rFonts w:ascii="Arial" w:cs="Arial" w:eastAsia="Arial" w:hAnsi="Arial"/>
          <w:sz w:val="17"/>
          <w:szCs w:val="17"/>
          <w:i w:val="1"/>
          <w:iCs w:val="1"/>
          <w:color w:val="auto"/>
        </w:rPr>
        <w:t xml:space="preserve">Collateral Documents. </w:t>
      </w:r>
      <w:r>
        <w:rPr>
          <w:rFonts w:ascii="Arial" w:cs="Arial" w:eastAsia="Arial" w:hAnsi="Arial"/>
          <w:sz w:val="17"/>
          <w:szCs w:val="17"/>
          <w:color w:val="auto"/>
        </w:rPr>
        <w:t>Any Collateral Document after delivery thereof pursuant to Section 6.11 or 6.13 shall for any reason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pursuant to the terms thereof including as a result of a transaction not prohibited under this Agreement) cease to create a valid and perfected Lien, with the priority required by the Collateral Documents on and security interest in any material portion of the Collateral purported to be covered thereby, subject to Liens permitted under Section 7.01, (i) except to the extent that any such loss of perfection or priority results from the failure of the Administrative Agent or the Collateral Agent to maintain possession of certificates actually delivered to it representing securities pledged under the Collateral Documents or to file Uniform Commercial Code continuation statements and (ii) except for any failure due to foreign Laws, rules and regulations as they relate to pledges of Equity Interests in Foreign Subsidiaries (other than pledges made under Laws of the applicable jurisdiction of formation of such Foreign Subsidiary); or</w:t>
      </w:r>
    </w:p>
    <w:p>
      <w:pPr>
        <w:sectPr>
          <w:pgSz w:w="11900" w:h="16838" w:orient="portrait"/>
          <w:cols w:equalWidth="0" w:num="1">
            <w:col w:w="10764"/>
          </w:cols>
          <w:pgMar w:left="896" w:top="125" w:right="239" w:bottom="0" w:gutter="0" w:footer="0" w:header="0"/>
        </w:sectPr>
      </w:pPr>
    </w:p>
    <w:bookmarkStart w:id="93" w:name="page94"/>
    <w:bookmarkEnd w:id="93"/>
    <w:p>
      <w:pPr>
        <w:ind w:left="660" w:right="100" w:firstLine="645"/>
        <w:spacing w:after="0" w:line="255" w:lineRule="auto"/>
        <w:tabs>
          <w:tab w:leader="none" w:pos="1978" w:val="left"/>
        </w:tabs>
        <w:numPr>
          <w:ilvl w:val="0"/>
          <w:numId w:val="318"/>
        </w:numPr>
        <w:rPr>
          <w:rFonts w:ascii="Arial" w:cs="Arial" w:eastAsia="Arial" w:hAnsi="Arial"/>
          <w:sz w:val="18"/>
          <w:szCs w:val="18"/>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(i) An ERISA Event occurs with respect to a Pension Plan or Multiemployer Plan which has resulted or could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be expected to result in liability of a Loan Party, a Restricted Subsidiary or any ERISA affiliate under Title IV of ERISA in an aggregate amount which could reasonably be expected to result in a Material Adverse Effect, (ii) a Loan Party, any Restricted Subsidiary or any ERISA Affiliate fails to pay when due, after the expiration of any applicable grace period, any installment payment with respect to its withdrawal liability under Section 4201 of ERISA under a Multiemployer Plan in an aggregate amount which could reasonably be expected to result in a Material Adverse Effect, or (iii) with respect to any Foreign Plan, a termination, withdrawal or noncompliance with applicable Law or plan terms, except as could not reasonably be expected to have a Material Adverse Effect.</w:t>
      </w:r>
    </w:p>
    <w:p>
      <w:pPr>
        <w:spacing w:after="0" w:line="18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u w:val="single" w:color="auto"/>
          <w:color w:val="auto"/>
        </w:rPr>
        <w:t>Remedies Upon Event of Default.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any Event of Default occurs and is continuing, the Administrative Agent may and, at the request of the Required Lenders, shall take any or all of the following actions (or, to the extent such Event of Default solely comprises a Financial Covenant Event of Default, prior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expiration of the Term Loan Standstill Period, at the request of the Required Lenders under the Revolving Credit Facility only, and in such case only with respect to the Revolving Credit Commitments, Swing Line Loans, and any Letters of Credit):</w:t>
      </w:r>
    </w:p>
    <w:p>
      <w:pPr>
        <w:spacing w:after="0" w:line="170" w:lineRule="exact"/>
        <w:rPr>
          <w:sz w:val="20"/>
          <w:szCs w:val="20"/>
          <w:color w:val="auto"/>
        </w:rPr>
      </w:pPr>
    </w:p>
    <w:p>
      <w:pPr>
        <w:ind w:left="660" w:right="80" w:firstLine="1033"/>
        <w:spacing w:after="0" w:line="277" w:lineRule="auto"/>
        <w:tabs>
          <w:tab w:leader="none" w:pos="236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Issuers to make L/C Credit Extensions to be terminated, whereupon such commitments and obligation shall be terminated;</w:t>
      </w:r>
    </w:p>
    <w:p>
      <w:pPr>
        <w:spacing w:after="0" w:line="170" w:lineRule="exact"/>
        <w:rPr>
          <w:rFonts w:ascii="Arial" w:cs="Arial" w:eastAsia="Arial" w:hAnsi="Arial"/>
          <w:sz w:val="18"/>
          <w:szCs w:val="18"/>
          <w:color w:val="auto"/>
        </w:rPr>
      </w:pPr>
    </w:p>
    <w:p>
      <w:pPr>
        <w:jc w:val="both"/>
        <w:ind w:left="660" w:right="140" w:firstLine="1033"/>
        <w:spacing w:after="0" w:line="264" w:lineRule="auto"/>
        <w:tabs>
          <w:tab w:leader="none" w:pos="237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1" w:lineRule="exact"/>
        <w:rPr>
          <w:rFonts w:ascii="Arial" w:cs="Arial" w:eastAsia="Arial" w:hAnsi="Arial"/>
          <w:sz w:val="18"/>
          <w:szCs w:val="18"/>
          <w:color w:val="auto"/>
        </w:rPr>
      </w:pPr>
    </w:p>
    <w:p>
      <w:pPr>
        <w:ind w:left="2380" w:hanging="687"/>
        <w:spacing w:after="0"/>
        <w:tabs>
          <w:tab w:leader="none" w:pos="238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require that the Borrower Cash Collateralize the L/C Obligations (in an amount equal to the then Outstanding Amount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thereof); and</w:t>
      </w:r>
    </w:p>
    <w:p>
      <w:pPr>
        <w:spacing w:after="0" w:line="210" w:lineRule="exact"/>
        <w:rPr>
          <w:rFonts w:ascii="Arial" w:cs="Arial" w:eastAsia="Arial" w:hAnsi="Arial"/>
          <w:sz w:val="17"/>
          <w:szCs w:val="17"/>
          <w:color w:val="auto"/>
        </w:rPr>
      </w:pPr>
    </w:p>
    <w:p>
      <w:pPr>
        <w:ind w:left="660" w:right="80" w:firstLine="1033"/>
        <w:spacing w:after="0" w:line="277" w:lineRule="auto"/>
        <w:tabs>
          <w:tab w:leader="none" w:pos="236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subject to the Intercreditor Agreement, exercise on behalf of itself and the Lenders all rights and remedies available to it and the Lenders under the Loan Documents or applicable Law;</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upon the occurrence of an actual or deemed entry of an order for relief with respect to the Borrower under the Bankruptcy Code of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Exclusion of Immaterial Subsidiaries.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Solely for the purpose of determining whether a Default or Event of Default has occurred under clause (f), (g) or (h) of Section 8.01, any reference in any such clause to any Restricted Subsidiary or Loan Party shall be deemed not to include any Restricted Subsidiary affected by any event or circumstances referred to in any such clause that did not, as of the last day of the most recent completed fiscal quarter of the Borrower, have assets with a value in excess of 5% of the consolidated total assets of the Borrower and the Restricted Subsidiaries and did not, as of the four quarter period ending on the last day of such fiscal quarter, have revenues exceeding 5% of the total revenues of the Borrower and the Restricted Subsidiaries (it being agreed that all Restricted Subsidiaries affected by any event or circumstance referred to in any such clause shall be considered together, as a single consolidated Restricted Subsidiary, for purposes of determining whether the condition specified above is satisfied).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Application of Funds.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After the exercise of remedies provided for in Section 8.02 (or after the Loans have automatically become immediately due and payable and the L/C Obligations have automatically been required to be Cash Collateralized as set forth in the proviso to Section 8.02), any amounts received on account of the Obligations shall be applied by the Administrative Agent in the following order (to the fullest extent permitted by mandatory provisions of applicable Law):</w:t>
      </w:r>
    </w:p>
    <w:p>
      <w:pPr>
        <w:spacing w:after="0" w:line="147" w:lineRule="exact"/>
        <w:rPr>
          <w:sz w:val="20"/>
          <w:szCs w:val="20"/>
          <w:color w:val="auto"/>
        </w:rPr>
      </w:pPr>
    </w:p>
    <w:p>
      <w:pPr>
        <w:ind w:left="660" w:right="240" w:firstLine="648"/>
        <w:spacing w:after="0" w:line="264"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payment of that portion of the Obligations constituting fees, indemnities, expenses and other amounts (other than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but including Attorney Costs payable under Section 10.04 and amounts payable under Article III) payable to the Administrative Agent or the Collateral Agent in its capacity as such;</w:t>
      </w:r>
    </w:p>
    <w:p>
      <w:pPr>
        <w:spacing w:after="0" w:line="181" w:lineRule="exact"/>
        <w:rPr>
          <w:sz w:val="20"/>
          <w:szCs w:val="20"/>
          <w:color w:val="auto"/>
        </w:rPr>
      </w:pPr>
    </w:p>
    <w:p>
      <w:pPr>
        <w:ind w:left="660" w:right="280" w:firstLine="648"/>
        <w:spacing w:after="0" w:line="264"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payment of that portion of the Obligations constituting fees, indemnities and other amounts (other than principal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payable to the Lenders (including Attorney Costs payable under Section 10.04 and amounts payable under Article III), ratably among them in proportion to the amounts described in this clause </w:t>
      </w:r>
      <w:r>
        <w:rPr>
          <w:rFonts w:ascii="Arial" w:cs="Arial" w:eastAsia="Arial" w:hAnsi="Arial"/>
          <w:sz w:val="18"/>
          <w:szCs w:val="18"/>
          <w:i w:val="1"/>
          <w:iCs w:val="1"/>
          <w:color w:val="auto"/>
        </w:rPr>
        <w:t>Second</w:t>
      </w:r>
      <w:r>
        <w:rPr>
          <w:rFonts w:ascii="Arial" w:cs="Arial" w:eastAsia="Arial" w:hAnsi="Arial"/>
          <w:sz w:val="18"/>
          <w:szCs w:val="18"/>
          <w:color w:val="auto"/>
        </w:rPr>
        <w:t xml:space="preserve"> payable to them;</w:t>
      </w:r>
    </w:p>
    <w:p>
      <w:pPr>
        <w:spacing w:after="0" w:line="181" w:lineRule="exact"/>
        <w:rPr>
          <w:sz w:val="20"/>
          <w:szCs w:val="20"/>
          <w:color w:val="auto"/>
        </w:rPr>
      </w:pPr>
    </w:p>
    <w:p>
      <w:pPr>
        <w:ind w:left="660" w:right="320" w:firstLine="648"/>
        <w:spacing w:after="0" w:line="286" w:lineRule="auto"/>
        <w:rPr>
          <w:sz w:val="20"/>
          <w:szCs w:val="20"/>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to payment of that portion of the Obligations constituting accrued and unpaid interest on the Loans and L/C Borrowings, and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fees, premiums and scheduled periodic payments due under Treasury Services Agreements or Secured Hedge Agreements, ratably among the Secured Parties in proportion to the respective amounts described in this clause </w:t>
      </w:r>
      <w:r>
        <w:rPr>
          <w:rFonts w:ascii="Arial" w:cs="Arial" w:eastAsia="Arial" w:hAnsi="Arial"/>
          <w:sz w:val="17"/>
          <w:szCs w:val="17"/>
          <w:i w:val="1"/>
          <w:iCs w:val="1"/>
          <w:color w:val="auto"/>
        </w:rPr>
        <w:t>Third</w:t>
      </w:r>
      <w:r>
        <w:rPr>
          <w:rFonts w:ascii="Arial" w:cs="Arial" w:eastAsia="Arial" w:hAnsi="Arial"/>
          <w:sz w:val="17"/>
          <w:szCs w:val="17"/>
          <w:color w:val="auto"/>
        </w:rPr>
        <w:t xml:space="preserve"> payable to them;</w:t>
      </w:r>
    </w:p>
    <w:p>
      <w:pPr>
        <w:spacing w:after="0" w:line="166" w:lineRule="exact"/>
        <w:rPr>
          <w:sz w:val="20"/>
          <w:szCs w:val="20"/>
          <w:color w:val="auto"/>
        </w:rPr>
      </w:pPr>
    </w:p>
    <w:p>
      <w:pPr>
        <w:ind w:left="660" w:right="320" w:firstLine="648"/>
        <w:spacing w:after="0" w:line="259"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payment of that portion of the Obligations constituting unpaid principal of the Loans and L/C Borrowings (including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Collateralize that portion of L/C Obligations comprised of the aggregate undrawn amount of Letters of Credit), and any breakage, termination or other payments under Treasury Services Agreements or Secured Hedge Agreements, ratably among the Secured Parties in proportion to the respective amounts described in this clause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held by them;</w:t>
      </w:r>
    </w:p>
    <w:p>
      <w:pPr>
        <w:sectPr>
          <w:pgSz w:w="11900" w:h="16838" w:orient="portrait"/>
          <w:cols w:equalWidth="0" w:num="1">
            <w:col w:w="11400"/>
          </w:cols>
          <w:pgMar w:left="240" w:top="125" w:right="259" w:bottom="0" w:gutter="0" w:footer="0" w:header="0"/>
        </w:sectPr>
      </w:pPr>
    </w:p>
    <w:bookmarkStart w:id="94" w:name="page95"/>
    <w:bookmarkEnd w:id="94"/>
    <w:p>
      <w:pPr>
        <w:spacing w:after="0" w:line="103" w:lineRule="exact"/>
        <w:rPr>
          <w:sz w:val="20"/>
          <w:szCs w:val="20"/>
          <w:color w:val="auto"/>
        </w:rPr>
      </w:pPr>
    </w:p>
    <w:p>
      <w:pPr>
        <w:jc w:val="both"/>
        <w:ind w:left="660" w:right="220" w:firstLine="648"/>
        <w:spacing w:after="0" w:line="264" w:lineRule="auto"/>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to the payment of all other Obligations of the Borrower that are due and payable to the Administrative Agent and the other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on such date, ratably based upon the respective aggregate amounts of all such Obligations owing to the Administrative Agent and the other Secured Parties on such date; and</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Last</w:t>
      </w:r>
      <w:r>
        <w:rPr>
          <w:rFonts w:ascii="Arial" w:cs="Arial" w:eastAsia="Arial" w:hAnsi="Arial"/>
          <w:sz w:val="18"/>
          <w:szCs w:val="18"/>
          <w:color w:val="auto"/>
        </w:rPr>
        <w:t>, the balance, if any, after all of the Obligations have been paid in full, to the Borrower or as otherwise required by Law.</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Subject to Section 2.03(c), amounts used to Cash Collateralize the aggregate undrawn amount of Letters of Credit pursuant to clause </w:t>
      </w:r>
      <w:r>
        <w:rPr>
          <w:rFonts w:ascii="Arial" w:cs="Arial" w:eastAsia="Arial" w:hAnsi="Arial"/>
          <w:sz w:val="18"/>
          <w:szCs w:val="18"/>
          <w:i w:val="1"/>
          <w:iCs w:val="1"/>
          <w:color w:val="auto"/>
        </w:rPr>
        <w:t>Fifth</w:t>
      </w:r>
      <w:r>
        <w:rPr>
          <w:rFonts w:ascii="Arial" w:cs="Arial" w:eastAsia="Arial" w:hAnsi="Arial"/>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Administrative Agent and Other Agents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Appointment and Authority.</w:t>
      </w:r>
    </w:p>
    <w:p>
      <w:pPr>
        <w:spacing w:after="0" w:line="225" w:lineRule="exact"/>
        <w:rPr>
          <w:sz w:val="20"/>
          <w:szCs w:val="20"/>
          <w:color w:val="auto"/>
        </w:rPr>
      </w:pPr>
    </w:p>
    <w:p>
      <w:pPr>
        <w:ind w:right="140" w:firstLine="656"/>
        <w:spacing w:after="0" w:line="276" w:lineRule="auto"/>
        <w:tabs>
          <w:tab w:leader="none" w:pos="1294" w:val="left"/>
        </w:tabs>
        <w:numPr>
          <w:ilvl w:val="0"/>
          <w:numId w:val="320"/>
        </w:numPr>
        <w:rPr>
          <w:rFonts w:ascii="Arial" w:cs="Arial" w:eastAsia="Arial" w:hAnsi="Arial"/>
          <w:sz w:val="17"/>
          <w:szCs w:val="17"/>
          <w:color w:val="auto"/>
        </w:rPr>
      </w:pPr>
      <w:r>
        <w:rPr>
          <w:rFonts w:ascii="Arial" w:cs="Arial" w:eastAsia="Arial" w:hAnsi="Arial"/>
          <w:sz w:val="17"/>
          <w:szCs w:val="17"/>
          <w:color w:val="auto"/>
        </w:rPr>
        <w:t>Each of the Lenders and the L/C Issuer hereby irrevocably appoints Bank of America to act on its behalf as the Administrative Agent and the Collateral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Collateral Agent, the Lenders and the L/C Issuer, and neither the Borrower nor any other Loan Party shall have rights as a third party beneficiary of any of such provisions.</w:t>
      </w:r>
    </w:p>
    <w:p>
      <w:pPr>
        <w:spacing w:after="0" w:line="172" w:lineRule="exact"/>
        <w:rPr>
          <w:rFonts w:ascii="Arial" w:cs="Arial" w:eastAsia="Arial" w:hAnsi="Arial"/>
          <w:sz w:val="17"/>
          <w:szCs w:val="17"/>
          <w:color w:val="auto"/>
        </w:rPr>
      </w:pPr>
    </w:p>
    <w:p>
      <w:pPr>
        <w:ind w:right="20" w:firstLine="656"/>
        <w:spacing w:after="0" w:line="253" w:lineRule="auto"/>
        <w:tabs>
          <w:tab w:leader="none" w:pos="130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Administrative Agent shall also act as the Collateral Agent under the Loan Documents, and each of the Lenders (including in its capacity as a potential Hedge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Section 9.02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IX and Article X (including Section 10.04(c), as though such co-agents, sub-agents and attorneys-in-fact were the Collateral Agent under the Loan Documents) as if set forth in full herein with respect thereto.</w:t>
      </w:r>
    </w:p>
    <w:p>
      <w:pPr>
        <w:spacing w:after="0" w:line="19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Delegation of Duties.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Exculpatory Provisions.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Administrative Agent shall not have any duties or obligations except those expressly set forth herein and in the other Loan Documents. Without limiting the generality of the foregoing, the Administrative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236" w:lineRule="exact"/>
        <w:rPr>
          <w:rFonts w:ascii="Arial" w:cs="Arial" w:eastAsia="Arial" w:hAnsi="Arial"/>
          <w:sz w:val="17"/>
          <w:szCs w:val="17"/>
          <w:color w:val="auto"/>
        </w:rPr>
      </w:pPr>
    </w:p>
    <w:p>
      <w:pPr>
        <w:ind w:left="660" w:right="200" w:firstLine="645"/>
        <w:spacing w:after="0" w:line="276" w:lineRule="auto"/>
        <w:tabs>
          <w:tab w:leader="none" w:pos="1964"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72" w:lineRule="exact"/>
        <w:rPr>
          <w:rFonts w:ascii="Arial" w:cs="Arial" w:eastAsia="Arial" w:hAnsi="Arial"/>
          <w:sz w:val="17"/>
          <w:szCs w:val="17"/>
          <w:color w:val="auto"/>
        </w:rPr>
      </w:pPr>
    </w:p>
    <w:p>
      <w:pPr>
        <w:ind w:left="660" w:right="80" w:firstLine="645"/>
        <w:spacing w:after="0" w:line="264" w:lineRule="auto"/>
        <w:tabs>
          <w:tab w:leader="none" w:pos="196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1" w:lineRule="exact"/>
        <w:rPr>
          <w:rFonts w:ascii="Arial" w:cs="Arial" w:eastAsia="Arial" w:hAnsi="Arial"/>
          <w:sz w:val="18"/>
          <w:szCs w:val="18"/>
          <w:color w:val="auto"/>
        </w:rPr>
      </w:pPr>
    </w:p>
    <w:p>
      <w:pPr>
        <w:ind w:left="660" w:right="360" w:firstLine="645"/>
        <w:spacing w:after="0" w:line="276" w:lineRule="auto"/>
        <w:tabs>
          <w:tab w:leader="none" w:pos="1964"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Administrative Agent shall not be liable for any action taken or not taken by it with the consent or at the request of the Required Lenders (or such other number or percentage of the Lenders as shall be necessary, or as the Administrative Agent shall believe in good faith shall be necessary, under the circumstances as provided in Sections 10.01 and 8.02), in each case in the absence of its own bad faith, gross negligence or willful misconduct. The Administrative Agent shall be deemed not to have knowledge of any Default unless and until notice describing such Default is given to the Administrative Agent by the Borrower, a Lender or the L/C Issuer.</w:t>
      </w:r>
    </w:p>
    <w:p>
      <w:pPr>
        <w:spacing w:after="0" w:line="172" w:lineRule="exact"/>
        <w:rPr>
          <w:rFonts w:ascii="Arial" w:cs="Arial" w:eastAsia="Arial" w:hAnsi="Arial"/>
          <w:sz w:val="17"/>
          <w:szCs w:val="17"/>
          <w:color w:val="auto"/>
        </w:rPr>
      </w:pPr>
    </w:p>
    <w:p>
      <w:pPr>
        <w:ind w:left="660" w:right="120" w:firstLine="645"/>
        <w:spacing w:after="0" w:line="297" w:lineRule="auto"/>
        <w:tabs>
          <w:tab w:leader="none" w:pos="1967"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w:t>
      </w:r>
    </w:p>
    <w:p>
      <w:pPr>
        <w:sectPr>
          <w:pgSz w:w="11900" w:h="16941" w:orient="portrait"/>
          <w:cols w:equalWidth="0" w:num="1">
            <w:col w:w="11420"/>
          </w:cols>
          <w:pgMar w:left="240" w:top="125" w:right="239" w:bottom="0" w:gutter="0" w:footer="0" w:header="0"/>
        </w:sectPr>
      </w:pPr>
    </w:p>
    <w:bookmarkStart w:id="95" w:name="page96"/>
    <w:bookmarkEnd w:id="95"/>
    <w:p>
      <w:pPr>
        <w:ind w:left="660" w:right="180"/>
        <w:spacing w:after="0" w:line="264" w:lineRule="auto"/>
        <w:rPr>
          <w:sz w:val="20"/>
          <w:szCs w:val="20"/>
          <w:color w:val="auto"/>
        </w:rPr>
      </w:pPr>
      <w:r>
        <w:rPr>
          <w:rFonts w:ascii="Arial" w:cs="Arial" w:eastAsia="Arial" w:hAnsi="Arial"/>
          <w:sz w:val="18"/>
          <w:szCs w:val="18"/>
          <w:color w:val="auto"/>
        </w:rPr>
        <w:t>any Lien purported to be created by the Collateral Documents, (v) the value or the sufficiency of any Collateral, or (v) the satisfaction of any condition set forth in Article IV or elsewhere herein, other than to confirm receipt of items expressly required to be delivered to the Administrative Agent.</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Reliance by Administrative Agent.</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reasonably believed by it to be genuine and to have been signed, sent or otherwise authenticated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by the proper Person. The Administrative Agent also may rely upon any statement made to it orally or by telephone and reasonably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Non-Reliance on Administrative Agent and Other Lenders.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u w:val="single" w:color="auto"/>
          <w:color w:val="auto"/>
        </w:rPr>
        <w:t>Rights as a Lender.</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6"/>
          <w:szCs w:val="16"/>
          <w:u w:val="single" w:color="auto"/>
          <w:color w:val="auto"/>
        </w:rPr>
        <w:t>Resignation of Administrative Agent.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forth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Section 10.04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8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Any resignation by Bank of America as Administrative Agent pursuant to this Section shall also constitute its resignation as L/C Issuer and Swing Line Lender. Upon the acceptance of a successor’s appointment as Administrative Agent hereunder, (i) such successor shall succeed to and become vested with all of the rights, powers, privileges and duties of the retiring L/C Issuer and Swing Line Lender, (ii) 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6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u w:val="single" w:color="auto"/>
          <w:color w:val="auto"/>
        </w:rPr>
        <w:t>Administrative Agent May File Proofs of Claim.</w:t>
      </w:r>
    </w:p>
    <w:p>
      <w:pPr>
        <w:sectPr>
          <w:pgSz w:w="11900" w:h="16838" w:orient="portrait"/>
          <w:cols w:equalWidth="0" w:num="1">
            <w:col w:w="11420"/>
          </w:cols>
          <w:pgMar w:left="240" w:top="125" w:right="239" w:bottom="0" w:gutter="0" w:footer="0" w:header="0"/>
        </w:sectPr>
      </w:pPr>
    </w:p>
    <w:bookmarkStart w:id="96" w:name="page97"/>
    <w:bookmarkEnd w:id="96"/>
    <w:p>
      <w:pPr>
        <w:spacing w:after="0" w:line="1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7" w:lineRule="exact"/>
        <w:rPr>
          <w:sz w:val="20"/>
          <w:szCs w:val="20"/>
          <w:color w:val="auto"/>
        </w:rPr>
      </w:pPr>
    </w:p>
    <w:p>
      <w:pPr>
        <w:ind w:left="660" w:right="720" w:firstLine="645"/>
        <w:spacing w:after="0" w:line="277" w:lineRule="auto"/>
        <w:tabs>
          <w:tab w:leader="none" w:pos="195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Obligations and all other Obligations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79" w:lineRule="auto"/>
        <w:rPr>
          <w:sz w:val="20"/>
          <w:szCs w:val="20"/>
          <w:color w:val="auto"/>
        </w:rPr>
      </w:pPr>
      <w:r>
        <w:rPr>
          <w:rFonts w:ascii="Arial" w:cs="Arial" w:eastAsia="Arial" w:hAnsi="Arial"/>
          <w:sz w:val="17"/>
          <w:szCs w:val="17"/>
          <w:color w:val="auto"/>
        </w:rPr>
        <w:t>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Sections 2.03(h) and (i), 2.09 and 10.04) allowed in such judicial proceeding; and</w:t>
      </w:r>
    </w:p>
    <w:p>
      <w:pPr>
        <w:spacing w:after="0" w:line="171" w:lineRule="exact"/>
        <w:rPr>
          <w:sz w:val="20"/>
          <w:szCs w:val="20"/>
          <w:color w:val="auto"/>
        </w:rPr>
      </w:pPr>
    </w:p>
    <w:p>
      <w:pPr>
        <w:ind w:left="1960" w:hanging="655"/>
        <w:spacing w:after="0"/>
        <w:tabs>
          <w:tab w:leader="none" w:pos="196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and the L/C Issuer to make such 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to the Administrative Agent under Sections 2.09 and 10.04.</w:t>
      </w:r>
    </w:p>
    <w:p>
      <w:pPr>
        <w:spacing w:after="0" w:line="15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or in any such proceeding.</w:t>
      </w:r>
    </w:p>
    <w:p>
      <w:pPr>
        <w:spacing w:after="0" w:line="16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u w:val="single" w:color="auto"/>
          <w:color w:val="auto"/>
        </w:rPr>
        <w:t>Collateral and Guaranty Matters.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Each of the Lenders (including in its capacity as a potential Hedge Bank) and the L/C Issuer irrevocably authorize the Collateral Agent, at its option and in its discretion,</w:t>
      </w:r>
    </w:p>
    <w:p>
      <w:pPr>
        <w:spacing w:after="0" w:line="170" w:lineRule="exact"/>
        <w:rPr>
          <w:sz w:val="20"/>
          <w:szCs w:val="20"/>
          <w:color w:val="auto"/>
        </w:rPr>
      </w:pPr>
    </w:p>
    <w:p>
      <w:pPr>
        <w:ind w:left="660" w:right="40" w:firstLine="645"/>
        <w:spacing w:after="0" w:line="284" w:lineRule="auto"/>
        <w:tabs>
          <w:tab w:leader="none" w:pos="1954" w:val="left"/>
        </w:tabs>
        <w:numPr>
          <w:ilvl w:val="1"/>
          <w:numId w:val="324"/>
        </w:numPr>
        <w:rPr>
          <w:rFonts w:ascii="Arial" w:cs="Arial" w:eastAsia="Arial" w:hAnsi="Arial"/>
          <w:sz w:val="16"/>
          <w:szCs w:val="16"/>
          <w:color w:val="auto"/>
        </w:rPr>
      </w:pPr>
      <w:r>
        <w:rPr>
          <w:rFonts w:ascii="Arial" w:cs="Arial" w:eastAsia="Arial" w:hAnsi="Arial"/>
          <w:sz w:val="16"/>
          <w:szCs w:val="16"/>
          <w:color w:val="auto"/>
        </w:rPr>
        <w:t>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Treasury Services Agreements and Secured Hedge Agreements as to which arrangements satisfactory to the applicable Hedge Bank shall have been made) and the expiration or termination of all Letters of Credit (other than Letters of Credit as to which other arrangements satisfactory to the Administrative Agent and the L/C Issuer shall have been made), (ii) that is sold or to be sold as part of or in connection with any sale permitted hereunder or under any other Loan Document to a Person that is not a Loan Party, (iii) that constitutes “Excluded Assets” (as such term is defined in the Security Agreement), (iv) if approved, authorized or ratified in writing in accordance with Section 10.01, (v) if the property subject to such Lien is owned by a Guarantor, upon release of such Guarantor from its obligations under its Guaranty pursuant to clause (b) below or</w:t>
      </w:r>
    </w:p>
    <w:p>
      <w:pPr>
        <w:spacing w:after="0" w:line="1" w:lineRule="exact"/>
        <w:rPr>
          <w:rFonts w:ascii="Arial" w:cs="Arial" w:eastAsia="Arial" w:hAnsi="Arial"/>
          <w:sz w:val="16"/>
          <w:szCs w:val="16"/>
          <w:color w:val="auto"/>
        </w:rPr>
      </w:pPr>
    </w:p>
    <w:p>
      <w:pPr>
        <w:ind w:left="660" w:right="600" w:hanging="4"/>
        <w:spacing w:after="0" w:line="261" w:lineRule="auto"/>
        <w:tabs>
          <w:tab w:leader="none" w:pos="96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upon the terms of the Collateral Documents or the Intercreditor Agreement (if in effect) or any other intercreditor agreement entered into pursuant hereto;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20" w:firstLine="645"/>
        <w:spacing w:after="0" w:line="277" w:lineRule="auto"/>
        <w:tabs>
          <w:tab w:leader="none" w:pos="196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Subsidiary as a result of a transaction permitted hereunder, or becomes an Excluded Subsidiary or an Unrestricted Subsidiary; and</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6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to subordinate any Lien on any property granted to or held by the Administrative Agent or Collateral Agent under any Loan Document to the holder of any Lien on such property that is permitted by Section 7.01(6) (but solely in the case of Indebtedness incurred pursuant to clause (4) of Section 7.02(b)).</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Upon request by the Administrative Agent or the Collateral Agent at any time, the Required Lenders will confirm in writing the Administrative Agent’s authority to release or subordinate its interest in particular types or items of property, or to release any Guarantor from its obligations under the Guaranty pursuant to this Section 9.09. In each case as specified in this Section 9.09, the Administrative Agent or the Collateral Agent will,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Section 9.09.</w:t>
      </w:r>
    </w:p>
    <w:p>
      <w:pPr>
        <w:spacing w:after="0" w:line="1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Lenders hereby authorize the Administrative Agent to enter into any Intercreditor Agreement, any Second Lien Intercreditor Agreement or other intercreditor agreement or arrangement permitted under this Agreement and the Lenders acknowledge that any such intercreditor agreement is binding upon the Lenders.</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6"/>
          <w:szCs w:val="16"/>
          <w:u w:val="single" w:color="auto"/>
          <w:color w:val="auto"/>
        </w:rPr>
        <w:t>No Other Duties, Etc.</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Anything herein to the contrary notwithstanding, none of the “syndication agent,” “joint bookrunners” or “arrangers” listed on the cover page hereof shall have any powers, duties or responsibilities under this Agreement or any of the other Loan Documents, except in its capacity, as applicable, as the Administrative Agent, a Lender or the L/C Issuer hereunder.</w:t>
      </w:r>
    </w:p>
    <w:p>
      <w:pPr>
        <w:spacing w:after="0" w:line="181"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6"/>
          <w:szCs w:val="16"/>
          <w:u w:val="single" w:color="auto"/>
          <w:color w:val="auto"/>
        </w:rPr>
        <w:t>Treasury Services Agreements and Secured Hedge Agreements.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No Hedge Bank that obtains the benefits of Section 8.04, the Guaranty or any Collateral by virtue of the provisions hereof or of the Guaranty or any Collateral Document shall have any right to notice of any action or to consent to, direct or object to any action hereunder or under any other Loan Document</w:t>
      </w:r>
    </w:p>
    <w:p>
      <w:pPr>
        <w:sectPr>
          <w:pgSz w:w="11900" w:h="16975" w:orient="portrait"/>
          <w:cols w:equalWidth="0" w:num="1">
            <w:col w:w="11420"/>
          </w:cols>
          <w:pgMar w:left="240" w:top="125" w:right="239" w:bottom="0" w:gutter="0" w:footer="0" w:header="0"/>
        </w:sectPr>
      </w:pPr>
    </w:p>
    <w:bookmarkStart w:id="97" w:name="page98"/>
    <w:bookmarkEnd w:id="97"/>
    <w:p>
      <w:pPr>
        <w:spacing w:after="0" w:line="12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or otherwise in respect of the Collateral (including the release or impairment of any Collateral)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Obligations arising under Treasury Services Agreements and Secured Hedge Agreements unless the Administrative Agent has received written notice of such Obligations, together with such supporting documentation as the Administrative Agent may request, from the applicable Hedge Bank, as the case may be.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6"/>
          <w:szCs w:val="16"/>
          <w:u w:val="single" w:color="auto"/>
          <w:color w:val="auto"/>
        </w:rPr>
        <w:t>Withholding Tax.</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To the extent required by any applicable Laws (as determined in good faith by the Administrative Agent), the Administrative Agent may withhold from any payment to any Lender under any Loan Document an amount equivalent to any applicable withholding Tax. Without limiting or expanding the provisions of Section 3.01, each Lender shall indemnify and hold harmless the Administrative Agent against, and shall make payable in respect thereof within 10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9.12. The agreements in this Section 9.12 shall survive the resignation and/or replacement of the Administrative Agent, any assignment of rights by, or the replacement of, a Lender, the termination of the Commitments and the repayment, satisfaction or discharge of all other Obligations. For the avoidance of doubt, the term “Lender” shall, for purposes of this Section 9.12, include any Swing Line Lender and any L/C Issuer.</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Amendments, Etc.</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Except as otherwise set forth in this Agreement, no amendment or waiver of any provision of this Agreement or any other Loan Document, and no consent to any departure by any Loan Party therefrom, shall be effective unless in writing signed by the Required Lenders and such Loan Party, and acknowledged by the Administrative Agent, and each such waiver or consent shall be effective only in the specific instance and for the specific purpose for which given;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waiver or consent shall:</w:t>
      </w:r>
    </w:p>
    <w:p>
      <w:pPr>
        <w:spacing w:after="0" w:line="187" w:lineRule="exact"/>
        <w:rPr>
          <w:sz w:val="20"/>
          <w:szCs w:val="20"/>
          <w:color w:val="auto"/>
        </w:rPr>
      </w:pPr>
    </w:p>
    <w:p>
      <w:pPr>
        <w:ind w:left="660" w:right="100" w:firstLine="645"/>
        <w:spacing w:after="0" w:line="264" w:lineRule="auto"/>
        <w:tabs>
          <w:tab w:leader="none" w:pos="195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extend or increase the Commitment of any Lender without the written consent of each Lender holding such Commitment (it being understood that a waiver of any condition precedent or of any Default, Event of Default, mandatory prepayment or mandatory reduction of the Commitments shall not constitute an extension or increase of any Commitment of any Lender);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postpone any date scheduled for, or reduce or forgive the amount of, any payment of principal or interest under Section 2.07 or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2.08 without the written consent of each Lender holding the applicable Obligation (it being understood that the waiver of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amendment to the terms of) any mandatory prepayment of the Term Loans shall not constitute a postponement of any date scheduled for the payment of principal or interest);</w:t>
      </w:r>
    </w:p>
    <w:p>
      <w:pPr>
        <w:spacing w:after="0" w:line="170" w:lineRule="exact"/>
        <w:rPr>
          <w:sz w:val="20"/>
          <w:szCs w:val="20"/>
          <w:color w:val="auto"/>
        </w:rPr>
      </w:pPr>
    </w:p>
    <w:p>
      <w:pPr>
        <w:ind w:left="1960" w:hanging="655"/>
        <w:spacing w:after="0"/>
        <w:tabs>
          <w:tab w:leader="none" w:pos="196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reduce or forgive the principal of, or the rate of interest specified herein on, any Loan, or L/C Borrowing, or (subject to clause</w:t>
      </w:r>
    </w:p>
    <w:p>
      <w:pPr>
        <w:spacing w:after="0" w:line="34" w:lineRule="exact"/>
        <w:rPr>
          <w:rFonts w:ascii="Arial" w:cs="Arial" w:eastAsia="Arial" w:hAnsi="Arial"/>
          <w:sz w:val="17"/>
          <w:szCs w:val="17"/>
          <w:color w:val="auto"/>
        </w:rPr>
      </w:pPr>
    </w:p>
    <w:p>
      <w:pPr>
        <w:ind w:left="660" w:right="80" w:hanging="4"/>
        <w:spacing w:after="0" w:line="254" w:lineRule="auto"/>
        <w:tabs>
          <w:tab w:leader="none" w:pos="97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of the second proviso to this Section 10.01) any fees or other amounts payable hereunder or under any other Loan Document (or change the timing of payments of such fees or other amounts) without the written consent of each Lender holding such Loan, L/C Borrowing or to whom such fee or other amount is owed;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only the consent of the Required Lenders shall be necessary to amend the definition of “Default Rate” or to waive any obligation of the Borrower to pay interest at the Default Rate;</w:t>
      </w:r>
    </w:p>
    <w:p>
      <w:pPr>
        <w:spacing w:after="0" w:line="189" w:lineRule="exact"/>
        <w:rPr>
          <w:rFonts w:ascii="Arial" w:cs="Arial" w:eastAsia="Arial" w:hAnsi="Arial"/>
          <w:sz w:val="18"/>
          <w:szCs w:val="18"/>
          <w:color w:val="auto"/>
        </w:rPr>
      </w:pPr>
    </w:p>
    <w:p>
      <w:pPr>
        <w:ind w:left="660" w:right="620" w:firstLine="645"/>
        <w:spacing w:after="0" w:line="277" w:lineRule="auto"/>
        <w:tabs>
          <w:tab w:leader="none" w:pos="196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subject to the third paragraph of this Section 10.01, change any provision of this Section 10.01, the definition of “Required Lenders” or “Pro Rata Share” or Section 2.06(b), 2.12(a), 2.13 or 8.04 without the written consent of each Lender;</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6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other than in connection with a transaction permitted under Section 7.03 or 7.04, release all or substantially all of the Collateral in any transaction or series of related transactions, without the written consent of each Lender;</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1961" w:val="left"/>
        </w:tabs>
        <w:numPr>
          <w:ilvl w:val="1"/>
          <w:numId w:val="329"/>
        </w:numPr>
        <w:rPr>
          <w:rFonts w:ascii="Arial" w:cs="Arial" w:eastAsia="Arial" w:hAnsi="Arial"/>
          <w:sz w:val="18"/>
          <w:szCs w:val="18"/>
          <w:color w:val="auto"/>
        </w:rPr>
      </w:pPr>
      <w:r>
        <w:rPr>
          <w:rFonts w:ascii="Arial" w:cs="Arial" w:eastAsia="Arial" w:hAnsi="Arial"/>
          <w:sz w:val="18"/>
          <w:szCs w:val="18"/>
          <w:color w:val="auto"/>
        </w:rPr>
        <w:t>other than in connection with a transaction permitted under Section 7.03 or 7.04, release all or substantially all of the aggregate value of the Guarantees, without the written consent of each Lender; or</w:t>
      </w:r>
    </w:p>
    <w:p>
      <w:pPr>
        <w:spacing w:after="0" w:line="170" w:lineRule="exact"/>
        <w:rPr>
          <w:rFonts w:ascii="Arial" w:cs="Arial" w:eastAsia="Arial" w:hAnsi="Arial"/>
          <w:sz w:val="18"/>
          <w:szCs w:val="18"/>
          <w:color w:val="auto"/>
        </w:rPr>
      </w:pPr>
    </w:p>
    <w:p>
      <w:pPr>
        <w:ind w:left="660" w:right="680" w:firstLine="645"/>
        <w:spacing w:after="0" w:line="277" w:lineRule="auto"/>
        <w:tabs>
          <w:tab w:leader="none" w:pos="197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without the written consent of the Required Class Lenders, adversely affect the rights of a Class in respect of payments or Collateral in a manner different to the effect of such amendment, waiver or consent on any other Class,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 no amendment, waiver or consent shall, unless in writing and signed by each L/C Issuer in addition to the Lenders required above, affect the rights or duties of an L/C Issuer under this Agreement or any Letter of Credit Application relating to any Letter of Credit issued or to be issued by it; (ii) no amendment, waiver or consent shall, unless in writing and signed by a Swing Line Lender in addition to the Lenders required above, affect the rights or duties of such Swing Line Lender under this Agreement; (iii) no amendment, waiver or consent shall, unless in writing and signed by the Administrative Agent or the Collateral Agent, as applicable, in addition to the Lenders required above, affect the rights or duties of, or any fees or other amounts payable to, the Administrative Agent or the Collateral Agent, as applicable, under this Agreement or any other Loan Document;</w:t>
      </w:r>
    </w:p>
    <w:p>
      <w:pPr>
        <w:spacing w:after="0" w:line="1" w:lineRule="exact"/>
        <w:rPr>
          <w:sz w:val="20"/>
          <w:szCs w:val="20"/>
          <w:color w:val="auto"/>
        </w:rPr>
      </w:pPr>
    </w:p>
    <w:p>
      <w:pPr>
        <w:jc w:val="both"/>
        <w:ind w:right="360" w:firstLine="8"/>
        <w:spacing w:after="0" w:line="323" w:lineRule="auto"/>
        <w:tabs>
          <w:tab w:leader="none" w:pos="30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Section 10.06(g) may not be amended, waived or otherwise modified without the consent of each Granting Lender all or any part of whose Loans are being funded by an SPC at the time of such amendment, waiver or other modification; and (v) no amendment, waiver or consent shall be made to modify</w:t>
      </w:r>
    </w:p>
    <w:p>
      <w:pPr>
        <w:sectPr>
          <w:pgSz w:w="11900" w:h="16960" w:orient="portrait"/>
          <w:cols w:equalWidth="0" w:num="1">
            <w:col w:w="11420"/>
          </w:cols>
          <w:pgMar w:left="240" w:top="125" w:right="239" w:bottom="0" w:gutter="0" w:footer="0" w:header="0"/>
        </w:sectPr>
      </w:pPr>
    </w:p>
    <w:bookmarkStart w:id="98" w:name="page99"/>
    <w:bookmarkEnd w:id="98"/>
    <w:p>
      <w:pPr>
        <w:ind w:right="160"/>
        <w:spacing w:after="0" w:line="259" w:lineRule="auto"/>
        <w:rPr>
          <w:sz w:val="20"/>
          <w:szCs w:val="20"/>
          <w:color w:val="auto"/>
        </w:rPr>
      </w:pPr>
      <w:r>
        <w:rPr>
          <w:rFonts w:ascii="Arial" w:cs="Arial" w:eastAsia="Arial" w:hAnsi="Arial"/>
          <w:sz w:val="18"/>
          <w:szCs w:val="18"/>
          <w:color w:val="auto"/>
        </w:rPr>
        <w:t xml:space="preserve">Section 7.09 or any definition related thereto (as any such definition is used for purposes of Section 7.09) or waive any Default or Event of Default resulting from a failure to perform or observe the requirements of Section 7.09 without the written consent of the Required Class Lenders under the applicable Revolving Credit Facility or Facilities with respect to Revolving Credit Commitments (such Required Class Lenders shall consent together as one Facility);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waivers described in this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 xml:space="preserve">clause (v) shall not require the consent of any Lenders other than the Required Class Lenders under such Facility or Facilities with respect to Revolving Credit Commitments;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Borrower and the Administrative Agent shall be permitted to enter into an amendment, supplement, modification, consent or waiver to cure any ambiguity, omission, defect or inconsistency in any Loan Document without the prior written consent of the Required Lenders.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except that the Commitment of such Lender may not be increased or extended without the consent of such Lender (it being understood that any Commitments or Loans held or deemed held by any Defaulting Lender shall be excluded for a vote of the Lenders hereunder requiring any consent of the Lenders).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Notwithstanding the foregoing, this Agreement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and the Revolving Credit Loans and the accrued interest and fees in respect thereof and (b) to include appropriately the Lenders holding such credit facilities in any determination of the Required Lenders. Notwithstanding the foregoing, this Agreement may be amended to adjust the borrowing mechanics related to Swing Line Loans with only the written consent of the Administrative Agent, the applicable Swing Line Lender(s) and the Borrower so long as the Obligations of the Revolving Credit Lenders and, if applicable, the other Swing Line Lender are not affected thereby.</w:t>
      </w:r>
    </w:p>
    <w:p>
      <w:pPr>
        <w:spacing w:after="0" w:line="192"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 xml:space="preserve">If any Lender does not consent to a proposed amendment, waiver, consent or release with respect to any Loan Document that requires the consent of each Lender and that has been approved by the Required Lenders, the Borrower may replace such non-consenting Lender in accordance with Section 10.13;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amendment, waiver, consent or release can be effected as a result of the assignment contemplated by such Section (together with all other</w:t>
      </w:r>
      <w:r>
        <w:rPr>
          <w:rFonts w:ascii="Arial" w:cs="Arial" w:eastAsia="Arial" w:hAnsi="Arial"/>
          <w:sz w:val="17"/>
          <w:szCs w:val="17"/>
          <w:i w:val="1"/>
          <w:iCs w:val="1"/>
          <w:color w:val="auto"/>
        </w:rPr>
        <w:t xml:space="preserve"> </w:t>
      </w:r>
      <w:r>
        <w:rPr>
          <w:rFonts w:ascii="Arial" w:cs="Arial" w:eastAsia="Arial" w:hAnsi="Arial"/>
          <w:sz w:val="17"/>
          <w:szCs w:val="17"/>
          <w:color w:val="auto"/>
        </w:rPr>
        <w:t>such assignments required by the Borrower to be made pursuant to this paragraph).</w:t>
      </w:r>
    </w:p>
    <w:p>
      <w:pPr>
        <w:spacing w:after="0" w:line="17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Notices; Effectiveness; Electronic Communications.</w:t>
      </w:r>
    </w:p>
    <w:p>
      <w:pPr>
        <w:spacing w:after="0" w:line="225" w:lineRule="exact"/>
        <w:rPr>
          <w:sz w:val="20"/>
          <w:szCs w:val="20"/>
          <w:color w:val="auto"/>
        </w:rPr>
      </w:pPr>
    </w:p>
    <w:p>
      <w:pPr>
        <w:ind w:right="240" w:firstLine="656"/>
        <w:spacing w:after="0" w:line="279" w:lineRule="auto"/>
        <w:tabs>
          <w:tab w:leader="none" w:pos="1294" w:val="left"/>
        </w:tabs>
        <w:numPr>
          <w:ilvl w:val="0"/>
          <w:numId w:val="331"/>
        </w:numPr>
        <w:rPr>
          <w:rFonts w:ascii="Arial" w:cs="Arial" w:eastAsia="Arial" w:hAnsi="Arial"/>
          <w:sz w:val="17"/>
          <w:szCs w:val="17"/>
          <w:color w:val="auto"/>
        </w:rPr>
      </w:pPr>
      <w:r>
        <w:rPr>
          <w:rFonts w:ascii="Arial" w:cs="Arial" w:eastAsia="Arial" w:hAnsi="Arial"/>
          <w:sz w:val="17"/>
          <w:szCs w:val="17"/>
          <w:i w:val="1"/>
          <w:iCs w:val="1"/>
          <w:color w:val="auto"/>
        </w:rPr>
        <w:t>Notices Generally</w:t>
      </w:r>
      <w:r>
        <w:rPr>
          <w:rFonts w:ascii="Arial" w:cs="Arial" w:eastAsia="Arial" w:hAnsi="Arial"/>
          <w:sz w:val="17"/>
          <w:szCs w:val="17"/>
          <w:color w:val="auto"/>
        </w:rPr>
        <w:t>. Except in the case of notices and other communications expressly permitted to be given by telephone (and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660" w:right="720" w:firstLine="645"/>
        <w:spacing w:after="0" w:line="277" w:lineRule="auto"/>
        <w:tabs>
          <w:tab w:leader="none" w:pos="1978"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if to the Borrower, the Administrative Agent, the L/C Issuer or the Swing Line Lender, to the address, telecopier number, electronic mail address or telephone number specified for such Person on Schedule 10.02;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80" w:firstLine="645"/>
        <w:spacing w:after="0" w:line="312" w:lineRule="auto"/>
        <w:tabs>
          <w:tab w:leader="none" w:pos="1987"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right="40" w:firstLine="656"/>
        <w:spacing w:after="0" w:line="293" w:lineRule="auto"/>
        <w:tabs>
          <w:tab w:leader="none" w:pos="1304" w:val="left"/>
        </w:tabs>
        <w:numPr>
          <w:ilvl w:val="0"/>
          <w:numId w:val="333"/>
        </w:numPr>
        <w:rPr>
          <w:rFonts w:ascii="Arial" w:cs="Arial" w:eastAsia="Arial" w:hAnsi="Arial"/>
          <w:sz w:val="16"/>
          <w:szCs w:val="16"/>
          <w:color w:val="auto"/>
        </w:rPr>
      </w:pPr>
      <w:r>
        <w:rPr>
          <w:rFonts w:ascii="Arial" w:cs="Arial" w:eastAsia="Arial" w:hAnsi="Arial"/>
          <w:sz w:val="16"/>
          <w:szCs w:val="16"/>
          <w:i w:val="1"/>
          <w:iCs w:val="1"/>
          <w:color w:val="auto"/>
        </w:rPr>
        <w:t>Electronic Communications</w:t>
      </w:r>
      <w:r>
        <w:rPr>
          <w:rFonts w:ascii="Arial" w:cs="Arial" w:eastAsia="Arial" w:hAnsi="Arial"/>
          <w:sz w:val="16"/>
          <w:szCs w:val="16"/>
          <w:color w:val="auto"/>
        </w:rPr>
        <w:t>. Notices and other communications to the Lenders and the L/C Issuer hereunder may be delivered or furnished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electronic communication (including e-mail and Internet or intranet websites) pursuant to procedures approved by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notices to any Lender or the L/C Issuer pursuant to Article II if such Lender or the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approval of such procedures may be limited to particular notices or communications.</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5" w:lineRule="exact"/>
        <w:rPr>
          <w:sz w:val="20"/>
          <w:szCs w:val="20"/>
          <w:color w:val="auto"/>
        </w:rPr>
      </w:pPr>
    </w:p>
    <w:p>
      <w:pPr>
        <w:ind w:right="200" w:firstLine="656"/>
        <w:spacing w:after="0" w:line="279" w:lineRule="auto"/>
        <w:tabs>
          <w:tab w:leader="none" w:pos="1307" w:val="left"/>
        </w:tabs>
        <w:numPr>
          <w:ilvl w:val="0"/>
          <w:numId w:val="334"/>
        </w:numPr>
        <w:rPr>
          <w:rFonts w:ascii="Arial" w:cs="Arial" w:eastAsia="Arial" w:hAnsi="Arial"/>
          <w:sz w:val="17"/>
          <w:szCs w:val="17"/>
          <w:color w:val="auto"/>
        </w:rPr>
      </w:pPr>
      <w:r>
        <w:rPr>
          <w:rFonts w:ascii="Arial" w:cs="Arial" w:eastAsia="Arial" w:hAnsi="Arial"/>
          <w:sz w:val="17"/>
          <w:szCs w:val="17"/>
          <w:i w:val="1"/>
          <w:iCs w:val="1"/>
          <w:color w:val="auto"/>
        </w:rPr>
        <w:t>The Platform</w:t>
      </w:r>
      <w:r>
        <w:rPr>
          <w:rFonts w:ascii="Arial" w:cs="Arial" w:eastAsia="Arial" w:hAnsi="Arial"/>
          <w:sz w:val="17"/>
          <w:szCs w:val="17"/>
          <w:color w:val="auto"/>
        </w:rPr>
        <w:t>. THE PLATFORM IS PROVIDED “AS IS” AND “AS AVAILABLE.” THE AGENT PARTIES (AS DEFINED BELOW)</w:t>
      </w:r>
      <w:r>
        <w:rPr>
          <w:rFonts w:ascii="Arial" w:cs="Arial" w:eastAsia="Arial" w:hAnsi="Arial"/>
          <w:sz w:val="17"/>
          <w:szCs w:val="17"/>
          <w:i w:val="1"/>
          <w:iCs w:val="1"/>
          <w:color w:val="auto"/>
        </w:rPr>
        <w:t xml:space="preserve"> </w:t>
      </w:r>
      <w:r>
        <w:rPr>
          <w:rFonts w:ascii="Arial" w:cs="Arial" w:eastAsia="Arial" w:hAnsi="Arial"/>
          <w:sz w:val="17"/>
          <w:szCs w:val="17"/>
          <w:color w:val="auto"/>
        </w:rPr>
        <w:t>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w:t>
      </w:r>
    </w:p>
    <w:p>
      <w:pPr>
        <w:sectPr>
          <w:pgSz w:w="11900" w:h="16838" w:orient="portrait"/>
          <w:cols w:equalWidth="0" w:num="1">
            <w:col w:w="11420"/>
          </w:cols>
          <w:pgMar w:left="240" w:top="125" w:right="239" w:bottom="0" w:gutter="0" w:footer="0" w:header="0"/>
        </w:sectPr>
      </w:pPr>
    </w:p>
    <w:bookmarkStart w:id="99" w:name="page100"/>
    <w:bookmarkEnd w:id="99"/>
    <w:p>
      <w:pPr>
        <w:ind w:right="120"/>
        <w:spacing w:after="0" w:line="277" w:lineRule="auto"/>
        <w:rPr>
          <w:sz w:val="20"/>
          <w:szCs w:val="20"/>
          <w:color w:val="auto"/>
        </w:rPr>
      </w:pPr>
      <w:r>
        <w:rPr>
          <w:rFonts w:ascii="Arial" w:cs="Arial" w:eastAsia="Arial" w:hAnsi="Arial"/>
          <w:sz w:val="18"/>
          <w:szCs w:val="18"/>
          <w:color w:val="auto"/>
        </w:rPr>
        <w:t>PURPOSE, NON-INFRINGEMENT OF THIRD PARTY RIGHTS OR FREEDOM FROM VIRUSES OR OTHER CODE DEFECTS, IS MADE BY ANY AGENT PARTY IN CONNECTION WITH THE BORROWER MATERIALS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THE PLATFORM. In no event shall the Administrative Agent or any of its Related Parties (collectively, the “</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have any liability to the Borrower, any Lender, the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bad faith, gross negligence or willful misconduct of such Agent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any Agent Party have any liability to the Borrower, any Lender, the L/C Issuer or any other Person for indirect, special, incidental, consequential or punitive damages (as opposed to direct or actual damages).</w:t>
      </w:r>
    </w:p>
    <w:p>
      <w:pPr>
        <w:spacing w:after="0" w:line="193" w:lineRule="exact"/>
        <w:rPr>
          <w:sz w:val="20"/>
          <w:szCs w:val="20"/>
          <w:color w:val="auto"/>
        </w:rPr>
      </w:pPr>
    </w:p>
    <w:p>
      <w:pPr>
        <w:ind w:firstLine="656"/>
        <w:spacing w:after="0" w:line="269" w:lineRule="auto"/>
        <w:tabs>
          <w:tab w:leader="none" w:pos="1304" w:val="left"/>
        </w:tabs>
        <w:numPr>
          <w:ilvl w:val="0"/>
          <w:numId w:val="335"/>
        </w:numPr>
        <w:rPr>
          <w:rFonts w:ascii="Arial" w:cs="Arial" w:eastAsia="Arial" w:hAnsi="Arial"/>
          <w:sz w:val="17"/>
          <w:szCs w:val="17"/>
          <w:color w:val="auto"/>
        </w:rPr>
      </w:pPr>
      <w:r>
        <w:rPr>
          <w:rFonts w:ascii="Arial" w:cs="Arial" w:eastAsia="Arial" w:hAnsi="Arial"/>
          <w:sz w:val="17"/>
          <w:szCs w:val="17"/>
          <w:i w:val="1"/>
          <w:iCs w:val="1"/>
          <w:color w:val="auto"/>
        </w:rPr>
        <w:t>Change of Address, Etc</w:t>
      </w:r>
      <w:r>
        <w:rPr>
          <w:rFonts w:ascii="Arial" w:cs="Arial" w:eastAsia="Arial" w:hAnsi="Arial"/>
          <w:sz w:val="17"/>
          <w:szCs w:val="17"/>
          <w:color w:val="auto"/>
        </w:rPr>
        <w:t>. Each of the Borrower, the Administrative Agent, the L/C Issuer and the Swing Line Lender may change its</w:t>
      </w:r>
      <w:r>
        <w:rPr>
          <w:rFonts w:ascii="Arial" w:cs="Arial" w:eastAsia="Arial" w:hAnsi="Arial"/>
          <w:sz w:val="17"/>
          <w:szCs w:val="17"/>
          <w:i w:val="1"/>
          <w:iCs w:val="1"/>
          <w:color w:val="auto"/>
        </w:rPr>
        <w:t xml:space="preserve"> </w:t>
      </w:r>
      <w:r>
        <w:rPr>
          <w:rFonts w:ascii="Arial" w:cs="Arial" w:eastAsia="Arial" w:hAnsi="Arial"/>
          <w:sz w:val="17"/>
          <w:szCs w:val="17"/>
          <w:color w:val="auto"/>
        </w:rPr>
        <w:t>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2" w:lineRule="exact"/>
        <w:rPr>
          <w:rFonts w:ascii="Arial" w:cs="Arial" w:eastAsia="Arial" w:hAnsi="Arial"/>
          <w:sz w:val="17"/>
          <w:szCs w:val="17"/>
          <w:color w:val="auto"/>
        </w:rPr>
      </w:pPr>
    </w:p>
    <w:p>
      <w:pPr>
        <w:ind w:firstLine="656"/>
        <w:spacing w:after="0" w:line="290" w:lineRule="auto"/>
        <w:tabs>
          <w:tab w:leader="none" w:pos="1307" w:val="left"/>
        </w:tabs>
        <w:numPr>
          <w:ilvl w:val="0"/>
          <w:numId w:val="335"/>
        </w:numPr>
        <w:rPr>
          <w:rFonts w:ascii="Arial" w:cs="Arial" w:eastAsia="Arial" w:hAnsi="Arial"/>
          <w:sz w:val="16"/>
          <w:szCs w:val="16"/>
          <w:color w:val="auto"/>
        </w:rPr>
      </w:pPr>
      <w:r>
        <w:rPr>
          <w:rFonts w:ascii="Arial" w:cs="Arial" w:eastAsia="Arial" w:hAnsi="Arial"/>
          <w:sz w:val="16"/>
          <w:szCs w:val="16"/>
          <w:i w:val="1"/>
          <w:iCs w:val="1"/>
          <w:color w:val="auto"/>
        </w:rPr>
        <w:t>Reliance by the Agents, L/C Issuer and Lenders</w:t>
      </w:r>
      <w:r>
        <w:rPr>
          <w:rFonts w:ascii="Arial" w:cs="Arial" w:eastAsia="Arial" w:hAnsi="Arial"/>
          <w:sz w:val="16"/>
          <w:szCs w:val="16"/>
          <w:color w:val="auto"/>
        </w:rPr>
        <w:t>. The Administrative Agent, the Collateral Agent, the L/C Issuer and the Lenders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rely and act upon any notices (including telephonic Committed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Collateral Agent, the L/C Issuer, each Lender and the Related Parties of each of them from all losses, costs, expenses and liabilities resulting from the reliance by such Person on each notice purportedly given by or on behalf of the Borrower in the absence of bad faith, gross negligence or willful misconduct by such Person. All telephonic notices to and other telephonic communications with the Administrative Agent or the Collateral Agent, may be recorded by the Administrative Agent or the Collateral Agent, and each of the parties hereto hereby consents to such recording.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u w:val="single" w:color="auto"/>
          <w:color w:val="auto"/>
        </w:rPr>
        <w:t>No Waiver; Cumulative Remedies; Enforcement.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No failure by any Lender or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8.02 for the benefit of all the Lenders and the L/C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Section 10.08 (subject to the terms of Section 2.13),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at any time there is no Person acting as Administrative Agent hereunder and under the other Loan Documents, then (i) the Required Lenders shall have the rights otherwise ascribed to the Administrative Agent pursuant to Section 8.02 and (ii) in addition to the matters set forth in clauses (b), (c) and (d) of the preceding proviso and subject to Section 2.13, any Lender may, with the consent of the Required Lenders, enforce any rights and remedies available to it and as authorized by the Required Lenders.</w:t>
      </w:r>
    </w:p>
    <w:p>
      <w:pPr>
        <w:spacing w:after="0" w:line="16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Expenses; Indemnity; Damage Waiver.</w:t>
      </w:r>
    </w:p>
    <w:p>
      <w:pPr>
        <w:spacing w:after="0" w:line="225" w:lineRule="exact"/>
        <w:rPr>
          <w:sz w:val="20"/>
          <w:szCs w:val="20"/>
          <w:color w:val="auto"/>
        </w:rPr>
      </w:pPr>
    </w:p>
    <w:p>
      <w:pPr>
        <w:ind w:right="40" w:firstLine="1224"/>
        <w:spacing w:after="0" w:line="271" w:lineRule="auto"/>
        <w:tabs>
          <w:tab w:leader="none" w:pos="1942"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and documented out-of-pocket expenses incurred by the Administrative Agent and its Affiliates (including the reasonable and documented out-of-pocket fees, charges and disbursements of counsel for the Administrative Agent), in connection with the syndication of the credit facilities provided for herein, the preparation, negotiation, execution, delivery and administration of this Agreementand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renewal or extension of any Letter of Credit or any demand for payment thereunder and (iii) all reasonable and documented out-of-pocket expenses incurred by the Administrative Agent, any Lender or the L/C Issuer (including the reasonable and documented out-of-pocket fees, charges and disbursements of any counsel for the</w:t>
      </w:r>
    </w:p>
    <w:p>
      <w:pPr>
        <w:sectPr>
          <w:pgSz w:w="11900" w:h="16838" w:orient="portrait"/>
          <w:cols w:equalWidth="0" w:num="1">
            <w:col w:w="11380"/>
          </w:cols>
          <w:pgMar w:left="240" w:top="125" w:right="279" w:bottom="283" w:gutter="0" w:footer="0" w:header="0"/>
        </w:sectPr>
      </w:pP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283" w:gutter="0" w:footer="0" w:header="0"/>
          <w:type w:val="continuous"/>
        </w:sectPr>
      </w:pPr>
    </w:p>
    <w:bookmarkStart w:id="100" w:name="page101"/>
    <w:bookmarkEnd w:id="100"/>
    <w:p>
      <w:pPr>
        <w:spacing w:after="0" w:line="13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Administrative Agent, any Lender or the L/C Issuer), and shall pay all allocated fees and time charges for attorneys who may be employees of the Administrative Agent, any Lender or the L/C Issuer, in connection with the enforcement or protection of its rights (A) in connection with this Agreement, including Section 6.10 hereof, and the other Loan Documents, including its rights under this Section, or (B) in connection with Loans made or Letters of Credit issued hereunder, including all such reasonable and documented out-of-pocket expenses incurred during any workout, restructuring or negotiations in respect of such Loans or Letters of Credit.</w:t>
      </w:r>
    </w:p>
    <w:p>
      <w:pPr>
        <w:spacing w:after="0" w:line="188" w:lineRule="exact"/>
        <w:rPr>
          <w:sz w:val="20"/>
          <w:szCs w:val="20"/>
          <w:color w:val="auto"/>
        </w:rPr>
      </w:pPr>
    </w:p>
    <w:p>
      <w:pPr>
        <w:ind w:firstLine="1224"/>
        <w:spacing w:after="0" w:line="267" w:lineRule="auto"/>
        <w:tabs>
          <w:tab w:leader="none" w:pos="1952"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(and any sub-agent thereof), each Lender and the L/C Issuer, and each Related Party of any of the foregoing Persons (each such Person being called an “</w:t>
      </w:r>
      <w:r>
        <w:rPr>
          <w:rFonts w:ascii="Arial" w:cs="Arial" w:eastAsia="Arial" w:hAnsi="Arial"/>
          <w:sz w:val="17"/>
          <w:szCs w:val="17"/>
          <w:b w:val="1"/>
          <w:bCs w:val="1"/>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at, on, under or emanating from any property owned, leased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w:t>
      </w:r>
    </w:p>
    <w:p>
      <w:pPr>
        <w:spacing w:after="0" w:line="188" w:lineRule="exact"/>
        <w:rPr>
          <w:rFonts w:ascii="Arial" w:cs="Arial" w:eastAsia="Arial" w:hAnsi="Arial"/>
          <w:sz w:val="17"/>
          <w:szCs w:val="17"/>
          <w:color w:val="auto"/>
        </w:rPr>
      </w:pPr>
    </w:p>
    <w:p>
      <w:pPr>
        <w:ind w:right="180" w:firstLine="1224"/>
        <w:spacing w:after="0" w:line="264" w:lineRule="auto"/>
        <w:tabs>
          <w:tab w:leader="none" w:pos="1955"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To the extent that the Borrower for any reason fails to indefeasibly pay any amount required under subsection (a) or (b) of this Section to be paid by it to the Administrative Agent (or any sub-agent thereof), the L/C Issuer or any Related Party of any of the foregoing, each Lender severally agrees to pay to the Administrative Agent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(or any such sub-agent), the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(c) are subject to the provisions of Section 2.12(e).</w:t>
      </w:r>
    </w:p>
    <w:p>
      <w:pPr>
        <w:spacing w:after="0" w:line="158" w:lineRule="exact"/>
        <w:rPr>
          <w:sz w:val="20"/>
          <w:szCs w:val="20"/>
          <w:color w:val="auto"/>
        </w:rPr>
      </w:pPr>
    </w:p>
    <w:p>
      <w:pPr>
        <w:ind w:right="120" w:firstLine="1224"/>
        <w:spacing w:after="0" w:line="290" w:lineRule="auto"/>
        <w:tabs>
          <w:tab w:leader="none" w:pos="1952"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bad faith, gross negligence or willful misconduct of such Indemnitee as determined by a final and nonappealable judgment of a court of competent jurisdiction.</w:t>
      </w:r>
    </w:p>
    <w:p>
      <w:pPr>
        <w:spacing w:after="0" w:line="166" w:lineRule="exact"/>
        <w:rPr>
          <w:rFonts w:ascii="Arial" w:cs="Arial" w:eastAsia="Arial" w:hAnsi="Arial"/>
          <w:sz w:val="16"/>
          <w:szCs w:val="16"/>
          <w:color w:val="auto"/>
        </w:rPr>
      </w:pPr>
    </w:p>
    <w:p>
      <w:pPr>
        <w:ind w:left="1960" w:hanging="736"/>
        <w:spacing w:after="0"/>
        <w:tabs>
          <w:tab w:leader="none" w:pos="1960"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ten Business Days after demand therefor.</w:t>
      </w:r>
    </w:p>
    <w:p>
      <w:pPr>
        <w:spacing w:after="0" w:line="236" w:lineRule="exact"/>
        <w:rPr>
          <w:rFonts w:ascii="Arial" w:cs="Arial" w:eastAsia="Arial" w:hAnsi="Arial"/>
          <w:sz w:val="17"/>
          <w:szCs w:val="17"/>
          <w:color w:val="auto"/>
        </w:rPr>
      </w:pPr>
    </w:p>
    <w:p>
      <w:pPr>
        <w:ind w:right="180" w:firstLine="1224"/>
        <w:spacing w:after="0" w:line="264" w:lineRule="auto"/>
        <w:tabs>
          <w:tab w:leader="none" w:pos="1949"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5"/>
          <w:szCs w:val="15"/>
          <w:u w:val="single" w:color="auto"/>
          <w:color w:val="auto"/>
        </w:rPr>
        <w:t>Payments Set Aside.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Federal Funds Rate from time to time in effect.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5"/>
          <w:szCs w:val="15"/>
          <w:u w:val="single" w:color="auto"/>
          <w:color w:val="auto"/>
        </w:rPr>
        <w:t>Successors and Assigns.</w:t>
      </w:r>
    </w:p>
    <w:p>
      <w:pPr>
        <w:spacing w:after="0" w:line="225" w:lineRule="exact"/>
        <w:rPr>
          <w:sz w:val="20"/>
          <w:szCs w:val="20"/>
          <w:color w:val="auto"/>
        </w:rPr>
      </w:pPr>
    </w:p>
    <w:p>
      <w:pPr>
        <w:ind w:firstLine="656"/>
        <w:spacing w:after="0" w:line="342" w:lineRule="auto"/>
        <w:tabs>
          <w:tab w:leader="none" w:pos="1294"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(other than as permitted pursuant to Section 7.03) neither the Borrower nor any other</w:t>
      </w:r>
    </w:p>
    <w:p>
      <w:pPr>
        <w:sectPr>
          <w:pgSz w:w="11900" w:h="16975" w:orient="portrait"/>
          <w:cols w:equalWidth="0" w:num="1">
            <w:col w:w="11420"/>
          </w:cols>
          <w:pgMar w:left="240" w:top="341" w:right="239" w:bottom="0" w:gutter="0" w:footer="0" w:header="0"/>
        </w:sectPr>
      </w:pPr>
    </w:p>
    <w:bookmarkStart w:id="101" w:name="page102"/>
    <w:bookmarkEnd w:id="101"/>
    <w:p>
      <w:pPr>
        <w:jc w:val="both"/>
        <w:ind w:right="20"/>
        <w:spacing w:after="0" w:line="286" w:lineRule="auto"/>
        <w:rPr>
          <w:sz w:val="20"/>
          <w:szCs w:val="20"/>
          <w:color w:val="auto"/>
        </w:rPr>
      </w:pPr>
      <w:r>
        <w:rPr>
          <w:rFonts w:ascii="Arial" w:cs="Arial" w:eastAsia="Arial" w:hAnsi="Arial"/>
          <w:sz w:val="16"/>
          <w:szCs w:val="16"/>
          <w:color w:val="auto"/>
        </w:rPr>
        <w:t>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Section 10.06(b) (such an assignee, an “</w:t>
      </w:r>
      <w:r>
        <w:rPr>
          <w:rFonts w:ascii="Arial" w:cs="Arial" w:eastAsia="Arial" w:hAnsi="Arial"/>
          <w:sz w:val="16"/>
          <w:szCs w:val="16"/>
          <w:b w:val="1"/>
          <w:bCs w:val="1"/>
          <w:color w:val="auto"/>
        </w:rPr>
        <w:t>Eligible Assignee</w:t>
      </w:r>
      <w:r>
        <w:rPr>
          <w:rFonts w:ascii="Arial" w:cs="Arial" w:eastAsia="Arial" w:hAnsi="Arial"/>
          <w:sz w:val="16"/>
          <w:szCs w:val="16"/>
          <w:color w:val="auto"/>
        </w:rPr>
        <w:t>”), (ii) by way of participation in accordance with the provisions of Section 10.06(d), (iii) by way of pledge or assignment of a security interest subject to the restrictions of Section 10.06(f), or (iv) to an SPC in accordance with the provisions of</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Section 10.06(g)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73" w:lineRule="exact"/>
        <w:rPr>
          <w:sz w:val="20"/>
          <w:szCs w:val="20"/>
          <w:color w:val="auto"/>
        </w:rPr>
      </w:pPr>
    </w:p>
    <w:p>
      <w:pPr>
        <w:ind w:right="460" w:firstLine="656"/>
        <w:spacing w:after="0" w:line="261" w:lineRule="auto"/>
        <w:tabs>
          <w:tab w:leader="none" w:pos="1304"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Any Lender may at any time assign to one or more assignees (“</w:t>
      </w:r>
      <w:r>
        <w:rPr>
          <w:rFonts w:ascii="Arial" w:cs="Arial" w:eastAsia="Arial" w:hAnsi="Arial"/>
          <w:sz w:val="18"/>
          <w:szCs w:val="18"/>
          <w:b w:val="1"/>
          <w:bCs w:val="1"/>
          <w:color w:val="auto"/>
        </w:rPr>
        <w:t>Assignees</w:t>
      </w:r>
      <w:r>
        <w:rPr>
          <w:rFonts w:ascii="Arial" w:cs="Arial" w:eastAsia="Arial" w:hAnsi="Arial"/>
          <w:sz w:val="18"/>
          <w:szCs w:val="18"/>
          <w:color w:val="auto"/>
        </w:rPr>
        <w:t xml:space="preserve">”) all or a portion of its rights and obligations under this Agreement (including all or a portion of its Commitment(s) and the Loans (including for purposes of this Section 10.06(b), participations in L/C Obligations and in Swing Line Loans) at the time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assignment shall be subject to the following conditions:</w:t>
      </w:r>
    </w:p>
    <w:p>
      <w:pPr>
        <w:spacing w:after="0" w:line="184" w:lineRule="exact"/>
        <w:rPr>
          <w:rFonts w:ascii="Arial" w:cs="Arial" w:eastAsia="Arial" w:hAnsi="Arial"/>
          <w:sz w:val="18"/>
          <w:szCs w:val="18"/>
          <w:color w:val="auto"/>
        </w:rPr>
      </w:pPr>
    </w:p>
    <w:p>
      <w:pPr>
        <w:ind w:left="1980" w:hanging="675"/>
        <w:spacing w:after="0"/>
        <w:tabs>
          <w:tab w:leader="none" w:pos="1980"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sz w:val="20"/>
          <w:szCs w:val="20"/>
          <w:color w:val="auto"/>
        </w:rPr>
      </w:pPr>
    </w:p>
    <w:p>
      <w:pPr>
        <w:ind w:left="660" w:right="360" w:firstLine="645"/>
        <w:spacing w:after="0" w:line="264" w:lineRule="auto"/>
        <w:tabs>
          <w:tab w:leader="none" w:pos="197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w:t>
      </w:r>
    </w:p>
    <w:p>
      <w:pPr>
        <w:spacing w:after="0" w:line="181" w:lineRule="exact"/>
        <w:rPr>
          <w:rFonts w:ascii="Arial" w:cs="Arial" w:eastAsia="Arial" w:hAnsi="Arial"/>
          <w:sz w:val="18"/>
          <w:szCs w:val="18"/>
          <w:color w:val="auto"/>
        </w:rPr>
      </w:pPr>
    </w:p>
    <w:p>
      <w:pPr>
        <w:ind w:left="660" w:right="80" w:firstLine="645"/>
        <w:spacing w:after="0" w:line="290" w:lineRule="auto"/>
        <w:tabs>
          <w:tab w:leader="none" w:pos="1967"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Term Loans, unless each of the Administrative Agent and, so long as no Event of Default has occurred and is continuing, the Borrower otherwise consents (each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concurrent assignments to members of an Assignee Group and concurrent assignments from members of an Assignee Group to a single Eligible Assignee (or to an Eligible Assignee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and members of its Assignee Group) will be treated as a single assignment for purposes of determining whether such minimum amount has been met;</w:t>
      </w:r>
    </w:p>
    <w:p>
      <w:pPr>
        <w:spacing w:after="0" w:line="170" w:lineRule="exact"/>
        <w:rPr>
          <w:sz w:val="20"/>
          <w:szCs w:val="20"/>
          <w:color w:val="auto"/>
        </w:rPr>
      </w:pPr>
    </w:p>
    <w:p>
      <w:pPr>
        <w:ind w:left="660" w:right="340" w:firstLine="645"/>
        <w:spacing w:after="0" w:line="291" w:lineRule="auto"/>
        <w:tabs>
          <w:tab w:leader="none" w:pos="1987" w:val="left"/>
        </w:tabs>
        <w:numPr>
          <w:ilvl w:val="1"/>
          <w:numId w:val="342"/>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with respect to the Loans or the Commitment assigned, except that this clause (ii) shall not</w:t>
      </w:r>
    </w:p>
    <w:p>
      <w:pPr>
        <w:ind w:left="660" w:right="540" w:hanging="4"/>
        <w:spacing w:after="0" w:line="261" w:lineRule="auto"/>
        <w:tabs>
          <w:tab w:leader="none" w:pos="95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apply to the Swing Line Lender’s rights and obligations in respect of Swing Line Loans or (B) prohibit any Lender from assigning all or a portion of its rights and obligations among separate Facilities on a non-pro rata basis;</w:t>
      </w:r>
    </w:p>
    <w:p>
      <w:pPr>
        <w:spacing w:after="0" w:line="183" w:lineRule="exact"/>
        <w:rPr>
          <w:rFonts w:ascii="Arial" w:cs="Arial" w:eastAsia="Arial" w:hAnsi="Arial"/>
          <w:sz w:val="18"/>
          <w:szCs w:val="18"/>
          <w:color w:val="auto"/>
        </w:rPr>
      </w:pPr>
    </w:p>
    <w:p>
      <w:pPr>
        <w:ind w:left="660" w:right="160" w:firstLine="645"/>
        <w:spacing w:after="0" w:line="277" w:lineRule="auto"/>
        <w:tabs>
          <w:tab w:leader="none" w:pos="1997"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170" w:lineRule="exact"/>
        <w:rPr>
          <w:rFonts w:ascii="Arial" w:cs="Arial" w:eastAsia="Arial" w:hAnsi="Arial"/>
          <w:sz w:val="18"/>
          <w:szCs w:val="18"/>
          <w:color w:val="auto"/>
        </w:rPr>
      </w:pPr>
    </w:p>
    <w:p>
      <w:pPr>
        <w:ind w:left="1280" w:firstLine="640"/>
        <w:spacing w:after="0" w:line="257" w:lineRule="auto"/>
        <w:tabs>
          <w:tab w:leader="none" w:pos="2948" w:val="left"/>
        </w:tabs>
        <w:numPr>
          <w:ilvl w:val="2"/>
          <w:numId w:val="343"/>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(1) an Event of Default under Section 8.01(a), (f) or (g) has occurred and is continuing at the time of such assignment or (2) such assignment is to a Lender, an Affiliate of a Lender or an Approved 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188" w:lineRule="exact"/>
        <w:rPr>
          <w:rFonts w:ascii="Arial" w:cs="Arial" w:eastAsia="Arial" w:hAnsi="Arial"/>
          <w:sz w:val="18"/>
          <w:szCs w:val="18"/>
          <w:color w:val="auto"/>
        </w:rPr>
      </w:pPr>
    </w:p>
    <w:p>
      <w:pPr>
        <w:ind w:left="1280" w:right="120" w:firstLine="640"/>
        <w:spacing w:after="0" w:line="279" w:lineRule="auto"/>
        <w:tabs>
          <w:tab w:leader="none" w:pos="2938" w:val="left"/>
        </w:tabs>
        <w:numPr>
          <w:ilvl w:val="2"/>
          <w:numId w:val="343"/>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for assignments in respect of (1) any Term Commitment or Revolving Credit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w:t>
      </w:r>
    </w:p>
    <w:p>
      <w:pPr>
        <w:spacing w:after="0" w:line="171" w:lineRule="exact"/>
        <w:rPr>
          <w:rFonts w:ascii="Arial" w:cs="Arial" w:eastAsia="Arial" w:hAnsi="Arial"/>
          <w:sz w:val="17"/>
          <w:szCs w:val="17"/>
          <w:color w:val="auto"/>
        </w:rPr>
      </w:pPr>
    </w:p>
    <w:p>
      <w:pPr>
        <w:ind w:left="1280" w:right="180" w:firstLine="640"/>
        <w:spacing w:after="0" w:line="264" w:lineRule="auto"/>
        <w:tabs>
          <w:tab w:leader="none" w:pos="2938" w:val="left"/>
        </w:tabs>
        <w:numPr>
          <w:ilvl w:val="2"/>
          <w:numId w:val="343"/>
        </w:numPr>
        <w:rPr>
          <w:rFonts w:ascii="Arial" w:cs="Arial" w:eastAsia="Arial" w:hAnsi="Arial"/>
          <w:sz w:val="18"/>
          <w:szCs w:val="18"/>
          <w:color w:val="auto"/>
        </w:rPr>
      </w:pPr>
      <w:r>
        <w:rPr>
          <w:rFonts w:ascii="Arial" w:cs="Arial" w:eastAsia="Arial" w:hAnsi="Arial"/>
          <w:sz w:val="18"/>
          <w:szCs w:val="18"/>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81" w:lineRule="exact"/>
        <w:rPr>
          <w:rFonts w:ascii="Arial" w:cs="Arial" w:eastAsia="Arial" w:hAnsi="Arial"/>
          <w:sz w:val="18"/>
          <w:szCs w:val="18"/>
          <w:color w:val="auto"/>
        </w:rPr>
      </w:pPr>
    </w:p>
    <w:p>
      <w:pPr>
        <w:ind w:left="1280" w:right="20" w:firstLine="640"/>
        <w:spacing w:after="0" w:line="277" w:lineRule="auto"/>
        <w:tabs>
          <w:tab w:leader="none" w:pos="2948" w:val="left"/>
        </w:tabs>
        <w:numPr>
          <w:ilvl w:val="2"/>
          <w:numId w:val="343"/>
        </w:numPr>
        <w:rPr>
          <w:rFonts w:ascii="Arial" w:cs="Arial" w:eastAsia="Arial" w:hAnsi="Arial"/>
          <w:sz w:val="18"/>
          <w:szCs w:val="18"/>
          <w:color w:val="auto"/>
        </w:rPr>
      </w:pPr>
      <w:r>
        <w:rPr>
          <w:rFonts w:ascii="Arial" w:cs="Arial" w:eastAsia="Arial" w:hAnsi="Arial"/>
          <w:sz w:val="18"/>
          <w:szCs w:val="18"/>
          <w:color w:val="auto"/>
        </w:rPr>
        <w:t>the consent of the Swing Line Lender (such consent not to be unreasonably withheld or delayed) shall be required for any assignment in respect of the Revolving Credit Facility.</w:t>
      </w:r>
    </w:p>
    <w:p>
      <w:pPr>
        <w:spacing w:after="0" w:line="170" w:lineRule="exact"/>
        <w:rPr>
          <w:rFonts w:ascii="Arial" w:cs="Arial" w:eastAsia="Arial" w:hAnsi="Arial"/>
          <w:sz w:val="18"/>
          <w:szCs w:val="18"/>
          <w:color w:val="auto"/>
        </w:rPr>
      </w:pPr>
    </w:p>
    <w:p>
      <w:pPr>
        <w:ind w:left="660" w:firstLine="645"/>
        <w:spacing w:after="0" w:line="259" w:lineRule="auto"/>
        <w:tabs>
          <w:tab w:leader="none" w:pos="1973"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40" w:firstLine="645"/>
        <w:spacing w:after="0" w:line="264" w:lineRule="auto"/>
        <w:tabs>
          <w:tab w:leader="none" w:pos="1964"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(A) to the Borrower or any of the Borrower’s Affiliates or Subsidiaries, (B) to any Defaulting Lender or any of its Subsidiaries, or any Person who, upon becoming a Lender hereunder, would constitute any of the foregoing Persons described in this clause (B), or (C) to a natural person.</w:t>
      </w:r>
    </w:p>
    <w:p>
      <w:pPr>
        <w:sectPr>
          <w:pgSz w:w="11900" w:h="16838" w:orient="portrait"/>
          <w:cols w:equalWidth="0" w:num="1">
            <w:col w:w="11420"/>
          </w:cols>
          <w:pgMar w:left="240" w:top="125" w:right="239" w:bottom="0" w:gutter="0" w:footer="0" w:header="0"/>
        </w:sectPr>
      </w:pPr>
    </w:p>
    <w:bookmarkStart w:id="102" w:name="page103"/>
    <w:bookmarkEnd w:id="102"/>
    <w:p>
      <w:pPr>
        <w:spacing w:after="0" w:line="114" w:lineRule="exact"/>
        <w:rPr>
          <w:sz w:val="20"/>
          <w:szCs w:val="20"/>
          <w:color w:val="auto"/>
        </w:rPr>
      </w:pPr>
    </w:p>
    <w:p>
      <w:pPr>
        <w:ind w:left="660" w:firstLine="645"/>
        <w:spacing w:after="0" w:line="287" w:lineRule="auto"/>
        <w:tabs>
          <w:tab w:leader="none" w:pos="1973" w:val="left"/>
        </w:tabs>
        <w:numPr>
          <w:ilvl w:val="0"/>
          <w:numId w:val="345"/>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and 10.04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Section 10.06(d).</w:t>
      </w:r>
    </w:p>
    <w:p>
      <w:pPr>
        <w:spacing w:after="0" w:line="182" w:lineRule="exact"/>
        <w:rPr>
          <w:sz w:val="20"/>
          <w:szCs w:val="20"/>
          <w:color w:val="auto"/>
        </w:rPr>
      </w:pPr>
    </w:p>
    <w:p>
      <w:pPr>
        <w:ind w:right="100" w:firstLine="656"/>
        <w:spacing w:after="0" w:line="259" w:lineRule="auto"/>
        <w:tabs>
          <w:tab w:leader="none" w:pos="1307"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 non-fiduciary agent of the Borrower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related interest amounts) of the Loans and L/C Obligations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00"/>
        <w:spacing w:after="0" w:line="303" w:lineRule="auto"/>
        <w:rPr>
          <w:sz w:val="20"/>
          <w:szCs w:val="20"/>
          <w:color w:val="auto"/>
        </w:rPr>
      </w:pPr>
      <w:r>
        <w:rPr>
          <w:rFonts w:ascii="Arial" w:cs="Arial" w:eastAsia="Arial" w:hAnsi="Arial"/>
          <w:sz w:val="16"/>
          <w:szCs w:val="16"/>
          <w:color w:val="auto"/>
        </w:rPr>
        <w:t>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(with respect to its own interests only), at any reasonable time and from time to time upon reasonable prior notice.</w:t>
      </w:r>
    </w:p>
    <w:p>
      <w:pPr>
        <w:spacing w:after="0" w:line="155" w:lineRule="exact"/>
        <w:rPr>
          <w:sz w:val="20"/>
          <w:szCs w:val="20"/>
          <w:color w:val="auto"/>
        </w:rPr>
      </w:pPr>
    </w:p>
    <w:p>
      <w:pPr>
        <w:ind w:firstLine="656"/>
        <w:spacing w:after="0" w:line="268" w:lineRule="auto"/>
        <w:tabs>
          <w:tab w:leader="none" w:pos="1304"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Section 10.01 that affects such Participant. Subject to subsection (e) of this Section, the Borrower agrees that each Participant shall be entitled to the benefits of Sections 3.01, 3.04 and 3.05 (subject to the requirements and limitations of such Sections and Section 10.13) to the same extent as if it were a Lender and had acquired its interest by assignment pursuant to Section 10.06(b). To the extent permitted by law, each Participant also shall be entitled to the benefits of Section 10.08 as though it were a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Participant agrees to be subject to Section 2.13 as though it were a Lender.</w:t>
      </w:r>
    </w:p>
    <w:p>
      <w:pPr>
        <w:spacing w:after="0" w:line="185"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The entries in the Participant Register shall be conclusive, absent manifest error, and the Borrower and such Lender shall treat each person whose name is recorded in the Participant Register as the owner of such participation for all purposes of this Agreement notwithstanding any notice to the contrary;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Lender shall have the obligation to disclose all or a portion of the Participant Register (including the identity of the Participant or any information relating to a Participant’s interest in any Loans or other obligations under any Loan Document) to any Person expect to the extent that such disclosure is necessary to establish that any loans are in registered form for U.S. federal income tax purposes.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86" w:lineRule="auto"/>
        <w:tabs>
          <w:tab w:leader="none" w:pos="1307" w:val="left"/>
        </w:tabs>
        <w:numPr>
          <w:ilvl w:val="0"/>
          <w:numId w:val="348"/>
        </w:numPr>
        <w:rPr>
          <w:rFonts w:ascii="Arial" w:cs="Arial" w:eastAsia="Arial" w:hAnsi="Arial"/>
          <w:sz w:val="17"/>
          <w:szCs w:val="17"/>
          <w:color w:val="auto"/>
        </w:rPr>
      </w:pPr>
      <w:r>
        <w:rPr>
          <w:rFonts w:ascii="Arial" w:cs="Arial" w:eastAsia="Arial" w:hAnsi="Arial"/>
          <w:sz w:val="17"/>
          <w:szCs w:val="17"/>
          <w:u w:val="single" w:color="auto"/>
          <w:color w:val="auto"/>
        </w:rPr>
        <w:t>Limitations upon Participant Rights</w:t>
      </w:r>
      <w:r>
        <w:rPr>
          <w:rFonts w:ascii="Arial" w:cs="Arial" w:eastAsia="Arial" w:hAnsi="Arial"/>
          <w:sz w:val="17"/>
          <w:szCs w:val="17"/>
          <w:color w:val="auto"/>
        </w:rPr>
        <w:t>. A Participant shall not be entitled to receive any greater payment under Section 3.01 or 3.04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165" w:lineRule="exact"/>
        <w:rPr>
          <w:rFonts w:ascii="Arial" w:cs="Arial" w:eastAsia="Arial" w:hAnsi="Arial"/>
          <w:sz w:val="17"/>
          <w:szCs w:val="17"/>
          <w:color w:val="auto"/>
        </w:rPr>
      </w:pPr>
    </w:p>
    <w:p>
      <w:pPr>
        <w:ind w:firstLine="656"/>
        <w:spacing w:after="0" w:line="259" w:lineRule="auto"/>
        <w:tabs>
          <w:tab w:leader="none" w:pos="1301"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pledge or assignment shall release such Lender from any of its obligations hereunder or substitute any such pledgee or assignee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Lender as a party hereto.</w:t>
      </w:r>
    </w:p>
    <w:p>
      <w:pPr>
        <w:spacing w:after="0" w:line="182" w:lineRule="exact"/>
        <w:rPr>
          <w:rFonts w:ascii="Arial" w:cs="Arial" w:eastAsia="Arial" w:hAnsi="Arial"/>
          <w:sz w:val="18"/>
          <w:szCs w:val="18"/>
          <w:color w:val="auto"/>
        </w:rPr>
      </w:pPr>
    </w:p>
    <w:p>
      <w:pPr>
        <w:ind w:right="260" w:firstLine="656"/>
        <w:spacing w:after="0" w:line="314" w:lineRule="auto"/>
        <w:tabs>
          <w:tab w:leader="none" w:pos="1317"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Special Purpose Funding Vehicles</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(an “</w:t>
      </w:r>
      <w:r>
        <w:rPr>
          <w:rFonts w:ascii="Arial" w:cs="Arial" w:eastAsia="Arial" w:hAnsi="Arial"/>
          <w:sz w:val="16"/>
          <w:szCs w:val="16"/>
          <w:b w:val="1"/>
          <w:bCs w:val="1"/>
          <w:color w:val="auto"/>
        </w:rPr>
        <w:t>SPC</w:t>
      </w:r>
      <w:r>
        <w:rPr>
          <w:rFonts w:ascii="Arial" w:cs="Arial" w:eastAsia="Arial" w:hAnsi="Arial"/>
          <w:sz w:val="16"/>
          <w:szCs w:val="16"/>
          <w:color w:val="auto"/>
        </w:rPr>
        <w:t>”) the option to provide all or any part of any Loan that such Granting Lender would otherwise be obligated to make pursuant to this</w:t>
      </w:r>
    </w:p>
    <w:p>
      <w:pPr>
        <w:sectPr>
          <w:pgSz w:w="11900" w:h="16953" w:orient="portrait"/>
          <w:cols w:equalWidth="0" w:num="1">
            <w:col w:w="11400"/>
          </w:cols>
          <w:pgMar w:left="240" w:top="125" w:right="259" w:bottom="0" w:gutter="0" w:footer="0" w:header="0"/>
        </w:sectPr>
      </w:pPr>
    </w:p>
    <w:bookmarkStart w:id="103" w:name="page104"/>
    <w:bookmarkEnd w:id="103"/>
    <w:p>
      <w:pPr>
        <w:spacing w:after="0" w:line="8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Section 2.12(c)(ii). Each party hereto hereby agrees that (i) each SPC shall be entitled to the benefits of Sections 3.01, 3.04 and 3.05 (subject to the requirements and limitations of such Sections and Section 10.13) to the same extent as if it were a Granting Lender and had acquired its interest by assignment pursuant to Section 10.06(b) (provided that an SPC shall not be entitled to receive any greater payment under Section 3.01 or 3.04 than the applicable Granting Lender would have been entitled to receive with respect to the SPC granted to such SPC, except to the extent such entitlement to receive a greater payment results from a Change in Law that occurs after the SPC became an SPC,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Borrower and the Administrative Agent and with the payment of a processing fee in the amount of $3,500 (which processing fee may be waived by the Administrative Agent in its sole discretion), assign all or any portion of its right to receive payment with respect to any Loan to the Granting Lender and (ii) disclose on a confidential basis any non-public information relating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its funding of Loans to any rating agency, commercial paper dealer or provider of any surety or Guarantee or credit or liquidity enhancement to such SPC.</w:t>
      </w:r>
    </w:p>
    <w:p>
      <w:pPr>
        <w:spacing w:after="0" w:line="248" w:lineRule="exact"/>
        <w:rPr>
          <w:sz w:val="20"/>
          <w:szCs w:val="20"/>
          <w:color w:val="auto"/>
        </w:rPr>
      </w:pPr>
    </w:p>
    <w:p>
      <w:pPr>
        <w:ind w:right="320" w:firstLine="656"/>
        <w:spacing w:after="0" w:line="291" w:lineRule="auto"/>
        <w:tabs>
          <w:tab w:leader="none" w:pos="1304" w:val="left"/>
        </w:tabs>
        <w:numPr>
          <w:ilvl w:val="1"/>
          <w:numId w:val="349"/>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Notwithstanding anything to the contrary contained herein, if at any time Bank of America assigns all of its Revolving Credit Commitment and Revolving Credit Loans pursuant to Section 10.06(b), Bank of America may,</w:t>
      </w:r>
    </w:p>
    <w:p>
      <w:pPr>
        <w:ind w:right="80" w:firstLine="8"/>
        <w:spacing w:after="0" w:line="267" w:lineRule="auto"/>
        <w:tabs>
          <w:tab w:leader="none" w:pos="21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upon 30 days’ notice to the Borrower and the Lenders, resign as L/C Issuer and/or (ii) upon 30 days’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Section 2.03(c)).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Section 2.04(c).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3" w:lineRule="exact"/>
        <w:rPr>
          <w:rFonts w:ascii="Arial" w:cs="Arial" w:eastAsia="Arial" w:hAnsi="Arial"/>
          <w:sz w:val="17"/>
          <w:szCs w:val="17"/>
          <w:color w:val="auto"/>
        </w:rPr>
      </w:pPr>
    </w:p>
    <w:p>
      <w:pPr>
        <w:jc w:val="both"/>
        <w:ind w:right="100" w:firstLine="656"/>
        <w:spacing w:after="0" w:line="312" w:lineRule="auto"/>
        <w:tabs>
          <w:tab w:leader="none" w:pos="1318" w:val="left"/>
        </w:tabs>
        <w:numPr>
          <w:ilvl w:val="1"/>
          <w:numId w:val="35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any Lender may assign all or any portion of its Term Loans hereunder to the Borrower or any of its Subsidiaries through (x) Dutch auctions open to all Lenders on a pro rata basis in accordance with procedures set forth in Exhibit L hereto or (y) notwithstanding Sections 2.12 and 2.13 or any other provision in this Agreement, open market purchases on a non-pro rata basis; </w:t>
      </w:r>
      <w:r>
        <w:rPr>
          <w:rFonts w:ascii="Arial" w:cs="Arial" w:eastAsia="Arial" w:hAnsi="Arial"/>
          <w:sz w:val="16"/>
          <w:szCs w:val="16"/>
          <w:i w:val="1"/>
          <w:iCs w:val="1"/>
          <w:color w:val="auto"/>
        </w:rPr>
        <w:t>provided</w:t>
      </w:r>
      <w:r>
        <w:rPr>
          <w:rFonts w:ascii="Arial" w:cs="Arial" w:eastAsia="Arial" w:hAnsi="Arial"/>
          <w:sz w:val="16"/>
          <w:szCs w:val="16"/>
          <w:color w:val="auto"/>
        </w:rPr>
        <w:t>, that:</w:t>
      </w:r>
    </w:p>
    <w:p>
      <w:pPr>
        <w:spacing w:after="0" w:line="146" w:lineRule="exact"/>
        <w:rPr>
          <w:rFonts w:ascii="Arial" w:cs="Arial" w:eastAsia="Arial" w:hAnsi="Arial"/>
          <w:sz w:val="16"/>
          <w:szCs w:val="16"/>
          <w:color w:val="auto"/>
        </w:rPr>
      </w:pPr>
    </w:p>
    <w:p>
      <w:pPr>
        <w:ind w:left="660" w:right="40" w:firstLine="774"/>
        <w:spacing w:after="0" w:line="277" w:lineRule="auto"/>
        <w:tabs>
          <w:tab w:leader="none" w:pos="1972" w:val="left"/>
        </w:tabs>
        <w:numPr>
          <w:ilvl w:val="3"/>
          <w:numId w:val="350"/>
        </w:numPr>
        <w:rPr>
          <w:rFonts w:ascii="Arial" w:cs="Arial" w:eastAsia="Arial" w:hAnsi="Arial"/>
          <w:sz w:val="18"/>
          <w:szCs w:val="18"/>
          <w:color w:val="auto"/>
        </w:rPr>
      </w:pPr>
      <w:r>
        <w:rPr>
          <w:rFonts w:ascii="Arial" w:cs="Arial" w:eastAsia="Arial" w:hAnsi="Arial"/>
          <w:sz w:val="18"/>
          <w:szCs w:val="18"/>
          <w:color w:val="auto"/>
        </w:rPr>
        <w:t>in connection with assignments pursuant to clause (x) above, the Borrower or such Subsidiary shall make an offer to all Lenders to take Term Loans by assignment pursuant to procedures set forth in Exhibit L hereto;</w:t>
      </w:r>
    </w:p>
    <w:p>
      <w:pPr>
        <w:spacing w:after="0" w:line="170" w:lineRule="exact"/>
        <w:rPr>
          <w:rFonts w:ascii="Arial" w:cs="Arial" w:eastAsia="Arial" w:hAnsi="Arial"/>
          <w:sz w:val="18"/>
          <w:szCs w:val="18"/>
          <w:color w:val="auto"/>
        </w:rPr>
      </w:pPr>
    </w:p>
    <w:p>
      <w:pPr>
        <w:ind w:left="660" w:right="100" w:firstLine="699"/>
        <w:spacing w:after="0" w:line="277" w:lineRule="auto"/>
        <w:tabs>
          <w:tab w:leader="none" w:pos="1987" w:val="left"/>
        </w:tabs>
        <w:numPr>
          <w:ilvl w:val="2"/>
          <w:numId w:val="350"/>
        </w:numPr>
        <w:rPr>
          <w:rFonts w:ascii="Arial" w:cs="Arial" w:eastAsia="Arial" w:hAnsi="Arial"/>
          <w:sz w:val="18"/>
          <w:szCs w:val="18"/>
          <w:color w:val="auto"/>
        </w:rPr>
      </w:pPr>
      <w:r>
        <w:rPr>
          <w:rFonts w:ascii="Arial" w:cs="Arial" w:eastAsia="Arial" w:hAnsi="Arial"/>
          <w:sz w:val="18"/>
          <w:szCs w:val="18"/>
          <w:color w:val="auto"/>
        </w:rPr>
        <w:t>upon the effectiveness of any such assignment, such Term Loans shall promptly be retired, and shall be deemed cancelled and not outstanding for all purposes under this Agreement;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2"/>
          <w:numId w:val="350"/>
        </w:numPr>
        <w:rPr>
          <w:rFonts w:ascii="Arial" w:cs="Arial" w:eastAsia="Arial" w:hAnsi="Arial"/>
          <w:sz w:val="18"/>
          <w:szCs w:val="18"/>
          <w:color w:val="auto"/>
        </w:rPr>
      </w:pPr>
      <w:r>
        <w:rPr>
          <w:rFonts w:ascii="Arial" w:cs="Arial" w:eastAsia="Arial" w:hAnsi="Arial"/>
          <w:sz w:val="18"/>
          <w:szCs w:val="18"/>
          <w:color w:val="auto"/>
        </w:rPr>
        <w:t>no Default or Event of Default shall exist and be continuing;</w:t>
      </w:r>
    </w:p>
    <w:p>
      <w:pPr>
        <w:spacing w:after="0" w:line="225" w:lineRule="exact"/>
        <w:rPr>
          <w:rFonts w:ascii="Arial" w:cs="Arial" w:eastAsia="Arial" w:hAnsi="Arial"/>
          <w:sz w:val="18"/>
          <w:szCs w:val="18"/>
          <w:color w:val="auto"/>
        </w:rPr>
      </w:pPr>
    </w:p>
    <w:p>
      <w:pPr>
        <w:ind w:left="660" w:right="340" w:firstLine="662"/>
        <w:spacing w:after="0" w:line="277" w:lineRule="auto"/>
        <w:tabs>
          <w:tab w:leader="none" w:pos="1978" w:val="left"/>
        </w:tabs>
        <w:numPr>
          <w:ilvl w:val="2"/>
          <w:numId w:val="350"/>
        </w:numPr>
        <w:rPr>
          <w:rFonts w:ascii="Arial" w:cs="Arial" w:eastAsia="Arial" w:hAnsi="Arial"/>
          <w:sz w:val="18"/>
          <w:szCs w:val="18"/>
          <w:color w:val="auto"/>
        </w:rPr>
      </w:pPr>
      <w:r>
        <w:rPr>
          <w:rFonts w:ascii="Arial" w:cs="Arial" w:eastAsia="Arial" w:hAnsi="Arial"/>
          <w:sz w:val="18"/>
          <w:szCs w:val="18"/>
          <w:color w:val="auto"/>
        </w:rPr>
        <w:t>the Borrower must represent and warrant to the assigning Lender that it does not possess material non-public information with respect to the Borrower and 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Subsidiaries that has not been disclosed to the Lenders generally (other than Lenders who elect not to receive such information); and</w:t>
      </w:r>
    </w:p>
    <w:p>
      <w:pPr>
        <w:spacing w:after="0" w:line="225" w:lineRule="exact"/>
        <w:rPr>
          <w:sz w:val="20"/>
          <w:szCs w:val="20"/>
          <w:color w:val="auto"/>
        </w:rPr>
      </w:pPr>
    </w:p>
    <w:p>
      <w:pPr>
        <w:ind w:left="1300" w:right="900" w:firstLine="17"/>
        <w:spacing w:after="0" w:line="501" w:lineRule="auto"/>
        <w:tabs>
          <w:tab w:leader="none" w:pos="196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the Borrower and any other Affiliates of the Borrower shall be Eligible Assignees with respect to the Term Loans only. Section 10.07 </w:t>
      </w:r>
      <w:r>
        <w:rPr>
          <w:rFonts w:ascii="Arial" w:cs="Arial" w:eastAsia="Arial" w:hAnsi="Arial"/>
          <w:sz w:val="18"/>
          <w:szCs w:val="18"/>
          <w:u w:val="single" w:color="auto"/>
          <w:color w:val="auto"/>
        </w:rPr>
        <w:t>Treatment of Certain Information; Confidentiality.</w:t>
      </w:r>
    </w:p>
    <w:p>
      <w:pPr>
        <w:ind w:firstLine="648"/>
        <w:spacing w:after="0" w:line="287" w:lineRule="auto"/>
        <w:rPr>
          <w:sz w:val="20"/>
          <w:szCs w:val="20"/>
          <w:color w:val="auto"/>
        </w:rPr>
      </w:pPr>
      <w:r>
        <w:rPr>
          <w:rFonts w:ascii="Arial" w:cs="Arial" w:eastAsia="Arial" w:hAnsi="Arial"/>
          <w:sz w:val="16"/>
          <w:szCs w:val="16"/>
          <w:color w:val="auto"/>
        </w:rPr>
        <w:t>Each of the Administrative Agent, the Lenders and the L/C Issuer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Section 2.14 or (ii) any actual or prospective counterparty (or its advisors) to any swap or derivative transaction relating to the Borrower and its obligations, (g) with the consent of the Borrower, (h) on a confidential basis to (i) any rating agency in connection with rating the Borrower or its Subsidiaries or the credit</w:t>
      </w:r>
    </w:p>
    <w:p>
      <w:pPr>
        <w:sectPr>
          <w:pgSz w:w="11900" w:h="16926" w:orient="portrait"/>
          <w:cols w:equalWidth="0" w:num="1">
            <w:col w:w="11420"/>
          </w:cols>
          <w:pgMar w:left="240" w:top="125" w:right="239" w:bottom="0" w:gutter="0" w:footer="0" w:header="0"/>
        </w:sectPr>
      </w:pPr>
    </w:p>
    <w:bookmarkStart w:id="104" w:name="page105"/>
    <w:bookmarkEnd w:id="104"/>
    <w:p>
      <w:pPr>
        <w:spacing w:after="0" w:line="259" w:lineRule="auto"/>
        <w:rPr>
          <w:sz w:val="20"/>
          <w:szCs w:val="20"/>
          <w:color w:val="auto"/>
        </w:rPr>
      </w:pPr>
      <w:r>
        <w:rPr>
          <w:rFonts w:ascii="Arial" w:cs="Arial" w:eastAsia="Arial" w:hAnsi="Arial"/>
          <w:sz w:val="18"/>
          <w:szCs w:val="18"/>
          <w:color w:val="auto"/>
        </w:rPr>
        <w:t>facilities provided hereunder or (ii) the CUSIP Service Bureau or any similar agency in connection with the issuance and monitoring of CUSIP numbers or other market identifiers with respect to the credit facilities provided hereunder, (i) to the extent such Information (i) becomes publicly available other than as a result of a breach of this Section or (ii) becomes available to the Administrative Agent, any Lender, the L/C Issuer or any of their respective Affiliates on a nonconfidential basis from a source other than the Borrower.</w:t>
      </w:r>
    </w:p>
    <w:p>
      <w:pPr>
        <w:spacing w:after="0" w:line="183" w:lineRule="exact"/>
        <w:rPr>
          <w:sz w:val="20"/>
          <w:szCs w:val="20"/>
          <w:color w:val="auto"/>
        </w:rPr>
      </w:pPr>
    </w:p>
    <w:p>
      <w:pPr>
        <w:ind w:right="120" w:firstLine="648"/>
        <w:spacing w:after="0" w:line="295"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b w:val="1"/>
          <w:bCs w:val="1"/>
          <w:color w:val="auto"/>
        </w:rPr>
        <w:t>Information</w:t>
      </w:r>
      <w:r>
        <w:rPr>
          <w:rFonts w:ascii="Arial" w:cs="Arial" w:eastAsia="Arial" w:hAnsi="Arial"/>
          <w:sz w:val="16"/>
          <w:szCs w:val="16"/>
          <w:color w:val="auto"/>
        </w:rPr>
        <w:t>”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provided that, in the case of information received from the Borrower or any Subsidi 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0"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Each of the Administrative Agent, the Lenders and the L/C Issuer acknowledges that (a) the Information may include material non-public information concerning the Borrower or a Subsidiary,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the case may be, (b) it has developed compliance procedures regarding the use of material non-public information and (c) it will handle such material non-public information in accordance with applicable Law, including United States Federal and state securities Laws. In addition, the Administrative Agent and each Lender may disclose the existence of this Agreement and the information about this Agreement to market data collectors, similar services providers to the lending industry, and service providers to the Administrative Agent and the Lenders in connection with the administration and management of this Agreement and the other Loan Documents.</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u w:val="single" w:color="auto"/>
          <w:color w:val="auto"/>
        </w:rPr>
        <w:t>Setoff.</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 xml:space="preserve">In addition to any rights and remedies of the Lenders provided by Law, upon the occurrence and during the continuance of any Event of Default, each Lender and its Affiliates (and the Collateral Agent, in respect of any unpaid fees, costs and expenses payable hereunder) is authorized at any time and from time to time, without prior notice to the Borrower, any such notice being waived by the Borrower (on its own behalf and on behalf of each Loan Party and each of its Subsidiaries) to the fullest extent permitted by applicable Law, to set off and apply any and all deposits (general or special, time or demand, provisional or final) at any time held by, and other Indebtedness at any time owing by, such Lender and its Affiliates or the Collateral Agent to or for the credit or the account of the respective Loan Parties and their Subsidiaries against any and all Obligations owing to such Lender and its Affiliates or the Collateral Agent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Each Lender agrees promptly to notify the Borrower and the Administrative Agent after any such set off and application made by such Lender; </w:t>
      </w:r>
      <w:r>
        <w:rPr>
          <w:rFonts w:ascii="Arial" w:cs="Arial" w:eastAsia="Arial" w:hAnsi="Arial"/>
          <w:sz w:val="16"/>
          <w:szCs w:val="16"/>
          <w:i w:val="1"/>
          <w:iCs w:val="1"/>
          <w:color w:val="auto"/>
        </w:rPr>
        <w:t>provided</w:t>
      </w:r>
      <w:r>
        <w:rPr>
          <w:rFonts w:ascii="Arial" w:cs="Arial" w:eastAsia="Arial" w:hAnsi="Arial"/>
          <w:sz w:val="16"/>
          <w:szCs w:val="16"/>
          <w:color w:val="auto"/>
        </w:rPr>
        <w:t>, that the failure to give such notice shall not affect the validity of such setoff and application. The rights of the Administrative Agent, the Collateral Agent and each Lender under this Section 10.08 are in addition to other rights and remedies (including other rights of setoff) that the Administrative Agent, the Collateral Agent and such Lender may have.</w:t>
      </w:r>
    </w:p>
    <w:p>
      <w:pPr>
        <w:spacing w:after="0" w:line="16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Interest Rate Limitation.</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b w:val="1"/>
          <w:bCs w:val="1"/>
          <w:color w:val="auto"/>
        </w:rPr>
        <w:t>Maximum Rate</w:t>
      </w:r>
      <w:r>
        <w:rPr>
          <w:rFonts w:ascii="Arial" w:cs="Arial" w:eastAsia="Arial" w:hAnsi="Arial"/>
          <w:sz w:val="16"/>
          <w:szCs w:val="16"/>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w:t>
      </w:r>
    </w:p>
    <w:p>
      <w:pPr>
        <w:spacing w:after="0" w:line="2" w:lineRule="exact"/>
        <w:rPr>
          <w:sz w:val="20"/>
          <w:szCs w:val="20"/>
          <w:color w:val="auto"/>
        </w:rPr>
      </w:pPr>
    </w:p>
    <w:p>
      <w:pPr>
        <w:ind w:right="60" w:firstLine="8"/>
        <w:spacing w:after="0" w:line="261" w:lineRule="auto"/>
        <w:tabs>
          <w:tab w:leader="none" w:pos="25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exclude voluntary prepayments and the effects thereof, and (c) amortize, prorate, allocate, and spread in equal or unequal parts the total amount of interest throughout the contemplated term of the Obligations hereunder.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Counterparts; Effectiveness.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This Agreement and each other Loan Document may be executed in one or more counterparts, each of which shall be deemed an original, but all of which together shall constitute one and the same instrument. Delivery by telecopier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be confirmed by a manually signed original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request or deliver the same shall not limit the effectiveness of any document or signature delivered by telecopier.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w:t>
      </w:r>
    </w:p>
    <w:p>
      <w:pPr>
        <w:spacing w:after="0" w:line="17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Integration.</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6"/>
          <w:szCs w:val="16"/>
          <w:u w:val="single" w:color="auto"/>
          <w:color w:val="auto"/>
        </w:rPr>
        <w:t>Survival of Representations and Warranties.</w:t>
      </w:r>
    </w:p>
    <w:p>
      <w:pPr>
        <w:sectPr>
          <w:pgSz w:w="11900" w:h="16838" w:orient="portrait"/>
          <w:cols w:equalWidth="0" w:num="1">
            <w:col w:w="11420"/>
          </w:cols>
          <w:pgMar w:left="240" w:top="125" w:right="239" w:bottom="32" w:gutter="0" w:footer="0" w:header="0"/>
        </w:sectPr>
      </w:pPr>
    </w:p>
    <w:bookmarkStart w:id="105" w:name="page106"/>
    <w:bookmarkEnd w:id="105"/>
    <w:p>
      <w:pPr>
        <w:ind w:right="40" w:firstLine="648"/>
        <w:spacing w:after="0" w:line="255"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If any Lender requests compensation under Section 3.04, if the Borrower is required to pay any additional amount to any Lender or any Governmental Authority for the account of any Lender pursuant to Section 3.01, if any Lender is a Defaulting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with and subject to the restrictions contained in, and consents required by, Section 10.06),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81" w:lineRule="exact"/>
        <w:rPr>
          <w:sz w:val="20"/>
          <w:szCs w:val="20"/>
          <w:color w:val="auto"/>
        </w:rPr>
      </w:pPr>
    </w:p>
    <w:p>
      <w:pPr>
        <w:ind w:left="1940" w:hanging="635"/>
        <w:spacing w:after="0"/>
        <w:tabs>
          <w:tab w:leader="none" w:pos="19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Administrative Agent shall have received the assignment fee specified in Section 10.06(b);</w:t>
      </w:r>
    </w:p>
    <w:p>
      <w:pPr>
        <w:spacing w:after="0" w:line="225" w:lineRule="exact"/>
        <w:rPr>
          <w:rFonts w:ascii="Arial" w:cs="Arial" w:eastAsia="Arial" w:hAnsi="Arial"/>
          <w:sz w:val="18"/>
          <w:szCs w:val="18"/>
          <w:color w:val="auto"/>
        </w:rPr>
      </w:pPr>
    </w:p>
    <w:p>
      <w:pPr>
        <w:ind w:left="660" w:right="80" w:firstLine="699"/>
        <w:spacing w:after="0" w:line="293" w:lineRule="auto"/>
        <w:tabs>
          <w:tab w:leader="none" w:pos="1964" w:val="left"/>
        </w:tabs>
        <w:numPr>
          <w:ilvl w:val="1"/>
          <w:numId w:val="353"/>
        </w:numPr>
        <w:rPr>
          <w:rFonts w:ascii="Arial" w:cs="Arial" w:eastAsia="Arial" w:hAnsi="Arial"/>
          <w:sz w:val="16"/>
          <w:szCs w:val="16"/>
          <w:color w:val="auto"/>
        </w:rPr>
      </w:pPr>
      <w:r>
        <w:rPr>
          <w:rFonts w:ascii="Arial" w:cs="Arial" w:eastAsia="Arial" w:hAnsi="Arial"/>
          <w:sz w:val="16"/>
          <w:szCs w:val="16"/>
          <w:color w:val="auto"/>
        </w:rPr>
        <w:t>such Lender shall have received payment of an amount equal to 100% of the outstanding principal of its Loans and L/C Advances and, other than in the case of a Defaulting Lender, accrued fees and all other amounts payable to it hereunder and under the other Loan Documents, any premium thereon (assuming for this purpose that the Loans of such Lender were being prepaid) from the assignee and any amounts payable by the Borrower pursuant to Section 3.01, 3.04 or 3.05 from the Borrower (it being understood that the Assignment and Assumption relating to such assignment shall provide that any interest and fees that accrued prior to the effective date of the assignment shall be for the account of the replaced Lender and such amounts that accrue on and after the effective date of the assignment shall be for the account of the replacement Lender);</w:t>
      </w:r>
    </w:p>
    <w:p>
      <w:pPr>
        <w:spacing w:after="0" w:line="165" w:lineRule="exact"/>
        <w:rPr>
          <w:sz w:val="20"/>
          <w:szCs w:val="20"/>
          <w:color w:val="auto"/>
        </w:rPr>
      </w:pPr>
    </w:p>
    <w:p>
      <w:pPr>
        <w:ind w:left="660" w:right="200" w:firstLine="645"/>
        <w:spacing w:after="0" w:line="308" w:lineRule="auto"/>
        <w:tabs>
          <w:tab w:leader="none" w:pos="1967" w:val="left"/>
        </w:tabs>
        <w:numPr>
          <w:ilvl w:val="0"/>
          <w:numId w:val="354"/>
        </w:numPr>
        <w:rPr>
          <w:rFonts w:ascii="Arial" w:cs="Arial" w:eastAsia="Arial" w:hAnsi="Arial"/>
          <w:sz w:val="17"/>
          <w:szCs w:val="17"/>
          <w:color w:val="auto"/>
        </w:rPr>
      </w:pPr>
      <w:r>
        <w:rPr>
          <w:rFonts w:ascii="Arial" w:cs="Arial" w:eastAsia="Arial" w:hAnsi="Arial"/>
          <w:sz w:val="17"/>
          <w:szCs w:val="17"/>
          <w:color w:val="auto"/>
        </w:rPr>
        <w:t>in the case of any such assignment resulting from a claim for compensation under Section 3.04 or payments required to be made pursuant to Section 3.01, such assignment will result in a reduction in such compensation or payments thereafter;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agrees that, if the Borrower elects to replace such Lender in accordance with this Section 10.13, it shall promptly execute and deliver to the Administrative Agent an Assignment and Assumption to evidence the assignment and shall deliver to the Administrative Agent any Note (if Notes have been issued in respect of such Lender’s Loans) subject to such Assignment and Assumption;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any such Lender to execute an Assignment and Assumption shall not render such assignment invalid and such assignment shall be recorded in the Register.</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10.14, if and to the extent that the enforceability of any provisions in this Agreement relating to Defaulting Lenders shall be limited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by Debtor Relief Laws, as determined in good faith by the Borrower and the Administrative Agent, the L/C Issuer or the Swing Line Lender, as applicable, then such provisions shall be deemed to be in effect only to the extent not so limited.</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7"/>
          <w:szCs w:val="17"/>
          <w:u w:val="single" w:color="auto"/>
          <w:color w:val="auto"/>
        </w:rPr>
        <w:t>GOVERNING LAW.</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AGREEMENT AND EACH OTHER LOAN DOCUMENT SHALL BE GOVERNED BY, AND CONSTRUED IN ACCORDANCE WITH, THE LAW OF THE STATE OF NEW YORK.</w:t>
      </w:r>
    </w:p>
    <w:p>
      <w:pPr>
        <w:spacing w:after="0" w:line="170" w:lineRule="exact"/>
        <w:rPr>
          <w:sz w:val="20"/>
          <w:szCs w:val="20"/>
          <w:color w:val="auto"/>
        </w:rPr>
      </w:pPr>
    </w:p>
    <w:p>
      <w:pPr>
        <w:ind w:firstLine="1305"/>
        <w:spacing w:after="0" w:line="269" w:lineRule="auto"/>
        <w:tabs>
          <w:tab w:leader="none" w:pos="1942" w:val="left"/>
        </w:tabs>
        <w:numPr>
          <w:ilvl w:val="0"/>
          <w:numId w:val="355"/>
        </w:numPr>
        <w:rPr>
          <w:rFonts w:ascii="Arial" w:cs="Arial" w:eastAsia="Arial" w:hAnsi="Arial"/>
          <w:sz w:val="17"/>
          <w:szCs w:val="17"/>
          <w:color w:val="auto"/>
        </w:rPr>
      </w:pPr>
      <w:r>
        <w:rPr>
          <w:rFonts w:ascii="Arial" w:cs="Arial" w:eastAsia="Arial" w:hAnsi="Arial"/>
          <w:sz w:val="17"/>
          <w:szCs w:val="17"/>
          <w:color w:val="auto"/>
        </w:rPr>
        <w:t xml:space="preserve">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NEW YORK COUNTY OR OF THE UNITED STATES FOR THE SOUTHERN DISTRICT OF SUCH STATE, AND BY EXECUTION AND DELIVERY OF THIS AGREEMENT, EACH LOAN PARTY, EACH AGENT AND EACH LENDER CONSENTS, FOR ITSELF AND IN RESPECT OF ITS PROPERTY, TO THE EXCLUSIVE JURISDICTION OF THOSE COURTS. EACH LOAN PARTY, EACH AGENT AND EACH LENDER IRREVOCABLY WAIVES ANY OBJECTION, INCLUDING ANY OBJECTION TO THE LAYING OF VENUE OR BASED ON THE GROUNDS OF </w:t>
      </w:r>
      <w:r>
        <w:rPr>
          <w:rFonts w:ascii="Arial" w:cs="Arial" w:eastAsia="Arial" w:hAnsi="Arial"/>
          <w:sz w:val="17"/>
          <w:szCs w:val="17"/>
          <w:i w:val="1"/>
          <w:iCs w:val="1"/>
          <w:color w:val="auto"/>
        </w:rPr>
        <w:t>FORUM NON CONVENIENS</w:t>
      </w:r>
      <w:r>
        <w:rPr>
          <w:rFonts w:ascii="Arial" w:cs="Arial" w:eastAsia="Arial" w:hAnsi="Arial"/>
          <w:sz w:val="17"/>
          <w:szCs w:val="17"/>
          <w:color w:val="auto"/>
        </w:rPr>
        <w:t>, WHICH IT MAY NOW OR HEREAFTER HAVE TO THE BRINGING OF ANY ACTION OR PROCEEDING IN SUCH JURISDICTION IN RESPECT OF ANY LOAN DOCUMENT OR OTHER DOCUMENT RELATED THERETO. EACH PARTY HERETO IRREVOCABLY CONSENTS TO SERVICE OF PROCESS IN ANY ACTION OR PROCEEDING ARISING OUT OF OR RELATING TO ANY LOAN DOCUMENTS IN THE MANNER PROVIDED FOR NOTICES</w:t>
      </w:r>
    </w:p>
    <w:p>
      <w:pPr>
        <w:sectPr>
          <w:pgSz w:w="11900" w:h="16838" w:orient="portrait"/>
          <w:cols w:equalWidth="0" w:num="1">
            <w:col w:w="11400"/>
          </w:cols>
          <w:pgMar w:left="240" w:top="125" w:right="259" w:bottom="0" w:gutter="0" w:footer="0" w:header="0"/>
        </w:sectPr>
      </w:pPr>
    </w:p>
    <w:bookmarkStart w:id="106" w:name="page107"/>
    <w:bookmarkEnd w:id="106"/>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THAN TELECOPIER) IN SECTION 10.02. NOTHING IN THIS AGREEMENT OR ANY OTHER LOAN DOCUMENT WILL AFFECT THE RIGHT OF ANY PARTY HERETO TO SERVE PROCESS IN ANY OTHER MANNER PERMITTED BY APPLICABLE LAW.</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7"/>
          <w:szCs w:val="17"/>
          <w:u w:val="single" w:color="auto"/>
          <w:color w:val="auto"/>
        </w:rPr>
        <w:t>WAIVER OF RIGHT TO TRIAL BY JURY.</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OTHER LOAN DOCUMENTS BY, AMONG OTHER THINGS, THE MUTUAL WAIVERS AND CERTIFICATIONS IN THIS SECTION.</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7"/>
          <w:szCs w:val="17"/>
          <w:u w:val="single" w:color="auto"/>
          <w:color w:val="auto"/>
        </w:rPr>
        <w:t>Binding Effect.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Agreement shall become effective when it shall have been executed by the Loan Parties and the Administrative Agent shall have been notified by each Lender, the Swing Line Lenders and L/C Issuer that each such Lender, Swing Line Lender and L/C Issuer has executed it and thereafter shall be binding upon and inure to the benefit of the Loan Parties, each Agent and each Lender and their respective successors and assigns, in each case in accordance with Section 10.06 (if applicable) and except that no Loan Party shall have the right to assign its rights hereunder or any interest herein without the prior written consent of the Lenders except as permitted by Section 7.03.</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10.18</w:t>
      </w:r>
      <w:r>
        <w:rPr>
          <w:sz w:val="20"/>
          <w:szCs w:val="20"/>
          <w:color w:val="auto"/>
        </w:rPr>
        <w:tab/>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Loan Document), each of the Borrower and the other Loan Parties acknowledges and agrees, and acknowledges its Affiliates’ understanding, that: (i) (A) the arranging and other services regarding this Agreement provided by the Administrative Agent and the Arrangers, are arm’s-length commercial transactions between the Borrower, the other Loan Parties their respective Affiliates, on the one hand, and the Administrative Agent and the Arrangers, on the other hand, (B) each of the Borrower and the other Loan Parties has consulted its own legal, accounting, regulatory and tax advisors to the extent it has deemed appropriate, and (C) the Borrower and each of the other Loan Parties are capable of evaluating, and understands and accepts, the terms, risks and conditions of the transactions contemplated hereby and by the other Loan Documents; (ii) (A) the Administrative Agent and the Arrangers each is and has been acting solely as a principal and, except as expressly agreed in writing by the relevant parties, has not been, is not, and will not be acting as an advisor, agent or fiduciary for the Borrower, the other Loan Parties or any of their respective Affiliates, or any other Person and (B) neither the Administrative Agent nor the Arrangers have any obligation to the Borrower, the other Loan Parties or any of their respective Affiliates with respect to the transactions contemplated hereby except those obligations expressly set forth herein and in the other Loan Documents; and (iii) the Administrative Agent and the Arrangers and their respective Affiliates may be engaged in a broad range of transactions that involve interests that differ from those of the Borrower the other Loan Parties and their respective Affiliates, and neither the Administrative Agent nor the Arrangers have any obligation to disclose any of such interests to the Borrower, the other Loan Parties or any of their respective Affiliates. To the fullest extent permitted by law, the Borrower and each of the other Loan Parties hereby waive and release any claims that it may have against the Administrative Agent and the Arrangers with respect to any breach or alleged breach of agency or fiduciary duty in connection with any aspect of any transaction contemplated hereby.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10.19</w:t>
      </w:r>
      <w:r>
        <w:rPr>
          <w:sz w:val="20"/>
          <w:szCs w:val="20"/>
          <w:color w:val="auto"/>
        </w:rPr>
        <w:tab/>
      </w:r>
      <w:r>
        <w:rPr>
          <w:rFonts w:ascii="Arial" w:cs="Arial" w:eastAsia="Arial" w:hAnsi="Arial"/>
          <w:sz w:val="16"/>
          <w:szCs w:val="16"/>
          <w:u w:val="single" w:color="auto"/>
          <w:color w:val="auto"/>
        </w:rPr>
        <w:t>Lender Action.</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Each Lender agrees that it shall not take or institute any actions or proceedings, judicial or otherwise, for any right or remedy against any Loan Party or any other obligor under any of the Loan Documents or the Secured Hedge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without the prior written consent of the Administrative Agent. The provision of this Section 10.19 are for the sole benefit of the Lenders and shall not afford any right to, or constitute a defense available to, any Loan Party.</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10.20</w:t>
      </w:r>
      <w:r>
        <w:rPr>
          <w:sz w:val="20"/>
          <w:szCs w:val="20"/>
          <w:color w:val="auto"/>
        </w:rPr>
        <w:tab/>
      </w:r>
      <w:r>
        <w:rPr>
          <w:rFonts w:ascii="Arial" w:cs="Arial" w:eastAsia="Arial" w:hAnsi="Arial"/>
          <w:sz w:val="16"/>
          <w:szCs w:val="16"/>
          <w:u w:val="single" w:color="auto"/>
          <w:color w:val="auto"/>
        </w:rPr>
        <w:t>USA Patriot Act.</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the Borrower, which information includes the name, address and tax identification number of each Loan Party and other information regarding each Loan Party that will allow such Lender or the Administrative Agent, as applicable, to identify each Loan Party in accordance with the USA Patriot Act. This notice is given in accordance with the requirements of the USA Patriot Act and is effective as to the Lenders and the Administrative Agent.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10.21</w:t>
      </w:r>
      <w:r>
        <w:rPr>
          <w:sz w:val="20"/>
          <w:szCs w:val="20"/>
          <w:color w:val="auto"/>
        </w:rPr>
        <w:tab/>
      </w:r>
      <w:r>
        <w:rPr>
          <w:rFonts w:ascii="Arial" w:cs="Arial" w:eastAsia="Arial" w:hAnsi="Arial"/>
          <w:sz w:val="16"/>
          <w:szCs w:val="16"/>
          <w:u w:val="single" w:color="auto"/>
          <w:color w:val="auto"/>
        </w:rPr>
        <w:t>Electronic Execution of Assignments and Certain Other Documents.</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ectPr>
          <w:pgSz w:w="11900" w:h="16941" w:orient="portrait"/>
          <w:cols w:equalWidth="0" w:num="1">
            <w:col w:w="11380"/>
          </w:cols>
          <w:pgMar w:left="240" w:top="125" w:right="279" w:bottom="0" w:gutter="0" w:footer="0" w:header="0"/>
        </w:sectPr>
      </w:pPr>
    </w:p>
    <w:bookmarkStart w:id="107" w:name="page108"/>
    <w:bookmarkEnd w:id="107"/>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Guarantee</w:t>
      </w:r>
    </w:p>
    <w:p>
      <w:pPr>
        <w:spacing w:after="0" w:line="211"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5"/>
          <w:szCs w:val="15"/>
          <w:u w:val="single" w:color="auto"/>
          <w:color w:val="auto"/>
        </w:rPr>
        <w:t>The Guarantee.</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Each Guarantor hereby jointly and severally with the other Guarantors guarantees, as a primary obligor and not as a surety to each Secured Party and their respective successors and assigns, the prompt payment in full when due (whether at stated maturity, by required prepayment,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declaration, demand, by acceleration or otherwise) of the principal of and interest (including any interest, fees, costs or charges that would accrue but for the provisions of (i) the Title 11 of the United States Code after any bankruptcy or insolvency petition under Title 11 of the United States Code and (ii) any other Debtor Relief Laws) on the Loans made by the Lenders to, and the Notes held by each Lender of, the Borrower (other than such Guarantor), and all other Obligations from time to time owing to the Secured Parties by any Loan Party under any Loan Document or any Secured Hedge Agreement or any Treasury Services Agreement, in each case strictly in accordance with the terms thereof, excluding, with respect to any Guarantor at any time, Excluded Swap Obligations with respect to such Guarantor at such time (such obligations being herein collectively called the “</w:t>
      </w:r>
      <w:r>
        <w:rPr>
          <w:rFonts w:ascii="Arial" w:cs="Arial" w:eastAsia="Arial" w:hAnsi="Arial"/>
          <w:sz w:val="16"/>
          <w:szCs w:val="16"/>
          <w:b w:val="1"/>
          <w:bCs w:val="1"/>
          <w:color w:val="auto"/>
        </w:rPr>
        <w:t>Guaranteed Obligations</w:t>
      </w:r>
      <w:r>
        <w:rPr>
          <w:rFonts w:ascii="Arial" w:cs="Arial" w:eastAsia="Arial" w:hAnsi="Arial"/>
          <w:sz w:val="16"/>
          <w:szCs w:val="16"/>
          <w:color w:val="auto"/>
        </w:rPr>
        <w:t>”). The Guarantors hereby jointly and severally agree that if the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 Notwithstanding anything to the contrary, this Section 11.01 shall not require or result in the application of any amount received from any Loan Party to any Excluded Swap Obligation of such Loan Party.</w:t>
      </w:r>
    </w:p>
    <w:p>
      <w:pPr>
        <w:spacing w:after="0" w:line="173"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Obligations Unconditional.</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obligations of the Guarantors under Section 11.01 shall constitute a guaranty of payment and to the fullest extent permitted by applicable Law, are absolute, irrevocable and unconditional, joint and several, irrespective of the value, genuineness, validity, regularity or enforceability of the Guaranteed Obligations of the Borrower under this Agreement,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67" w:lineRule="exact"/>
        <w:rPr>
          <w:sz w:val="20"/>
          <w:szCs w:val="20"/>
          <w:color w:val="auto"/>
        </w:rPr>
      </w:pPr>
    </w:p>
    <w:p>
      <w:pPr>
        <w:ind w:left="660" w:right="20" w:firstLine="1033"/>
        <w:spacing w:after="0" w:line="277" w:lineRule="auto"/>
        <w:tabs>
          <w:tab w:leader="none" w:pos="236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Guarantors, the time for any performance of or compliance with any of the Guaranteed Obligations shall be extended, or such performance or compliance shall be waived;</w:t>
      </w:r>
    </w:p>
    <w:p>
      <w:pPr>
        <w:spacing w:after="0" w:line="170" w:lineRule="exact"/>
        <w:rPr>
          <w:rFonts w:ascii="Arial" w:cs="Arial" w:eastAsia="Arial" w:hAnsi="Arial"/>
          <w:sz w:val="18"/>
          <w:szCs w:val="18"/>
          <w:color w:val="auto"/>
        </w:rPr>
      </w:pPr>
    </w:p>
    <w:p>
      <w:pPr>
        <w:ind w:left="660" w:right="740" w:firstLine="1033"/>
        <w:spacing w:after="0" w:line="277" w:lineRule="auto"/>
        <w:tabs>
          <w:tab w:leader="none" w:pos="237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this Agreement or the Notes, if any, or any other agreement or instrument referred to herein or therein shall be done or omitted;</w:t>
      </w:r>
    </w:p>
    <w:p>
      <w:pPr>
        <w:spacing w:after="0" w:line="170" w:lineRule="exact"/>
        <w:rPr>
          <w:rFonts w:ascii="Arial" w:cs="Arial" w:eastAsia="Arial" w:hAnsi="Arial"/>
          <w:sz w:val="18"/>
          <w:szCs w:val="18"/>
          <w:color w:val="auto"/>
        </w:rPr>
      </w:pPr>
    </w:p>
    <w:p>
      <w:pPr>
        <w:ind w:left="660" w:right="100" w:firstLine="1033"/>
        <w:spacing w:after="0" w:line="264" w:lineRule="auto"/>
        <w:tabs>
          <w:tab w:leader="none" w:pos="238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Guaranteed Obligations or any security therefor shall be released or exchanged in whole or in part or otherwise dealt with;</w:t>
      </w:r>
    </w:p>
    <w:p>
      <w:pPr>
        <w:spacing w:after="0" w:line="225" w:lineRule="exact"/>
        <w:rPr>
          <w:sz w:val="20"/>
          <w:szCs w:val="20"/>
          <w:color w:val="auto"/>
        </w:rPr>
      </w:pPr>
    </w:p>
    <w:p>
      <w:pPr>
        <w:ind w:left="660" w:right="600" w:firstLine="1033"/>
        <w:spacing w:after="0" w:line="277" w:lineRule="auto"/>
        <w:tabs>
          <w:tab w:leader="none" w:pos="236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Lien or security interest granted to, or in favor of, an L/C Issuer or any Lender or Agent as security for any of the Guaranteed Obligations shall fail to be perfected; or</w:t>
      </w:r>
    </w:p>
    <w:p>
      <w:pPr>
        <w:spacing w:after="0" w:line="170" w:lineRule="exact"/>
        <w:rPr>
          <w:rFonts w:ascii="Arial" w:cs="Arial" w:eastAsia="Arial" w:hAnsi="Arial"/>
          <w:sz w:val="18"/>
          <w:szCs w:val="18"/>
          <w:color w:val="auto"/>
        </w:rPr>
      </w:pPr>
    </w:p>
    <w:p>
      <w:pPr>
        <w:ind w:left="2340" w:hanging="647"/>
        <w:spacing w:after="0"/>
        <w:tabs>
          <w:tab w:leader="none" w:pos="23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release of any other Guarantor pursuant to Section 11.09.</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Guarantors hereby expressly waive diligence, presentment, demand of payment, protest and all notices whatsoever, and any requirement that any Secured Party exhaust any right, power or remedy or proceed against Borrower under this Agreement or the Notes, if any, or any other agreement or instrument referred to herein or therein, or against any other person under any other guarantee of, or security for, any of the Guaranteed Obligations. The Guarantors waive any and all notice of the creation, renewal, extension, waiver, termination or accrual of any of the Guaranteed Obligations and notice of or proof of reliance by any Secured Party upon this Guarantee or acceptance of this Guarantee, and the Guaranteed Obligations, and any of them, shall conclusively be deemed to have been created, contracted or incurred in reliance upon this Guarantee, and all dealings between Borrower and the 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Borrower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assigns thereof, and shall inure to the benefit of the Lenders, and their respective successors and assigns, notwithstanding that from time to time during the term of this Agreement there may be no Guaranteed Obligations outstanding.</w:t>
      </w:r>
    </w:p>
    <w:p>
      <w:pPr>
        <w:spacing w:after="0" w:line="17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u w:val="single" w:color="auto"/>
          <w:color w:val="auto"/>
        </w:rPr>
        <w:t>Reinstatement.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obligations of the Guarantors under this Article XI shall be automatically reinstated if and to the extent that for any reason any payment by or on behalf of the Borrower or other Loan Party in respect of the Guaranteed Obligations is rescinded or must be otherwise restored by any holder of any of the Guaranteed Obligations, whether as a result of any proceedings in bankruptcy or reorganization or otherwise.</w:t>
      </w:r>
    </w:p>
    <w:p>
      <w:pPr>
        <w:sectPr>
          <w:pgSz w:w="11900" w:h="16934" w:orient="portrait"/>
          <w:cols w:equalWidth="0" w:num="1">
            <w:col w:w="11420"/>
          </w:cols>
          <w:pgMar w:left="240" w:top="337" w:right="239" w:bottom="0" w:gutter="0" w:footer="0" w:header="0"/>
        </w:sectPr>
      </w:pPr>
    </w:p>
    <w:bookmarkStart w:id="108" w:name="page109"/>
    <w:bookmarkEnd w:id="108"/>
    <w:p>
      <w:pPr>
        <w:spacing w:after="0" w:line="7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u w:val="single" w:color="auto"/>
          <w:color w:val="auto"/>
        </w:rPr>
        <w:t>Subrogation; Subordination.</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Each Guarantor hereby agrees that until the payment and satisfaction in full in cash of all Guaranteed Obligations and the expiration and termination of the Commitments of the Lenders under this Agreement it shall waive any claim and shall not exercise any right or remedy, direct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or indirect, arising by reason of any performance by it of its guarantee in Section 11.01, whether by subrogation or otherwise, against the Borrower or any other Guarantor of any of the Guaranteed Obligations or any security for any of the Guaranteed Obligations.</w:t>
      </w:r>
    </w:p>
    <w:p>
      <w:pPr>
        <w:spacing w:after="0" w:line="170"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5"/>
          <w:szCs w:val="15"/>
          <w:u w:val="single" w:color="auto"/>
          <w:color w:val="auto"/>
        </w:rPr>
        <w:t>Remedies.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Guarantors jointly and severally agree that, as between the Guarantors and the Lenders, the obligations of the Borrower under this Agreement and the Notes, if any, may be declared to be forthwith due and payable as provided in Section 8.02 (and shall be deemed to have become automatically due and payable in the circumstances provided in Section 8.02)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spacing w:after="0" w:line="17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u w:val="single" w:color="auto"/>
          <w:color w:val="auto"/>
        </w:rPr>
        <w:t>Instrument for the Payment of Money.</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Each Guarantor hereby acknowledges that the guarantee in this Article XI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181"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u w:val="single" w:color="auto"/>
          <w:color w:val="auto"/>
        </w:rPr>
        <w:t>Continuing Guarantee.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guarantee in this Article XI is a continuing guarantee of payment, and shall apply to all Guaranteed Obligations whenever arising.</w:t>
      </w:r>
    </w:p>
    <w:p>
      <w:pPr>
        <w:spacing w:after="0" w:line="22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6"/>
          <w:szCs w:val="16"/>
          <w:u w:val="single" w:color="auto"/>
          <w:color w:val="auto"/>
        </w:rPr>
        <w:t>General Limitation on Guarantee Obligations.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any action or proceeding involving any state corporate limited partnership or limited liability company law, or any applicable state, federal or foreign bankruptcy, insolvency, reor ganization or other Law affecting the rights of creditors generally, if the obligations of any Guarantor under Section 11.01 would otherwise be held or determined to be void, voidable, invalid or unenforceable, or subordinated to the claims of any other creditors, on account of the amount of its liability under Section 11.01, then, notwithstanding any other provision to the contrary, the amount of such liability shall, without any further action by such Guarantor, any Loan Party or any other person, be automatically limited and reduced to the highest amount (after giving effect to the right of contribution established in Section 11.10) that is valid and enforceable and not subordinated to the claims of other creditors as determined in such action or proceeding.</w:t>
      </w:r>
    </w:p>
    <w:p>
      <w:pPr>
        <w:spacing w:after="0" w:line="18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11.09</w:t>
      </w:r>
      <w:r>
        <w:rPr>
          <w:sz w:val="20"/>
          <w:szCs w:val="20"/>
          <w:color w:val="auto"/>
        </w:rPr>
        <w:tab/>
      </w:r>
      <w:r>
        <w:rPr>
          <w:rFonts w:ascii="Arial" w:cs="Arial" w:eastAsia="Arial" w:hAnsi="Arial"/>
          <w:sz w:val="15"/>
          <w:szCs w:val="15"/>
          <w:u w:val="single" w:color="auto"/>
          <w:color w:val="auto"/>
        </w:rPr>
        <w:t>Release of Guarantors.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in compliance with the terms and provisions of the Loan Documents, all or substantially all of the Equity Interests or property of any Guarantor are sold or otherwise transferred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Transferred Guarantor</w:t>
      </w:r>
      <w:r>
        <w:rPr>
          <w:rFonts w:ascii="Arial" w:cs="Arial" w:eastAsia="Arial" w:hAnsi="Arial"/>
          <w:sz w:val="16"/>
          <w:szCs w:val="16"/>
          <w:color w:val="auto"/>
        </w:rPr>
        <w:t>”) to a person or persons, none of which is a Loan Party, such Transferred Guarantor shall, upon the consummation of such sale or transfer, be automatically released from its obligations under this Agreement (including under Section 10.04 hereof) and its obligations to pledge and grant any Collateral owned by it pursuant to any Collateral Document and, in the case of a sale of all or substantially all of the Equity Interests of the Transferred Guarantor, the pledge of such Equity Interests to the Collateral Agent pursuant to the Collateral Documents shall be automatically released, and, so long as the Borrower shall have provided the Agents such certifications or documents as any Agent shall reasonably request, the Collateral Agent shall take such actions as are necessary to effect each release described in this Section 11.09 in accordance with the relevant provisions of the Collateral Documents.</w:t>
      </w:r>
    </w:p>
    <w:p>
      <w:pPr>
        <w:spacing w:after="0" w:line="160"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7"/>
          <w:szCs w:val="17"/>
          <w:u w:val="single" w:color="auto"/>
          <w:color w:val="auto"/>
        </w:rPr>
        <w:t>Right of Contribution.</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Each Guarantor hereby agrees that to the extent that a Subsidiary Guarantor shall have paid more than its proportionate share of any payment made hereunder, such Subsidiary Guarantor shall be entitled to seek and receive contribution from and against any other Guarantor hereunder which has not paid its proportionate share of such payment. Each Subsidiary Guarantor’s right of contribution shall be subject to the terms and conditions of Section 11.04. The provisions of this Section 11.10 shall in no respect limit the obligations and liabilities of any Subsidiary Guarantor to the Administrative Agent, the L/C Issuer, the Swing Line Lenders and the Lenders, and each Subsidiary Guarantor shall remain liable to the Administrative Agent, the L/C Issuer, the Swing Line Lenders and the Lenders for the full amount guaranteed by such Subsidiary Guarantor hereunder.</w:t>
      </w:r>
    </w:p>
    <w:p>
      <w:pPr>
        <w:spacing w:after="0" w:line="17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11.11</w:t>
      </w:r>
      <w:r>
        <w:rPr>
          <w:sz w:val="20"/>
          <w:szCs w:val="20"/>
          <w:color w:val="auto"/>
        </w:rPr>
        <w:tab/>
      </w:r>
      <w:r>
        <w:rPr>
          <w:rFonts w:ascii="Arial" w:cs="Arial" w:eastAsia="Arial" w:hAnsi="Arial"/>
          <w:sz w:val="16"/>
          <w:szCs w:val="16"/>
          <w:u w:val="single" w:color="auto"/>
          <w:color w:val="auto"/>
        </w:rPr>
        <w:t>Subject to Intercreditor Agreement.</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Notwithstanding anything herein to the contrary, (i) the liens and security interests granted to the Administrative Agent pursuant to the Collateral Documents are expressly subject to the Intercreditor Agreement (if in effect) and any other intercreditor agreement entered into pursuant hereto and (ii) the exercise of any right or remedy by the Administrative Agent hereunder or under the Intercreditor Agreement (if in effect) and any other intercreditor agreement entered into pursuant hereto is subject to the limitations and provisions of the Intercreditor Agreement (if in effect) and such other intercreditor agreement entered into pursuant hereto. In the event of any conflict between the terms of the Intercreditor Agreement (if in effect) or any other such intercreditor and terms of this Agreement, the terms of the Intercreditor Agreement (if in effect) or such other intercreditor agreement, as applicable, shall govern.</w:t>
      </w:r>
    </w:p>
    <w:p>
      <w:pPr>
        <w:sectPr>
          <w:pgSz w:w="11900" w:h="16910" w:orient="portrait"/>
          <w:cols w:equalWidth="0" w:num="1">
            <w:col w:w="11420"/>
          </w:cols>
          <w:pgMar w:left="240" w:top="341" w:right="239" w:bottom="0" w:gutter="0" w:footer="0" w:header="0"/>
        </w:sectPr>
      </w:pPr>
    </w:p>
    <w:bookmarkStart w:id="109" w:name="page110"/>
    <w:bookmarkEnd w:id="109"/>
    <w:p>
      <w:pPr>
        <w:ind w:left="1300"/>
        <w:spacing w:after="0"/>
        <w:tabs>
          <w:tab w:leader="none" w:pos="256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7"/>
          <w:szCs w:val="17"/>
          <w:u w:val="single" w:color="auto"/>
          <w:color w:val="auto"/>
        </w:rPr>
        <w:t>Keepwell.</w:t>
      </w:r>
    </w:p>
    <w:p>
      <w:pPr>
        <w:spacing w:after="0" w:line="22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Each Qualified ECP Guarantor hereby jointly and severally absolutely, unconditionally and irrevocably undertakes to provide such funds or other support as may be needed from time to time by each other Guarantor to honor all of its obligations under this Guaranty in respect of Swap Obligations (provided, however, that each Qualified ECP Guarantor shall only be liable under this Section 11.12 for the maximum amount of such liability that can be hereby incurred without rendering its obligations under this Section 11.12, or otherwise under this Guaranty, voidable under applicable law relating to fraudulent conveyance or fraudulent transfer, and not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any greater amount). The obligations of each Qualified ECP Guarantor under this Section 11.12 shall remain in full force and effect until the termination of the Aggregate Commitments and payment in full of all Obligations (other than (x) obligations under Secured Hedge Agreements and Treasury Services Agreements not yet due and payable and (y) contingent indemnification obligations not yet accrued and payable) and the expiration or termination or cash collateralization of all Letters of Credit. Each Qualified ECP Guarantor intends that this Section 11.12 constitute, and this Section 11.12 shall be deemed to constitute, a “keepwell, support, or other agreement” for the benefit of each other Guarantor for all purposes of Section 1a(18)(A)(v)(II) of the Commodity Exchange Act.</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ACTIVISION BLIZZARD, INC.</w:t>
      </w:r>
    </w:p>
    <w:p>
      <w:pPr>
        <w:spacing w:after="0" w:line="200" w:lineRule="exact"/>
        <w:rPr>
          <w:sz w:val="20"/>
          <w:szCs w:val="20"/>
          <w:color w:val="auto"/>
        </w:rPr>
      </w:pPr>
    </w:p>
    <w:p>
      <w:pPr>
        <w:spacing w:after="0" w:line="241"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Dennis Durkin</w:t>
            </w:r>
          </w:p>
        </w:tc>
      </w:tr>
      <w:tr>
        <w:trPr>
          <w:trHeight w:val="195"/>
        </w:trPr>
        <w:tc>
          <w:tcPr>
            <w:tcW w:w="4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40"/>
              <w:spacing w:after="0" w:line="195" w:lineRule="exact"/>
              <w:rPr>
                <w:sz w:val="20"/>
                <w:szCs w:val="20"/>
                <w:color w:val="auto"/>
              </w:rPr>
            </w:pPr>
            <w:r>
              <w:rPr>
                <w:rFonts w:ascii="Arial" w:cs="Arial" w:eastAsia="Arial" w:hAnsi="Arial"/>
                <w:sz w:val="18"/>
                <w:szCs w:val="18"/>
                <w:color w:val="auto"/>
              </w:rPr>
              <w:t>Dennis Durkin</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648"/>
        </w:trPr>
        <w:tc>
          <w:tcPr>
            <w:tcW w:w="6180" w:type="dxa"/>
            <w:vAlign w:val="bottom"/>
            <w:gridSpan w:val="3"/>
          </w:tcPr>
          <w:p>
            <w:pPr>
              <w:spacing w:after="0"/>
              <w:rPr>
                <w:sz w:val="20"/>
                <w:szCs w:val="20"/>
                <w:color w:val="auto"/>
              </w:rPr>
            </w:pPr>
            <w:r>
              <w:rPr>
                <w:rFonts w:ascii="Arial" w:cs="Arial" w:eastAsia="Arial" w:hAnsi="Arial"/>
                <w:sz w:val="18"/>
                <w:szCs w:val="18"/>
                <w:color w:val="auto"/>
              </w:rPr>
              <w:t>ACTIVISION PUBLlSHING, INC.</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Dennis Durkin</w:t>
            </w:r>
          </w:p>
        </w:tc>
      </w:tr>
      <w:tr>
        <w:trPr>
          <w:trHeight w:val="195"/>
        </w:trPr>
        <w:tc>
          <w:tcPr>
            <w:tcW w:w="4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40"/>
              <w:spacing w:after="0" w:line="195" w:lineRule="exact"/>
              <w:rPr>
                <w:sz w:val="20"/>
                <w:szCs w:val="20"/>
                <w:color w:val="auto"/>
              </w:rPr>
            </w:pPr>
            <w:r>
              <w:rPr>
                <w:rFonts w:ascii="Arial" w:cs="Arial" w:eastAsia="Arial" w:hAnsi="Arial"/>
                <w:sz w:val="18"/>
                <w:szCs w:val="18"/>
                <w:color w:val="auto"/>
              </w:rPr>
              <w:t>Dennis Durkin</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648"/>
        </w:trPr>
        <w:tc>
          <w:tcPr>
            <w:tcW w:w="6180" w:type="dxa"/>
            <w:vAlign w:val="bottom"/>
            <w:gridSpan w:val="3"/>
          </w:tcPr>
          <w:p>
            <w:pPr>
              <w:spacing w:after="0"/>
              <w:rPr>
                <w:sz w:val="20"/>
                <w:szCs w:val="20"/>
                <w:color w:val="auto"/>
              </w:rPr>
            </w:pPr>
            <w:r>
              <w:rPr>
                <w:rFonts w:ascii="Arial" w:cs="Arial" w:eastAsia="Arial" w:hAnsi="Arial"/>
                <w:sz w:val="18"/>
                <w:szCs w:val="18"/>
                <w:color w:val="auto"/>
              </w:rPr>
              <w:t>BLIZZARD ENTERTAINMENT, INC.</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Eric Roeder</w:t>
            </w:r>
          </w:p>
        </w:tc>
      </w:tr>
      <w:tr>
        <w:trPr>
          <w:trHeight w:val="195"/>
        </w:trPr>
        <w:tc>
          <w:tcPr>
            <w:tcW w:w="4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40"/>
              <w:spacing w:after="0" w:line="195" w:lineRule="exact"/>
              <w:rPr>
                <w:sz w:val="20"/>
                <w:szCs w:val="20"/>
                <w:color w:val="auto"/>
              </w:rPr>
            </w:pPr>
            <w:r>
              <w:rPr>
                <w:rFonts w:ascii="Arial" w:cs="Arial" w:eastAsia="Arial" w:hAnsi="Arial"/>
                <w:sz w:val="18"/>
                <w:szCs w:val="18"/>
                <w:color w:val="auto"/>
              </w:rPr>
              <w:t>Eric Roeder</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ACTIVISION ENTERTAINMENT HOLDINGS, INC.</w:t>
      </w:r>
    </w:p>
    <w:p>
      <w:pPr>
        <w:spacing w:after="0" w:line="200" w:lineRule="exact"/>
        <w:rPr>
          <w:sz w:val="20"/>
          <w:szCs w:val="20"/>
          <w:color w:val="auto"/>
        </w:rPr>
      </w:pPr>
    </w:p>
    <w:p>
      <w:pPr>
        <w:spacing w:after="0" w:line="241" w:lineRule="exact"/>
        <w:rPr>
          <w:sz w:val="20"/>
          <w:szCs w:val="20"/>
          <w:color w:val="auto"/>
        </w:rPr>
      </w:pPr>
    </w:p>
    <w:p>
      <w:pPr>
        <w:ind w:left="5240"/>
        <w:spacing w:after="0"/>
        <w:tabs>
          <w:tab w:leader="none" w:pos="5700" w:val="left"/>
        </w:tabs>
        <w:rPr>
          <w:sz w:val="20"/>
          <w:szCs w:val="20"/>
          <w:color w:val="auto"/>
        </w:rPr>
      </w:pPr>
      <w:r>
        <w:rPr>
          <w:rFonts w:ascii="Arial" w:cs="Arial" w:eastAsia="Arial" w:hAnsi="Arial"/>
          <w:sz w:val="18"/>
          <w:szCs w:val="18"/>
          <w:color w:val="auto"/>
        </w:rPr>
        <w:t>By:</w:t>
        <w:tab/>
        <w:t>/s/ Dennis Durkin</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Dennis Durkin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BANK OF AMERICA, N.A., as</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2"/>
          </w:tcPr>
          <w:p>
            <w:pPr>
              <w:ind w:left="5240"/>
              <w:spacing w:after="0"/>
              <w:rPr>
                <w:sz w:val="20"/>
                <w:szCs w:val="20"/>
                <w:color w:val="auto"/>
              </w:rPr>
            </w:pPr>
            <w:r>
              <w:rPr>
                <w:rFonts w:ascii="Arial" w:cs="Arial" w:eastAsia="Arial" w:hAnsi="Arial"/>
                <w:sz w:val="18"/>
                <w:szCs w:val="18"/>
                <w:color w:val="auto"/>
              </w:rPr>
              <w:t>By:</w:t>
            </w:r>
          </w:p>
        </w:tc>
        <w:tc>
          <w:tcPr>
            <w:tcW w:w="3660" w:type="dxa"/>
            <w:vAlign w:val="bottom"/>
          </w:tcPr>
          <w:p>
            <w:pPr>
              <w:ind w:left="260"/>
              <w:spacing w:after="0"/>
              <w:rPr>
                <w:sz w:val="20"/>
                <w:szCs w:val="20"/>
                <w:color w:val="auto"/>
              </w:rPr>
            </w:pPr>
            <w:r>
              <w:rPr>
                <w:rFonts w:ascii="Arial" w:cs="Arial" w:eastAsia="Arial" w:hAnsi="Arial"/>
                <w:sz w:val="18"/>
                <w:szCs w:val="18"/>
                <w:color w:val="auto"/>
              </w:rPr>
              <w:t>/s/ Tiffany Shin</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660" w:type="dxa"/>
            <w:vAlign w:val="bottom"/>
            <w:tcBorders>
              <w:top w:val="single" w:sz="8" w:color="auto"/>
            </w:tcBorders>
          </w:tcPr>
          <w:p>
            <w:pPr>
              <w:jc w:val="center"/>
              <w:ind w:right="1190"/>
              <w:spacing w:after="0" w:line="195" w:lineRule="exact"/>
              <w:rPr>
                <w:sz w:val="20"/>
                <w:szCs w:val="20"/>
                <w:color w:val="auto"/>
              </w:rPr>
            </w:pPr>
            <w:r>
              <w:rPr>
                <w:rFonts w:ascii="Arial" w:cs="Arial" w:eastAsia="Arial" w:hAnsi="Arial"/>
                <w:sz w:val="18"/>
                <w:szCs w:val="18"/>
                <w:color w:val="auto"/>
                <w:w w:val="94"/>
              </w:rPr>
              <w:t>Tiffany Shin</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jc w:val="center"/>
              <w:ind w:right="1190"/>
              <w:spacing w:after="0"/>
              <w:rPr>
                <w:sz w:val="20"/>
                <w:szCs w:val="20"/>
                <w:color w:val="auto"/>
              </w:rPr>
            </w:pPr>
            <w:r>
              <w:rPr>
                <w:rFonts w:ascii="Arial" w:cs="Arial" w:eastAsia="Arial" w:hAnsi="Arial"/>
                <w:sz w:val="18"/>
                <w:szCs w:val="18"/>
                <w:color w:val="auto"/>
                <w:w w:val="89"/>
              </w:rPr>
              <w:t>Assistant Vice President</w:t>
            </w:r>
          </w:p>
        </w:tc>
        <w:tc>
          <w:tcPr>
            <w:tcW w:w="40" w:type="dxa"/>
            <w:vAlign w:val="bottom"/>
          </w:tcPr>
          <w:p>
            <w:pPr>
              <w:spacing w:after="0"/>
              <w:rPr>
                <w:sz w:val="20"/>
                <w:szCs w:val="20"/>
                <w:color w:val="auto"/>
              </w:rPr>
            </w:pPr>
          </w:p>
        </w:tc>
      </w:tr>
      <w:tr>
        <w:trPr>
          <w:trHeight w:val="432"/>
        </w:trPr>
        <w:tc>
          <w:tcPr>
            <w:tcW w:w="7760" w:type="dxa"/>
            <w:vAlign w:val="bottom"/>
            <w:gridSpan w:val="2"/>
          </w:tcPr>
          <w:p>
            <w:pPr>
              <w:ind w:left="3900"/>
              <w:spacing w:after="0"/>
              <w:rPr>
                <w:sz w:val="20"/>
                <w:szCs w:val="20"/>
                <w:color w:val="auto"/>
              </w:rPr>
            </w:pPr>
            <w:r>
              <w:rPr>
                <w:rFonts w:ascii="Arial" w:cs="Arial" w:eastAsia="Arial" w:hAnsi="Arial"/>
                <w:sz w:val="18"/>
                <w:szCs w:val="18"/>
                <w:color w:val="auto"/>
              </w:rPr>
              <w:t>SIGNATURE PAGE TO CREDIT AGREEMENT</w:t>
            </w: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2040" w:type="dxa"/>
            <w:vAlign w:val="bottom"/>
            <w:tcBorders>
              <w:bottom w:val="single" w:sz="8" w:color="010101"/>
            </w:tcBorders>
          </w:tcPr>
          <w:p>
            <w:pPr>
              <w:spacing w:after="0"/>
              <w:rPr>
                <w:sz w:val="24"/>
                <w:szCs w:val="24"/>
                <w:color w:val="auto"/>
              </w:rPr>
            </w:pPr>
          </w:p>
        </w:tc>
        <w:tc>
          <w:tcPr>
            <w:tcW w:w="36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10" w:name="page111"/>
    <w:bookmarkEnd w:id="110"/>
    <w:p>
      <w:pPr>
        <w:ind w:left="5240"/>
        <w:spacing w:after="0"/>
        <w:rPr>
          <w:sz w:val="20"/>
          <w:szCs w:val="20"/>
          <w:color w:val="auto"/>
        </w:rPr>
      </w:pPr>
      <w:r>
        <w:rPr>
          <w:rFonts w:ascii="Arial" w:cs="Arial" w:eastAsia="Arial" w:hAnsi="Arial"/>
          <w:sz w:val="18"/>
          <w:szCs w:val="18"/>
          <w:color w:val="auto"/>
        </w:rPr>
        <w:t>BANK OF AMERICA, N.A., as a Lender,</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L/C Issuer and Swing Line Lender</w:t>
      </w:r>
    </w:p>
    <w:p>
      <w:pPr>
        <w:spacing w:after="0" w:line="200" w:lineRule="exact"/>
        <w:rPr>
          <w:sz w:val="20"/>
          <w:szCs w:val="20"/>
          <w:color w:val="auto"/>
        </w:rPr>
      </w:pPr>
    </w:p>
    <w:p>
      <w:pPr>
        <w:spacing w:after="0" w:line="227" w:lineRule="exact"/>
        <w:rPr>
          <w:sz w:val="20"/>
          <w:szCs w:val="20"/>
          <w:color w:val="auto"/>
        </w:rPr>
      </w:pPr>
    </w:p>
    <w:p>
      <w:pPr>
        <w:jc w:val="center"/>
        <w:ind w:left="5280"/>
        <w:spacing w:after="0"/>
        <w:tabs>
          <w:tab w:leader="none" w:pos="200" w:val="left"/>
        </w:tabs>
        <w:rPr>
          <w:sz w:val="20"/>
          <w:szCs w:val="20"/>
          <w:color w:val="auto"/>
        </w:rPr>
      </w:pPr>
      <w:r>
        <w:rPr>
          <w:rFonts w:ascii="Arial" w:cs="Arial" w:eastAsia="Arial" w:hAnsi="Arial"/>
          <w:sz w:val="18"/>
          <w:szCs w:val="18"/>
          <w:color w:val="auto"/>
        </w:rPr>
        <w:t>By:</w:t>
        <w:tab/>
        <w:t>/s/ Dan Kelly</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Dan Kelly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GOLDMAN SACHS BANK USA. as a Lender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gridSpan w:val="2"/>
          </w:tcPr>
          <w:p>
            <w:pPr>
              <w:ind w:left="5240"/>
              <w:spacing w:after="0"/>
              <w:rPr>
                <w:sz w:val="20"/>
                <w:szCs w:val="20"/>
                <w:color w:val="auto"/>
              </w:rPr>
            </w:pPr>
            <w:r>
              <w:rPr>
                <w:rFonts w:ascii="Arial" w:cs="Arial" w:eastAsia="Arial" w:hAnsi="Arial"/>
                <w:sz w:val="18"/>
                <w:szCs w:val="18"/>
                <w:color w:val="auto"/>
              </w:rPr>
              <w:t>By:</w:t>
            </w:r>
          </w:p>
        </w:tc>
        <w:tc>
          <w:tcPr>
            <w:tcW w:w="3680" w:type="dxa"/>
            <w:vAlign w:val="bottom"/>
          </w:tcPr>
          <w:p>
            <w:pPr>
              <w:ind w:left="200"/>
              <w:spacing w:after="0"/>
              <w:rPr>
                <w:sz w:val="20"/>
                <w:szCs w:val="20"/>
                <w:color w:val="auto"/>
              </w:rPr>
            </w:pPr>
            <w:r>
              <w:rPr>
                <w:rFonts w:ascii="Arial" w:cs="Arial" w:eastAsia="Arial" w:hAnsi="Arial"/>
                <w:sz w:val="18"/>
                <w:szCs w:val="18"/>
                <w:color w:val="auto"/>
              </w:rPr>
              <w:t>/s/ Robert Ehudin</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2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Borders>
              <w:top w:val="single" w:sz="8" w:color="auto"/>
            </w:tcBorders>
          </w:tcPr>
          <w:p>
            <w:pPr>
              <w:jc w:val="center"/>
              <w:ind w:right="1170"/>
              <w:spacing w:after="0" w:line="195" w:lineRule="exact"/>
              <w:rPr>
                <w:sz w:val="20"/>
                <w:szCs w:val="20"/>
                <w:color w:val="auto"/>
              </w:rPr>
            </w:pPr>
            <w:r>
              <w:rPr>
                <w:rFonts w:ascii="Arial" w:cs="Arial" w:eastAsia="Arial" w:hAnsi="Arial"/>
                <w:sz w:val="18"/>
                <w:szCs w:val="18"/>
                <w:color w:val="auto"/>
                <w:w w:val="92"/>
              </w:rPr>
              <w:t>Robert Ehudin</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jc w:val="center"/>
              <w:ind w:right="1170"/>
              <w:spacing w:after="0"/>
              <w:rPr>
                <w:sz w:val="20"/>
                <w:szCs w:val="20"/>
                <w:color w:val="auto"/>
              </w:rPr>
            </w:pPr>
            <w:r>
              <w:rPr>
                <w:rFonts w:ascii="Arial" w:cs="Arial" w:eastAsia="Arial" w:hAnsi="Arial"/>
                <w:sz w:val="18"/>
                <w:szCs w:val="18"/>
                <w:color w:val="auto"/>
                <w:w w:val="92"/>
              </w:rPr>
              <w:t>Authorized Signatory</w:t>
            </w:r>
          </w:p>
        </w:tc>
        <w:tc>
          <w:tcPr>
            <w:tcW w:w="40" w:type="dxa"/>
            <w:vAlign w:val="bottom"/>
          </w:tcPr>
          <w:p>
            <w:pPr>
              <w:spacing w:after="0"/>
              <w:rPr>
                <w:sz w:val="20"/>
                <w:szCs w:val="20"/>
                <w:color w:val="auto"/>
              </w:rPr>
            </w:pPr>
          </w:p>
        </w:tc>
      </w:tr>
      <w:tr>
        <w:trPr>
          <w:trHeight w:val="432"/>
        </w:trPr>
        <w:tc>
          <w:tcPr>
            <w:tcW w:w="7740" w:type="dxa"/>
            <w:vAlign w:val="bottom"/>
            <w:gridSpan w:val="2"/>
          </w:tcPr>
          <w:p>
            <w:pPr>
              <w:ind w:left="3900"/>
              <w:spacing w:after="0"/>
              <w:rPr>
                <w:sz w:val="20"/>
                <w:szCs w:val="20"/>
                <w:color w:val="auto"/>
              </w:rPr>
            </w:pPr>
            <w:r>
              <w:rPr>
                <w:rFonts w:ascii="Arial" w:cs="Arial" w:eastAsia="Arial" w:hAnsi="Arial"/>
                <w:sz w:val="18"/>
                <w:szCs w:val="18"/>
                <w:color w:val="auto"/>
              </w:rPr>
              <w:t>SIGNATURE PAGE TO CREDIT AGREEMENT</w:t>
            </w: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202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ROYAL BANK OF CANADA, as a Lender</w:t>
      </w:r>
    </w:p>
    <w:p>
      <w:pPr>
        <w:spacing w:after="0" w:line="225" w:lineRule="exact"/>
        <w:rPr>
          <w:sz w:val="20"/>
          <w:szCs w:val="20"/>
          <w:color w:val="auto"/>
        </w:rPr>
      </w:pPr>
    </w:p>
    <w:p>
      <w:pPr>
        <w:ind w:left="5240"/>
        <w:spacing w:after="0"/>
        <w:tabs>
          <w:tab w:leader="none" w:pos="5700" w:val="left"/>
        </w:tabs>
        <w:rPr>
          <w:sz w:val="20"/>
          <w:szCs w:val="20"/>
          <w:color w:val="auto"/>
        </w:rPr>
      </w:pPr>
      <w:r>
        <w:rPr>
          <w:rFonts w:ascii="Arial" w:cs="Arial" w:eastAsia="Arial" w:hAnsi="Arial"/>
          <w:sz w:val="18"/>
          <w:szCs w:val="18"/>
          <w:color w:val="auto"/>
        </w:rPr>
        <w:t>By:</w:t>
        <w:tab/>
        <w:t>/s/ Alfonse Simone</w:t>
      </w:r>
    </w:p>
    <w:p>
      <w:pPr>
        <w:spacing w:after="0" w:line="23"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Name:</w:t>
        <w:tab/>
        <w:t>ALFONSE 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HSBC BANK USA, N.A., as a Lender</w:t>
      </w:r>
    </w:p>
    <w:p>
      <w:pPr>
        <w:spacing w:after="0" w:line="225"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By:</w:t>
            </w:r>
          </w:p>
        </w:tc>
        <w:tc>
          <w:tcPr>
            <w:tcW w:w="4960" w:type="dxa"/>
            <w:vAlign w:val="bottom"/>
          </w:tcPr>
          <w:p>
            <w:pPr>
              <w:ind w:left="1460"/>
              <w:spacing w:after="0"/>
              <w:rPr>
                <w:sz w:val="20"/>
                <w:szCs w:val="20"/>
                <w:color w:val="auto"/>
              </w:rPr>
            </w:pPr>
            <w:r>
              <w:rPr>
                <w:rFonts w:ascii="Arial" w:cs="Arial" w:eastAsia="Arial" w:hAnsi="Arial"/>
                <w:sz w:val="18"/>
                <w:szCs w:val="18"/>
                <w:color w:val="auto"/>
              </w:rPr>
              <w:t>/s/ Thomas Lerner</w:t>
            </w:r>
          </w:p>
        </w:tc>
      </w:tr>
      <w:tr>
        <w:trPr>
          <w:trHeight w:val="195"/>
        </w:trPr>
        <w:tc>
          <w:tcPr>
            <w:tcW w:w="48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Thomas Lerner</w:t>
            </w:r>
          </w:p>
        </w:tc>
      </w:tr>
      <w:tr>
        <w:trPr>
          <w:trHeight w:val="216"/>
        </w:trPr>
        <w:tc>
          <w:tcPr>
            <w:tcW w:w="4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280"/>
              <w:spacing w:after="0"/>
              <w:rPr>
                <w:sz w:val="20"/>
                <w:szCs w:val="20"/>
                <w:color w:val="auto"/>
              </w:rPr>
            </w:pPr>
            <w:r>
              <w:rPr>
                <w:rFonts w:ascii="Arial" w:cs="Arial" w:eastAsia="Arial" w:hAnsi="Arial"/>
                <w:sz w:val="18"/>
                <w:szCs w:val="18"/>
                <w:color w:val="auto"/>
              </w:rPr>
              <w:t>Vice President</w:t>
            </w:r>
          </w:p>
        </w:tc>
      </w:tr>
      <w:tr>
        <w:trPr>
          <w:trHeight w:val="230"/>
        </w:trPr>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ID # 19169</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MIZUHO BANK, LTD., as a Lender</w:t>
      </w:r>
    </w:p>
    <w:p>
      <w:pPr>
        <w:spacing w:after="0" w:line="225" w:lineRule="exact"/>
        <w:rPr>
          <w:sz w:val="20"/>
          <w:szCs w:val="20"/>
          <w:color w:val="auto"/>
        </w:rPr>
      </w:pPr>
    </w:p>
    <w:p>
      <w:pPr>
        <w:ind w:left="5240"/>
        <w:spacing w:after="0"/>
        <w:tabs>
          <w:tab w:leader="none" w:pos="5700" w:val="left"/>
        </w:tabs>
        <w:rPr>
          <w:sz w:val="20"/>
          <w:szCs w:val="20"/>
          <w:color w:val="auto"/>
        </w:rPr>
      </w:pPr>
      <w:r>
        <w:rPr>
          <w:rFonts w:ascii="Arial" w:cs="Arial" w:eastAsia="Arial" w:hAnsi="Arial"/>
          <w:sz w:val="18"/>
          <w:szCs w:val="18"/>
          <w:color w:val="auto"/>
        </w:rPr>
        <w:t>By:</w:t>
        <w:tab/>
        <w:t>/s/ Bertram H. Tang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Bertram H.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THE BANK OF TOKYO-MITSUBISHI UFJ, LTD.</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gridSpan w:val="2"/>
          </w:tcPr>
          <w:p>
            <w:pPr>
              <w:jc w:val="center"/>
              <w:ind w:left="3550"/>
              <w:spacing w:after="0"/>
              <w:rPr>
                <w:sz w:val="20"/>
                <w:szCs w:val="20"/>
                <w:color w:val="auto"/>
              </w:rPr>
            </w:pPr>
            <w:r>
              <w:rPr>
                <w:rFonts w:ascii="Arial" w:cs="Arial" w:eastAsia="Arial" w:hAnsi="Arial"/>
                <w:sz w:val="18"/>
                <w:szCs w:val="18"/>
                <w:color w:val="auto"/>
                <w:w w:val="99"/>
              </w:rPr>
              <w:t>By:</w:t>
            </w:r>
          </w:p>
        </w:tc>
        <w:tc>
          <w:tcPr>
            <w:tcW w:w="3600" w:type="dxa"/>
            <w:vAlign w:val="bottom"/>
          </w:tcPr>
          <w:p>
            <w:pPr>
              <w:ind w:left="280"/>
              <w:spacing w:after="0"/>
              <w:rPr>
                <w:sz w:val="20"/>
                <w:szCs w:val="20"/>
                <w:color w:val="auto"/>
              </w:rPr>
            </w:pPr>
            <w:r>
              <w:rPr>
                <w:rFonts w:ascii="Arial" w:cs="Arial" w:eastAsia="Arial" w:hAnsi="Arial"/>
                <w:sz w:val="18"/>
                <w:szCs w:val="18"/>
                <w:color w:val="auto"/>
              </w:rPr>
              <w:t>/s/ Richard Ong Pho</w:t>
            </w:r>
          </w:p>
        </w:tc>
        <w:tc>
          <w:tcPr>
            <w:tcW w:w="40" w:type="dxa"/>
            <w:vAlign w:val="bottom"/>
          </w:tcPr>
          <w:p>
            <w:pPr>
              <w:spacing w:after="0"/>
              <w:rPr>
                <w:sz w:val="20"/>
                <w:szCs w:val="20"/>
                <w:color w:val="auto"/>
              </w:rPr>
            </w:pPr>
          </w:p>
        </w:tc>
      </w:tr>
      <w:tr>
        <w:trPr>
          <w:trHeight w:val="195"/>
        </w:trPr>
        <w:tc>
          <w:tcPr>
            <w:tcW w:w="6240" w:type="dxa"/>
            <w:vAlign w:val="bottom"/>
          </w:tcPr>
          <w:p>
            <w:pPr>
              <w:spacing w:after="0"/>
              <w:rPr>
                <w:sz w:val="16"/>
                <w:szCs w:val="16"/>
                <w:color w:val="auto"/>
              </w:rPr>
            </w:pPr>
          </w:p>
        </w:tc>
        <w:tc>
          <w:tcPr>
            <w:tcW w:w="1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jc w:val="center"/>
              <w:ind w:right="730"/>
              <w:spacing w:after="0" w:line="195" w:lineRule="exact"/>
              <w:rPr>
                <w:sz w:val="20"/>
                <w:szCs w:val="20"/>
                <w:color w:val="auto"/>
              </w:rPr>
            </w:pPr>
            <w:r>
              <w:rPr>
                <w:rFonts w:ascii="Arial" w:cs="Arial" w:eastAsia="Arial" w:hAnsi="Arial"/>
                <w:sz w:val="18"/>
                <w:szCs w:val="18"/>
                <w:color w:val="auto"/>
                <w:w w:val="96"/>
              </w:rPr>
              <w:t>RICHARD ONG PHO</w:t>
            </w:r>
          </w:p>
        </w:tc>
        <w:tc>
          <w:tcPr>
            <w:tcW w:w="40" w:type="dxa"/>
            <w:vAlign w:val="bottom"/>
          </w:tcPr>
          <w:p>
            <w:pPr>
              <w:spacing w:after="0"/>
              <w:rPr>
                <w:sz w:val="16"/>
                <w:szCs w:val="16"/>
                <w:color w:val="auto"/>
              </w:rPr>
            </w:pPr>
          </w:p>
        </w:tc>
      </w:tr>
      <w:tr>
        <w:trPr>
          <w:trHeight w:val="230"/>
        </w:trPr>
        <w:tc>
          <w:tcPr>
            <w:tcW w:w="624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jc w:val="center"/>
              <w:ind w:right="750"/>
              <w:spacing w:after="0"/>
              <w:rPr>
                <w:sz w:val="20"/>
                <w:szCs w:val="20"/>
                <w:color w:val="auto"/>
              </w:rPr>
            </w:pPr>
            <w:r>
              <w:rPr>
                <w:rFonts w:ascii="Arial" w:cs="Arial" w:eastAsia="Arial" w:hAnsi="Arial"/>
                <w:sz w:val="18"/>
                <w:szCs w:val="18"/>
                <w:color w:val="auto"/>
                <w:w w:val="95"/>
              </w:rPr>
              <w:t>Director</w:t>
            </w:r>
          </w:p>
        </w:tc>
        <w:tc>
          <w:tcPr>
            <w:tcW w:w="40" w:type="dxa"/>
            <w:vAlign w:val="bottom"/>
          </w:tcPr>
          <w:p>
            <w:pPr>
              <w:spacing w:after="0"/>
              <w:rPr>
                <w:sz w:val="20"/>
                <w:szCs w:val="20"/>
                <w:color w:val="auto"/>
              </w:rPr>
            </w:pPr>
          </w:p>
        </w:tc>
      </w:tr>
      <w:tr>
        <w:trPr>
          <w:trHeight w:val="648"/>
        </w:trPr>
        <w:tc>
          <w:tcPr>
            <w:tcW w:w="7820" w:type="dxa"/>
            <w:vAlign w:val="bottom"/>
            <w:gridSpan w:val="2"/>
          </w:tcPr>
          <w:p>
            <w:pPr>
              <w:jc w:val="center"/>
              <w:ind w:left="3510"/>
              <w:spacing w:after="0"/>
              <w:rPr>
                <w:sz w:val="20"/>
                <w:szCs w:val="20"/>
                <w:color w:val="auto"/>
              </w:rPr>
            </w:pPr>
            <w:r>
              <w:rPr>
                <w:rFonts w:ascii="Arial" w:cs="Arial" w:eastAsia="Arial" w:hAnsi="Arial"/>
                <w:sz w:val="18"/>
                <w:szCs w:val="18"/>
                <w:color w:val="auto"/>
                <w:w w:val="94"/>
              </w:rPr>
              <w:t>SIGNATURE PAGE TO CREDIT AGREEMENT</w:t>
            </w: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624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3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as a Lender</w:t>
      </w:r>
    </w:p>
    <w:p>
      <w:pPr>
        <w:sectPr>
          <w:pgSz w:w="11900" w:h="16838" w:orient="portrait"/>
          <w:cols w:equalWidth="0" w:num="1">
            <w:col w:w="11460"/>
          </w:cols>
          <w:pgMar w:left="240" w:top="341" w:right="199" w:bottom="0" w:gutter="0" w:footer="0" w:header="0"/>
        </w:sectPr>
      </w:pPr>
    </w:p>
    <w:bookmarkStart w:id="111" w:name="page112"/>
    <w:bookmarkEnd w:id="111"/>
    <w:p>
      <w:pPr>
        <w:ind w:left="5240"/>
        <w:spacing w:after="0"/>
        <w:tabs>
          <w:tab w:leader="none" w:pos="5700" w:val="left"/>
        </w:tabs>
        <w:rPr>
          <w:sz w:val="20"/>
          <w:szCs w:val="20"/>
          <w:color w:val="auto"/>
        </w:rPr>
      </w:pPr>
      <w:r>
        <w:rPr>
          <w:rFonts w:ascii="Arial" w:cs="Arial" w:eastAsia="Arial" w:hAnsi="Arial"/>
          <w:sz w:val="18"/>
          <w:szCs w:val="18"/>
          <w:color w:val="auto"/>
        </w:rPr>
        <w:t>By:</w:t>
        <w:tab/>
        <w:t>/s/ Richard J Ameny Jr</w:t>
      </w:r>
    </w:p>
    <w:p>
      <w:pPr>
        <w:spacing w:after="0" w:line="23"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Name:</w:t>
        <w:tab/>
        <w:t>Richard J Ameny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2"/>
          </w:tcPr>
          <w:p>
            <w:pPr>
              <w:ind w:left="5240"/>
              <w:spacing w:after="0"/>
              <w:rPr>
                <w:sz w:val="20"/>
                <w:szCs w:val="20"/>
                <w:color w:val="auto"/>
              </w:rPr>
            </w:pPr>
            <w:r>
              <w:rPr>
                <w:rFonts w:ascii="Arial" w:cs="Arial" w:eastAsia="Arial" w:hAnsi="Arial"/>
                <w:sz w:val="18"/>
                <w:szCs w:val="18"/>
                <w:color w:val="auto"/>
                <w:w w:val="94"/>
              </w:rPr>
              <w:t>SUNTRUST BANK, as a Lender</w:t>
            </w: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7700" w:type="dxa"/>
            <w:vAlign w:val="bottom"/>
            <w:gridSpan w:val="2"/>
          </w:tcPr>
          <w:p>
            <w:pPr>
              <w:ind w:left="5240"/>
              <w:spacing w:after="0"/>
              <w:rPr>
                <w:sz w:val="20"/>
                <w:szCs w:val="20"/>
                <w:color w:val="auto"/>
              </w:rPr>
            </w:pPr>
            <w:r>
              <w:rPr>
                <w:rFonts w:ascii="Arial" w:cs="Arial" w:eastAsia="Arial" w:hAnsi="Arial"/>
                <w:sz w:val="18"/>
                <w:szCs w:val="18"/>
                <w:color w:val="auto"/>
              </w:rPr>
              <w:t>By:</w:t>
            </w:r>
          </w:p>
        </w:tc>
        <w:tc>
          <w:tcPr>
            <w:tcW w:w="3720" w:type="dxa"/>
            <w:vAlign w:val="bottom"/>
          </w:tcPr>
          <w:p>
            <w:pPr>
              <w:ind w:left="40"/>
              <w:spacing w:after="0"/>
              <w:rPr>
                <w:sz w:val="20"/>
                <w:szCs w:val="20"/>
                <w:color w:val="auto"/>
              </w:rPr>
            </w:pPr>
            <w:r>
              <w:rPr>
                <w:rFonts w:ascii="Arial" w:cs="Arial" w:eastAsia="Arial" w:hAnsi="Arial"/>
                <w:sz w:val="18"/>
                <w:szCs w:val="18"/>
                <w:color w:val="auto"/>
              </w:rPr>
              <w:t>/s/ J Haynes Gentry, III</w:t>
            </w:r>
          </w:p>
        </w:tc>
        <w:tc>
          <w:tcPr>
            <w:tcW w:w="40" w:type="dxa"/>
            <w:vAlign w:val="bottom"/>
          </w:tcPr>
          <w:p>
            <w:pPr>
              <w:spacing w:after="0"/>
              <w:rPr>
                <w:sz w:val="24"/>
                <w:szCs w:val="24"/>
                <w:color w:val="auto"/>
              </w:rPr>
            </w:pPr>
          </w:p>
        </w:tc>
      </w:tr>
      <w:tr>
        <w:trPr>
          <w:trHeight w:val="195"/>
        </w:trPr>
        <w:tc>
          <w:tcPr>
            <w:tcW w:w="572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720" w:type="dxa"/>
            <w:vAlign w:val="bottom"/>
            <w:tcBorders>
              <w:top w:val="single" w:sz="8" w:color="auto"/>
            </w:tcBorders>
          </w:tcPr>
          <w:p>
            <w:pPr>
              <w:jc w:val="center"/>
              <w:ind w:right="1210"/>
              <w:spacing w:after="0" w:line="195" w:lineRule="exact"/>
              <w:rPr>
                <w:sz w:val="20"/>
                <w:szCs w:val="20"/>
                <w:color w:val="auto"/>
              </w:rPr>
            </w:pPr>
            <w:r>
              <w:rPr>
                <w:rFonts w:ascii="Arial" w:cs="Arial" w:eastAsia="Arial" w:hAnsi="Arial"/>
                <w:sz w:val="18"/>
                <w:szCs w:val="18"/>
                <w:color w:val="auto"/>
                <w:w w:val="91"/>
              </w:rPr>
              <w:t>J Haynes Gentry, III</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jc w:val="center"/>
              <w:ind w:right="1190"/>
              <w:spacing w:after="0"/>
              <w:rPr>
                <w:sz w:val="20"/>
                <w:szCs w:val="20"/>
                <w:color w:val="auto"/>
              </w:rPr>
            </w:pPr>
            <w:r>
              <w:rPr>
                <w:rFonts w:ascii="Arial" w:cs="Arial" w:eastAsia="Arial" w:hAnsi="Arial"/>
                <w:sz w:val="18"/>
                <w:szCs w:val="18"/>
                <w:color w:val="auto"/>
                <w:w w:val="95"/>
              </w:rPr>
              <w:t>Director</w:t>
            </w:r>
          </w:p>
        </w:tc>
        <w:tc>
          <w:tcPr>
            <w:tcW w:w="40" w:type="dxa"/>
            <w:vAlign w:val="bottom"/>
          </w:tcPr>
          <w:p>
            <w:pPr>
              <w:spacing w:after="0"/>
              <w:rPr>
                <w:sz w:val="20"/>
                <w:szCs w:val="20"/>
                <w:color w:val="auto"/>
              </w:rPr>
            </w:pPr>
          </w:p>
        </w:tc>
      </w:tr>
      <w:tr>
        <w:trPr>
          <w:trHeight w:val="432"/>
        </w:trPr>
        <w:tc>
          <w:tcPr>
            <w:tcW w:w="7700" w:type="dxa"/>
            <w:vAlign w:val="bottom"/>
            <w:gridSpan w:val="2"/>
          </w:tcPr>
          <w:p>
            <w:pPr>
              <w:ind w:left="3900"/>
              <w:spacing w:after="0"/>
              <w:rPr>
                <w:sz w:val="20"/>
                <w:szCs w:val="20"/>
                <w:color w:val="auto"/>
              </w:rPr>
            </w:pPr>
            <w:r>
              <w:rPr>
                <w:rFonts w:ascii="Arial" w:cs="Arial" w:eastAsia="Arial" w:hAnsi="Arial"/>
                <w:sz w:val="18"/>
                <w:szCs w:val="18"/>
                <w:color w:val="auto"/>
                <w:w w:val="99"/>
              </w:rPr>
              <w:t>SIGNATURE PAGE TO CREDIT AGREEMENT</w:t>
            </w: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3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12" w:name="page113"/>
    <w:bookmarkEnd w:id="112"/>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11,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GRANTORS IDENTIFIED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9300" w:type="dxa"/>
            <w:vAlign w:val="bottom"/>
          </w:tcPr>
          <w:p>
            <w:pPr>
              <w:ind w:left="3320"/>
              <w:spacing w:after="0"/>
              <w:rPr>
                <w:sz w:val="20"/>
                <w:szCs w:val="20"/>
                <w:color w:val="auto"/>
              </w:rPr>
            </w:pPr>
            <w:r>
              <w:rPr>
                <w:rFonts w:ascii="Arial" w:cs="Arial" w:eastAsia="Arial" w:hAnsi="Arial"/>
                <w:sz w:val="18"/>
                <w:szCs w:val="18"/>
                <w:color w:val="auto"/>
              </w:rPr>
              <w:t>TABLE OF CONTENTS</w:t>
            </w:r>
          </w:p>
        </w:tc>
        <w:tc>
          <w:tcPr>
            <w:tcW w:w="640" w:type="dxa"/>
            <w:vAlign w:val="bottom"/>
          </w:tcPr>
          <w:p>
            <w:pPr>
              <w:spacing w:after="0"/>
              <w:rPr>
                <w:sz w:val="20"/>
                <w:szCs w:val="20"/>
                <w:color w:val="auto"/>
              </w:rPr>
            </w:pPr>
          </w:p>
        </w:tc>
      </w:tr>
      <w:tr>
        <w:trPr>
          <w:trHeight w:val="365"/>
        </w:trPr>
        <w:tc>
          <w:tcPr>
            <w:tcW w:w="148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426"/>
        </w:trPr>
        <w:tc>
          <w:tcPr>
            <w:tcW w:w="1480" w:type="dxa"/>
            <w:vAlign w:val="bottom"/>
          </w:tcPr>
          <w:p>
            <w:pPr>
              <w:spacing w:after="0"/>
              <w:rPr>
                <w:sz w:val="24"/>
                <w:szCs w:val="24"/>
                <w:color w:val="auto"/>
              </w:rPr>
            </w:pPr>
          </w:p>
        </w:tc>
        <w:tc>
          <w:tcPr>
            <w:tcW w:w="9300" w:type="dxa"/>
            <w:vAlign w:val="bottom"/>
          </w:tcPr>
          <w:p>
            <w:pPr>
              <w:jc w:val="center"/>
              <w:ind w:right="1390"/>
              <w:spacing w:after="0"/>
              <w:rPr>
                <w:sz w:val="20"/>
                <w:szCs w:val="20"/>
                <w:color w:val="auto"/>
              </w:rPr>
            </w:pPr>
            <w:r>
              <w:rPr>
                <w:rFonts w:ascii="Arial" w:cs="Arial" w:eastAsia="Arial" w:hAnsi="Arial"/>
                <w:sz w:val="18"/>
                <w:szCs w:val="18"/>
                <w:color w:val="auto"/>
                <w:w w:val="99"/>
              </w:rPr>
              <w:t>ARTICLE I</w:t>
            </w:r>
          </w:p>
        </w:tc>
        <w:tc>
          <w:tcPr>
            <w:tcW w:w="64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9300" w:type="dxa"/>
            <w:vAlign w:val="bottom"/>
          </w:tcPr>
          <w:p>
            <w:pPr>
              <w:jc w:val="center"/>
              <w:ind w:right="1370"/>
              <w:spacing w:after="0"/>
              <w:rPr>
                <w:sz w:val="20"/>
                <w:szCs w:val="20"/>
                <w:color w:val="auto"/>
              </w:rPr>
            </w:pPr>
            <w:r>
              <w:rPr>
                <w:rFonts w:ascii="Arial" w:cs="Arial" w:eastAsia="Arial" w:hAnsi="Arial"/>
                <w:sz w:val="18"/>
                <w:szCs w:val="18"/>
                <w:color w:val="auto"/>
                <w:w w:val="95"/>
              </w:rPr>
              <w:t>Definitions</w:t>
            </w:r>
          </w:p>
        </w:tc>
        <w:tc>
          <w:tcPr>
            <w:tcW w:w="64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1.01.</w:t>
            </w:r>
          </w:p>
        </w:tc>
        <w:tc>
          <w:tcPr>
            <w:tcW w:w="9300" w:type="dxa"/>
            <w:vAlign w:val="bottom"/>
          </w:tcPr>
          <w:p>
            <w:pPr>
              <w:ind w:left="300"/>
              <w:spacing w:after="0"/>
              <w:rPr>
                <w:sz w:val="20"/>
                <w:szCs w:val="20"/>
                <w:color w:val="auto"/>
              </w:rPr>
            </w:pPr>
            <w:r>
              <w:rPr>
                <w:rFonts w:ascii="Arial" w:cs="Arial" w:eastAsia="Arial" w:hAnsi="Arial"/>
                <w:sz w:val="18"/>
                <w:szCs w:val="18"/>
                <w:color w:val="auto"/>
              </w:rPr>
              <w:t>Credit Agreement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1.02.</w:t>
            </w:r>
          </w:p>
        </w:tc>
        <w:tc>
          <w:tcPr>
            <w:tcW w:w="9300" w:type="dxa"/>
            <w:vAlign w:val="bottom"/>
          </w:tcPr>
          <w:p>
            <w:pPr>
              <w:ind w:left="300"/>
              <w:spacing w:after="0"/>
              <w:rPr>
                <w:sz w:val="20"/>
                <w:szCs w:val="20"/>
                <w:color w:val="auto"/>
              </w:rPr>
            </w:pPr>
            <w:r>
              <w:rPr>
                <w:rFonts w:ascii="Arial" w:cs="Arial" w:eastAsia="Arial" w:hAnsi="Arial"/>
                <w:sz w:val="18"/>
                <w:szCs w:val="18"/>
                <w:color w:val="auto"/>
              </w:rPr>
              <w:t>Other Defined Terms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480" w:type="dxa"/>
            <w:vAlign w:val="bottom"/>
          </w:tcPr>
          <w:p>
            <w:pPr>
              <w:spacing w:after="0"/>
              <w:rPr>
                <w:sz w:val="24"/>
                <w:szCs w:val="24"/>
                <w:color w:val="auto"/>
              </w:rPr>
            </w:pPr>
          </w:p>
        </w:tc>
        <w:tc>
          <w:tcPr>
            <w:tcW w:w="9300" w:type="dxa"/>
            <w:vAlign w:val="bottom"/>
          </w:tcPr>
          <w:p>
            <w:pPr>
              <w:jc w:val="center"/>
              <w:ind w:right="1370"/>
              <w:spacing w:after="0"/>
              <w:rPr>
                <w:sz w:val="20"/>
                <w:szCs w:val="20"/>
                <w:color w:val="auto"/>
              </w:rPr>
            </w:pPr>
            <w:r>
              <w:rPr>
                <w:rFonts w:ascii="Arial" w:cs="Arial" w:eastAsia="Arial" w:hAnsi="Arial"/>
                <w:sz w:val="18"/>
                <w:szCs w:val="18"/>
                <w:color w:val="auto"/>
              </w:rPr>
              <w:t>ARTICLE II</w:t>
            </w:r>
          </w:p>
        </w:tc>
        <w:tc>
          <w:tcPr>
            <w:tcW w:w="64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9300" w:type="dxa"/>
            <w:vAlign w:val="bottom"/>
          </w:tcPr>
          <w:p>
            <w:pPr>
              <w:jc w:val="center"/>
              <w:ind w:right="1370"/>
              <w:spacing w:after="0"/>
              <w:rPr>
                <w:sz w:val="20"/>
                <w:szCs w:val="20"/>
                <w:color w:val="auto"/>
              </w:rPr>
            </w:pPr>
            <w:r>
              <w:rPr>
                <w:rFonts w:ascii="Arial" w:cs="Arial" w:eastAsia="Arial" w:hAnsi="Arial"/>
                <w:sz w:val="18"/>
                <w:szCs w:val="18"/>
                <w:color w:val="auto"/>
                <w:w w:val="89"/>
              </w:rPr>
              <w:t>Pledge of Securities</w:t>
            </w:r>
          </w:p>
        </w:tc>
        <w:tc>
          <w:tcPr>
            <w:tcW w:w="64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2.01.</w:t>
            </w:r>
          </w:p>
        </w:tc>
        <w:tc>
          <w:tcPr>
            <w:tcW w:w="9300" w:type="dxa"/>
            <w:vAlign w:val="bottom"/>
          </w:tcPr>
          <w:p>
            <w:pPr>
              <w:ind w:left="300"/>
              <w:spacing w:after="0"/>
              <w:rPr>
                <w:sz w:val="20"/>
                <w:szCs w:val="20"/>
                <w:color w:val="auto"/>
              </w:rPr>
            </w:pPr>
            <w:r>
              <w:rPr>
                <w:rFonts w:ascii="Arial" w:cs="Arial" w:eastAsia="Arial" w:hAnsi="Arial"/>
                <w:sz w:val="18"/>
                <w:szCs w:val="18"/>
                <w:color w:val="auto"/>
              </w:rPr>
              <w:t>Pledge</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2.02.</w:t>
            </w:r>
          </w:p>
        </w:tc>
        <w:tc>
          <w:tcPr>
            <w:tcW w:w="9300" w:type="dxa"/>
            <w:vAlign w:val="bottom"/>
          </w:tcPr>
          <w:p>
            <w:pPr>
              <w:ind w:left="300"/>
              <w:spacing w:after="0"/>
              <w:rPr>
                <w:sz w:val="20"/>
                <w:szCs w:val="20"/>
                <w:color w:val="auto"/>
              </w:rPr>
            </w:pPr>
            <w:r>
              <w:rPr>
                <w:rFonts w:ascii="Arial" w:cs="Arial" w:eastAsia="Arial" w:hAnsi="Arial"/>
                <w:sz w:val="18"/>
                <w:szCs w:val="18"/>
                <w:color w:val="auto"/>
              </w:rPr>
              <w:t>Delivery of the Pledged Collateral</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2.03.</w:t>
            </w:r>
          </w:p>
        </w:tc>
        <w:tc>
          <w:tcPr>
            <w:tcW w:w="9300" w:type="dxa"/>
            <w:vAlign w:val="bottom"/>
          </w:tcPr>
          <w:p>
            <w:pPr>
              <w:ind w:left="300"/>
              <w:spacing w:after="0"/>
              <w:rPr>
                <w:sz w:val="20"/>
                <w:szCs w:val="20"/>
                <w:color w:val="auto"/>
              </w:rPr>
            </w:pPr>
            <w:r>
              <w:rPr>
                <w:rFonts w:ascii="Arial" w:cs="Arial" w:eastAsia="Arial" w:hAnsi="Arial"/>
                <w:sz w:val="18"/>
                <w:szCs w:val="18"/>
                <w:color w:val="auto"/>
              </w:rPr>
              <w:t>Representations, Warranties and Covenants</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2.04.</w:t>
            </w:r>
          </w:p>
        </w:tc>
        <w:tc>
          <w:tcPr>
            <w:tcW w:w="9300" w:type="dxa"/>
            <w:vAlign w:val="bottom"/>
          </w:tcPr>
          <w:p>
            <w:pPr>
              <w:ind w:left="300"/>
              <w:spacing w:after="0"/>
              <w:rPr>
                <w:sz w:val="20"/>
                <w:szCs w:val="20"/>
                <w:color w:val="auto"/>
              </w:rPr>
            </w:pPr>
            <w:r>
              <w:rPr>
                <w:rFonts w:ascii="Arial" w:cs="Arial" w:eastAsia="Arial" w:hAnsi="Arial"/>
                <w:sz w:val="18"/>
                <w:szCs w:val="18"/>
                <w:color w:val="auto"/>
              </w:rPr>
              <w:t>Certification of Limited Liability Company and Limited Partnership Interests</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2.05.</w:t>
            </w:r>
          </w:p>
        </w:tc>
        <w:tc>
          <w:tcPr>
            <w:tcW w:w="9300" w:type="dxa"/>
            <w:vAlign w:val="bottom"/>
          </w:tcPr>
          <w:p>
            <w:pPr>
              <w:ind w:left="300"/>
              <w:spacing w:after="0"/>
              <w:rPr>
                <w:sz w:val="20"/>
                <w:szCs w:val="20"/>
                <w:color w:val="auto"/>
              </w:rPr>
            </w:pPr>
            <w:r>
              <w:rPr>
                <w:rFonts w:ascii="Arial" w:cs="Arial" w:eastAsia="Arial" w:hAnsi="Arial"/>
                <w:sz w:val="18"/>
                <w:szCs w:val="18"/>
                <w:color w:val="auto"/>
              </w:rPr>
              <w:t>Registration in Nominee Name; Denominations</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2.06.</w:t>
            </w:r>
          </w:p>
        </w:tc>
        <w:tc>
          <w:tcPr>
            <w:tcW w:w="9300" w:type="dxa"/>
            <w:vAlign w:val="bottom"/>
          </w:tcPr>
          <w:p>
            <w:pPr>
              <w:ind w:left="300"/>
              <w:spacing w:after="0"/>
              <w:rPr>
                <w:sz w:val="20"/>
                <w:szCs w:val="20"/>
                <w:color w:val="auto"/>
              </w:rPr>
            </w:pPr>
            <w:r>
              <w:rPr>
                <w:rFonts w:ascii="Arial" w:cs="Arial" w:eastAsia="Arial" w:hAnsi="Arial"/>
                <w:sz w:val="18"/>
                <w:szCs w:val="18"/>
                <w:color w:val="auto"/>
              </w:rPr>
              <w:t>Voting Rights; Dividends and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480" w:type="dxa"/>
            <w:vAlign w:val="bottom"/>
          </w:tcPr>
          <w:p>
            <w:pPr>
              <w:spacing w:after="0"/>
              <w:rPr>
                <w:sz w:val="24"/>
                <w:szCs w:val="24"/>
                <w:color w:val="auto"/>
              </w:rPr>
            </w:pPr>
          </w:p>
        </w:tc>
        <w:tc>
          <w:tcPr>
            <w:tcW w:w="9300" w:type="dxa"/>
            <w:vAlign w:val="bottom"/>
          </w:tcPr>
          <w:p>
            <w:pPr>
              <w:jc w:val="center"/>
              <w:ind w:right="1390"/>
              <w:spacing w:after="0"/>
              <w:rPr>
                <w:sz w:val="20"/>
                <w:szCs w:val="20"/>
                <w:color w:val="auto"/>
              </w:rPr>
            </w:pPr>
            <w:r>
              <w:rPr>
                <w:rFonts w:ascii="Arial" w:cs="Arial" w:eastAsia="Arial" w:hAnsi="Arial"/>
                <w:sz w:val="18"/>
                <w:szCs w:val="18"/>
                <w:color w:val="auto"/>
              </w:rPr>
              <w:t>ARTICLE III</w:t>
            </w:r>
          </w:p>
        </w:tc>
        <w:tc>
          <w:tcPr>
            <w:tcW w:w="64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9300" w:type="dxa"/>
            <w:vAlign w:val="bottom"/>
          </w:tcPr>
          <w:p>
            <w:pPr>
              <w:jc w:val="center"/>
              <w:ind w:right="1370"/>
              <w:spacing w:after="0"/>
              <w:rPr>
                <w:sz w:val="20"/>
                <w:szCs w:val="20"/>
                <w:color w:val="auto"/>
              </w:rPr>
            </w:pPr>
            <w:r>
              <w:rPr>
                <w:rFonts w:ascii="Arial" w:cs="Arial" w:eastAsia="Arial" w:hAnsi="Arial"/>
                <w:sz w:val="18"/>
                <w:szCs w:val="18"/>
                <w:color w:val="auto"/>
                <w:w w:val="89"/>
              </w:rPr>
              <w:t>Security Interests in Personal Property</w:t>
            </w:r>
          </w:p>
        </w:tc>
        <w:tc>
          <w:tcPr>
            <w:tcW w:w="64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3.01.</w:t>
            </w:r>
          </w:p>
        </w:tc>
        <w:tc>
          <w:tcPr>
            <w:tcW w:w="9300" w:type="dxa"/>
            <w:vAlign w:val="bottom"/>
          </w:tcPr>
          <w:p>
            <w:pPr>
              <w:ind w:left="300"/>
              <w:spacing w:after="0"/>
              <w:rPr>
                <w:sz w:val="20"/>
                <w:szCs w:val="20"/>
                <w:color w:val="auto"/>
              </w:rPr>
            </w:pPr>
            <w:r>
              <w:rPr>
                <w:rFonts w:ascii="Arial" w:cs="Arial" w:eastAsia="Arial" w:hAnsi="Arial"/>
                <w:sz w:val="18"/>
                <w:szCs w:val="18"/>
                <w:color w:val="auto"/>
              </w:rPr>
              <w:t>Security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3.02.</w:t>
            </w:r>
          </w:p>
        </w:tc>
        <w:tc>
          <w:tcPr>
            <w:tcW w:w="9300" w:type="dxa"/>
            <w:vAlign w:val="bottom"/>
          </w:tcPr>
          <w:p>
            <w:pPr>
              <w:ind w:left="300"/>
              <w:spacing w:after="0"/>
              <w:rPr>
                <w:sz w:val="20"/>
                <w:szCs w:val="20"/>
                <w:color w:val="auto"/>
              </w:rPr>
            </w:pPr>
            <w:r>
              <w:rPr>
                <w:rFonts w:ascii="Arial" w:cs="Arial" w:eastAsia="Arial" w:hAnsi="Arial"/>
                <w:sz w:val="18"/>
                <w:szCs w:val="18"/>
                <w:color w:val="auto"/>
              </w:rPr>
              <w:t>Representations and Warranties</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3.03.</w:t>
            </w:r>
          </w:p>
        </w:tc>
        <w:tc>
          <w:tcPr>
            <w:tcW w:w="9300" w:type="dxa"/>
            <w:vAlign w:val="bottom"/>
          </w:tcPr>
          <w:p>
            <w:pPr>
              <w:ind w:left="300"/>
              <w:spacing w:after="0"/>
              <w:rPr>
                <w:sz w:val="20"/>
                <w:szCs w:val="20"/>
                <w:color w:val="auto"/>
              </w:rPr>
            </w:pPr>
            <w:r>
              <w:rPr>
                <w:rFonts w:ascii="Arial" w:cs="Arial" w:eastAsia="Arial" w:hAnsi="Arial"/>
                <w:sz w:val="18"/>
                <w:szCs w:val="18"/>
                <w:color w:val="auto"/>
              </w:rPr>
              <w:t>Covenants</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3.04.</w:t>
            </w:r>
          </w:p>
        </w:tc>
        <w:tc>
          <w:tcPr>
            <w:tcW w:w="9300" w:type="dxa"/>
            <w:vAlign w:val="bottom"/>
          </w:tcPr>
          <w:p>
            <w:pPr>
              <w:ind w:left="300"/>
              <w:spacing w:after="0"/>
              <w:rPr>
                <w:sz w:val="20"/>
                <w:szCs w:val="20"/>
                <w:color w:val="auto"/>
              </w:rPr>
            </w:pPr>
            <w:r>
              <w:rPr>
                <w:rFonts w:ascii="Arial" w:cs="Arial" w:eastAsia="Arial" w:hAnsi="Arial"/>
                <w:sz w:val="18"/>
                <w:szCs w:val="18"/>
                <w:color w:val="auto"/>
              </w:rPr>
              <w:t>Instruments</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480" w:type="dxa"/>
            <w:vAlign w:val="bottom"/>
          </w:tcPr>
          <w:p>
            <w:pPr>
              <w:spacing w:after="0"/>
              <w:rPr>
                <w:sz w:val="24"/>
                <w:szCs w:val="24"/>
                <w:color w:val="auto"/>
              </w:rPr>
            </w:pPr>
          </w:p>
        </w:tc>
        <w:tc>
          <w:tcPr>
            <w:tcW w:w="9300" w:type="dxa"/>
            <w:vAlign w:val="bottom"/>
          </w:tcPr>
          <w:p>
            <w:pPr>
              <w:jc w:val="center"/>
              <w:ind w:right="1390"/>
              <w:spacing w:after="0"/>
              <w:rPr>
                <w:sz w:val="20"/>
                <w:szCs w:val="20"/>
                <w:color w:val="auto"/>
              </w:rPr>
            </w:pPr>
            <w:r>
              <w:rPr>
                <w:rFonts w:ascii="Arial" w:cs="Arial" w:eastAsia="Arial" w:hAnsi="Arial"/>
                <w:sz w:val="18"/>
                <w:szCs w:val="18"/>
                <w:color w:val="auto"/>
                <w:w w:val="99"/>
              </w:rPr>
              <w:t>ARTICLE IV</w:t>
            </w:r>
          </w:p>
        </w:tc>
        <w:tc>
          <w:tcPr>
            <w:tcW w:w="64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9300" w:type="dxa"/>
            <w:vAlign w:val="bottom"/>
          </w:tcPr>
          <w:p>
            <w:pPr>
              <w:jc w:val="center"/>
              <w:ind w:right="1370"/>
              <w:spacing w:after="0"/>
              <w:rPr>
                <w:sz w:val="20"/>
                <w:szCs w:val="20"/>
                <w:color w:val="auto"/>
              </w:rPr>
            </w:pPr>
            <w:r>
              <w:rPr>
                <w:rFonts w:ascii="Arial" w:cs="Arial" w:eastAsia="Arial" w:hAnsi="Arial"/>
                <w:sz w:val="18"/>
                <w:szCs w:val="18"/>
                <w:color w:val="auto"/>
                <w:w w:val="88"/>
              </w:rPr>
              <w:t>Remedies</w:t>
            </w:r>
          </w:p>
        </w:tc>
        <w:tc>
          <w:tcPr>
            <w:tcW w:w="64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4.01.</w:t>
            </w:r>
          </w:p>
        </w:tc>
        <w:tc>
          <w:tcPr>
            <w:tcW w:w="9300" w:type="dxa"/>
            <w:vAlign w:val="bottom"/>
          </w:tcPr>
          <w:p>
            <w:pPr>
              <w:ind w:left="300"/>
              <w:spacing w:after="0"/>
              <w:rPr>
                <w:sz w:val="20"/>
                <w:szCs w:val="20"/>
                <w:color w:val="auto"/>
              </w:rPr>
            </w:pPr>
            <w:r>
              <w:rPr>
                <w:rFonts w:ascii="Arial" w:cs="Arial" w:eastAsia="Arial" w:hAnsi="Arial"/>
                <w:sz w:val="18"/>
                <w:szCs w:val="18"/>
                <w:color w:val="auto"/>
              </w:rPr>
              <w:t>Remedies upon Default</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4.02.</w:t>
            </w:r>
          </w:p>
        </w:tc>
        <w:tc>
          <w:tcPr>
            <w:tcW w:w="9300" w:type="dxa"/>
            <w:vAlign w:val="bottom"/>
          </w:tcPr>
          <w:p>
            <w:pPr>
              <w:ind w:left="300"/>
              <w:spacing w:after="0"/>
              <w:rPr>
                <w:sz w:val="20"/>
                <w:szCs w:val="20"/>
                <w:color w:val="auto"/>
              </w:rPr>
            </w:pPr>
            <w:r>
              <w:rPr>
                <w:rFonts w:ascii="Arial" w:cs="Arial" w:eastAsia="Arial" w:hAnsi="Arial"/>
                <w:sz w:val="18"/>
                <w:szCs w:val="18"/>
                <w:color w:val="auto"/>
              </w:rPr>
              <w:t>Application of Proceeds</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4.03.</w:t>
            </w:r>
          </w:p>
        </w:tc>
        <w:tc>
          <w:tcPr>
            <w:tcW w:w="9300" w:type="dxa"/>
            <w:vAlign w:val="bottom"/>
          </w:tcPr>
          <w:p>
            <w:pPr>
              <w:ind w:left="300"/>
              <w:spacing w:after="0"/>
              <w:rPr>
                <w:sz w:val="20"/>
                <w:szCs w:val="20"/>
                <w:color w:val="auto"/>
              </w:rPr>
            </w:pPr>
            <w:r>
              <w:rPr>
                <w:rFonts w:ascii="Arial" w:cs="Arial" w:eastAsia="Arial" w:hAnsi="Arial"/>
                <w:sz w:val="18"/>
                <w:szCs w:val="18"/>
                <w:color w:val="auto"/>
              </w:rPr>
              <w:t>Grant of License to Use Intellectual Property; Power of Attorney</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97" w:orient="portrait"/>
          <w:cols w:equalWidth="0" w:num="1">
            <w:col w:w="11420"/>
          </w:cols>
          <w:pgMar w:left="240" w:top="121" w:right="239" w:bottom="0" w:gutter="0" w:footer="0" w:header="0"/>
        </w:sectPr>
      </w:pPr>
    </w:p>
    <w:bookmarkStart w:id="113" w:name="page114"/>
    <w:bookmarkEnd w:id="113"/>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9300" w:type="dxa"/>
            <w:vAlign w:val="bottom"/>
          </w:tcPr>
          <w:p>
            <w:pPr>
              <w:ind w:left="3460"/>
              <w:spacing w:after="0"/>
              <w:rPr>
                <w:sz w:val="20"/>
                <w:szCs w:val="20"/>
                <w:color w:val="auto"/>
              </w:rPr>
            </w:pPr>
            <w:r>
              <w:rPr>
                <w:rFonts w:ascii="Arial" w:cs="Arial" w:eastAsia="Arial" w:hAnsi="Arial"/>
                <w:sz w:val="18"/>
                <w:szCs w:val="18"/>
                <w:color w:val="auto"/>
              </w:rPr>
              <w:t>ARTICLE V</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480" w:type="dxa"/>
            <w:vAlign w:val="bottom"/>
          </w:tcPr>
          <w:p>
            <w:pPr>
              <w:spacing w:after="0"/>
              <w:rPr>
                <w:sz w:val="24"/>
                <w:szCs w:val="24"/>
                <w:color w:val="auto"/>
              </w:rPr>
            </w:pPr>
          </w:p>
        </w:tc>
        <w:tc>
          <w:tcPr>
            <w:tcW w:w="9300" w:type="dxa"/>
            <w:vAlign w:val="bottom"/>
          </w:tcPr>
          <w:p>
            <w:pPr>
              <w:ind w:left="3400"/>
              <w:spacing w:after="0"/>
              <w:rPr>
                <w:sz w:val="20"/>
                <w:szCs w:val="20"/>
                <w:color w:val="auto"/>
              </w:rPr>
            </w:pPr>
            <w:r>
              <w:rPr>
                <w:rFonts w:ascii="Arial" w:cs="Arial" w:eastAsia="Arial" w:hAnsi="Arial"/>
                <w:sz w:val="18"/>
                <w:szCs w:val="18"/>
                <w:color w:val="auto"/>
              </w:rPr>
              <w:t>Miscellaneous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5.01.</w:t>
            </w:r>
          </w:p>
        </w:tc>
        <w:tc>
          <w:tcPr>
            <w:tcW w:w="9300" w:type="dxa"/>
            <w:vAlign w:val="bottom"/>
          </w:tcPr>
          <w:p>
            <w:pPr>
              <w:ind w:left="300"/>
              <w:spacing w:after="0"/>
              <w:rPr>
                <w:sz w:val="20"/>
                <w:szCs w:val="20"/>
                <w:color w:val="auto"/>
              </w:rPr>
            </w:pPr>
            <w:r>
              <w:rPr>
                <w:rFonts w:ascii="Arial" w:cs="Arial" w:eastAsia="Arial" w:hAnsi="Arial"/>
                <w:sz w:val="18"/>
                <w:szCs w:val="18"/>
                <w:color w:val="auto"/>
              </w:rPr>
              <w:t>Notices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5.02.</w:t>
            </w:r>
          </w:p>
        </w:tc>
        <w:tc>
          <w:tcPr>
            <w:tcW w:w="9300" w:type="dxa"/>
            <w:vAlign w:val="bottom"/>
          </w:tcPr>
          <w:p>
            <w:pPr>
              <w:ind w:left="300"/>
              <w:spacing w:after="0"/>
              <w:rPr>
                <w:sz w:val="20"/>
                <w:szCs w:val="20"/>
                <w:color w:val="auto"/>
              </w:rPr>
            </w:pPr>
            <w:r>
              <w:rPr>
                <w:rFonts w:ascii="Arial" w:cs="Arial" w:eastAsia="Arial" w:hAnsi="Arial"/>
                <w:sz w:val="18"/>
                <w:szCs w:val="18"/>
                <w:color w:val="auto"/>
              </w:rPr>
              <w:t>Waivers; Amendment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5.03.</w:t>
            </w:r>
          </w:p>
        </w:tc>
        <w:tc>
          <w:tcPr>
            <w:tcW w:w="9300" w:type="dxa"/>
            <w:vAlign w:val="bottom"/>
          </w:tcPr>
          <w:p>
            <w:pPr>
              <w:ind w:left="300"/>
              <w:spacing w:after="0"/>
              <w:rPr>
                <w:sz w:val="20"/>
                <w:szCs w:val="20"/>
                <w:color w:val="auto"/>
              </w:rPr>
            </w:pPr>
            <w:r>
              <w:rPr>
                <w:rFonts w:ascii="Arial" w:cs="Arial" w:eastAsia="Arial" w:hAnsi="Arial"/>
                <w:sz w:val="18"/>
                <w:szCs w:val="18"/>
                <w:color w:val="auto"/>
              </w:rPr>
              <w:t>Collateral Agent’s Fees and Expenses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1480" w:type="dxa"/>
            <w:vAlign w:val="bottom"/>
          </w:tcPr>
          <w:p>
            <w:pPr>
              <w:spacing w:after="0"/>
              <w:rPr>
                <w:sz w:val="24"/>
                <w:szCs w:val="24"/>
                <w:color w:val="auto"/>
              </w:rPr>
            </w:pPr>
          </w:p>
        </w:tc>
        <w:tc>
          <w:tcPr>
            <w:tcW w:w="9300" w:type="dxa"/>
            <w:vAlign w:val="bottom"/>
          </w:tcPr>
          <w:p>
            <w:pPr>
              <w:ind w:left="4200"/>
              <w:spacing w:after="0"/>
              <w:rPr>
                <w:sz w:val="20"/>
                <w:szCs w:val="20"/>
                <w:color w:val="auto"/>
              </w:rPr>
            </w:pPr>
            <w:r>
              <w:rPr>
                <w:rFonts w:ascii="Arial" w:cs="Arial" w:eastAsia="Arial" w:hAnsi="Arial"/>
                <w:sz w:val="18"/>
                <w:szCs w:val="18"/>
                <w:color w:val="auto"/>
              </w:rPr>
              <w:t>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480" w:type="dxa"/>
            <w:vAlign w:val="bottom"/>
            <w:tcBorders>
              <w:bottom w:val="single" w:sz="8" w:color="010101"/>
            </w:tcBorders>
          </w:tcPr>
          <w:p>
            <w:pPr>
              <w:spacing w:after="0"/>
              <w:rPr>
                <w:sz w:val="11"/>
                <w:szCs w:val="11"/>
                <w:color w:val="auto"/>
              </w:rPr>
            </w:pPr>
          </w:p>
        </w:tc>
        <w:tc>
          <w:tcPr>
            <w:tcW w:w="93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148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SECTION 5.04.</w:t>
            </w:r>
          </w:p>
        </w:tc>
        <w:tc>
          <w:tcPr>
            <w:tcW w:w="930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5.05.</w:t>
            </w:r>
          </w:p>
        </w:tc>
        <w:tc>
          <w:tcPr>
            <w:tcW w:w="9300" w:type="dxa"/>
            <w:vAlign w:val="bottom"/>
          </w:tcPr>
          <w:p>
            <w:pPr>
              <w:ind w:left="300"/>
              <w:spacing w:after="0"/>
              <w:rPr>
                <w:sz w:val="20"/>
                <w:szCs w:val="20"/>
                <w:color w:val="auto"/>
              </w:rPr>
            </w:pPr>
            <w:r>
              <w:rPr>
                <w:rFonts w:ascii="Arial" w:cs="Arial" w:eastAsia="Arial" w:hAnsi="Arial"/>
                <w:sz w:val="18"/>
                <w:szCs w:val="18"/>
                <w:color w:val="auto"/>
              </w:rPr>
              <w:t>Survival of Agreement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5.06.</w:t>
            </w:r>
          </w:p>
        </w:tc>
        <w:tc>
          <w:tcPr>
            <w:tcW w:w="9300" w:type="dxa"/>
            <w:vAlign w:val="bottom"/>
          </w:tcPr>
          <w:p>
            <w:pPr>
              <w:ind w:left="300"/>
              <w:spacing w:after="0"/>
              <w:rPr>
                <w:sz w:val="20"/>
                <w:szCs w:val="20"/>
                <w:color w:val="auto"/>
              </w:rPr>
            </w:pPr>
            <w:r>
              <w:rPr>
                <w:rFonts w:ascii="Arial" w:cs="Arial" w:eastAsia="Arial" w:hAnsi="Arial"/>
                <w:sz w:val="18"/>
                <w:szCs w:val="18"/>
                <w:color w:val="auto"/>
              </w:rPr>
              <w:t>Counterparts; Effectiveness; Successors and Assigns; Several Agreement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5.07.</w:t>
            </w:r>
          </w:p>
        </w:tc>
        <w:tc>
          <w:tcPr>
            <w:tcW w:w="930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5.08.</w:t>
            </w:r>
          </w:p>
        </w:tc>
        <w:tc>
          <w:tcPr>
            <w:tcW w:w="9300" w:type="dxa"/>
            <w:vAlign w:val="bottom"/>
          </w:tcPr>
          <w:p>
            <w:pPr>
              <w:ind w:left="300"/>
              <w:spacing w:after="0"/>
              <w:rPr>
                <w:sz w:val="20"/>
                <w:szCs w:val="20"/>
                <w:color w:val="auto"/>
              </w:rPr>
            </w:pPr>
            <w:r>
              <w:rPr>
                <w:rFonts w:ascii="Arial" w:cs="Arial" w:eastAsia="Arial" w:hAnsi="Arial"/>
                <w:sz w:val="18"/>
                <w:szCs w:val="18"/>
                <w:color w:val="auto"/>
              </w:rPr>
              <w:t>Right of Set-Off</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5.09.</w:t>
            </w:r>
          </w:p>
        </w:tc>
        <w:tc>
          <w:tcPr>
            <w:tcW w:w="9300" w:type="dxa"/>
            <w:vAlign w:val="bottom"/>
          </w:tcPr>
          <w:p>
            <w:pPr>
              <w:ind w:left="300"/>
              <w:spacing w:after="0"/>
              <w:rPr>
                <w:sz w:val="20"/>
                <w:szCs w:val="20"/>
                <w:color w:val="auto"/>
              </w:rPr>
            </w:pPr>
            <w:r>
              <w:rPr>
                <w:rFonts w:ascii="Arial" w:cs="Arial" w:eastAsia="Arial" w:hAnsi="Arial"/>
                <w:sz w:val="18"/>
                <w:szCs w:val="18"/>
                <w:color w:val="auto"/>
              </w:rPr>
              <w:t>Governing Law; Jurisdiction; Venue; Waiver of Jury Trial; Consent to Service of Process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5.10.</w:t>
            </w:r>
          </w:p>
        </w:tc>
        <w:tc>
          <w:tcPr>
            <w:tcW w:w="9300" w:type="dxa"/>
            <w:vAlign w:val="bottom"/>
          </w:tcPr>
          <w:p>
            <w:pPr>
              <w:ind w:left="300"/>
              <w:spacing w:after="0"/>
              <w:rPr>
                <w:sz w:val="20"/>
                <w:szCs w:val="20"/>
                <w:color w:val="auto"/>
              </w:rPr>
            </w:pPr>
            <w:r>
              <w:rPr>
                <w:rFonts w:ascii="Arial" w:cs="Arial" w:eastAsia="Arial" w:hAnsi="Arial"/>
                <w:sz w:val="18"/>
                <w:szCs w:val="18"/>
                <w:color w:val="auto"/>
              </w:rPr>
              <w:t>Headings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5.11.</w:t>
            </w:r>
          </w:p>
        </w:tc>
        <w:tc>
          <w:tcPr>
            <w:tcW w:w="9300" w:type="dxa"/>
            <w:vAlign w:val="bottom"/>
          </w:tcPr>
          <w:p>
            <w:pPr>
              <w:ind w:left="300"/>
              <w:spacing w:after="0"/>
              <w:rPr>
                <w:sz w:val="20"/>
                <w:szCs w:val="20"/>
                <w:color w:val="auto"/>
              </w:rPr>
            </w:pPr>
            <w:r>
              <w:rPr>
                <w:rFonts w:ascii="Arial" w:cs="Arial" w:eastAsia="Arial" w:hAnsi="Arial"/>
                <w:sz w:val="18"/>
                <w:szCs w:val="18"/>
                <w:color w:val="auto"/>
              </w:rPr>
              <w:t>Security Interest Absolute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5.12.</w:t>
            </w:r>
          </w:p>
        </w:tc>
        <w:tc>
          <w:tcPr>
            <w:tcW w:w="9300" w:type="dxa"/>
            <w:vAlign w:val="bottom"/>
          </w:tcPr>
          <w:p>
            <w:pPr>
              <w:ind w:left="300"/>
              <w:spacing w:after="0"/>
              <w:rPr>
                <w:sz w:val="20"/>
                <w:szCs w:val="20"/>
                <w:color w:val="auto"/>
              </w:rPr>
            </w:pPr>
            <w:r>
              <w:rPr>
                <w:rFonts w:ascii="Arial" w:cs="Arial" w:eastAsia="Arial" w:hAnsi="Arial"/>
                <w:sz w:val="18"/>
                <w:szCs w:val="18"/>
                <w:color w:val="auto"/>
              </w:rPr>
              <w:t>Intercreditor Agreement Governs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5.13.</w:t>
            </w:r>
          </w:p>
        </w:tc>
        <w:tc>
          <w:tcPr>
            <w:tcW w:w="9300" w:type="dxa"/>
            <w:vAlign w:val="bottom"/>
          </w:tcPr>
          <w:p>
            <w:pPr>
              <w:ind w:left="300"/>
              <w:spacing w:after="0"/>
              <w:rPr>
                <w:sz w:val="20"/>
                <w:szCs w:val="20"/>
                <w:color w:val="auto"/>
              </w:rPr>
            </w:pPr>
            <w:r>
              <w:rPr>
                <w:rFonts w:ascii="Arial" w:cs="Arial" w:eastAsia="Arial" w:hAnsi="Arial"/>
                <w:sz w:val="18"/>
                <w:szCs w:val="18"/>
                <w:color w:val="auto"/>
              </w:rPr>
              <w:t>Termination or Release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5.14.</w:t>
            </w:r>
          </w:p>
        </w:tc>
        <w:tc>
          <w:tcPr>
            <w:tcW w:w="9300" w:type="dxa"/>
            <w:vAlign w:val="bottom"/>
          </w:tcPr>
          <w:p>
            <w:pPr>
              <w:ind w:left="300"/>
              <w:spacing w:after="0"/>
              <w:rPr>
                <w:sz w:val="20"/>
                <w:szCs w:val="20"/>
                <w:color w:val="auto"/>
              </w:rPr>
            </w:pPr>
            <w:r>
              <w:rPr>
                <w:rFonts w:ascii="Arial" w:cs="Arial" w:eastAsia="Arial" w:hAnsi="Arial"/>
                <w:sz w:val="18"/>
                <w:szCs w:val="18"/>
                <w:color w:val="auto"/>
              </w:rPr>
              <w:t>Additional Guarantors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5.15.</w:t>
            </w:r>
          </w:p>
        </w:tc>
        <w:tc>
          <w:tcPr>
            <w:tcW w:w="9300" w:type="dxa"/>
            <w:vAlign w:val="bottom"/>
          </w:tcPr>
          <w:p>
            <w:pPr>
              <w:ind w:left="300"/>
              <w:spacing w:after="0"/>
              <w:rPr>
                <w:sz w:val="20"/>
                <w:szCs w:val="20"/>
                <w:color w:val="auto"/>
              </w:rPr>
            </w:pPr>
            <w:r>
              <w:rPr>
                <w:rFonts w:ascii="Arial" w:cs="Arial" w:eastAsia="Arial" w:hAnsi="Arial"/>
                <w:sz w:val="18"/>
                <w:szCs w:val="18"/>
                <w:color w:val="auto"/>
              </w:rPr>
              <w:t>Collateral Agent Appointed Attorney-in-Fact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5.16.</w:t>
            </w:r>
          </w:p>
        </w:tc>
        <w:tc>
          <w:tcPr>
            <w:tcW w:w="9300" w:type="dxa"/>
            <w:vAlign w:val="bottom"/>
          </w:tcPr>
          <w:p>
            <w:pPr>
              <w:ind w:left="300"/>
              <w:spacing w:after="0"/>
              <w:rPr>
                <w:sz w:val="20"/>
                <w:szCs w:val="20"/>
                <w:color w:val="auto"/>
              </w:rPr>
            </w:pPr>
            <w:r>
              <w:rPr>
                <w:rFonts w:ascii="Arial" w:cs="Arial" w:eastAsia="Arial" w:hAnsi="Arial"/>
                <w:sz w:val="18"/>
                <w:szCs w:val="18"/>
                <w:color w:val="auto"/>
              </w:rPr>
              <w:t>General Authority of the Collateral Agent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5.17.</w:t>
            </w:r>
          </w:p>
        </w:tc>
        <w:tc>
          <w:tcPr>
            <w:tcW w:w="9300" w:type="dxa"/>
            <w:vAlign w:val="bottom"/>
          </w:tcPr>
          <w:p>
            <w:pPr>
              <w:ind w:left="300"/>
              <w:spacing w:after="0"/>
              <w:rPr>
                <w:sz w:val="20"/>
                <w:szCs w:val="20"/>
                <w:color w:val="auto"/>
              </w:rPr>
            </w:pPr>
            <w:r>
              <w:rPr>
                <w:rFonts w:ascii="Arial" w:cs="Arial" w:eastAsia="Arial" w:hAnsi="Arial"/>
                <w:sz w:val="18"/>
                <w:szCs w:val="18"/>
                <w:color w:val="auto"/>
              </w:rPr>
              <w:t>Reasonable Care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5.18.</w:t>
            </w:r>
          </w:p>
        </w:tc>
        <w:tc>
          <w:tcPr>
            <w:tcW w:w="9300" w:type="dxa"/>
            <w:vAlign w:val="bottom"/>
          </w:tcPr>
          <w:p>
            <w:pPr>
              <w:ind w:left="300"/>
              <w:spacing w:after="0"/>
              <w:rPr>
                <w:sz w:val="20"/>
                <w:szCs w:val="20"/>
                <w:color w:val="auto"/>
              </w:rPr>
            </w:pPr>
            <w:r>
              <w:rPr>
                <w:rFonts w:ascii="Arial" w:cs="Arial" w:eastAsia="Arial" w:hAnsi="Arial"/>
                <w:sz w:val="18"/>
                <w:szCs w:val="18"/>
                <w:color w:val="auto"/>
              </w:rPr>
              <w:t>Mortgages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5.19.</w:t>
            </w:r>
          </w:p>
        </w:tc>
        <w:tc>
          <w:tcPr>
            <w:tcW w:w="9300" w:type="dxa"/>
            <w:vAlign w:val="bottom"/>
          </w:tcPr>
          <w:p>
            <w:pPr>
              <w:ind w:left="300"/>
              <w:spacing w:after="0"/>
              <w:rPr>
                <w:sz w:val="20"/>
                <w:szCs w:val="20"/>
                <w:color w:val="auto"/>
              </w:rPr>
            </w:pPr>
            <w:r>
              <w:rPr>
                <w:rFonts w:ascii="Arial" w:cs="Arial" w:eastAsia="Arial" w:hAnsi="Arial"/>
                <w:sz w:val="18"/>
                <w:szCs w:val="18"/>
                <w:color w:val="auto"/>
              </w:rPr>
              <w:t>Reinstatement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SECTION 5.20.</w:t>
            </w:r>
          </w:p>
        </w:tc>
        <w:tc>
          <w:tcPr>
            <w:tcW w:w="9300" w:type="dxa"/>
            <w:vAlign w:val="bottom"/>
          </w:tcPr>
          <w:p>
            <w:pPr>
              <w:ind w:left="300"/>
              <w:spacing w:after="0"/>
              <w:rPr>
                <w:sz w:val="20"/>
                <w:szCs w:val="20"/>
                <w:color w:val="auto"/>
              </w:rPr>
            </w:pPr>
            <w:r>
              <w:rPr>
                <w:rFonts w:ascii="Arial" w:cs="Arial" w:eastAsia="Arial" w:hAnsi="Arial"/>
                <w:sz w:val="18"/>
                <w:szCs w:val="18"/>
                <w:color w:val="auto"/>
              </w:rPr>
              <w:t>Miscellaneous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432"/>
        </w:trPr>
        <w:tc>
          <w:tcPr>
            <w:tcW w:w="1480" w:type="dxa"/>
            <w:vAlign w:val="bottom"/>
          </w:tcPr>
          <w:p>
            <w:pPr>
              <w:spacing w:after="0"/>
              <w:rPr>
                <w:sz w:val="20"/>
                <w:szCs w:val="20"/>
                <w:color w:val="auto"/>
              </w:rPr>
            </w:pPr>
            <w:r>
              <w:rPr>
                <w:rFonts w:ascii="Arial" w:cs="Arial" w:eastAsia="Arial" w:hAnsi="Arial"/>
                <w:sz w:val="18"/>
                <w:szCs w:val="18"/>
                <w:i w:val="1"/>
                <w:iCs w:val="1"/>
                <w:color w:val="auto"/>
              </w:rPr>
              <w:t>Schedules</w:t>
            </w:r>
          </w:p>
        </w:tc>
        <w:tc>
          <w:tcPr>
            <w:tcW w:w="9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SCHEDULE I</w:t>
            </w:r>
          </w:p>
        </w:tc>
        <w:tc>
          <w:tcPr>
            <w:tcW w:w="9300" w:type="dxa"/>
            <w:vAlign w:val="bottom"/>
          </w:tcPr>
          <w:p>
            <w:pPr>
              <w:ind w:left="300"/>
              <w:spacing w:after="0"/>
              <w:rPr>
                <w:sz w:val="20"/>
                <w:szCs w:val="20"/>
                <w:color w:val="auto"/>
              </w:rPr>
            </w:pPr>
            <w:r>
              <w:rPr>
                <w:rFonts w:ascii="Arial" w:cs="Arial" w:eastAsia="Arial" w:hAnsi="Arial"/>
                <w:sz w:val="18"/>
                <w:szCs w:val="18"/>
                <w:color w:val="auto"/>
              </w:rPr>
              <w:t>Pledged Equity; Pledged Debt</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SCHEDULE II</w:t>
            </w:r>
          </w:p>
        </w:tc>
        <w:tc>
          <w:tcPr>
            <w:tcW w:w="9300" w:type="dxa"/>
            <w:vAlign w:val="bottom"/>
          </w:tcPr>
          <w:p>
            <w:pPr>
              <w:ind w:left="300"/>
              <w:spacing w:after="0"/>
              <w:rPr>
                <w:sz w:val="20"/>
                <w:szCs w:val="20"/>
                <w:color w:val="auto"/>
              </w:rPr>
            </w:pPr>
            <w:r>
              <w:rPr>
                <w:rFonts w:ascii="Arial" w:cs="Arial" w:eastAsia="Arial" w:hAnsi="Arial"/>
                <w:sz w:val="18"/>
                <w:szCs w:val="18"/>
                <w:color w:val="auto"/>
              </w:rPr>
              <w:t>Commercial Tort Claims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SCHEDULE III</w:t>
            </w:r>
          </w:p>
        </w:tc>
        <w:tc>
          <w:tcPr>
            <w:tcW w:w="9300" w:type="dxa"/>
            <w:vAlign w:val="bottom"/>
          </w:tcPr>
          <w:p>
            <w:pPr>
              <w:ind w:left="300"/>
              <w:spacing w:after="0"/>
              <w:rPr>
                <w:sz w:val="20"/>
                <w:szCs w:val="20"/>
                <w:color w:val="auto"/>
              </w:rPr>
            </w:pPr>
            <w:r>
              <w:rPr>
                <w:rFonts w:ascii="Arial" w:cs="Arial" w:eastAsia="Arial" w:hAnsi="Arial"/>
                <w:sz w:val="18"/>
                <w:szCs w:val="18"/>
                <w:color w:val="auto"/>
              </w:rPr>
              <w:t>Excluded Patents</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i w:val="1"/>
                <w:iCs w:val="1"/>
                <w:color w:val="auto"/>
              </w:rPr>
              <w:t>Exhibits</w:t>
            </w:r>
          </w:p>
        </w:tc>
        <w:tc>
          <w:tcPr>
            <w:tcW w:w="9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EXHIBIT I</w:t>
            </w:r>
          </w:p>
        </w:tc>
        <w:tc>
          <w:tcPr>
            <w:tcW w:w="9300" w:type="dxa"/>
            <w:vAlign w:val="bottom"/>
          </w:tcPr>
          <w:p>
            <w:pPr>
              <w:ind w:left="300"/>
              <w:spacing w:after="0"/>
              <w:rPr>
                <w:sz w:val="20"/>
                <w:szCs w:val="20"/>
                <w:color w:val="auto"/>
              </w:rPr>
            </w:pPr>
            <w:r>
              <w:rPr>
                <w:rFonts w:ascii="Arial" w:cs="Arial" w:eastAsia="Arial" w:hAnsi="Arial"/>
                <w:sz w:val="18"/>
                <w:szCs w:val="18"/>
                <w:color w:val="auto"/>
              </w:rPr>
              <w:t>Form of Security Agreement Supplement</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EXHIBIT II</w:t>
            </w:r>
          </w:p>
        </w:tc>
        <w:tc>
          <w:tcPr>
            <w:tcW w:w="9300" w:type="dxa"/>
            <w:vAlign w:val="bottom"/>
          </w:tcPr>
          <w:p>
            <w:pPr>
              <w:ind w:left="300"/>
              <w:spacing w:after="0"/>
              <w:rPr>
                <w:sz w:val="20"/>
                <w:szCs w:val="20"/>
                <w:color w:val="auto"/>
              </w:rPr>
            </w:pPr>
            <w:r>
              <w:rPr>
                <w:rFonts w:ascii="Arial" w:cs="Arial" w:eastAsia="Arial" w:hAnsi="Arial"/>
                <w:sz w:val="18"/>
                <w:szCs w:val="18"/>
                <w:color w:val="auto"/>
              </w:rPr>
              <w:t>Form of Patent Security Agreement</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EXHIBIT III</w:t>
            </w:r>
          </w:p>
        </w:tc>
        <w:tc>
          <w:tcPr>
            <w:tcW w:w="9300" w:type="dxa"/>
            <w:vAlign w:val="bottom"/>
          </w:tcPr>
          <w:p>
            <w:pPr>
              <w:ind w:left="300"/>
              <w:spacing w:after="0"/>
              <w:rPr>
                <w:sz w:val="20"/>
                <w:szCs w:val="20"/>
                <w:color w:val="auto"/>
              </w:rPr>
            </w:pPr>
            <w:r>
              <w:rPr>
                <w:rFonts w:ascii="Arial" w:cs="Arial" w:eastAsia="Arial" w:hAnsi="Arial"/>
                <w:sz w:val="18"/>
                <w:szCs w:val="18"/>
                <w:color w:val="auto"/>
              </w:rPr>
              <w:t>Form of Trademark Security Agreement</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EXHIBIT IV</w:t>
            </w:r>
          </w:p>
        </w:tc>
        <w:tc>
          <w:tcPr>
            <w:tcW w:w="9300" w:type="dxa"/>
            <w:vAlign w:val="bottom"/>
          </w:tcPr>
          <w:p>
            <w:pPr>
              <w:ind w:left="300"/>
              <w:spacing w:after="0"/>
              <w:rPr>
                <w:sz w:val="20"/>
                <w:szCs w:val="20"/>
                <w:color w:val="auto"/>
              </w:rPr>
            </w:pPr>
            <w:r>
              <w:rPr>
                <w:rFonts w:ascii="Arial" w:cs="Arial" w:eastAsia="Arial" w:hAnsi="Arial"/>
                <w:sz w:val="18"/>
                <w:szCs w:val="18"/>
                <w:color w:val="auto"/>
              </w:rPr>
              <w:t>Form of Copyright Security Agreement</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-6939280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-6939280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SECURITY AGREEMENT dated as of October 11, 2013 among ACTIVISION BLIZZARD, INC., a Delaware corporation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the other Grantors identified herein and who from time to time become a party hereto and BANK OF AMERICA, N.A., as collateral agent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Secured Parties (together with its successors and assigns in such capacity, the “</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211"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Reference is made to the Credit Agreement dated as of October 11, 2013 (as amended, restated, amended and restated, supplemented or otherwise modified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among the Borrower, Bank of America, N.A., as Administrative Agent, Swing Line Lender, and L/C Issuer, the Collateral Agent and each lender from time to time party thereto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individually, a “</w:t>
      </w:r>
      <w:r>
        <w:rPr>
          <w:rFonts w:ascii="Arial" w:cs="Arial" w:eastAsia="Arial" w:hAnsi="Arial"/>
          <w:sz w:val="16"/>
          <w:szCs w:val="16"/>
          <w:b w:val="1"/>
          <w:bCs w:val="1"/>
          <w:color w:val="auto"/>
        </w:rPr>
        <w:t>Lender</w:t>
      </w:r>
      <w:r>
        <w:rPr>
          <w:rFonts w:ascii="Arial" w:cs="Arial" w:eastAsia="Arial" w:hAnsi="Arial"/>
          <w:sz w:val="16"/>
          <w:szCs w:val="16"/>
          <w:color w:val="auto"/>
        </w:rPr>
        <w:t>”). The Lenders have agreed to extend credit to the Borrower subject to the terms and conditions set forth in the Credit Agreement and the Hedge Banks have agreed to</w:t>
      </w:r>
    </w:p>
    <w:p>
      <w:pPr>
        <w:sectPr>
          <w:pgSz w:w="11900" w:h="16891" w:orient="portrait"/>
          <w:cols w:equalWidth="0" w:num="1">
            <w:col w:w="11460"/>
          </w:cols>
          <w:pgMar w:left="240" w:top="341" w:right="199" w:bottom="0" w:gutter="0" w:footer="0" w:header="0"/>
        </w:sectPr>
      </w:pPr>
    </w:p>
    <w:bookmarkStart w:id="114" w:name="page115"/>
    <w:bookmarkEnd w:id="114"/>
    <w:p>
      <w:pPr>
        <w:ind w:right="100"/>
        <w:spacing w:after="0" w:line="273" w:lineRule="auto"/>
        <w:rPr>
          <w:sz w:val="20"/>
          <w:szCs w:val="20"/>
          <w:color w:val="auto"/>
        </w:rPr>
      </w:pPr>
      <w:r>
        <w:rPr>
          <w:rFonts w:ascii="Arial" w:cs="Arial" w:eastAsia="Arial" w:hAnsi="Arial"/>
          <w:sz w:val="17"/>
          <w:szCs w:val="17"/>
          <w:color w:val="auto"/>
        </w:rPr>
        <w:t>perform certain obligations under Secured Hedge Agreements and Treasury Services Agreements. The obligations of the Lenders to extend such credit and the performance of such obligations of the Hedge Banks under the Secured Hedge Agreements and Treasury Services Agreements are conditioned upon, among other things, the execution and delivery of this Agreement. The Guarantors are affiliates of the Borrower, will derive substantial benefits from the extension of credit to the Borrower pursuant to the Credit Agreement and the performance of such obligations by the Hedge Banks and are willing to execute and deliver this Agreement in order to induce the Lenders to extend such credit and the Hedge Banks to enter into such Secured Hedge Agreements and Treasury Services Agreements. Accordingly, the parties hereto agree as follows: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312" w:lineRule="auto"/>
        <w:tabs>
          <w:tab w:leader="none" w:pos="1942"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Unless otherwise noted, capitalized terms used in this Agreement and not otherwise defined herein have the meanings specified in the Credit Agreement. Whether or not defined in the Credit Agreement, all terms defined in the New York UCC (as defined herein) and not defined in this Agreement have the meanings specified therein; the term </w:t>
      </w:r>
      <w:r>
        <w:rPr>
          <w:rFonts w:ascii="Arial" w:cs="Arial" w:eastAsia="Arial" w:hAnsi="Arial"/>
          <w:sz w:val="16"/>
          <w:szCs w:val="16"/>
          <w:i w:val="1"/>
          <w:iCs w:val="1"/>
          <w:color w:val="auto"/>
        </w:rPr>
        <w:t>“instrument”</w:t>
      </w:r>
      <w:r>
        <w:rPr>
          <w:rFonts w:ascii="Arial" w:cs="Arial" w:eastAsia="Arial" w:hAnsi="Arial"/>
          <w:sz w:val="16"/>
          <w:szCs w:val="16"/>
          <w:color w:val="auto"/>
        </w:rPr>
        <w:t xml:space="preserve"> shall have the meaning specified in Article 9 of the New York UCC.</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rules of construction specified in Article I of the Credit Agreement also apply to this Agreement.</w:t>
      </w:r>
    </w:p>
    <w:p>
      <w:pPr>
        <w:spacing w:after="0" w:line="22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Other Defined Terms</w:t>
      </w:r>
      <w:r>
        <w:rPr>
          <w:rFonts w:ascii="Arial" w:cs="Arial" w:eastAsia="Arial" w:hAnsi="Arial"/>
          <w:sz w:val="16"/>
          <w:szCs w:val="16"/>
          <w:color w:val="auto"/>
        </w:rPr>
        <w:t>. As used in this Agreement, the following terms have the meanings specified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means any Person who is or who may become obligated to any Grantor under, with respect to or on account of 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w:t>
      </w:r>
      <w:r>
        <w:rPr>
          <w:rFonts w:ascii="Arial" w:cs="Arial" w:eastAsia="Arial" w:hAnsi="Arial"/>
          <w:sz w:val="18"/>
          <w:szCs w:val="18"/>
          <w:color w:val="auto"/>
        </w:rPr>
        <w:t>” has the meaning specified in Article 9 of the New York UCC.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Security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9 Collateral</w:t>
      </w:r>
      <w:r>
        <w:rPr>
          <w:rFonts w:ascii="Arial" w:cs="Arial" w:eastAsia="Arial" w:hAnsi="Arial"/>
          <w:sz w:val="18"/>
          <w:szCs w:val="18"/>
          <w:color w:val="auto"/>
        </w:rPr>
        <w:t>” has the meaning assigned to such term in Section 3.01(a).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the Article 9 Collateral and the Pledged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License</w:t>
      </w:r>
      <w:r>
        <w:rPr>
          <w:rFonts w:ascii="Arial" w:cs="Arial" w:eastAsia="Arial" w:hAnsi="Arial"/>
          <w:sz w:val="18"/>
          <w:szCs w:val="18"/>
          <w:color w:val="auto"/>
        </w:rPr>
        <w:t>” means any written agreement, now or hereafter in effect, granting any right to any third party under any Copyright now or hereafter owned by any Grantor or that such Grantor otherwise has the right to license, or granting any right to any Grantor under any Copyright now or hereafter owned by any third party, and all rights of such Grantor under any such agreement.</w:t>
      </w:r>
    </w:p>
    <w:p>
      <w:pPr>
        <w:spacing w:after="0" w:line="176" w:lineRule="exact"/>
        <w:rPr>
          <w:sz w:val="20"/>
          <w:szCs w:val="20"/>
          <w:color w:val="auto"/>
        </w:rPr>
      </w:pPr>
    </w:p>
    <w:p>
      <w:pPr>
        <w:ind w:right="24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means all of the following now owned or hereafter acquired by any Grantor: (a) all copyright rights in any work subject to and under the copyright laws of the United States, whether as author, assignee, transferee, exclusive licensee or otherwise, and (b) all registrations and applications for registration of any such copyright in the United States, including registrations, recordings, supplemental registrations and pending applications for registration in the USCO.</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w:t>
      </w:r>
      <w:r>
        <w:rPr>
          <w:rFonts w:ascii="Arial" w:cs="Arial" w:eastAsia="Arial" w:hAnsi="Arial"/>
          <w:sz w:val="18"/>
          <w:szCs w:val="18"/>
          <w:color w:val="auto"/>
        </w:rPr>
        <w:t>” has the meaning assigned to such term in the preliminary statement of this Agreement.</w:t>
      </w:r>
    </w:p>
    <w:p>
      <w:pPr>
        <w:spacing w:after="0" w:line="225"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Assets</w:t>
      </w:r>
      <w:r>
        <w:rPr>
          <w:rFonts w:ascii="Arial" w:cs="Arial" w:eastAsia="Arial" w:hAnsi="Arial"/>
          <w:sz w:val="16"/>
          <w:szCs w:val="16"/>
          <w:color w:val="auto"/>
        </w:rPr>
        <w:t>” means (a) any fee-owned Real Property, together with any improvements thereon, with an individual fair market value of less than $5,000,000 and all Real Property leasehold interests (including requirements to deliver landlord lien waivers, estoppels and collateral access letters), (b) vehicles and other assets subject to certificates of title to the extent a Lien thereon cannot be perfected by the filing of a financing statement under the UCC of any applicable jurisdiction, (c) Letter-of-Credit Rights (other than to the extent a Lien thereon can be perfected by the filing of a financing statement under the UCC), (d) Commercial Tort Claims with a value of less than $10,000,000, (e) any asset or property to the extent the grant of a security interest is prohibited by applicable Law or requires a consent not obtained of any Governmental Authority pursuant to such applicable Law, in each case after giving effect to the applicable anti-assignment provisions of the UCC of any applicable jurisdiction or other applicable Law and other than Proceeds and receivables thereof, the assignment of which is expressly deemed effective under the UCC of any applicable jurisdiction or other applicable Law notwithstanding such prohibition, (f) assets to the extent a security interest in such assets would result in material adverse tax consequences as reasonably determined, in writing, by the Borrower and the Administrative Agent, (g) any lease, license or other agreement or Contractual Obligation or any property subject to a purchase money security interest, Lien securing a Capitalized Lease Obligation or similar arrangement, in each case permitted to be incurred under the Credit Agreement, to the extent that a grant of a security interest therein would require a consent not obtained or violate or invalidate such lease, license or agreement or Contractual Obligation or purchase money arrangement, Capitalized Lease Obligation or similar arrangement or create a right of termination in favor of any other party thereto (other than the Borrower or a Guarantor), in each case after giving effect to the applicable anti-assignment provisions of the UCC of any applicable jurisdiction and other applicable Law and other than Proceeds and receivables thereof, the assignment of which is expressly deemed effective under the UCC of any applicable jurisdiction or other applicable Law notwithstanding such prohibition, (h) those assets as to which the Administrative Agent and the Borrower shall reasonably determine, in writing, that the cost of obtaining a Lien thereon or perfection thereof are excessive in relation to the benefit to the Secured Parties of the security to be afforded thereby, (i) voting Equity Interests in excess of 65% of the total voting Equity Interests in (A) any CFC or (B) any CFC Holdco, (j) any Equity Interests constituting margin stock and any Equity Interests in (A) any Person that is not a Wholly-Owned Subsidiary to the extent and for so long as the granting of a Lien on such Equity Interests would be prohibited by the terms of any Organization Document, joint venture agreement or shareholders’ agreement governing such Person or require any consent not obtained of any one or more third parties (other than the Borrower or a Guarantor), after giving effect to the applicable anti-assignment provisions of the UCC of any applicable jurisdiction or other applicable Law and other than Proceeds and receivables thereof, the assignment of which is expressly deemed effective under the UCC of any applicable jurisdiction or other applicable Law notwithstanding such prohibition, (B) Amber Holding, (C) any Unrestricted Subsidiary (until such time as any Unrestricted Subsidiary becomes a Restricted Subsidiary), (D) any Excluded Subsidiary pursuant to clause (b) of the definition thereof (until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115" w:name="page116"/>
    <w:bookmarkEnd w:id="115"/>
    <w:p>
      <w:pPr>
        <w:ind w:right="40"/>
        <w:spacing w:after="0" w:line="271" w:lineRule="auto"/>
        <w:rPr>
          <w:sz w:val="20"/>
          <w:szCs w:val="20"/>
          <w:color w:val="auto"/>
        </w:rPr>
      </w:pPr>
      <w:r>
        <w:rPr>
          <w:rFonts w:ascii="Arial" w:cs="Arial" w:eastAsia="Arial" w:hAnsi="Arial"/>
          <w:sz w:val="17"/>
          <w:szCs w:val="17"/>
          <w:color w:val="auto"/>
        </w:rPr>
        <w:t xml:space="preserve">such time as such Subsidiary is no longer an Excluded Subsidiary pursuant to clause (b) of the definition thereof), or (E) any Equity Interests in Vivendi Games Asia Pte Ltd.; provided that if Vivendi Games Asia Pte Ltd. is not dissolved in accordance with Section 3.03(h) then such Equity Interests shall not be excluded pursuant to this clause (E) and shall constitute Collateral, (k) any “intent-to-use” trademark applications prior to the filing and acceptance of a “Statement of Use” pursuant to Section 1(d) of the Lanham Act or an “Amendment to Allege Use” pursuant to Section 1(c) of the Lanham Act with respect thereto, (l) any foreign assets, rights or property or credit support;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(l) shall not exclude any Equity Interests of Foreign Subsidiaries that are otherwise required to be pledged pursuant to the terms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“Excluded Assets” shall not include any Proceeds, substitutions or replacements of any “Excluded Assets” referred to in clauses (a) through (m) (unless such Proceeds, substitutions or replacements would constitute “Excluded Assets” referred to in any of clauses (a) through (m)).</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Patents</w:t>
      </w:r>
      <w:r>
        <w:rPr>
          <w:rFonts w:ascii="Arial" w:cs="Arial" w:eastAsia="Arial" w:hAnsi="Arial"/>
          <w:sz w:val="18"/>
          <w:szCs w:val="18"/>
          <w:color w:val="auto"/>
        </w:rPr>
        <w:t>” means the Patents identified on Schedule III attached hereto.</w:t>
      </w:r>
    </w:p>
    <w:p>
      <w:pPr>
        <w:spacing w:after="0" w:line="225" w:lineRule="exact"/>
        <w:rPr>
          <w:sz w:val="20"/>
          <w:szCs w:val="20"/>
          <w:color w:val="auto"/>
        </w:rPr>
      </w:pPr>
    </w:p>
    <w:p>
      <w:pPr>
        <w:ind w:right="40"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has the meaning specified in Article 9 of the New York UCC and includes for the avoidance of doubt corporate or other business records, indemnification claims, contract rights (including rights under leases, whether entered into as lessor or lessee, Swap Contracts and other agreements), goodwill, registrations, franchises, tax refund claims and any letter of credit, guarantee, claim, security interest or other security held by or granted to any Grantor, as the case may be, to secure payment by an Account Debtor of any of the Accounts.</w:t>
      </w:r>
    </w:p>
    <w:p>
      <w:pPr>
        <w:spacing w:after="0" w:line="16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w:t>
      </w:r>
      <w:r>
        <w:rPr>
          <w:rFonts w:ascii="Arial" w:cs="Arial" w:eastAsia="Arial" w:hAnsi="Arial"/>
          <w:sz w:val="18"/>
          <w:szCs w:val="18"/>
          <w:color w:val="auto"/>
        </w:rPr>
        <w:t>” means each of the Borrower, each Guarantor that is a party hereto, and each Guarantor that becomes a party to this Agreement after the Closing Date.</w:t>
      </w:r>
    </w:p>
    <w:p>
      <w:pPr>
        <w:spacing w:after="0" w:line="162" w:lineRule="exact"/>
        <w:rPr>
          <w:sz w:val="20"/>
          <w:szCs w:val="20"/>
          <w:color w:val="auto"/>
        </w:rPr>
      </w:pPr>
    </w:p>
    <w:p>
      <w:pPr>
        <w:ind w:right="18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xml:space="preserve">” means all intellectual and similar property of every kind and nature now owned or hereafter acquired by any Grantor, including inventions, designs, Patents, Copyrights, Licenses, Trademarks, trade secrets, confidential or proprietary technical and business information, know-how, show-how or other data or information, the intellectual property rights in software and databases and related documentation and all additions, improvements and accessions to, and books and records describing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does not include any such assets, rights or property subsisting outside the United States.</w:t>
      </w:r>
    </w:p>
    <w:p>
      <w:pPr>
        <w:spacing w:after="0" w:line="184" w:lineRule="exact"/>
        <w:rPr>
          <w:sz w:val="20"/>
          <w:szCs w:val="20"/>
          <w:color w:val="auto"/>
        </w:rPr>
      </w:pPr>
    </w:p>
    <w:p>
      <w:pPr>
        <w:ind w:right="78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Security Agreements</w:t>
      </w:r>
      <w:r>
        <w:rPr>
          <w:rFonts w:ascii="Arial" w:cs="Arial" w:eastAsia="Arial" w:hAnsi="Arial"/>
          <w:sz w:val="16"/>
          <w:szCs w:val="16"/>
          <w:color w:val="auto"/>
        </w:rPr>
        <w:t>” means the short-form Patent Security Agreement, short-form Trademark Security Agreement, and short-form Copyright Security Agreement, each substantially in the form attached hereto as Exhibits II, III and IV, respectively.</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 Property</w:t>
      </w:r>
      <w:r>
        <w:rPr>
          <w:rFonts w:ascii="Arial" w:cs="Arial" w:eastAsia="Arial" w:hAnsi="Arial"/>
          <w:sz w:val="17"/>
          <w:szCs w:val="17"/>
          <w:color w:val="auto"/>
        </w:rPr>
        <w:t>” has the meaning specified in Article 9 of the New York UCC, but shall not include any Pledged Collateral.</w:t>
      </w:r>
    </w:p>
    <w:p>
      <w:pPr>
        <w:spacing w:after="0" w:line="237"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w:t>
      </w:r>
      <w:r>
        <w:rPr>
          <w:rFonts w:ascii="Arial" w:cs="Arial" w:eastAsia="Arial" w:hAnsi="Arial"/>
          <w:sz w:val="18"/>
          <w:szCs w:val="18"/>
          <w:color w:val="auto"/>
        </w:rPr>
        <w:t>” means any Patent License, Trademark License, Copyright License or other Intellectual Property license or sublicense agreement to which any Grantor is a party, together with any and all (i) renewals, extensions, amendments and supplements thereof, (ii) income, fees, royalties, damages, claims and payments now and hereafter due and/or payable thereunder or with respect thereto including damages for breach or for infringement claims pertaining to the licensed Intellectual Property (to the extent that a Grantor has the right to collect them), and (iii) rights to sue for past, present and future breaches or violations thereof.</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York UCC</w:t>
      </w:r>
      <w:r>
        <w:rPr>
          <w:rFonts w:ascii="Arial" w:cs="Arial" w:eastAsia="Arial" w:hAnsi="Arial"/>
          <w:sz w:val="18"/>
          <w:szCs w:val="18"/>
          <w:color w:val="auto"/>
        </w:rPr>
        <w:t>” means the Uniform Commercial Code as from time to time in effect in the State of New York.</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License</w:t>
      </w:r>
      <w:r>
        <w:rPr>
          <w:rFonts w:ascii="Arial" w:cs="Arial" w:eastAsia="Arial" w:hAnsi="Arial"/>
          <w:sz w:val="18"/>
          <w:szCs w:val="18"/>
          <w:color w:val="auto"/>
        </w:rPr>
        <w:t>” means any written agreement, now or hereafter in effect, granting to any third party any right to make, use or sell any invention on which a Patent, now or hereafter owned by any Grantor or that any Grantor otherwise has the right to license, is in existence, or granting to any Grantor any right to make, use or sell any invention on which a Patent, now or hereafter owned by any third party, is in existence, and all rights of any Grantor under any such agreement.</w:t>
      </w:r>
    </w:p>
    <w:p>
      <w:pPr>
        <w:spacing w:after="0" w:line="180" w:lineRule="exact"/>
        <w:rPr>
          <w:sz w:val="20"/>
          <w:szCs w:val="20"/>
          <w:color w:val="auto"/>
        </w:rPr>
      </w:pPr>
    </w:p>
    <w:p>
      <w:pPr>
        <w:ind w:right="120" w:firstLine="12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all of the following now owned or hereafter acquired by any Grantor: (a) all letters patent of the United States, all registrations and recordings thereof, and all applications for letters patent of the United States, and (b) all reissues, re-examinations, continuations, divisions, continuations-in-part, renewals, or extensions thereof, and the inventions or improvements disclosed or claimed therein.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Collateral</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Debt</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Equity</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right="5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Securities</w:t>
      </w:r>
      <w:r>
        <w:rPr>
          <w:rFonts w:ascii="Arial" w:cs="Arial" w:eastAsia="Arial" w:hAnsi="Arial"/>
          <w:sz w:val="18"/>
          <w:szCs w:val="18"/>
          <w:color w:val="auto"/>
        </w:rPr>
        <w:t>” means any promissory notes, stock certificates, limited or unlimited liability membership certificates or other securities now or hereafter included in the Pledged Collateral, including all certificates, instruments or other documents representing or evidencing any Pledged Collateral.</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 Supplement</w:t>
      </w:r>
      <w:r>
        <w:rPr>
          <w:rFonts w:ascii="Arial" w:cs="Arial" w:eastAsia="Arial" w:hAnsi="Arial"/>
          <w:sz w:val="18"/>
          <w:szCs w:val="18"/>
          <w:color w:val="auto"/>
        </w:rPr>
        <w:t>” means an instrument in the form of Exhibit I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has the meaning assigned to such term in Section 3.01(a).</w:t>
      </w:r>
    </w:p>
    <w:p>
      <w:pPr>
        <w:spacing w:after="0" w:line="225" w:lineRule="exact"/>
        <w:rPr>
          <w:sz w:val="20"/>
          <w:szCs w:val="20"/>
          <w:color w:val="auto"/>
        </w:rPr>
      </w:pPr>
    </w:p>
    <w:p>
      <w:pPr>
        <w:jc w:val="both"/>
        <w:ind w:right="1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License</w:t>
      </w:r>
      <w:r>
        <w:rPr>
          <w:rFonts w:ascii="Arial" w:cs="Arial" w:eastAsia="Arial" w:hAnsi="Arial"/>
          <w:sz w:val="18"/>
          <w:szCs w:val="18"/>
          <w:color w:val="auto"/>
        </w:rPr>
        <w:t>” means any written agreement, now or hereafter in effect, granting to any third party any right to use any trademark now or hereafter owned by any Grantor or that any Grantor otherwise has the right to license, or granting to any Grantor any right to use any trademark now or hereafter owned by any third party, and all rights of any Grantor under any such agreement.</w:t>
      </w:r>
    </w:p>
    <w:p>
      <w:pPr>
        <w:spacing w:after="0" w:line="176" w:lineRule="exact"/>
        <w:rPr>
          <w:sz w:val="20"/>
          <w:szCs w:val="20"/>
          <w:color w:val="auto"/>
        </w:rPr>
      </w:pPr>
    </w:p>
    <w:p>
      <w:pPr>
        <w:ind w:firstLine="1297"/>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all of the following now owned or hereafter acquired by any Grantor: (a) all trademarks, service marks, trade names, corporate names, trade dress, logos, designs, fictitious business names other source or business identifiers protected under the laws of the United States or any state or political subdivision thereof, all registrations and recordings thereof, and all registration and recording applications filed in connection therewith in the USPTO or any similar offices in any State of the United States or any political subdivision thereof, and all renewals thereof, as well as any unregistered trademarks and service marks used by a Grantor and (b) all goodwill connected with the use thereof and symbolized thereby.</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USCO</w:t>
      </w:r>
      <w:r>
        <w:rPr>
          <w:rFonts w:ascii="Arial" w:cs="Arial" w:eastAsia="Arial" w:hAnsi="Arial"/>
          <w:sz w:val="18"/>
          <w:szCs w:val="18"/>
          <w:color w:val="auto"/>
        </w:rPr>
        <w:t>” means the United States Copyright Office.</w:t>
      </w:r>
    </w:p>
    <w:p>
      <w:pPr>
        <w:sectPr>
          <w:pgSz w:w="11900" w:h="16838" w:orient="portrait"/>
          <w:cols w:equalWidth="0" w:num="1">
            <w:col w:w="11400"/>
          </w:cols>
          <w:pgMar w:left="240" w:top="125" w:right="259" w:bottom="0" w:gutter="0" w:footer="0" w:header="0"/>
        </w:sectPr>
      </w:pPr>
    </w:p>
    <w:bookmarkStart w:id="116" w:name="page117"/>
    <w:bookmarkEnd w:id="11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USPTO</w:t>
      </w:r>
      <w:r>
        <w:rPr>
          <w:rFonts w:ascii="Arial" w:cs="Arial" w:eastAsia="Arial" w:hAnsi="Arial"/>
          <w:sz w:val="18"/>
          <w:szCs w:val="18"/>
          <w:color w:val="auto"/>
        </w:rPr>
        <w:t>” means the United States Patent and Trademark Office.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Pledge of Securities</w:t>
      </w:r>
    </w:p>
    <w:p>
      <w:pPr>
        <w:spacing w:after="0" w:line="229" w:lineRule="exact"/>
        <w:rPr>
          <w:sz w:val="20"/>
          <w:szCs w:val="20"/>
          <w:color w:val="auto"/>
        </w:rPr>
      </w:pPr>
    </w:p>
    <w:p>
      <w:pPr>
        <w:ind w:right="100" w:firstLine="1297"/>
        <w:spacing w:after="0" w:line="285"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Pledge</w:t>
      </w:r>
      <w:r>
        <w:rPr>
          <w:rFonts w:ascii="Arial" w:cs="Arial" w:eastAsia="Arial" w:hAnsi="Arial"/>
          <w:sz w:val="16"/>
          <w:szCs w:val="16"/>
          <w:color w:val="auto"/>
        </w:rPr>
        <w:t>. As security for the payment or performance, as the case may be, in full of the Obligations, including the Guarantee, each Grantor hereby pledges to the Collateral Agent, its successors and assigns, for the benefit of the Secured Parties, and hereby grants to the Collateral Agent, its successors and assigns, for the benefit of the Secured Parties, a security interest in all of such Grantor’s right, title and interest in, to and under (i) all Equity Interests held by it, including those listed on Schedule I and any other Equity Interests obtained in the future by such Grantor and the certificates, if any, representing all such Equity Interests (the “</w:t>
      </w:r>
      <w:r>
        <w:rPr>
          <w:rFonts w:ascii="Arial" w:cs="Arial" w:eastAsia="Arial" w:hAnsi="Arial"/>
          <w:sz w:val="16"/>
          <w:szCs w:val="16"/>
          <w:b w:val="1"/>
          <w:bCs w:val="1"/>
          <w:color w:val="auto"/>
        </w:rPr>
        <w:t>Pledged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Pledged Equity shall not include any Excluded Assets;</w:t>
      </w:r>
    </w:p>
    <w:p>
      <w:pPr>
        <w:spacing w:after="0" w:line="2" w:lineRule="exact"/>
        <w:rPr>
          <w:sz w:val="20"/>
          <w:szCs w:val="20"/>
          <w:color w:val="auto"/>
        </w:rPr>
      </w:pPr>
    </w:p>
    <w:p>
      <w:pPr>
        <w:ind w:right="20" w:firstLine="8"/>
        <w:spacing w:after="0" w:line="281" w:lineRule="auto"/>
        <w:tabs>
          <w:tab w:leader="none" w:pos="265"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 the debt securities owned by it and listed opposite the name of such Grantor on Schedule I, (B) any debt securities obtained in the future by such Grantor and (C) the intercompany notes and other promissory notes and any other instruments evidencing such debt securities (the “</w:t>
      </w:r>
      <w:r>
        <w:rPr>
          <w:rFonts w:ascii="Arial" w:cs="Arial" w:eastAsia="Arial" w:hAnsi="Arial"/>
          <w:sz w:val="16"/>
          <w:szCs w:val="16"/>
          <w:b w:val="1"/>
          <w:bCs w:val="1"/>
          <w:color w:val="auto"/>
        </w:rPr>
        <w:t>Pledged Debt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Pledged Debt shall not include any Excluded Assets; (iii) all other property that may be delivered to and held by the Collateral Agent</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terms of this Section 2.01 and Section 2.02; (iv) subject to Section 2.06, all payments of principal or interest, dividends, cash, instruments and other property from time to time received, receivable or otherwise distributed in respect of, in exchange for or upon the conversion of, and all other Proceeds received in respect of, the Pledged Equity and Pledged Debt; (v) subject to Section 2.06, all rights and privileges of such Grantor with respect to the securities and other property referred to in clauses (i), (ii), (iii) and (iv) above; and (vi) all Proceeds of any of the foregoing (the items referred to in clauses (i) through</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above being collectively referred to as the “</w:t>
      </w:r>
      <w:r>
        <w:rPr>
          <w:rFonts w:ascii="Arial" w:cs="Arial" w:eastAsia="Arial" w:hAnsi="Arial"/>
          <w:sz w:val="17"/>
          <w:szCs w:val="17"/>
          <w:b w:val="1"/>
          <w:bCs w:val="1"/>
          <w:color w:val="auto"/>
        </w:rPr>
        <w:t>Pledged Collateral</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Pledged Collateral shall not include any Excluded Assets.</w:t>
      </w:r>
    </w:p>
    <w:p>
      <w:pPr>
        <w:spacing w:after="0" w:line="222"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TO HAVE AND TO HOLD the Pledged Collateral, together with all right, title, interest, powers, privileges and preferences pertaining or incidental thereto, unto the Collateral Agent, its successors and assigns, for the benefit of the Secured Parties, forever, subject, however, to the terms, covenants and conditions hereinafter set forth.</w:t>
      </w:r>
    </w:p>
    <w:p>
      <w:pPr>
        <w:spacing w:after="0" w:line="18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Delivery of the Pledged Collateral</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7" w:lineRule="auto"/>
        <w:tabs>
          <w:tab w:leader="none" w:pos="194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Each Grantor agrees to deliver to the Collateral Agent on the Closing Date all Pledged Securities owned by it on the Closing Date and with respect to any Pledged Securities issued or acquired after the Closing Date, it agrees to deliver or cause to be delivered as promptly as practicable (and in any event, within 60 days after the date of acquisition thereof or such longer period as to which the Collateral Agent may agree in its reasonable discretion) to the Collateral Agent, for the benefit of the Secured Parties, any and all such Pledged Securities (other than any uncertificated securities, but only for so long as such securities remain uncertificated).</w:t>
      </w:r>
    </w:p>
    <w:p>
      <w:pPr>
        <w:spacing w:after="0" w:line="188" w:lineRule="exact"/>
        <w:rPr>
          <w:rFonts w:ascii="Arial" w:cs="Arial" w:eastAsia="Arial" w:hAnsi="Arial"/>
          <w:sz w:val="18"/>
          <w:szCs w:val="18"/>
          <w:color w:val="auto"/>
        </w:rPr>
      </w:pPr>
    </w:p>
    <w:p>
      <w:pPr>
        <w:ind w:right="80" w:firstLine="1305"/>
        <w:spacing w:after="0" w:line="259" w:lineRule="auto"/>
        <w:tabs>
          <w:tab w:leader="none" w:pos="195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Grantors will cause any Indebtedness for borrowed money owed to any Grantor by any Person (other than intercompany Indebtedness between Grantors) having a principal amount in excess of (i) $25,000,000 individually or (ii) when aggregated with all other such Indebtedness for which this clause has not been satisfied, $100,000,000 in the aggregate, to be evidenced by a duly executed promissory note that is pledged and delivered to the Collateral Agent, for the benefit of the Secured Parties, pursuant to the terms hereof.</w:t>
      </w:r>
    </w:p>
    <w:p>
      <w:pPr>
        <w:spacing w:after="0" w:line="186" w:lineRule="exact"/>
        <w:rPr>
          <w:rFonts w:ascii="Arial" w:cs="Arial" w:eastAsia="Arial" w:hAnsi="Arial"/>
          <w:sz w:val="18"/>
          <w:szCs w:val="18"/>
          <w:color w:val="auto"/>
        </w:rPr>
      </w:pPr>
    </w:p>
    <w:p>
      <w:pPr>
        <w:ind w:right="560" w:firstLine="1305"/>
        <w:spacing w:after="0" w:line="264" w:lineRule="auto"/>
        <w:tabs>
          <w:tab w:leader="none" w:pos="195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Upon delivery to the Collateral Agent, (i) any Pledged Securities shall be accompanied by undated stock or note powers, as applicable, duly executed in blank or other instruments of transfer reasonably satisfactory to the Collateral Agent and by such other instruments and documents 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Collateral Agent may reasonably request and (ii) all other property comprising part of the Pledged Collateral shall be accompanied by undated proper instruments of assignment or transfer duly executed in blank by the applicable Grantor and such other instruments or documents as the Collateral Agent may reasonably request.</w:t>
      </w:r>
    </w:p>
    <w:p>
      <w:pPr>
        <w:spacing w:after="0" w:line="18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The Grantors jointly and severally represent, warrant and covenant, as to themselves and the other Grantors, to and with the Collateral Agent, for the benefit of the Secured Parties, that:</w:t>
      </w:r>
    </w:p>
    <w:p>
      <w:pPr>
        <w:spacing w:after="0" w:line="170" w:lineRule="exact"/>
        <w:rPr>
          <w:sz w:val="20"/>
          <w:szCs w:val="20"/>
          <w:color w:val="auto"/>
        </w:rPr>
      </w:pPr>
    </w:p>
    <w:p>
      <w:pPr>
        <w:ind w:left="660" w:right="240" w:firstLine="645"/>
        <w:spacing w:after="0" w:line="312" w:lineRule="auto"/>
        <w:tabs>
          <w:tab w:leader="none" w:pos="1954" w:val="left"/>
        </w:tabs>
        <w:numPr>
          <w:ilvl w:val="0"/>
          <w:numId w:val="362"/>
        </w:numPr>
        <w:rPr>
          <w:rFonts w:ascii="Arial" w:cs="Arial" w:eastAsia="Arial" w:hAnsi="Arial"/>
          <w:sz w:val="16"/>
          <w:szCs w:val="16"/>
          <w:color w:val="auto"/>
        </w:rPr>
      </w:pPr>
      <w:r>
        <w:rPr>
          <w:rFonts w:ascii="Arial" w:cs="Arial" w:eastAsia="Arial" w:hAnsi="Arial"/>
          <w:sz w:val="16"/>
          <w:szCs w:val="16"/>
          <w:color w:val="auto"/>
        </w:rPr>
        <w:t>Schedule I correctly sets forth, as of the Closing Date, a true and complete list, with respect to each Grantor, of (i) all the Equity Interests owned by such Grantor in any Person and the percentage of the issued and outstanding units of each class of the Equity Interests of the issuer thereof represented by the Pledged Equity owned by such Grantor and (ii) all the Pledged Debt owned by such Grantor;</w:t>
      </w:r>
    </w:p>
    <w:p>
      <w:pPr>
        <w:spacing w:after="0" w:line="146" w:lineRule="exact"/>
        <w:rPr>
          <w:rFonts w:ascii="Arial" w:cs="Arial" w:eastAsia="Arial" w:hAnsi="Arial"/>
          <w:sz w:val="16"/>
          <w:szCs w:val="16"/>
          <w:color w:val="auto"/>
        </w:rPr>
      </w:pPr>
    </w:p>
    <w:p>
      <w:pPr>
        <w:ind w:left="660" w:right="40" w:firstLine="645"/>
        <w:spacing w:after="0" w:line="273" w:lineRule="auto"/>
        <w:tabs>
          <w:tab w:leader="none" w:pos="1964"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the Pledged Equity and Pledged Debt (solely with respect to Pledged Equity and Pledged Debt issued by a Person other than the Borrower or a Subsidiary of the Borrower, to the best of such Grantor’s knowledge) have been duly and validly authorized and issued by the issuers thereof and (i) in the case of Pledged Equity (solely with respect to Pledged Equity issued by a Person other than the Borrower or a Subsidiary of the Borrower, to the best of such Grantor’s knowledge), is fully paid and nonassessable and (ii) in the case of Pledged Debt (solely with respect to Pledged Debt issued by a Person other than the Borrower or a Subsidiary of the Borrower, to the best of such Grantor’s knowledge), is the legal, valid and binding obligation of each issuer thereof;</w:t>
      </w:r>
    </w:p>
    <w:p>
      <w:pPr>
        <w:spacing w:after="0" w:line="178" w:lineRule="exact"/>
        <w:rPr>
          <w:rFonts w:ascii="Arial" w:cs="Arial" w:eastAsia="Arial" w:hAnsi="Arial"/>
          <w:sz w:val="17"/>
          <w:szCs w:val="17"/>
          <w:color w:val="auto"/>
        </w:rPr>
      </w:pPr>
    </w:p>
    <w:p>
      <w:pPr>
        <w:ind w:left="660" w:right="60" w:firstLine="645"/>
        <w:spacing w:after="0" w:line="291" w:lineRule="auto"/>
        <w:tabs>
          <w:tab w:leader="none" w:pos="1967" w:val="left"/>
        </w:tabs>
        <w:numPr>
          <w:ilvl w:val="0"/>
          <w:numId w:val="362"/>
        </w:numPr>
        <w:rPr>
          <w:rFonts w:ascii="Arial" w:cs="Arial" w:eastAsia="Arial" w:hAnsi="Arial"/>
          <w:sz w:val="16"/>
          <w:szCs w:val="16"/>
          <w:color w:val="auto"/>
        </w:rPr>
      </w:pPr>
      <w:r>
        <w:rPr>
          <w:rFonts w:ascii="Arial" w:cs="Arial" w:eastAsia="Arial" w:hAnsi="Arial"/>
          <w:sz w:val="16"/>
          <w:szCs w:val="16"/>
          <w:color w:val="auto"/>
        </w:rPr>
        <w:t>each of the Grantors (i) is and, subject to any transfers made in compliance with the Credit Agreement, will continue to be the direct owner, beneficially and of record, of the Pledged Securities indicated on Schedule I as owned by such Grantors, (ii) holds the same free and clear of all Liens, other than (A) Liens created by the Collateral Documents and (B) Liens expressly permitted pursuant to Section 7.01 of the Credit Agreement, (iii) will make no assignment, pledge, hypothecation or transfer of, or create or permit to exist any security interest in or other Lien on, the Pledged Collateral, other than (A) Liens created by the Collateral Documents and (B) Liens expressly permitted pursuant to Section 7.01 of the Credit Agreement, and (iv) if requested by the Collateral Agent, will use commercially reasonable efforts to defend its title or interest thereto or therein against any and all Liens (other than the Liens permitted pursuant to this Section 2.03(c)), however arising, of all Persons whomsoever;</w:t>
      </w:r>
    </w:p>
    <w:p>
      <w:pPr>
        <w:sectPr>
          <w:pgSz w:w="11900" w:h="16838" w:orient="portrait"/>
          <w:cols w:equalWidth="0" w:num="1">
            <w:col w:w="11400"/>
          </w:cols>
          <w:pgMar w:left="240" w:top="337" w:right="259" w:bottom="0" w:gutter="0" w:footer="0" w:header="0"/>
        </w:sectPr>
      </w:pPr>
    </w:p>
    <w:bookmarkStart w:id="117" w:name="page118"/>
    <w:bookmarkEnd w:id="117"/>
    <w:p>
      <w:pPr>
        <w:ind w:left="660" w:firstLine="645"/>
        <w:spacing w:after="0" w:line="297" w:lineRule="auto"/>
        <w:tabs>
          <w:tab w:leader="none" w:pos="1964" w:val="left"/>
        </w:tabs>
        <w:numPr>
          <w:ilvl w:val="0"/>
          <w:numId w:val="363"/>
        </w:numPr>
        <w:rPr>
          <w:rFonts w:ascii="Arial" w:cs="Arial" w:eastAsia="Arial" w:hAnsi="Arial"/>
          <w:sz w:val="16"/>
          <w:szCs w:val="16"/>
          <w:color w:val="auto"/>
        </w:rPr>
      </w:pPr>
      <w:r>
        <w:rPr>
          <w:rFonts w:ascii="Arial" w:cs="Arial" w:eastAsia="Arial" w:hAnsi="Arial"/>
          <w:sz w:val="16"/>
          <w:szCs w:val="16"/>
          <w:color w:val="auto"/>
        </w:rPr>
        <w:t>except for restrictions and limitations imposed by the Loan Documents, the Senior Notes or applicable laws generally and except as described in the Perfection Certificate, the Pledged Collateral is and will continue to be freely transferable and assignable, and none of the Pledged Collateral is or will be subject to any option, right of first refusal, shareholders agreement, charter or by-law provisions or contractual restriction of any nature that might prohibit, impair, delay or otherwise affect in any manner material and adverse to the Secured Parties the pledge of such Pledged Collateral hereunder, the sale or disposition thereof pursuant hereto or the exercise by the Collateral Agent of rights and remedies hereunder;</w:t>
      </w:r>
    </w:p>
    <w:p>
      <w:pPr>
        <w:spacing w:after="0" w:line="158" w:lineRule="exact"/>
        <w:rPr>
          <w:rFonts w:ascii="Arial" w:cs="Arial" w:eastAsia="Arial" w:hAnsi="Arial"/>
          <w:sz w:val="16"/>
          <w:szCs w:val="16"/>
          <w:color w:val="auto"/>
        </w:rPr>
      </w:pPr>
    </w:p>
    <w:p>
      <w:pPr>
        <w:ind w:left="660" w:right="280" w:firstLine="645"/>
        <w:spacing w:after="0" w:line="277" w:lineRule="auto"/>
        <w:tabs>
          <w:tab w:leader="none" w:pos="196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each of the Grantors has the power and authority to pledge the Pledged Collateral pledged by it hereunder in the manner hereby done or contemplated;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80" w:firstLine="645"/>
        <w:spacing w:after="0" w:line="277" w:lineRule="auto"/>
        <w:tabs>
          <w:tab w:leader="none" w:pos="196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no consent or approval of any Governmental Authority, any securities exchange or any other Person was or is necessary to the validity of the pledge effected hereby (other than such as have been obtained and are in full force and effect).</w:t>
      </w:r>
    </w:p>
    <w:p>
      <w:pPr>
        <w:spacing w:after="0" w:line="170"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Each Grantor hereby agrees that upon the occurrence and during the continuance of an Event of Default, it will comply with instructions of the Collateral Agent with respect to the Equity Interests in such Grantor that constitute Pledged Equity hereunder that are not certificated without further consent by the applicable owner or holder of such Equity Interests.</w:t>
      </w:r>
    </w:p>
    <w:p>
      <w:pPr>
        <w:spacing w:after="0" w:line="181" w:lineRule="exact"/>
        <w:rPr>
          <w:sz w:val="20"/>
          <w:szCs w:val="20"/>
          <w:color w:val="auto"/>
        </w:rPr>
      </w:pPr>
    </w:p>
    <w:p>
      <w:pPr>
        <w:ind w:right="60" w:firstLine="1297"/>
        <w:spacing w:after="0" w:line="286"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Certification of Limited Liability Company and Limited Partnership Interests</w:t>
      </w:r>
      <w:r>
        <w:rPr>
          <w:rFonts w:ascii="Arial" w:cs="Arial" w:eastAsia="Arial" w:hAnsi="Arial"/>
          <w:sz w:val="16"/>
          <w:szCs w:val="16"/>
          <w:color w:val="auto"/>
        </w:rPr>
        <w:t>. Any limited liability company and any limited partnership controlled by any Grantor shall either (a) not include in its operative documents any provision that any Equity Interests in such limited liability company or such limited partnership be a “security” as defined under Article 8 of the Uniform Commercial Code or (b) certificate any Equity Interests in any such limited liability company or such limited partnership. To the extent an interest in any limited liability company or limited partnership controlled by any Grantor and pledged under Section 2.01 is certificated or becomes certificated, (i) each such certificate shall be delivered to the Collateral Agent, pursuant to Section 2.02(a) and (ii) such Grantor shall fulfill all other requirements under Section 2.02 applicable in respect thereof. Each Grantor hereby agrees that if any of the Pledged Collateral is at any time not evidenced by certificates of ownership, then each applicable Grantor shall, to the extent permitted by applicable law, (i) if necessary or desirable to perfect a security interest in such Pledged Collateral, cause such pledge to be recorded on the equityholder register or the books of the issuer, execute any customary pledge forms or other documents necessary or appropriate to complete the pledge and give the Collateral Agent the right to transfer such Pledged Collateral under the terms hereof, and (ii) after the occurrence and during the continuance of any Event of Default, upon request by the Collateral Agent, (A) cause the Organization Documents of each such issuer of Equity Interests constituting Pledged Collateral to be amended to provide that such Pledged Collateral shall be treated as “securities” for purposes of the Uniform Commercial Code and (B) cause such Pledged Collateral to become certificated and delivered to the Collateral Agent.</w:t>
      </w:r>
    </w:p>
    <w:p>
      <w:pPr>
        <w:spacing w:after="0" w:line="17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in Nominee Name; Denominations</w:t>
      </w:r>
      <w:r>
        <w:rPr>
          <w:rFonts w:ascii="Arial" w:cs="Arial" w:eastAsia="Arial" w:hAnsi="Arial"/>
          <w:sz w:val="18"/>
          <w:szCs w:val="18"/>
          <w:color w:val="auto"/>
        </w:rPr>
        <w:t>. If an Event of Default shall occur and be continuing, (a) the Collateral Agent, on behalf of the Secured Parties, shall have the right (in its sole and absolute discretion) to hold the Pledged Securities in its own name as pledgee, the name of its nominee (as pledgee or as sub-agent) or the name of the applicable Grantor, endorsed or assigned in blank or in favor of the Collateral Agent, and each Grantor will promptly give to the Collateral Agent copies of any notices or other communications received by it with respect to Pledged Securities registered in the name of such Grantor and (b) the Collateral Agent shall have the right to exchange the certificates representing Pledged Securities for certificates of smaller or larger denominations for any purpose consistent with this Agreement; provided, that the Collateral Agent shall give the Borrower prior notice of its intent to exercise such rights.</w:t>
      </w:r>
    </w:p>
    <w:p>
      <w:pPr>
        <w:spacing w:after="0" w:line="189"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Voting Rights; Dividends and Interest</w:t>
      </w:r>
      <w:r>
        <w:rPr>
          <w:rFonts w:ascii="Arial" w:cs="Arial" w:eastAsia="Arial" w:hAnsi="Arial"/>
          <w:sz w:val="16"/>
          <w:szCs w:val="16"/>
          <w:color w:val="auto"/>
        </w:rPr>
        <w:t>.</w:t>
      </w:r>
    </w:p>
    <w:p>
      <w:pPr>
        <w:spacing w:after="0" w:line="225" w:lineRule="exact"/>
        <w:rPr>
          <w:sz w:val="20"/>
          <w:szCs w:val="20"/>
          <w:color w:val="auto"/>
        </w:rPr>
      </w:pPr>
    </w:p>
    <w:p>
      <w:pPr>
        <w:ind w:right="620" w:firstLine="1305"/>
        <w:spacing w:after="0" w:line="277" w:lineRule="auto"/>
        <w:tabs>
          <w:tab w:leader="none" w:pos="194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Unless and until an Event of Default shall have occurred and be continuing and the Collateral Agent shall have notified the Borrower that the rights of the Grantors under this Section 2.06 are being suspended:</w:t>
      </w:r>
    </w:p>
    <w:p>
      <w:pPr>
        <w:spacing w:after="0" w:line="170" w:lineRule="exact"/>
        <w:rPr>
          <w:sz w:val="20"/>
          <w:szCs w:val="20"/>
          <w:color w:val="auto"/>
        </w:rPr>
      </w:pPr>
    </w:p>
    <w:p>
      <w:pPr>
        <w:ind w:left="660" w:right="60" w:firstLine="645"/>
        <w:spacing w:after="0" w:line="259" w:lineRule="auto"/>
        <w:tabs>
          <w:tab w:leader="none" w:pos="197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Each Grantor shall be entitled to exercise any and all voting and/or other consensual rights and powers inuring to an owner of Pledged Securities or any part thereof for any purpose consistent with the terms of this Agreement, the Credit Agreement and the other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rights and powers shall not be exercised in any manner, except as may be permitted under this Agreement, the Credit Agreement or the other Loan Documents,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would materially and adversely affect the rights and remedies of any of the Collateral Agent or the other Secured Parties under this Agreement, the Credit Agreement or any other Loan Document or the ability of the Secured Parties to exercise the same.</w:t>
      </w:r>
    </w:p>
    <w:p>
      <w:pPr>
        <w:spacing w:after="0" w:line="170" w:lineRule="exact"/>
        <w:rPr>
          <w:sz w:val="20"/>
          <w:szCs w:val="20"/>
          <w:color w:val="auto"/>
        </w:rPr>
      </w:pPr>
    </w:p>
    <w:p>
      <w:pPr>
        <w:ind w:left="660" w:right="160" w:firstLine="645"/>
        <w:spacing w:after="0" w:line="272" w:lineRule="auto"/>
        <w:tabs>
          <w:tab w:leader="none" w:pos="2122" w:val="left"/>
        </w:tabs>
        <w:numPr>
          <w:ilvl w:val="0"/>
          <w:numId w:val="367"/>
        </w:numPr>
        <w:rPr>
          <w:rFonts w:ascii="Arial" w:cs="Arial" w:eastAsia="Arial" w:hAnsi="Arial"/>
          <w:sz w:val="17"/>
          <w:szCs w:val="17"/>
          <w:color w:val="auto"/>
        </w:rPr>
      </w:pPr>
      <w:r>
        <w:rPr>
          <w:rFonts w:ascii="Arial" w:cs="Arial" w:eastAsia="Arial" w:hAnsi="Arial"/>
          <w:sz w:val="17"/>
          <w:szCs w:val="17"/>
          <w:color w:val="auto"/>
        </w:rPr>
        <w:t>So long as no Event of Default shall have occurred and be continuing and thereafter so long as the Borrower has not received written notice from the Collateral Agent that the rights of the Grantors under this Section 2.06 are being suspended and to the extent required under applicable law, the Collateral Agent shall be deemed without further action or formality to have granted to each Grantor all necessary consents relating to voting rights and/or consensual rights and powers it is entitled to exercise pursuant to subparagraph (i) above and shall, if necessary, execute and deliver to each Grantor, or cause to be executed and delivered to each Grantor, all such proxies, powers of attorney and other instruments as each Grantor may reasonably request for the purpose of enabling such Grantor to exercise the voting and/or consensual rights and powers it is entitled to exercise pursuant to subparagraph (i) above.</w:t>
      </w:r>
    </w:p>
    <w:p>
      <w:pPr>
        <w:spacing w:after="0" w:line="177" w:lineRule="exact"/>
        <w:rPr>
          <w:rFonts w:ascii="Arial" w:cs="Arial" w:eastAsia="Arial" w:hAnsi="Arial"/>
          <w:sz w:val="17"/>
          <w:szCs w:val="17"/>
          <w:color w:val="auto"/>
        </w:rPr>
      </w:pPr>
    </w:p>
    <w:p>
      <w:pPr>
        <w:ind w:left="660" w:firstLine="645"/>
        <w:spacing w:after="0" w:line="290" w:lineRule="auto"/>
        <w:tabs>
          <w:tab w:leader="none" w:pos="2132"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Each Grantor shall be entitled to receive and retain any and all dividends, interest, principal and other distributions paid on or distributed in respect of the Pledged Securities to the extent and only to the extent that such dividends, interest, principal and other distributions are permitted by, and otherwise paid or distributed in accordance with, the terms and conditions of the Credit Agreement, the other Loan Documents and applicable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noncash dividends, interest, principal or other distributions that would constitute Pledged Equity or Pledged Debt, whether resulting from a subdivision, combination or reclassification of the outstanding Equity Interests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not be commingled by such Grantor with any of its other funds or property but shall be held separate and apart therefrom, shall be</w:t>
      </w:r>
    </w:p>
    <w:p>
      <w:pPr>
        <w:sectPr>
          <w:pgSz w:w="11900" w:h="16838" w:orient="portrait"/>
          <w:cols w:equalWidth="0" w:num="1">
            <w:col w:w="11420"/>
          </w:cols>
          <w:pgMar w:left="240" w:top="125" w:right="239" w:bottom="0" w:gutter="0" w:footer="0" w:header="0"/>
        </w:sectPr>
      </w:pPr>
    </w:p>
    <w:bookmarkStart w:id="118" w:name="page119"/>
    <w:bookmarkEnd w:id="118"/>
    <w:p>
      <w:pPr>
        <w:ind w:left="660" w:right="180"/>
        <w:spacing w:after="0" w:line="308" w:lineRule="auto"/>
        <w:rPr>
          <w:sz w:val="20"/>
          <w:szCs w:val="20"/>
          <w:color w:val="auto"/>
        </w:rPr>
      </w:pPr>
      <w:r>
        <w:rPr>
          <w:rFonts w:ascii="Arial" w:cs="Arial" w:eastAsia="Arial" w:hAnsi="Arial"/>
          <w:sz w:val="17"/>
          <w:szCs w:val="17"/>
          <w:color w:val="auto"/>
        </w:rPr>
        <w:t>held in trust for the benefit of the Collateral Agent and the Secured Parties and shall be promptly (and in any event within 30 days) delivered to the Collateral Agent in the same form as so received (with any necessary endorsement reasonably requested by the Collateral Agent).</w:t>
      </w:r>
    </w:p>
    <w:p>
      <w:pPr>
        <w:spacing w:after="0" w:line="147" w:lineRule="exact"/>
        <w:rPr>
          <w:sz w:val="20"/>
          <w:szCs w:val="20"/>
          <w:color w:val="auto"/>
        </w:rPr>
      </w:pPr>
    </w:p>
    <w:p>
      <w:pPr>
        <w:ind w:firstLine="1305"/>
        <w:spacing w:after="0" w:line="287" w:lineRule="auto"/>
        <w:tabs>
          <w:tab w:leader="none" w:pos="2087" w:val="left"/>
        </w:tabs>
        <w:numPr>
          <w:ilvl w:val="0"/>
          <w:numId w:val="368"/>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 Event of Default, after the Collateral Agent shall have notified the Borrower of the suspension of the rights of the Grantors under paragraph (a)(iii) of this Section 2.06, then all rights of any Grantor to dividends, interest, principal or other distributions that such Grantor is authorized to receive pursuant to paragraph (a)(iii) of this Section 2.06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Grantor contrary to the provisions of this Section 2.06 shall be held in trust for the benefit of the Collateral Agent and the other Secured Parties, shall be segregated from other property or funds of such Grantor and shall be promptly (and in any event within 30 days) delivered to the Collateral Agent upon demand in the same form as so received (with any necessary endorsement reasonably requested by the Collateral Agent).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shall be applied in accordance with the provisions of Section 4.02 hereof. After all Events of Default have been cured or waived, the Collateral Agent shall promptly repay to each Grantor (without interest) all dividends, interest, principal or other distributions that such Grantor would otherwise be permitted to retain pursuant to the terms of paragraph (a)(iii) of this Section 2.06 that remain in such account.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70" w:lineRule="auto"/>
        <w:tabs>
          <w:tab w:leader="none" w:pos="209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Upon the occurrence and during the continuance of an Event of Default, after the Collateral Agent shall have provided the Borrower with at least 10 days’ notice of the suspension of the rights of the Grantors under paragraph (a)(i) of this Section 2.06, then all rights of any Grantor to exercise the voting and consensual rights and powers it is entitled to exercise pursuant to paragraph (a)(i) of this Section 2.06, and the obligations of the Collateral Agent under paragraph (a)(ii) of this Section 2.06, shall cease, and all such rights shall thereupon become vested in the Collateral Agent, which shall have the sole and exclusive right and authority to exercise such voting and consensual rights and powers;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otherwise directed by the Required Lenders, the Collateral Agent shall have the right from time to time following and during the continuance of an Event of Default to permit the Grantors to exercise such rights at the discretion of the Collateral Agent. After all Events of Default have been cured or waived, each Grantor shall have the exclusive right to exercise the voting and/or consensual rights and powers that such Grantor would otherwise be entitled to exercise pursuant to the terms of paragraph (a)(i) of this Section 2.06.</w:t>
      </w:r>
    </w:p>
    <w:p>
      <w:pPr>
        <w:spacing w:after="0" w:line="181" w:lineRule="exact"/>
        <w:rPr>
          <w:rFonts w:ascii="Arial" w:cs="Arial" w:eastAsia="Arial" w:hAnsi="Arial"/>
          <w:sz w:val="17"/>
          <w:szCs w:val="17"/>
          <w:color w:val="auto"/>
        </w:rPr>
      </w:pPr>
    </w:p>
    <w:p>
      <w:pPr>
        <w:ind w:right="20" w:firstLine="1305"/>
        <w:spacing w:after="0" w:line="257" w:lineRule="auto"/>
        <w:tabs>
          <w:tab w:leader="none" w:pos="208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Any notice given by the Collateral Agent to the Borrower suspending the rights of the Grantors under paragraph (a) of this Section 2.06 (i) shall be given in writing, (ii) may be given with respect to one or more of the Grantors at the same or different times and (iii) may suspend the rights of the Grantors under paragraph (a)(i) or paragraph (a)(iii) of this Section 2.06 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Interests in Personal Property</w:t>
      </w:r>
    </w:p>
    <w:p>
      <w:pPr>
        <w:spacing w:after="0" w:line="22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Security Interest</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7" w:lineRule="auto"/>
        <w:tabs>
          <w:tab w:leader="none" w:pos="207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As security for the payment or performance, as the case may be, in full of the Obligations, including the Guarantees, each Grantor hereby pledges to the Collateral Agent, for the benefit of the Secured Parties, and hereby grants to the Collateral Agent, for the benefit of the Secured Parties, a security interest (the “</w:t>
      </w:r>
      <w:r>
        <w:rPr>
          <w:rFonts w:ascii="Arial" w:cs="Arial" w:eastAsia="Arial" w:hAnsi="Arial"/>
          <w:sz w:val="18"/>
          <w:szCs w:val="18"/>
          <w:b w:val="1"/>
          <w:bCs w:val="1"/>
          <w:color w:val="auto"/>
        </w:rPr>
        <w:t>Security Interest</w:t>
      </w:r>
      <w:r>
        <w:rPr>
          <w:rFonts w:ascii="Arial" w:cs="Arial" w:eastAsia="Arial" w:hAnsi="Arial"/>
          <w:sz w:val="18"/>
          <w:szCs w:val="18"/>
          <w:color w:val="auto"/>
        </w:rPr>
        <w:t>”) in all right, title or interest in or to any and all of the following assets and properties now owned or at any time hereafter acquired by such Grantor or in which such Grantor now has or at any time in the future may acquire any right, title or interest (collectively, the “</w:t>
      </w:r>
      <w:r>
        <w:rPr>
          <w:rFonts w:ascii="Arial" w:cs="Arial" w:eastAsia="Arial" w:hAnsi="Arial"/>
          <w:sz w:val="18"/>
          <w:szCs w:val="18"/>
          <w:b w:val="1"/>
          <w:bCs w:val="1"/>
          <w:color w:val="auto"/>
        </w:rPr>
        <w:t>Article 9 Collateral</w:t>
      </w:r>
      <w:r>
        <w:rPr>
          <w:rFonts w:ascii="Arial" w:cs="Arial" w:eastAsia="Arial" w:hAnsi="Arial"/>
          <w:sz w:val="18"/>
          <w:szCs w:val="18"/>
          <w:color w:val="auto"/>
        </w:rPr>
        <w:t>”):</w:t>
      </w:r>
    </w:p>
    <w:p>
      <w:pPr>
        <w:spacing w:after="0" w:line="188" w:lineRule="exact"/>
        <w:rPr>
          <w:sz w:val="20"/>
          <w:szCs w:val="20"/>
          <w:color w:val="auto"/>
        </w:rPr>
      </w:pPr>
    </w:p>
    <w:p>
      <w:pPr>
        <w:ind w:left="2100" w:hanging="795"/>
        <w:spacing w:after="0"/>
        <w:tabs>
          <w:tab w:leader="none" w:pos="21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2120" w:hanging="815"/>
        <w:spacing w:after="0"/>
        <w:tabs>
          <w:tab w:leader="none" w:pos="21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225" w:lineRule="exact"/>
        <w:rPr>
          <w:rFonts w:ascii="Arial" w:cs="Arial" w:eastAsia="Arial" w:hAnsi="Arial"/>
          <w:sz w:val="18"/>
          <w:szCs w:val="18"/>
          <w:color w:val="auto"/>
        </w:rPr>
      </w:pPr>
    </w:p>
    <w:p>
      <w:pPr>
        <w:ind w:left="2120" w:hanging="815"/>
        <w:spacing w:after="0"/>
        <w:tabs>
          <w:tab w:leader="none" w:pos="21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Commercial Tort Claims listed on Schedule II hereto;</w:t>
      </w:r>
    </w:p>
    <w:p>
      <w:pPr>
        <w:spacing w:after="0" w:line="225" w:lineRule="exact"/>
        <w:rPr>
          <w:rFonts w:ascii="Arial" w:cs="Arial" w:eastAsia="Arial" w:hAnsi="Arial"/>
          <w:sz w:val="18"/>
          <w:szCs w:val="18"/>
          <w:color w:val="auto"/>
        </w:rPr>
      </w:pPr>
    </w:p>
    <w:p>
      <w:pPr>
        <w:ind w:left="2100" w:hanging="795"/>
        <w:spacing w:after="0"/>
        <w:tabs>
          <w:tab w:leader="none" w:pos="21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225" w:lineRule="exact"/>
        <w:rPr>
          <w:rFonts w:ascii="Arial" w:cs="Arial" w:eastAsia="Arial" w:hAnsi="Arial"/>
          <w:sz w:val="18"/>
          <w:szCs w:val="18"/>
          <w:color w:val="auto"/>
        </w:rPr>
      </w:pPr>
    </w:p>
    <w:p>
      <w:pPr>
        <w:ind w:left="2100" w:hanging="795"/>
        <w:spacing w:after="0"/>
        <w:tabs>
          <w:tab w:leader="none" w:pos="21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2100" w:hanging="795"/>
        <w:spacing w:after="0"/>
        <w:tabs>
          <w:tab w:leader="none" w:pos="21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25" w:lineRule="exact"/>
        <w:rPr>
          <w:rFonts w:ascii="Arial" w:cs="Arial" w:eastAsia="Arial" w:hAnsi="Arial"/>
          <w:sz w:val="18"/>
          <w:szCs w:val="18"/>
          <w:color w:val="auto"/>
        </w:rPr>
      </w:pPr>
    </w:p>
    <w:p>
      <w:pPr>
        <w:ind w:left="2120" w:hanging="815"/>
        <w:spacing w:after="0"/>
        <w:tabs>
          <w:tab w:leader="none" w:pos="21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20" w:hanging="815"/>
        <w:spacing w:after="0"/>
        <w:tabs>
          <w:tab w:leader="none" w:pos="21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all General Intangibles and all Intellectual Property;</w:t>
      </w:r>
    </w:p>
    <w:p>
      <w:pPr>
        <w:spacing w:after="0" w:line="225" w:lineRule="exact"/>
        <w:rPr>
          <w:rFonts w:ascii="Arial" w:cs="Arial" w:eastAsia="Arial" w:hAnsi="Arial"/>
          <w:sz w:val="18"/>
          <w:szCs w:val="18"/>
          <w:color w:val="auto"/>
        </w:rPr>
      </w:pPr>
    </w:p>
    <w:p>
      <w:pPr>
        <w:ind w:left="2100" w:hanging="795"/>
        <w:spacing w:after="0"/>
        <w:tabs>
          <w:tab w:leader="none" w:pos="21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all Goods;</w:t>
      </w:r>
    </w:p>
    <w:p>
      <w:pPr>
        <w:spacing w:after="0" w:line="225" w:lineRule="exact"/>
        <w:rPr>
          <w:rFonts w:ascii="Arial" w:cs="Arial" w:eastAsia="Arial" w:hAnsi="Arial"/>
          <w:sz w:val="18"/>
          <w:szCs w:val="18"/>
          <w:color w:val="auto"/>
        </w:rPr>
      </w:pPr>
    </w:p>
    <w:p>
      <w:pPr>
        <w:ind w:left="2100" w:hanging="795"/>
        <w:spacing w:after="0"/>
        <w:tabs>
          <w:tab w:leader="none" w:pos="21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25" w:lineRule="exact"/>
        <w:rPr>
          <w:rFonts w:ascii="Arial" w:cs="Arial" w:eastAsia="Arial" w:hAnsi="Arial"/>
          <w:sz w:val="18"/>
          <w:szCs w:val="18"/>
          <w:color w:val="auto"/>
        </w:rPr>
      </w:pPr>
    </w:p>
    <w:p>
      <w:pPr>
        <w:ind w:left="2100" w:hanging="795"/>
        <w:spacing w:after="0"/>
        <w:tabs>
          <w:tab w:leader="none" w:pos="21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2120" w:hanging="815"/>
        <w:spacing w:after="0"/>
        <w:tabs>
          <w:tab w:leader="none" w:pos="21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all Investment Property;</w:t>
      </w:r>
    </w:p>
    <w:p>
      <w:pPr>
        <w:sectPr>
          <w:pgSz w:w="11900" w:h="16838" w:orient="portrait"/>
          <w:cols w:equalWidth="0" w:num="1">
            <w:col w:w="11420"/>
          </w:cols>
          <w:pgMar w:left="240" w:top="125" w:right="239" w:bottom="0" w:gutter="0" w:footer="0" w:header="0"/>
        </w:sectPr>
      </w:pPr>
    </w:p>
    <w:bookmarkStart w:id="119" w:name="page120"/>
    <w:bookmarkEnd w:id="119"/>
    <w:p>
      <w:pPr>
        <w:ind w:left="2120" w:hanging="815"/>
        <w:spacing w:after="0"/>
        <w:tabs>
          <w:tab w:leader="none" w:pos="21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all Pledged Securities;</w:t>
      </w:r>
    </w:p>
    <w:p>
      <w:pPr>
        <w:spacing w:after="0" w:line="225" w:lineRule="exact"/>
        <w:rPr>
          <w:rFonts w:ascii="Arial" w:cs="Arial" w:eastAsia="Arial" w:hAnsi="Arial"/>
          <w:sz w:val="18"/>
          <w:szCs w:val="18"/>
          <w:color w:val="auto"/>
        </w:rPr>
      </w:pPr>
    </w:p>
    <w:p>
      <w:pPr>
        <w:ind w:left="2100" w:hanging="795"/>
        <w:spacing w:after="0"/>
        <w:tabs>
          <w:tab w:leader="none" w:pos="21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all books and records pertaining to the Article 9 Collateral;</w:t>
      </w:r>
    </w:p>
    <w:p>
      <w:pPr>
        <w:spacing w:after="0" w:line="225" w:lineRule="exact"/>
        <w:rPr>
          <w:rFonts w:ascii="Arial" w:cs="Arial" w:eastAsia="Arial" w:hAnsi="Arial"/>
          <w:sz w:val="18"/>
          <w:szCs w:val="18"/>
          <w:color w:val="auto"/>
        </w:rPr>
      </w:pPr>
    </w:p>
    <w:p>
      <w:pPr>
        <w:ind w:left="2100" w:hanging="795"/>
        <w:spacing w:after="0"/>
        <w:tabs>
          <w:tab w:leader="none" w:pos="21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all Letters of Credit and Letter-of-Credit Rights;</w:t>
      </w:r>
    </w:p>
    <w:p>
      <w:pPr>
        <w:spacing w:after="0" w:line="225" w:lineRule="exact"/>
        <w:rPr>
          <w:rFonts w:ascii="Arial" w:cs="Arial" w:eastAsia="Arial" w:hAnsi="Arial"/>
          <w:sz w:val="18"/>
          <w:szCs w:val="18"/>
          <w:color w:val="auto"/>
        </w:rPr>
      </w:pPr>
    </w:p>
    <w:p>
      <w:pPr>
        <w:ind w:left="2100" w:hanging="795"/>
        <w:spacing w:after="0"/>
        <w:tabs>
          <w:tab w:leader="none" w:pos="21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all Money; and</w:t>
      </w:r>
    </w:p>
    <w:p>
      <w:pPr>
        <w:spacing w:after="0" w:line="225" w:lineRule="exact"/>
        <w:rPr>
          <w:rFonts w:ascii="Arial" w:cs="Arial" w:eastAsia="Arial" w:hAnsi="Arial"/>
          <w:sz w:val="18"/>
          <w:szCs w:val="18"/>
          <w:color w:val="auto"/>
        </w:rPr>
      </w:pPr>
    </w:p>
    <w:p>
      <w:pPr>
        <w:ind w:left="660" w:right="260" w:firstLine="645"/>
        <w:spacing w:after="0" w:line="277" w:lineRule="auto"/>
        <w:tabs>
          <w:tab w:leader="none" w:pos="2113"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and products of any and all of the foregoing and all Supporting Obligations, collateral security and guarantees given by any Person with respect to any of the foregoing;</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anything to the contrary in this Agreement, this Agreement shall not constitute a grant of a security interest in (and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shall not include) any Excluded Assets, and, subject to Section 3.03(f)(vi), the Excluded Patents (provided that all Proceeds of the Excluded Patents are included in the Collateral).</w:t>
      </w:r>
    </w:p>
    <w:p>
      <w:pPr>
        <w:spacing w:after="0" w:line="181" w:lineRule="exact"/>
        <w:rPr>
          <w:sz w:val="20"/>
          <w:szCs w:val="20"/>
          <w:color w:val="auto"/>
        </w:rPr>
      </w:pPr>
    </w:p>
    <w:p>
      <w:pPr>
        <w:ind w:right="80" w:firstLine="1305"/>
        <w:spacing w:after="0" w:line="271" w:lineRule="auto"/>
        <w:tabs>
          <w:tab w:leader="none" w:pos="2087" w:val="left"/>
        </w:tabs>
        <w:numPr>
          <w:ilvl w:val="0"/>
          <w:numId w:val="374"/>
        </w:numPr>
        <w:rPr>
          <w:rFonts w:ascii="Arial" w:cs="Arial" w:eastAsia="Arial" w:hAnsi="Arial"/>
          <w:sz w:val="17"/>
          <w:szCs w:val="17"/>
          <w:color w:val="auto"/>
        </w:rPr>
      </w:pPr>
      <w:r>
        <w:rPr>
          <w:rFonts w:ascii="Arial" w:cs="Arial" w:eastAsia="Arial" w:hAnsi="Arial"/>
          <w:sz w:val="17"/>
          <w:szCs w:val="17"/>
          <w:color w:val="auto"/>
        </w:rPr>
        <w:t>Each Grantor hereby irrevocably authorizes the Collateral Agent for the benefit of the Secured Parties at any time and from time to time to file in any relevant jurisdiction any financing statements (including fixture filings) with respect to the Article 9 Collateral or any part thereof and amendments thereto that (i) indicate the Collateral as “all assets of the Debtor, whether now owned or hereafter acquired” or words of similar effect as being of an equal or lesser scope or with greater detail, and (ii) contain the information required by Article 9 of the Uniform Commercial Code or the analogous legislation of each applicable jurisdiction for the filing of any financing statement or amendment, including (A) whether such Grantor is an organization, the type of organization and, if required, any organizational identification number issued to such Grantor and (B) in the case of a financing statement filed as a fixture filing, a sufficient description of the real property to which such Article 9 Collateral relates. Each Grantor agrees to provide such information to the Collateral Agent promptly upon any reasonable request.</w:t>
      </w:r>
    </w:p>
    <w:p>
      <w:pPr>
        <w:spacing w:after="0" w:line="178" w:lineRule="exact"/>
        <w:rPr>
          <w:rFonts w:ascii="Arial" w:cs="Arial" w:eastAsia="Arial" w:hAnsi="Arial"/>
          <w:sz w:val="17"/>
          <w:szCs w:val="17"/>
          <w:color w:val="auto"/>
        </w:rPr>
      </w:pPr>
    </w:p>
    <w:p>
      <w:pPr>
        <w:ind w:right="280" w:firstLine="1305"/>
        <w:spacing w:after="0" w:line="277" w:lineRule="auto"/>
        <w:tabs>
          <w:tab w:leader="none" w:pos="209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Security Interest is granted as security only and shall not subject the Collateral Agent or any other Secured Party to, or in any way alter or modify, any obligation or liability of any Grantor with respect to or arising out of the Article 9 Collateral.</w:t>
      </w:r>
    </w:p>
    <w:p>
      <w:pPr>
        <w:spacing w:after="0" w:line="170" w:lineRule="exact"/>
        <w:rPr>
          <w:rFonts w:ascii="Arial" w:cs="Arial" w:eastAsia="Arial" w:hAnsi="Arial"/>
          <w:sz w:val="18"/>
          <w:szCs w:val="18"/>
          <w:color w:val="auto"/>
        </w:rPr>
      </w:pPr>
    </w:p>
    <w:p>
      <w:pPr>
        <w:ind w:right="20" w:firstLine="1305"/>
        <w:spacing w:after="0" w:line="259" w:lineRule="auto"/>
        <w:tabs>
          <w:tab w:leader="none" w:pos="208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Collateral Agent is authorized to file with the USPTO or the USCO (or any successor office) such documents as may be necessary or advisable for the purpose of perfecting, confirming, continuing, enforcing or protecting the Security Interest in United States Intellectual Property granted by each Grantor, without the signature of any Grantor, and naming any Grantor or the Grantor as debtors and the Collateral Agent as secured party.</w:t>
      </w:r>
    </w:p>
    <w:p>
      <w:pPr>
        <w:spacing w:after="0" w:line="186" w:lineRule="exact"/>
        <w:rPr>
          <w:rFonts w:ascii="Arial" w:cs="Arial" w:eastAsia="Arial" w:hAnsi="Arial"/>
          <w:sz w:val="18"/>
          <w:szCs w:val="18"/>
          <w:color w:val="auto"/>
        </w:rPr>
      </w:pPr>
    </w:p>
    <w:p>
      <w:pPr>
        <w:ind w:right="600" w:firstLine="1305"/>
        <w:spacing w:after="0" w:line="277" w:lineRule="auto"/>
        <w:tabs>
          <w:tab w:leader="none" w:pos="209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Notwithstanding anything to the contrary in the Loan Documents, none of the Grantors shall be required (i) to perfect the Security Interests granted by this Security Agreement (including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0"/>
        <w:spacing w:after="0" w:line="291" w:lineRule="auto"/>
        <w:rPr>
          <w:sz w:val="20"/>
          <w:szCs w:val="20"/>
          <w:color w:val="auto"/>
        </w:rPr>
      </w:pPr>
      <w:r>
        <w:rPr>
          <w:rFonts w:ascii="Arial" w:cs="Arial" w:eastAsia="Arial" w:hAnsi="Arial"/>
          <w:sz w:val="16"/>
          <w:szCs w:val="16"/>
          <w:color w:val="auto"/>
        </w:rPr>
        <w:t>Security Interests in Investment Property and Fixtures) by any means other than by (A) filings pursuant to the Uniform Commercial Code of the relevant State(s) (excluding fixture filings in respect of anything other than Real Property required to be subject to a Mortgage pursuant to the Loan Documents),</w:t>
      </w:r>
    </w:p>
    <w:p>
      <w:pPr>
        <w:ind w:right="40" w:firstLine="8"/>
        <w:spacing w:after="0" w:line="253" w:lineRule="auto"/>
        <w:tabs>
          <w:tab w:leader="none" w:pos="28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filings in United States government offices with respect to Intellectual Property as expressly required elsewhere herein, (C) delivery to the Collateral Agent to be held in its possession of all Collateral consisting of Instruments or Pledged Securities as expressly required elsewhere herein or(D) other methods expressly provided herein, (ii) to enter into any deposit account control agreement or securities account control agreement with respect to any deposit account or securities account, (iii) to take any action (other than the actions listed in clause (i)(A), and (C) above) with respect to any assets located outside of the United States or (iv) to perfect in any assets subject to a certificate of title statute.</w:t>
      </w:r>
    </w:p>
    <w:p>
      <w:pPr>
        <w:spacing w:after="0" w:line="19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Grantors jointly and severally represent, warrant and covenant, as to themselves and the other Grantors, to and with the Collateral Agent, for the benefit of the Secured Parties, that:</w:t>
      </w:r>
    </w:p>
    <w:p>
      <w:pPr>
        <w:spacing w:after="0" w:line="170" w:lineRule="exact"/>
        <w:rPr>
          <w:sz w:val="20"/>
          <w:szCs w:val="20"/>
          <w:color w:val="auto"/>
        </w:rPr>
      </w:pPr>
    </w:p>
    <w:p>
      <w:pPr>
        <w:ind w:left="660" w:right="320" w:firstLine="645"/>
        <w:spacing w:after="0" w:line="277" w:lineRule="auto"/>
        <w:tabs>
          <w:tab w:leader="none" w:pos="208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Subject to Liens permitted by Section 7.01 of the Credit Agreement, each Grantor has good and valid rights in and title to the Article 9 Collateral with respect to which it has purported to grant a Security Interest hereunder.</w:t>
      </w:r>
    </w:p>
    <w:p>
      <w:pPr>
        <w:spacing w:after="0" w:line="170" w:lineRule="exact"/>
        <w:rPr>
          <w:rFonts w:ascii="Arial" w:cs="Arial" w:eastAsia="Arial" w:hAnsi="Arial"/>
          <w:sz w:val="18"/>
          <w:szCs w:val="18"/>
          <w:color w:val="auto"/>
        </w:rPr>
      </w:pPr>
    </w:p>
    <w:p>
      <w:pPr>
        <w:ind w:left="660" w:right="20" w:firstLine="645"/>
        <w:spacing w:after="0" w:line="287" w:lineRule="auto"/>
        <w:tabs>
          <w:tab w:leader="none" w:pos="2099"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Uniform Commercial Code financing statements (including fixture filings solely in respect of Real Property required to be subject to a Mortgage pursuant to the Loan Documents, as applicable) or other appropriate filings, recordings or registrations prepared by the Collateral Agent based upon the information provided to the Collateral Agent in the Perfection Certificate for filing in each governmental, municipal or other office specified in Schedule 5 to the Perfection Certificate (or specified by notice from the Borrower to the Collateral Agent after the Closing Date in the case of filings, recordings or registrations (other than filings required to be made in the USPTO and the USCO in order to perfect the Security Interest in Article 9 Collateral consisting of United States Patents, Trademarks and Copyrights) required by the Credit Agreement), are all the filings, recordings and registrations that are necessary to establish a legal, valid and perfected security interest in favor of the Collateral Agent (for the benefit of the Secured Parties) in respect of all Article 9 Collateral in which the Security Interest may be perfected by filing, recording or registration in the United States (or any political subdivision thereof) and its territories and possessions, and no further or subsequent filing, refiling, recording, rerecording, registration or reregistration is necessary in any such jurisdiction, except as provided under applicable law with respect to the filing of continuation statements and as required to be made in the USPTO and USCO in order to perfect the Security Interest in Article 9 Collateral consisting of Patents, Trademarks and Copyrights acquired or developed by the Grantors after the date hereof.</w:t>
      </w:r>
    </w:p>
    <w:p>
      <w:pPr>
        <w:spacing w:after="0" w:line="168" w:lineRule="exact"/>
        <w:rPr>
          <w:rFonts w:ascii="Arial" w:cs="Arial" w:eastAsia="Arial" w:hAnsi="Arial"/>
          <w:sz w:val="16"/>
          <w:szCs w:val="16"/>
          <w:color w:val="auto"/>
        </w:rPr>
      </w:pPr>
    </w:p>
    <w:p>
      <w:pPr>
        <w:ind w:left="660" w:right="160" w:firstLine="645"/>
        <w:spacing w:after="0" w:line="270" w:lineRule="auto"/>
        <w:tabs>
          <w:tab w:leader="none" w:pos="2102" w:val="left"/>
        </w:tabs>
        <w:numPr>
          <w:ilvl w:val="0"/>
          <w:numId w:val="376"/>
        </w:numPr>
        <w:rPr>
          <w:rFonts w:ascii="Arial" w:cs="Arial" w:eastAsia="Arial" w:hAnsi="Arial"/>
          <w:sz w:val="17"/>
          <w:szCs w:val="17"/>
          <w:color w:val="auto"/>
        </w:rPr>
      </w:pPr>
      <w:r>
        <w:rPr>
          <w:rFonts w:ascii="Arial" w:cs="Arial" w:eastAsia="Arial" w:hAnsi="Arial"/>
          <w:sz w:val="17"/>
          <w:szCs w:val="17"/>
          <w:color w:val="auto"/>
        </w:rPr>
        <w:t>Each Grantor represents and warrants that short-form Intellectual Property Security Agreements containing a description of all Article 9 Collateral consisting of United States Patents (except the Excluded Patents), United States registered Trademarks (and Trademarks for which United States registration applications are pending, unless it constitutes an Excluded Asset) and United States registered Copyrights, respectively, have been or on the Closing Date shall be delivered to the Collateral Agent for recording by the USPTO and the USCO pursuant to 35 U.S.C. § 261, 15 U.S.C. § 1060 or 17 U.S.C. § 205 and the regulations thereunder, as applicable, as may be necessary to establish a valid and perfected security interest in favor of the Collateral Agent (for the benefit of the Secured Parties) in respect of all Article 9 Collateral consisting of registrations and applications for Patents (except the Excluded Patents), Trademarks (except pending Trademark applications that constitute Excluded Assets) and Copyrights to the extent a security interest may be perfected by filing, recording or registration in the USPTO or the USCO, and no further or subsequent filing, refiling, recording, rerecording, registration or reregistration</w:t>
      </w:r>
    </w:p>
    <w:p>
      <w:pPr>
        <w:sectPr>
          <w:pgSz w:w="11900" w:h="16838" w:orient="portrait"/>
          <w:cols w:equalWidth="0" w:num="1">
            <w:col w:w="11420"/>
          </w:cols>
          <w:pgMar w:left="240" w:top="125" w:right="239" w:bottom="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is necessary (other than (i) such filings and actions as are necessary to perfect the Security Interest with respect to any Article 9 Collateral consisting of Patents, Trademarks and Copyrights (or registration or application for registration thereof) acquired or developed by any Grantor after the date hereof, and, in accordance with Section 3.03(f)(vi), the Excluded Patents (if any), and (ii) the UCC financing and continuation statements contemplated in Section 3.02(b)).</w:t>
      </w:r>
    </w:p>
    <w:p>
      <w:pPr>
        <w:spacing w:after="0" w:line="187" w:lineRule="exact"/>
        <w:rPr>
          <w:sz w:val="20"/>
          <w:szCs w:val="20"/>
          <w:color w:val="auto"/>
        </w:rPr>
      </w:pPr>
    </w:p>
    <w:p>
      <w:pPr>
        <w:ind w:left="660" w:firstLine="645"/>
        <w:spacing w:after="0" w:line="273" w:lineRule="auto"/>
        <w:tabs>
          <w:tab w:leader="none" w:pos="2099" w:val="left"/>
        </w:tabs>
        <w:numPr>
          <w:ilvl w:val="1"/>
          <w:numId w:val="377"/>
        </w:numPr>
        <w:rPr>
          <w:rFonts w:ascii="Arial" w:cs="Arial" w:eastAsia="Arial" w:hAnsi="Arial"/>
          <w:sz w:val="17"/>
          <w:szCs w:val="17"/>
          <w:color w:val="auto"/>
        </w:rPr>
      </w:pPr>
      <w:r>
        <w:rPr>
          <w:rFonts w:ascii="Arial" w:cs="Arial" w:eastAsia="Arial" w:hAnsi="Arial"/>
          <w:sz w:val="17"/>
          <w:szCs w:val="17"/>
          <w:color w:val="auto"/>
        </w:rPr>
        <w:t>(i) When all appropriate filings, recordings, registrations or notifications are made as may be required under applicable Law to perfect the Security Interest and (ii) upon the taking of possession or control by the Collateral Agent of such Article 9 Collateral with respect to which a security interest may be perfected only by possession or control (which possession or control shall be given to the Collateral Agent to the extent required by this Agreement or the Intercreditor Agreement, if then in effect), the Security Interest shall be prior to any other Lien on any of the Article 9 Collateral, other than (1) any nonconsensual Lien that is expressly permitted pursuant to Section 7.01 of the Credit Agreement and has priority as a matter of law and (2) Liens expressly permitted pursuant to Section 7.01 of the Credit Agreement.</w:t>
      </w:r>
    </w:p>
    <w:p>
      <w:pPr>
        <w:spacing w:after="0" w:line="178" w:lineRule="exact"/>
        <w:rPr>
          <w:rFonts w:ascii="Arial" w:cs="Arial" w:eastAsia="Arial" w:hAnsi="Arial"/>
          <w:sz w:val="17"/>
          <w:szCs w:val="17"/>
          <w:color w:val="auto"/>
        </w:rPr>
      </w:pPr>
    </w:p>
    <w:p>
      <w:pPr>
        <w:ind w:left="660" w:firstLine="645"/>
        <w:spacing w:after="0" w:line="286" w:lineRule="auto"/>
        <w:tabs>
          <w:tab w:leader="none" w:pos="2102" w:val="left"/>
        </w:tabs>
        <w:numPr>
          <w:ilvl w:val="1"/>
          <w:numId w:val="377"/>
        </w:numPr>
        <w:rPr>
          <w:rFonts w:ascii="Arial" w:cs="Arial" w:eastAsia="Arial" w:hAnsi="Arial"/>
          <w:sz w:val="16"/>
          <w:szCs w:val="16"/>
          <w:color w:val="auto"/>
        </w:rPr>
      </w:pPr>
      <w:r>
        <w:rPr>
          <w:rFonts w:ascii="Arial" w:cs="Arial" w:eastAsia="Arial" w:hAnsi="Arial"/>
          <w:sz w:val="16"/>
          <w:szCs w:val="16"/>
          <w:color w:val="auto"/>
        </w:rPr>
        <w:t>The Article 9 Collateral is owned by the Grantors free and clear of any Lien, except for Liens expressly permitted pursuant to Section 7.01 of the Credit Agreement. None of the Grantors has filed or consented to the filing of (i) any financing statement or analogous document under the New York UCC or any other applicable United States laws covering any Article 9 Collateral, (ii) any assignment in which any Grantor assigns any Article 9 Collateral or any security agreement or similar instrument covering any Article 9 Collateral with the USPTO or the USCO or</w:t>
      </w:r>
    </w:p>
    <w:p>
      <w:pPr>
        <w:spacing w:after="0" w:line="1" w:lineRule="exact"/>
        <w:rPr>
          <w:rFonts w:ascii="Arial" w:cs="Arial" w:eastAsia="Arial" w:hAnsi="Arial"/>
          <w:sz w:val="16"/>
          <w:szCs w:val="16"/>
          <w:color w:val="auto"/>
        </w:rPr>
      </w:pPr>
    </w:p>
    <w:p>
      <w:pPr>
        <w:ind w:left="660" w:right="320" w:hanging="4"/>
        <w:spacing w:after="0" w:line="254" w:lineRule="auto"/>
        <w:tabs>
          <w:tab w:leader="none" w:pos="97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assignment in which any Grantor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for Liens expressly permitted pursuant to Section 7.01 of the Credit Agreement.</w:t>
      </w:r>
    </w:p>
    <w:p>
      <w:pPr>
        <w:spacing w:after="0" w:line="19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5"/>
          <w:szCs w:val="15"/>
          <w:u w:val="single" w:color="auto"/>
          <w:color w:val="auto"/>
        </w:rPr>
        <w:t>Covenants</w:t>
      </w:r>
      <w:r>
        <w:rPr>
          <w:rFonts w:ascii="Arial" w:cs="Arial" w:eastAsia="Arial" w:hAnsi="Arial"/>
          <w:sz w:val="15"/>
          <w:szCs w:val="15"/>
          <w:color w:val="auto"/>
        </w:rPr>
        <w:t>.</w:t>
      </w:r>
    </w:p>
    <w:p>
      <w:pPr>
        <w:spacing w:after="0" w:line="225" w:lineRule="exact"/>
        <w:rPr>
          <w:sz w:val="20"/>
          <w:szCs w:val="20"/>
          <w:color w:val="auto"/>
        </w:rPr>
      </w:pPr>
    </w:p>
    <w:p>
      <w:pPr>
        <w:ind w:right="80" w:firstLine="1305"/>
        <w:spacing w:after="0" w:line="255" w:lineRule="auto"/>
        <w:tabs>
          <w:tab w:leader="none" w:pos="207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Borrower agrees promptly (and in any event within 60 days after such change) to notify the Collateral Agent in writing of any change in (i) legal name of any Grantor, (ii) the type of organization of any Grantor, (iii) the jurisdiction of organization of any Grantor, or (iv) the chief executive office of any Grantor and, upon request by the Collateral Agent, take all actions necessary to continue the perfection of the security interest created hereunder following any such change with the same priority as immediately prior to such change. The Borrower agrees promptly to provide the Collateral Agent after notification of any such change with certified Organization Documents reflecting any of the changes described in the first sentence of this paragraph.</w:t>
      </w:r>
    </w:p>
    <w:p>
      <w:pPr>
        <w:spacing w:after="0" w:line="193" w:lineRule="exact"/>
        <w:rPr>
          <w:rFonts w:ascii="Arial" w:cs="Arial" w:eastAsia="Arial" w:hAnsi="Arial"/>
          <w:sz w:val="18"/>
          <w:szCs w:val="18"/>
          <w:color w:val="auto"/>
        </w:rPr>
      </w:pPr>
    </w:p>
    <w:p>
      <w:pPr>
        <w:ind w:right="40" w:firstLine="1305"/>
        <w:spacing w:after="0" w:line="342" w:lineRule="auto"/>
        <w:tabs>
          <w:tab w:leader="none" w:pos="2087" w:val="left"/>
        </w:tabs>
        <w:numPr>
          <w:ilvl w:val="0"/>
          <w:numId w:val="379"/>
        </w:numPr>
        <w:rPr>
          <w:rFonts w:ascii="Arial" w:cs="Arial" w:eastAsia="Arial" w:hAnsi="Arial"/>
          <w:sz w:val="16"/>
          <w:szCs w:val="16"/>
          <w:color w:val="auto"/>
        </w:rPr>
      </w:pPr>
      <w:r>
        <w:rPr>
          <w:rFonts w:ascii="Arial" w:cs="Arial" w:eastAsia="Arial" w:hAnsi="Arial"/>
          <w:sz w:val="16"/>
          <w:szCs w:val="16"/>
          <w:color w:val="auto"/>
        </w:rPr>
        <w:t>Each year, at the time of delivery of annual financial statements with respect to the preceding fiscal year pursuant to Section 6.01 of the Credit Agreement, the Borrower shall deliver a Perfection Certificate Supplement in accordance with Section 6.02(c) of the Credit Agreement.</w:t>
      </w:r>
    </w:p>
    <w:p>
      <w:pPr>
        <w:spacing w:after="0" w:line="123" w:lineRule="exact"/>
        <w:rPr>
          <w:rFonts w:ascii="Arial" w:cs="Arial" w:eastAsia="Arial" w:hAnsi="Arial"/>
          <w:sz w:val="16"/>
          <w:szCs w:val="16"/>
          <w:color w:val="auto"/>
        </w:rPr>
      </w:pPr>
    </w:p>
    <w:p>
      <w:pPr>
        <w:ind w:right="80" w:firstLine="1305"/>
        <w:spacing w:after="0" w:line="257" w:lineRule="auto"/>
        <w:tabs>
          <w:tab w:leader="none" w:pos="209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Grantor agrees, at its own expense, to execute, acknowledge, deliver and cause to be duly filed all such further instruments and documents and take all such actions as the Collateral Agent may from time to time reasonably request to better assure, preserve, protect and perfect the Security Interest and the rights and remedies created hereby, including the payment of any fees and taxes required in connection with the execution and delivery of this Agreement, the granting of the Security Interest and the filing of any financing statements (including fixture filings) or other documents in connection herewith or therewith.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69" w:lineRule="auto"/>
        <w:tabs>
          <w:tab w:leader="none" w:pos="2087" w:val="left"/>
        </w:tabs>
        <w:numPr>
          <w:ilvl w:val="0"/>
          <w:numId w:val="380"/>
        </w:numPr>
        <w:rPr>
          <w:rFonts w:ascii="Arial" w:cs="Arial" w:eastAsia="Arial" w:hAnsi="Arial"/>
          <w:sz w:val="17"/>
          <w:szCs w:val="17"/>
          <w:color w:val="auto"/>
        </w:rPr>
      </w:pPr>
      <w:r>
        <w:rPr>
          <w:rFonts w:ascii="Arial" w:cs="Arial" w:eastAsia="Arial" w:hAnsi="Arial"/>
          <w:sz w:val="17"/>
          <w:szCs w:val="17"/>
          <w:color w:val="auto"/>
        </w:rPr>
        <w:t xml:space="preserve">At its option, the Collateral Agent may discharge past due taxes, assessments, charges, fees, Liens, security interests or other encumbrances at any time levied or placed on the Article 9 Collateral and not permitted pursuant to Section 7.01 of the Credit Agreement, and may pay for the maintenance and preservation of the Article 9 Collateral to the extent any Grantor fails to do so as required by the Credit Agreement, this Agreement or any other Loan Document and within a reasonable period of time after the Collateral Agent has requested that it do so, and each Grantor jointly and severally agrees to reimburse the Collateral Agent within 10 Business Days after demand for any payment made or any reasonable expense incurred by the Collateral Agent pursuant to the foregoing authorization in accordance with Section 5.03;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Grantors shall not be obligated to reimburse the Collateral Agent with respect to any Intellectual Property Collateral which any Grantor has failed to maintain or pursue, or otherwise allowed to lapse, terminate or be put into the public domain, in accordance with Section 3.03(f)(iv). Nothing in this paragraph shall be interpreted as excusing any Grantor from the performance of, or imposing any obligation on the Collateral Agent or any Secured Party to cure or perform, any covenants or other promises of any Grantor with respect to taxes, assessments, charges, fees, Liens, security interests or other encumbrances and maintenance as set forth herein or in the other Loan Documents.</w:t>
      </w:r>
    </w:p>
    <w:p>
      <w:pPr>
        <w:spacing w:after="0" w:line="182" w:lineRule="exact"/>
        <w:rPr>
          <w:rFonts w:ascii="Arial" w:cs="Arial" w:eastAsia="Arial" w:hAnsi="Arial"/>
          <w:sz w:val="17"/>
          <w:szCs w:val="17"/>
          <w:color w:val="auto"/>
        </w:rPr>
      </w:pPr>
    </w:p>
    <w:p>
      <w:pPr>
        <w:ind w:right="40" w:firstLine="1305"/>
        <w:spacing w:after="0" w:line="272" w:lineRule="auto"/>
        <w:tabs>
          <w:tab w:leader="none" w:pos="2090" w:val="left"/>
        </w:tabs>
        <w:numPr>
          <w:ilvl w:val="0"/>
          <w:numId w:val="380"/>
        </w:numPr>
        <w:rPr>
          <w:rFonts w:ascii="Arial" w:cs="Arial" w:eastAsia="Arial" w:hAnsi="Arial"/>
          <w:sz w:val="17"/>
          <w:szCs w:val="17"/>
          <w:color w:val="auto"/>
        </w:rPr>
      </w:pPr>
      <w:r>
        <w:rPr>
          <w:rFonts w:ascii="Arial" w:cs="Arial" w:eastAsia="Arial" w:hAnsi="Arial"/>
          <w:sz w:val="17"/>
          <w:szCs w:val="17"/>
          <w:i w:val="1"/>
          <w:iCs w:val="1"/>
          <w:color w:val="auto"/>
        </w:rPr>
        <w:t>Commercial Tort Claims</w:t>
      </w:r>
      <w:r>
        <w:rPr>
          <w:rFonts w:ascii="Arial" w:cs="Arial" w:eastAsia="Arial" w:hAnsi="Arial"/>
          <w:sz w:val="17"/>
          <w:szCs w:val="17"/>
          <w:color w:val="auto"/>
        </w:rPr>
        <w:t>. If the Grantors shall at any time hold or acquire a Commercial Tort Claim in an amount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by such Grantor to exceed (i) $10,000,000 individually or (ii) when aggregated with all other Commercial Tort Claims for which this clause has not been satisfied, $50,000,000 in the aggregate, and, in each case, and for which a complaint in a court of competent jurisdiction has been filed, such Grantor shall within 60 days after the end of the fiscal quarter in which such complaint was filed (or such longer period as the Collateral Agent may agree in its reasonable discretion) notify the Collateral Agent thereof in a writing signed by such Grantor including a brief summary description of such claim and grant to the Collateral Agent, for the benefit of the Secured Parties, in such writing a security interest therein and in the proceeds thereof, all upon the terms of this Agreement, with such writing to be in form and substance reasonably satisfactory to the Collateral Agent.</w:t>
      </w:r>
    </w:p>
    <w:p>
      <w:pPr>
        <w:spacing w:after="0" w:line="177" w:lineRule="exact"/>
        <w:rPr>
          <w:rFonts w:ascii="Arial" w:cs="Arial" w:eastAsia="Arial" w:hAnsi="Arial"/>
          <w:sz w:val="17"/>
          <w:szCs w:val="17"/>
          <w:color w:val="auto"/>
        </w:rPr>
      </w:pPr>
    </w:p>
    <w:p>
      <w:pPr>
        <w:ind w:left="2100" w:hanging="795"/>
        <w:spacing w:after="0"/>
        <w:tabs>
          <w:tab w:leader="none" w:pos="2100"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Intellectual Property Covenants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73" w:lineRule="auto"/>
        <w:tabs>
          <w:tab w:leader="none" w:pos="2101" w:val="left"/>
        </w:tabs>
        <w:numPr>
          <w:ilvl w:val="0"/>
          <w:numId w:val="381"/>
        </w:numPr>
        <w:rPr>
          <w:rFonts w:ascii="Arial" w:cs="Arial" w:eastAsia="Arial" w:hAnsi="Arial"/>
          <w:sz w:val="17"/>
          <w:szCs w:val="17"/>
          <w:color w:val="auto"/>
        </w:rPr>
      </w:pPr>
      <w:r>
        <w:rPr>
          <w:rFonts w:ascii="Arial" w:cs="Arial" w:eastAsia="Arial" w:hAnsi="Arial"/>
          <w:sz w:val="17"/>
          <w:szCs w:val="17"/>
          <w:color w:val="auto"/>
        </w:rPr>
        <w:t>Other than to the extent permitted herein or in the Credit Agreement or with respect to registrations and applications no longer used or useful, and except to the extent failure to act would not, as deemed by the Borrower in its reasonable business judgment, reasonably be expected to have a Material Adverse Effect, with respect to registration or pending application of each item of its Intellectual Property included in the Article 9 Collateral for which such Grantor has standing to do so, each Grantor agrees to take, at its expense, all reasonable steps, including, without limitation, in the USPTO, the USCO and any other governmental authority located in the United States, to pursue the registration and maintenance of each Patent, Trademark, or Copyright registration or application, now or hereafter included in such Article 9 Collateral of such Grantor.</w:t>
      </w:r>
    </w:p>
    <w:p>
      <w:pPr>
        <w:sectPr>
          <w:pgSz w:w="11900" w:h="16838" w:orient="portrait"/>
          <w:cols w:equalWidth="0" w:num="1">
            <w:col w:w="11420"/>
          </w:cols>
          <w:pgMar w:left="240" w:top="125" w:right="239" w:bottom="0" w:gutter="0" w:footer="0" w:header="0"/>
        </w:sectPr>
      </w:pPr>
    </w:p>
    <w:bookmarkStart w:id="121" w:name="page122"/>
    <w:bookmarkEnd w:id="121"/>
    <w:p>
      <w:pPr>
        <w:ind w:right="60" w:firstLine="1305"/>
        <w:spacing w:after="0" w:line="302" w:lineRule="auto"/>
        <w:tabs>
          <w:tab w:leader="none" w:pos="2111" w:val="left"/>
        </w:tabs>
        <w:numPr>
          <w:ilvl w:val="0"/>
          <w:numId w:val="382"/>
        </w:numPr>
        <w:rPr>
          <w:rFonts w:ascii="Arial" w:cs="Arial" w:eastAsia="Arial" w:hAnsi="Arial"/>
          <w:sz w:val="16"/>
          <w:szCs w:val="16"/>
          <w:color w:val="auto"/>
        </w:rPr>
      </w:pPr>
      <w:r>
        <w:rPr>
          <w:rFonts w:ascii="Arial" w:cs="Arial" w:eastAsia="Arial" w:hAnsi="Arial"/>
          <w:sz w:val="16"/>
          <w:szCs w:val="16"/>
          <w:color w:val="auto"/>
        </w:rPr>
        <w:t>Other than to the extent permitted herein or in the Credit Agreement, or with respect to registrations and applications no longer used or useful, or except as would not, as deemed by the Borrower in its reasonable business judgment, reasonably be expected to have a Material Adverse Effect, no Grantor shall do or permit any act or knowingly omit to do any act whereby any of its Intellectual Property included in the Article 9 Collateral may lapse, be terminated, or become invalid or unenforceable or placed in the public domain (or in the case of a trade secret, becomes publicly known).</w:t>
      </w:r>
    </w:p>
    <w:p>
      <w:pPr>
        <w:spacing w:after="0" w:line="154" w:lineRule="exact"/>
        <w:rPr>
          <w:rFonts w:ascii="Arial" w:cs="Arial" w:eastAsia="Arial" w:hAnsi="Arial"/>
          <w:sz w:val="16"/>
          <w:szCs w:val="16"/>
          <w:color w:val="auto"/>
        </w:rPr>
      </w:pPr>
    </w:p>
    <w:p>
      <w:pPr>
        <w:ind w:right="140" w:firstLine="1305"/>
        <w:spacing w:after="0" w:line="286" w:lineRule="auto"/>
        <w:tabs>
          <w:tab w:leader="none" w:pos="212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Other than as excluded or as permitted herein or in the Credit Agreement, or with respect to Patents, Copyrights or Trademarks which are no longer used or useful in the Grantor’s business operations or except where failure to do so would not, as deemed by the Borrower in its reasonable business judgment, reasonably be expected to have a Material Adverse Effect, each Grantor shall take all reasonable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steps to preserve and protect each item of its Intellectual Property included in the Article 9 Collateral, including, without limitation, maintaining the quality of any and all products or services used or provided in connection with any of the Trademarks, consistent with the quality of the products and services as of the date hereof, and taking all reasonable steps necessary to ensure that all licensed users of any of the Trademarks abide by the applicable license’s terms with respect to standards of quality.</w:t>
      </w:r>
    </w:p>
    <w:p>
      <w:pPr>
        <w:spacing w:after="0" w:line="187" w:lineRule="exact"/>
        <w:rPr>
          <w:sz w:val="20"/>
          <w:szCs w:val="20"/>
          <w:color w:val="auto"/>
        </w:rPr>
      </w:pPr>
    </w:p>
    <w:p>
      <w:pPr>
        <w:ind w:right="120" w:firstLine="1305"/>
        <w:spacing w:after="0" w:line="259" w:lineRule="auto"/>
        <w:tabs>
          <w:tab w:leader="none" w:pos="209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Notwithstanding clauses (i) through (iii) above, nothing in this Agreement or any other Loan Document prevents any Grantor from Disposing of, discontinuing the use or maintenance of, failing to pursue, or otherwise allowing to lapse, terminate or be put into the public domain, any of its Intellectual Property included in the Article 9 Collateral to the extent permitted by the Credit Agreement if such Grantor determines in its reasonable business judgment that any of the foregoing actions is desirable in the conduct of its business.</w:t>
      </w:r>
    </w:p>
    <w:p>
      <w:pPr>
        <w:spacing w:after="0" w:line="186" w:lineRule="exact"/>
        <w:rPr>
          <w:rFonts w:ascii="Arial" w:cs="Arial" w:eastAsia="Arial" w:hAnsi="Arial"/>
          <w:sz w:val="18"/>
          <w:szCs w:val="18"/>
          <w:color w:val="auto"/>
        </w:rPr>
      </w:pPr>
    </w:p>
    <w:p>
      <w:pPr>
        <w:ind w:right="20" w:firstLine="1305"/>
        <w:spacing w:after="0" w:line="276" w:lineRule="auto"/>
        <w:tabs>
          <w:tab w:leader="none" w:pos="2087" w:val="left"/>
        </w:tabs>
        <w:numPr>
          <w:ilvl w:val="0"/>
          <w:numId w:val="383"/>
        </w:numPr>
        <w:rPr>
          <w:rFonts w:ascii="Arial" w:cs="Arial" w:eastAsia="Arial" w:hAnsi="Arial"/>
          <w:sz w:val="17"/>
          <w:szCs w:val="17"/>
          <w:color w:val="auto"/>
        </w:rPr>
      </w:pPr>
      <w:r>
        <w:rPr>
          <w:rFonts w:ascii="Arial" w:cs="Arial" w:eastAsia="Arial" w:hAnsi="Arial"/>
          <w:sz w:val="17"/>
          <w:szCs w:val="17"/>
          <w:color w:val="auto"/>
        </w:rPr>
        <w:t>Within 60 calendar days after the end of each calendar quarter each Grantor shall provide a list of any additional applications for or registrations of Intellectual Property of such Grantor not previously disclosed to the Collateral Agent including such information as is necessary for such Grantor to make appropriate filings in the USPTO and the USCO with respect to Intellectual Property included in the Article 9 Collateral and deliver to the Collateral Agent at such time the short-form security agreement with respect to such Patents, Trademarks or Copyrights in appropriate form for filing with the USPTO or USCO, as applicable and file such agreements with the USPTO or USCO, as applicable.</w:t>
      </w:r>
    </w:p>
    <w:p>
      <w:pPr>
        <w:spacing w:after="0" w:line="172" w:lineRule="exact"/>
        <w:rPr>
          <w:rFonts w:ascii="Arial" w:cs="Arial" w:eastAsia="Arial" w:hAnsi="Arial"/>
          <w:sz w:val="17"/>
          <w:szCs w:val="17"/>
          <w:color w:val="auto"/>
        </w:rPr>
      </w:pPr>
    </w:p>
    <w:p>
      <w:pPr>
        <w:ind w:firstLine="1305"/>
        <w:spacing w:after="0" w:line="263" w:lineRule="auto"/>
        <w:tabs>
          <w:tab w:leader="none" w:pos="2097" w:val="left"/>
        </w:tabs>
        <w:numPr>
          <w:ilvl w:val="0"/>
          <w:numId w:val="383"/>
        </w:numPr>
        <w:rPr>
          <w:rFonts w:ascii="Arial" w:cs="Arial" w:eastAsia="Arial" w:hAnsi="Arial"/>
          <w:sz w:val="17"/>
          <w:szCs w:val="17"/>
          <w:color w:val="auto"/>
        </w:rPr>
      </w:pPr>
      <w:r>
        <w:rPr>
          <w:rFonts w:ascii="Arial" w:cs="Arial" w:eastAsia="Arial" w:hAnsi="Arial"/>
          <w:sz w:val="17"/>
          <w:szCs w:val="17"/>
          <w:color w:val="auto"/>
        </w:rPr>
        <w:t>Notwithstanding that the Excluded Patents are not initially pledged as Collateral pursuant to Section 3.01(a): in the event that the applicable Grantor does not enter into one or more definitive agreements with a third party for the Disposition of such Excluded Patents by the later of January 31, 2014 or the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the Closing Date (the “Disposition Period”), then the applicable Grantor’s entire right, title and interest in and to the Excluded Patents that are not subject to any such definitive agreement shall automatically become part of the Intellectual Property included in the Collateral; provided that, if the Disposition is by means of a transaction other than a sale and assignment, then the following additional requirements shall apply: (i) the Grantor’s residual interest in the Disposed Excluded Patents shall automatically become part of the Collateral, (ii) any and all consideration that is received by Grantors by virtue of such transaction shall be included in the Collateral (whether or not it technically qualifies as “Proceeds”), and (iii) the Grantor shall not grant a Lien in such Excluded Patents to the other party to the transaction, other than as permitted under the Credit Agreement. The Collateral Agent shall have the ability to extend the Disposition Period in its reasonable discretion. On or before the last day of the Disposition Period, the applicable Grantor(s) shall execute and deliver to the Collateral Agent an appropriate supplemental Intellectual Property Security Agreement covering the Excluded Patents that have not been Disposed (or, with respect to Excluded Patents that were Disposed by means of a transaction other than a sale and assignment, covering the Grantor’s remaining rights in such Excluded Patents). Grantors shall promptly file such supplemental Intellectual Property Security Agreement with the USPTO. In the event that the applicable Grantor enters into any definitive agreements for the Disposition of the Excluded Patents during the Disposition Period, such Grantor shall promptly provide to the Collateral Agent access to executed copies of such definitive agreements (including all ancillary documents, exhibits and schedules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agreements may be redacted reasonably to protect the other parties’ confidential information). Notwithstanding anything to the contrary herein, the covenants of the Grantors under Sections 3.03(f)(i) to (iv), and (g) shall apply to the Excluded Patents until a Disposition thereof is consummated.</w:t>
      </w:r>
    </w:p>
    <w:p>
      <w:pPr>
        <w:spacing w:after="0" w:line="185" w:lineRule="exact"/>
        <w:rPr>
          <w:sz w:val="20"/>
          <w:szCs w:val="20"/>
          <w:color w:val="auto"/>
        </w:rPr>
      </w:pPr>
    </w:p>
    <w:p>
      <w:pPr>
        <w:ind w:right="200" w:firstLine="1305"/>
        <w:spacing w:after="0" w:line="286" w:lineRule="auto"/>
        <w:tabs>
          <w:tab w:leader="none" w:pos="2101" w:val="left"/>
        </w:tabs>
        <w:numPr>
          <w:ilvl w:val="0"/>
          <w:numId w:val="384"/>
        </w:numPr>
        <w:rPr>
          <w:rFonts w:ascii="Arial" w:cs="Arial" w:eastAsia="Arial" w:hAnsi="Arial"/>
          <w:sz w:val="17"/>
          <w:szCs w:val="17"/>
          <w:color w:val="auto"/>
        </w:rPr>
      </w:pPr>
      <w:r>
        <w:rPr>
          <w:rFonts w:ascii="Arial" w:cs="Arial" w:eastAsia="Arial" w:hAnsi="Arial"/>
          <w:sz w:val="17"/>
          <w:szCs w:val="17"/>
          <w:color w:val="auto"/>
        </w:rPr>
        <w:t>Each Grantor shall, upon request of the Collateral Agent, at its own expense, take any and all commercially reasonable actions necessary to defend title to the Article 9 Collateral against all Persons and to defend the Security Interest of the Collateral Agent in the Article 9 Collateral and the priority thereof against any Lien not expressly permitted pursuant to Section 7.01 of the Credit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Grantor (rather than the Collateral Agent or any Secured Party) shall remain liable (as between itself and any relevant counterparty) to observe and perform all the conditions and obligations to be observed and performed by it under each contract, agreement or instrument relating to the Article 9 Collateral, all in accordance with the terms and conditions thereof, and each Grantor jointly and severally agrees to indemnify and hold harmless the Collateral Agent and the Secured Parties from and against any and all liability for such performance.</w:t>
      </w:r>
    </w:p>
    <w:p>
      <w:pPr>
        <w:spacing w:after="0" w:line="187" w:lineRule="exact"/>
        <w:rPr>
          <w:sz w:val="20"/>
          <w:szCs w:val="20"/>
          <w:color w:val="auto"/>
        </w:rPr>
      </w:pPr>
    </w:p>
    <w:p>
      <w:pPr>
        <w:ind w:right="20" w:firstLine="1305"/>
        <w:spacing w:after="0" w:line="254" w:lineRule="auto"/>
        <w:tabs>
          <w:tab w:leader="none" w:pos="2087" w:val="left"/>
        </w:tabs>
        <w:numPr>
          <w:ilvl w:val="0"/>
          <w:numId w:val="385"/>
        </w:numPr>
        <w:rPr>
          <w:rFonts w:ascii="Arial" w:cs="Arial" w:eastAsia="Arial" w:hAnsi="Arial"/>
          <w:sz w:val="18"/>
          <w:szCs w:val="18"/>
          <w:color w:val="auto"/>
        </w:rPr>
      </w:pPr>
      <w:r>
        <w:rPr>
          <w:rFonts w:ascii="Arial" w:cs="Arial" w:eastAsia="Arial" w:hAnsi="Arial"/>
          <w:sz w:val="18"/>
          <w:szCs w:val="18"/>
          <w:i w:val="1"/>
          <w:iCs w:val="1"/>
          <w:color w:val="auto"/>
        </w:rPr>
        <w:t>Dormant Subsidiaries</w:t>
      </w:r>
      <w:r>
        <w:rPr>
          <w:rFonts w:ascii="Arial" w:cs="Arial" w:eastAsia="Arial" w:hAnsi="Arial"/>
          <w:sz w:val="18"/>
          <w:szCs w:val="18"/>
          <w:color w:val="auto"/>
        </w:rPr>
        <w:t>. Each Grantor that holds any Equity Interests in Vivendi Games Asia Pte Ltd. hereby covenants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agrees that it will use its commercially reasonable efforts to cause the dissolution of Vivendi Games Asia Pte Ltd. by January 31, 2014;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Vivendi Games Asia Pte Ltd. is not dissolved by January 31, 2014, then Schedule I shall be automatically supplemented to include such Grantor’s Equity Interests in Vivendi Games Asia Pte Ltd. as Pledged Equity, and such Grantor shall promptly deliver to the Collateral Agent any certificates evidencing its Equity Interest in Vivendi Games Asia Pte Ltd. in accordance with Section 2.02(c). The Collateral Agent shall have the ability to extend any periods of time referred to in the previous sentence in its reasonable sole discretion. Whether any Grantor has used commercially reasonable efforts will be determined solely by the applicable Grantor (not the Collateral Agent) and shall be set forth in an Officers’ Certificate delivered to the Collateral Agent, upon which the Collateral Agent may conclusively rely.</w:t>
      </w:r>
    </w:p>
    <w:p>
      <w:pPr>
        <w:spacing w:after="0" w:line="192"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Instruments</w:t>
      </w:r>
      <w:r>
        <w:rPr>
          <w:rFonts w:ascii="Arial" w:cs="Arial" w:eastAsia="Arial" w:hAnsi="Arial"/>
          <w:sz w:val="18"/>
          <w:szCs w:val="18"/>
          <w:color w:val="auto"/>
        </w:rPr>
        <w:t>. If the Grantors shall at any time hold or acquire any Instruments constituting Article 9 Collateral (excluding checks), and evidencing an amount in excess of (i) $20,000,000 individually or (ii) when aggregated with all other such Instruments for which this clause has not been satisfied $75,000,000 in the aggregate, such Grantor shall promptly (and in any event, within 60 days after the date of acquisition thereof or such longer period as to which the Collateral Agent may agree in its reasonable discretion) endorse, assign and deliver the same to the Collateral Agent for the benefit of the Secured Parties, accompanied by such instruments of transfer or assignment duly executed in blank as the Collateral Agent may from time to time reasonably request.</w:t>
      </w:r>
    </w:p>
    <w:p>
      <w:pPr>
        <w:sectPr>
          <w:pgSz w:w="11900" w:h="16838" w:orient="portrait"/>
          <w:cols w:equalWidth="0" w:num="1">
            <w:col w:w="11420"/>
          </w:cols>
          <w:pgMar w:left="240" w:top="125" w:right="239" w:bottom="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right="140" w:firstLine="1297"/>
        <w:spacing w:after="0" w:line="287"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Remedies upon Default</w:t>
      </w:r>
      <w:r>
        <w:rPr>
          <w:rFonts w:ascii="Arial" w:cs="Arial" w:eastAsia="Arial" w:hAnsi="Arial"/>
          <w:sz w:val="16"/>
          <w:szCs w:val="16"/>
          <w:color w:val="auto"/>
        </w:rPr>
        <w:t xml:space="preserve">. Upon the occurrence and during the continuance of an Event of Default, it is agreed that the Collateral Agent shall have the right to exercise any and all rights afforded to a secured party with respect to the Obligations under the Uniform Commercial Code or other applicable law and also may (i) require each Grantor to, and each Grantor agrees that it will at its expense and upon request of the Collateral Agent promptly, assemble all or part of the Collateral as directed by the Collateral Agent and make it available to the Collateral Agent at a place and time to be designated by the Collateral Agent that is reasonably convenient to both parties; (ii) occupy any premises owned or, to the extent lawful and permitted, leased by any of the Grantors where the Collateral or any part thereof is assembled or located for a reasonable period in order to effectuate its rights and remedies hereunder or under law, without obligation to such Grantor in respect of such occupation;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Collateral Agent shall provide the applicable Grantor with notice thereof prior to such occupancy; (iii) require each Grantor to, and each Grantor agrees that it will at its expense and upon the request of the Collateral Agent promptly, assign the entire right, title, and interest of such Grantor in each of the Patents, Trademarks, domain names and Copyrights to the Collateral Agent for the benefit of the Secured Parties; (iv) exercise any and all rights and remedies of any of the Grantors under or in connection with the Collateral, or otherwise in respect of the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Collateral Agent shall provide the applicable Grantor with notice thereof prior to such exercise; and (v) subject to the mandatory requirements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applicable law and the notice requirements described below, sell or otherwise dispose of all or any part of the Collateral securing the Obligations at a public or private sale or at any broker’s board or on any securities exchange, for cash, upon credit or for future delivery as the Collateral Agent shall deem appropriate. The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law) all rights of redemption, stay and appraisal which such Grantor now has or may at any time in the future have under any rule of law or statute now existing or hereafter enacted.</w:t>
      </w:r>
    </w:p>
    <w:p>
      <w:pPr>
        <w:spacing w:after="0" w:line="166"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The Collateral Agent shall give the applicable Grantors 10 days’ written notice (which each Grantor agrees is reasonable notice within the meaning of Section 9-611 of the New York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a portion thereof, will first be offered for sale at such board or exchange. Any such public sale shall be held at such time or times within ordinary business hours and at such place or places as the Collateral Agent may fix and state in the notice (if any) of such sale. At any such sale, the Collateral, or a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Collateral Agent shall be free to carry out such sale pursuant to such agreement and no Grantor shall be entitled to the return of the Collateral or any portion thereof subject thereto, notwithstanding the fact that after the Collateral Agent shall have entered into such an agreement all Events of Default shall have been remedied and the Obligations paid in full. As an alternative to exercising the power of sale herein conferred upon it, the Collateral Agent may proceed by a suit or suits at law or in equity to foreclose this Agreement and to sell the Collateral or any portion thereof pursuant to a judgment or decree of a court or courts having competent jurisdiction or pursuant to a proceeding by a court appointed receiver. Any sale pursuant to the provisions of this Section 4.01 shall be deemed to conform to the commercially reasonable standards as provided in Section 9-610(b) of the New York UCC or its equivalent in other jurisdictions.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w:t>
      </w:r>
    </w:p>
    <w:p>
      <w:pPr>
        <w:spacing w:after="0" w:line="225" w:lineRule="exact"/>
        <w:rPr>
          <w:sz w:val="20"/>
          <w:szCs w:val="20"/>
          <w:color w:val="auto"/>
        </w:rPr>
      </w:pPr>
    </w:p>
    <w:p>
      <w:pPr>
        <w:ind w:right="460" w:firstLine="1305"/>
        <w:spacing w:after="0" w:line="277" w:lineRule="auto"/>
        <w:tabs>
          <w:tab w:leader="none" w:pos="207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Subject to the Intercreditor Agreement, the Collateral Agent shall apply the proceeds of any collection or sale of Collateral, including any Collateral consisting of cash, in the order provided for in the Credit Agreement.</w:t>
      </w:r>
    </w:p>
    <w:p>
      <w:pPr>
        <w:spacing w:after="0" w:line="170" w:lineRule="exact"/>
        <w:rPr>
          <w:rFonts w:ascii="Arial" w:cs="Arial" w:eastAsia="Arial" w:hAnsi="Arial"/>
          <w:sz w:val="18"/>
          <w:szCs w:val="18"/>
          <w:color w:val="auto"/>
        </w:rPr>
      </w:pPr>
    </w:p>
    <w:p>
      <w:pPr>
        <w:ind w:right="200" w:firstLine="1305"/>
        <w:spacing w:after="0" w:line="297" w:lineRule="auto"/>
        <w:tabs>
          <w:tab w:leader="none" w:pos="2087"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Collateral Agent shall have absolute discretion as to the time of application of any such proceeds, monies or balances in accordance with this Agreement and the Credit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spacing w:after="0" w:line="158" w:lineRule="exact"/>
        <w:rPr>
          <w:rFonts w:ascii="Arial" w:cs="Arial" w:eastAsia="Arial" w:hAnsi="Arial"/>
          <w:sz w:val="16"/>
          <w:szCs w:val="16"/>
          <w:color w:val="auto"/>
        </w:rPr>
      </w:pPr>
    </w:p>
    <w:p>
      <w:pPr>
        <w:ind w:right="360" w:firstLine="1305"/>
        <w:spacing w:after="0" w:line="302" w:lineRule="auto"/>
        <w:tabs>
          <w:tab w:leader="none" w:pos="209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 xml:space="preserve">In making the determinations and allocations required by this Section 4.02, the Collateral Agent may conclusively rely upon information supplied to or by the Collateral Agent as to the amounts of unpaid principal and interest and other amounts outstanding with respect to the Obligations, and the Collateral Agent shall have no liability to any of the Secured Parties for actions taken in reliance on such information,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sentence shall prevent any Grantor from contesting any amounts claimed by any Secured Party in any information so supplied. All</w:t>
      </w:r>
    </w:p>
    <w:p>
      <w:pPr>
        <w:sectPr>
          <w:pgSz w:w="11900" w:h="16838" w:orient="portrait"/>
          <w:cols w:equalWidth="0" w:num="1">
            <w:col w:w="11420"/>
          </w:cols>
          <w:pgMar w:left="240" w:top="121" w:right="239" w:bottom="0" w:gutter="0" w:footer="0" w:header="0"/>
        </w:sectPr>
      </w:pPr>
    </w:p>
    <w:bookmarkStart w:id="123" w:name="page124"/>
    <w:bookmarkEnd w:id="123"/>
    <w:p>
      <w:pPr>
        <w:spacing w:after="0" w:line="11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distributions made by the Collateral Agent pursuant to this Section 4.02 shall be (subject to any decree of any court of competent jurisdiction) final (absent manifest error), and the Collateral Agent shall have no duty to inquire as to the application by the Collateral Agent of any amounts distributed to it.</w:t>
      </w:r>
    </w:p>
    <w:p>
      <w:pPr>
        <w:spacing w:after="0" w:line="124"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Grant of License to Use Intellectual Property; Power of Attorney</w:t>
      </w:r>
      <w:r>
        <w:rPr>
          <w:rFonts w:ascii="Arial" w:cs="Arial" w:eastAsia="Arial" w:hAnsi="Arial"/>
          <w:sz w:val="16"/>
          <w:szCs w:val="16"/>
          <w:color w:val="auto"/>
        </w:rPr>
        <w:t xml:space="preserve">. For the exclusive purpose of enabling the Collateral Agent to exercise rights and remedies under this Agreement at such time as the Collateral Agent shall be lawfully entitled to exercise such rights and remedies at any time after and during the continuance of an Event of Default, each Grantor hereby grants to the Collateral Agent a non-exclusive, royalty-free, limited license (until the termination or cure of the Event of Default) to use, license or, to the extent permitted under the terms of the relevant license, sublicense any of the Intellectual Property included in the Article 9 Collateral now owned or hereafter acquired by such Grantor, and including in such license reasonable access to all media in which any of the licensed items may be recorded or stored and to all computer software and programs used for the compilation or printout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all of the foregoing rights of the Collateral Agent to operate such license, sublicense and other rights, shall expire immediately upon the termination or cure of all Events of Default and shall be exercised by the Collateral Agent solely during the continuance of an Event of Default and upon 10 Business Days’ prior written notice to the Borrower, and nothing in this Section 4.03 shall require Grantors to grant any license that is prohibited by any rule of law, statute or regulation, or is prohibited by, or constitutes a breach or default under or results in the termination of any contract, license, agreement, instrument or other document evidencing, giving rise to or theretofore granted, to the extent permitted by the Credit Agreement, with respect to such property or otherwise unreasonably prejudices the value thereof to the relevant Grantor;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such licenses granted hereunder with respect to Trademarks shall be subject to the maintenance of quality standards with respect to the goods and services on which such Trademarks are used sufficient to preserve the validity of such Trademarks. Furthermore, each Grantor hereby grants to the Collateral Agent an absolute power of attorney to sign, subject only to the giving of 10 days’ notice to the Grantor, upon the occurrence and during the continuance of any Event of Default, any document which may be required by the USPTO or the USCO in order to effect an absolute assignment of all right, title and interest in each registration and application for a Patent, Trademark or Copyright, and to record the same.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right="320" w:firstLine="1297"/>
        <w:spacing w:after="0" w:line="259"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and notices hereunder shall (except as otherwise expressly permitted herein) be in writing and given as provided in Section 10.02 of the Credit Agreement (whether or not then in effect). All communications and notices hereunder to any Grantor other than the Borrower shall be given to it in care of the Borrower as provided in Section 10.02 of the Credit Agreement (whether or not then in effect).</w:t>
      </w:r>
    </w:p>
    <w:p>
      <w:pPr>
        <w:spacing w:after="0" w:line="187"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Waivers; Amendment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0" w:lineRule="auto"/>
        <w:tabs>
          <w:tab w:leader="none" w:pos="1991" w:val="left"/>
        </w:tabs>
        <w:numPr>
          <w:ilvl w:val="0"/>
          <w:numId w:val="387"/>
        </w:numPr>
        <w:rPr>
          <w:rFonts w:ascii="Arial" w:cs="Arial" w:eastAsia="Arial" w:hAnsi="Arial"/>
          <w:sz w:val="17"/>
          <w:szCs w:val="17"/>
          <w:color w:val="auto"/>
        </w:rPr>
      </w:pPr>
      <w:r>
        <w:rPr>
          <w:rFonts w:ascii="Arial" w:cs="Arial" w:eastAsia="Arial" w:hAnsi="Arial"/>
          <w:sz w:val="17"/>
          <w:szCs w:val="17"/>
          <w:color w:val="auto"/>
        </w:rPr>
        <w:t>No failure or delay by the Collateral Agent, any L/C Issuer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Collateral Agent, the L/C Issuers and the Lenders hereunder and under the other Loan Documents are cumulative and are not exclusive of any rights or remedies that they would otherwise have. No waiver of any provision of this Agreement or consent to any departure by any Grantor therefrom shall in any event be effective unless the same shall be permitted by paragraph (b) of this Section 5.02,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Collateral Agent, any Lender or any L/C Issuer may have had notice or knowledge of such Default at the time. No notice or demand on any Grantor in any case shall entitle any Grantor to any other or further notice or demand in similar or other circumstances.</w:t>
      </w:r>
    </w:p>
    <w:p>
      <w:pPr>
        <w:spacing w:after="0" w:line="177" w:lineRule="exact"/>
        <w:rPr>
          <w:rFonts w:ascii="Arial" w:cs="Arial" w:eastAsia="Arial" w:hAnsi="Arial"/>
          <w:sz w:val="17"/>
          <w:szCs w:val="17"/>
          <w:color w:val="auto"/>
        </w:rPr>
      </w:pPr>
    </w:p>
    <w:p>
      <w:pPr>
        <w:ind w:right="240" w:firstLine="1305"/>
        <w:spacing w:after="0" w:line="264" w:lineRule="auto"/>
        <w:tabs>
          <w:tab w:leader="none" w:pos="2001"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Neither this Agreement nor any provision hereof may be waived, amended or modified except pursuant to an agreement or agreements in writing entered into by the Collateral Agent and the Grantor or Grantors with respect to which such waiver, amendment or modification is to apply, subject to any consent required in accordance with Section 10.01 of the Credit Agreement.</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Collateral Agent’s Fees and Expenses</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259" w:lineRule="auto"/>
        <w:tabs>
          <w:tab w:leader="none" w:pos="1991"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The parties hereto agree that the Collateral Agent shall be entitled to reimbursement of its expenses incurred hereunder and indemnity for its actions in connection herewith as provided in Sections 10.04 and 10.05 of the Credit Agreement (whether or not then in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reference therein to “Company” or the “Borrower” shall be deemed to be a reference to “each Grantor” and each reference therein to “Administrative Agent” shall be deemed to be a reference to “Collateral Agent”.</w:t>
      </w:r>
    </w:p>
    <w:p>
      <w:pPr>
        <w:spacing w:after="0" w:line="186" w:lineRule="exact"/>
        <w:rPr>
          <w:rFonts w:ascii="Arial" w:cs="Arial" w:eastAsia="Arial" w:hAnsi="Arial"/>
          <w:sz w:val="18"/>
          <w:szCs w:val="18"/>
          <w:color w:val="auto"/>
        </w:rPr>
      </w:pPr>
    </w:p>
    <w:p>
      <w:pPr>
        <w:ind w:right="100" w:firstLine="1305"/>
        <w:spacing w:after="0" w:line="276" w:lineRule="auto"/>
        <w:tabs>
          <w:tab w:leader="none" w:pos="2001" w:val="left"/>
        </w:tabs>
        <w:numPr>
          <w:ilvl w:val="0"/>
          <w:numId w:val="388"/>
        </w:numPr>
        <w:rPr>
          <w:rFonts w:ascii="Arial" w:cs="Arial" w:eastAsia="Arial" w:hAnsi="Arial"/>
          <w:sz w:val="17"/>
          <w:szCs w:val="17"/>
          <w:color w:val="auto"/>
        </w:rPr>
      </w:pPr>
      <w:r>
        <w:rPr>
          <w:rFonts w:ascii="Arial" w:cs="Arial" w:eastAsia="Arial" w:hAnsi="Arial"/>
          <w:sz w:val="17"/>
          <w:szCs w:val="17"/>
          <w:color w:val="auto"/>
        </w:rPr>
        <w:t>Any such amounts payable as provided hereunder shall be additional Obligations secured hereby and by the other Collateral Documents. The provisions of this Section 5.03 shall remain operative and in full force and effect regardless of the termination of this Agreement or any other Loan Document, the consummation of the transactions contemplated hereby, the repayment of any of the Obligations, the invalidity or unenforceability of any term or provision of this Agreement or any other Loan Document, or any investigation made by or on behalf of the Collateral Agent or any other Secured Party. All amounts due under this Section 5.03 shall be payable promptly upon written demand therefor.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Whenever in this Agreement any of the parties hereto is referred to, such reference shall be deemed to include the permitted successors and assigns of such party; and all covenants, promises and agreements by or on behalf of any Grantor or the Collateral Agent that are contained in this Agreement shall bind and inure to the benefit of their respective successors and assigns, to the extent permitted under Section 10.06 of the Credit Agreement.</w:t>
      </w:r>
    </w:p>
    <w:p>
      <w:pPr>
        <w:spacing w:after="0" w:line="187"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Survival of Agreement</w:t>
      </w:r>
      <w:r>
        <w:rPr>
          <w:rFonts w:ascii="Arial" w:cs="Arial" w:eastAsia="Arial" w:hAnsi="Arial"/>
          <w:sz w:val="16"/>
          <w:szCs w:val="16"/>
          <w:color w:val="auto"/>
        </w:rPr>
        <w:t>. All covenants, agreements, representations and warranties made by the Grantors in the Loan Documents and in the certificates or other instruments prepared or delivered in connection with or pursuant to this Agreement or any other Loan Document shall be considered to have been relied upon by the Lenders and shall survive the execution and delivery of the Loan Documents and the making of any Loans</w:t>
      </w:r>
    </w:p>
    <w:p>
      <w:pPr>
        <w:sectPr>
          <w:pgSz w:w="11900" w:h="16952" w:orient="portrait"/>
          <w:cols w:equalWidth="0" w:num="1">
            <w:col w:w="11420"/>
          </w:cols>
          <w:pgMar w:left="240" w:top="125" w:right="239" w:bottom="0" w:gutter="0" w:footer="0" w:header="0"/>
        </w:sectPr>
      </w:pPr>
    </w:p>
    <w:bookmarkStart w:id="124" w:name="page125"/>
    <w:bookmarkEnd w:id="124"/>
    <w:p>
      <w:pPr>
        <w:ind w:right="60"/>
        <w:spacing w:after="0" w:line="257" w:lineRule="auto"/>
        <w:rPr>
          <w:sz w:val="20"/>
          <w:szCs w:val="20"/>
          <w:color w:val="auto"/>
        </w:rPr>
      </w:pPr>
      <w:r>
        <w:rPr>
          <w:rFonts w:ascii="Arial" w:cs="Arial" w:eastAsia="Arial" w:hAnsi="Arial"/>
          <w:sz w:val="18"/>
          <w:szCs w:val="18"/>
          <w:color w:val="auto"/>
        </w:rPr>
        <w:t>and issuance of any Letters of Credit, regardless of any investigation made by any Lender or on its behalf, and shall continue in full force and effect until the termination of the Aggregate Commitments and payment in full of all Obligations (other than (A) contingent indemnification obligations and (B) obligations and liabilities under Treasury Services Agreements and Secured Hedge Agreements as to which arrangements satisfactory to the applicable Hedge Bank shall have been made) and the expiration or termination of all Letters of Credit (other than Letters of Credit as to which other arrangements satisfactory to the Administrative Agent and the L/C Issuer shall have been made).</w:t>
      </w:r>
    </w:p>
    <w:p>
      <w:pPr>
        <w:spacing w:after="0" w:line="188"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Counterparts; Effectiveness; Successors and Assigns; Several Agreement</w:t>
      </w:r>
      <w:r>
        <w:rPr>
          <w:rFonts w:ascii="Arial" w:cs="Arial" w:eastAsia="Arial" w:hAnsi="Arial"/>
          <w:sz w:val="17"/>
          <w:szCs w:val="17"/>
          <w:color w:val="auto"/>
        </w:rPr>
        <w:t xml:space="preserve">. This Agreement and each other Loan Document may be executed in one or more counterparts, each of which shall be deemed an original, but all of which together shall constitute one and the same instrument. Delivery by facsimile or other electronic communication of an executed counterpart of a signature page to this Agreement and each other Loan Document shall be effective as delivery of an original executed counterpart of this Agreement and such other Loan Document. The Collateral Agent may also require that any such documents and signatures delivered by facsimile or other electronic communication be confirmed by a manually signed original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request or deliver the same shall not limit the effectiveness of any document or signature delivered by facsimile or other electronic communication. This Agreement shall become effective as to any Grantor when a counterpart hereof executed on behalf of such Grantor shall have been delivered to the Collateral Agent and a counterpart hereof shall have been executed on behalf of the Collateral Agent, and thereafter shall be binding upon such Grantor and the Collateral Agent and their respective successors and assigns permitted thereby, and shall inure to the benefit of such Grantor, the Collateral Agent and the other Secured Parties and their respective successors and assigns permitted thereby, except that no Grantor shall have the right to assign or transfer its rights or obligations hereunder or any interest herein or in the Collateral (and any such assignment or transfer shall be void) except as expressly contemplated by this Agreement or the other Loan Documents. This Agreement shall be construed as a separate agreement with respect to each Grantor and may be amended, modified, supplemented, waived or released with respect to any Grantor without the approval of any other Grantor and without affecting the obligations of any other Grantor hereunder.</w:t>
      </w:r>
    </w:p>
    <w:p>
      <w:pPr>
        <w:spacing w:after="0" w:line="18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88"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Right of Set-Off</w:t>
      </w:r>
      <w:r>
        <w:rPr>
          <w:rFonts w:ascii="Arial" w:cs="Arial" w:eastAsia="Arial" w:hAnsi="Arial"/>
          <w:sz w:val="18"/>
          <w:szCs w:val="18"/>
          <w:color w:val="auto"/>
        </w:rPr>
        <w:t>. In addition to any rights and remedies of the Lenders provided by Law, upon the occurrence and during the continuance of any Event of Default, each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Lender and its Affiliates and each L/C Issuer and its Affiliates shall have the rights specified in Section 10.08 of the Credit Agreement.</w:t>
      </w:r>
    </w:p>
    <w:p>
      <w:pPr>
        <w:spacing w:after="0" w:line="22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Governing Law; Jurisdiction; Venue; Waiver of Jury Trial; Consent to Service of Process</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77" w:lineRule="auto"/>
        <w:tabs>
          <w:tab w:leader="none" w:pos="1991"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The terms of Sections 10.15 and 10.16 of the Credit Agreement with respect to governing law, submission of jurisdiction, venue and waiver of jury trial are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and the parties hereto agree to such terms.</w:t>
      </w:r>
    </w:p>
    <w:p>
      <w:pPr>
        <w:spacing w:after="0" w:line="170" w:lineRule="exact"/>
        <w:rPr>
          <w:rFonts w:ascii="Arial" w:cs="Arial" w:eastAsia="Arial" w:hAnsi="Arial"/>
          <w:sz w:val="18"/>
          <w:szCs w:val="18"/>
          <w:color w:val="auto"/>
        </w:rPr>
      </w:pPr>
    </w:p>
    <w:p>
      <w:pPr>
        <w:ind w:right="540" w:firstLine="1305"/>
        <w:spacing w:after="0" w:line="308" w:lineRule="auto"/>
        <w:tabs>
          <w:tab w:leader="none" w:pos="2001" w:val="left"/>
        </w:tabs>
        <w:numPr>
          <w:ilvl w:val="0"/>
          <w:numId w:val="389"/>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5.01. Nothing in this Agreement will affect the right of any party to this Agreement to serve process in any other manner permitted by law.</w:t>
      </w:r>
    </w:p>
    <w:p>
      <w:pPr>
        <w:spacing w:after="0" w:line="147"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47"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Security Interest Absolute</w:t>
      </w:r>
      <w:r>
        <w:rPr>
          <w:rFonts w:ascii="Arial" w:cs="Arial" w:eastAsia="Arial" w:hAnsi="Arial"/>
          <w:sz w:val="17"/>
          <w:szCs w:val="17"/>
          <w:color w:val="auto"/>
        </w:rPr>
        <w:t>. To the extent permitted by applicable law, all rights of the Collateral Agent hereunder, the Security Interest, the grant of a security interest in the Collateral and all obligations of each Grantor hereunder shall be absolute and unconditional irrespective of (a) any lack of validity or enforceability of the Credit Agreement, any other Loan Document,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Credit Agreement, any other Loan Document or any other agreement or instrument, (c) any exchange, release or non-perfection of any Lien on other collateral, or any release or amendment or waiver of or consent under or departure from any guarantee, securing or guaranteeing all or any of the Obligations or (d) any other circumstance that might otherwise constitute a defense available to, or a discharge of, any Grantor in respect of the Obligations or this Agreement.</w:t>
      </w:r>
    </w:p>
    <w:p>
      <w:pPr>
        <w:spacing w:after="0" w:line="179"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Intercreditor Agreement Governs</w:t>
      </w:r>
      <w:r>
        <w:rPr>
          <w:rFonts w:ascii="Arial" w:cs="Arial" w:eastAsia="Arial" w:hAnsi="Arial"/>
          <w:sz w:val="18"/>
          <w:szCs w:val="18"/>
          <w:color w:val="auto"/>
        </w:rPr>
        <w:t>. Notwithstanding anything herein to the contrary, (i) the liens and security interests granted to the Collateral Agent pursuant to this Agreement are expressly subject to the Intercreditor Agreement, if then in effect and (ii) the exercise of any right or remedy by the Collateral Agent hereunder is subject to the limitations and provisions of the Intercreditor Agreement, if then in effect. In the event of any conflict between the terms of the Intercreditor Agreement, if then in effect, and the terms of this Agreement, the terms of the Intercreditor Agreement if then in effect shall govern.</w:t>
      </w:r>
    </w:p>
    <w:p>
      <w:pPr>
        <w:spacing w:after="0" w:line="188"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Termination or Release</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97" w:lineRule="auto"/>
        <w:tabs>
          <w:tab w:leader="none" w:pos="1991"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This Agreement, the Security Interest and all other security interests granted hereby shall automatically terminate with respect to all Obligations upon termination of the Aggregate Commitments and payment in full of all Obligations (other than (i) contingent indemnification obligations and (ii) obligations and liabilities under Treasury Services Agreements and Secured Hedge Agreements as to which arrangements reasonably satisfactory to the applicable Hedge Bank shall have been made) and the expiration or termination of all Letters of Credit (other than Letters of Credit as to which other arrangements reasonably satisfactory to the Administrative Agent and the L/C Issuer shall have been made).</w:t>
      </w:r>
    </w:p>
    <w:p>
      <w:pPr>
        <w:spacing w:after="0" w:line="158" w:lineRule="exact"/>
        <w:rPr>
          <w:rFonts w:ascii="Arial" w:cs="Arial" w:eastAsia="Arial" w:hAnsi="Arial"/>
          <w:sz w:val="16"/>
          <w:szCs w:val="16"/>
          <w:color w:val="auto"/>
        </w:rPr>
      </w:pPr>
    </w:p>
    <w:p>
      <w:pPr>
        <w:ind w:right="100" w:firstLine="1305"/>
        <w:spacing w:after="0" w:line="277" w:lineRule="auto"/>
        <w:tabs>
          <w:tab w:leader="none" w:pos="200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A Grantor (other than the Borrower) shall automatically be released from its obligations hereunder as provided in Section 9.09 of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Lenders shall</w:t>
      </w:r>
    </w:p>
    <w:p>
      <w:pPr>
        <w:sectPr>
          <w:pgSz w:w="11900" w:h="16838" w:orient="portrait"/>
          <w:cols w:equalWidth="0" w:num="1">
            <w:col w:w="11420"/>
          </w:cols>
          <w:pgMar w:left="240" w:top="125" w:right="239" w:bottom="123"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color w:val="auto"/>
        </w:rPr>
        <w:t>have consented to such transaction (to the extent required by the Credit Agreement) and the terms of such consent did not provide otherwise.</w:t>
      </w:r>
    </w:p>
    <w:p>
      <w:pPr>
        <w:spacing w:after="0" w:line="225" w:lineRule="exact"/>
        <w:rPr>
          <w:sz w:val="20"/>
          <w:szCs w:val="20"/>
          <w:color w:val="auto"/>
        </w:rPr>
      </w:pPr>
    </w:p>
    <w:p>
      <w:pPr>
        <w:jc w:val="both"/>
        <w:ind w:right="20" w:firstLine="1305"/>
        <w:spacing w:after="0" w:line="259" w:lineRule="auto"/>
        <w:tabs>
          <w:tab w:leader="none" w:pos="1991" w:val="left"/>
        </w:tabs>
        <w:numPr>
          <w:ilvl w:val="1"/>
          <w:numId w:val="391"/>
        </w:numPr>
        <w:rPr>
          <w:rFonts w:ascii="Arial" w:cs="Arial" w:eastAsia="Arial" w:hAnsi="Arial"/>
          <w:sz w:val="18"/>
          <w:szCs w:val="18"/>
          <w:color w:val="auto"/>
        </w:rPr>
      </w:pPr>
      <w:r>
        <w:rPr>
          <w:rFonts w:ascii="Arial" w:cs="Arial" w:eastAsia="Arial" w:hAnsi="Arial"/>
          <w:sz w:val="18"/>
          <w:szCs w:val="18"/>
          <w:color w:val="auto"/>
        </w:rPr>
        <w:t>Upon any sale or other transfer by any Grantor of any Collateral that is permitted under the Credit Agreement (other than a sale or transfer to another Grantor), or upon the effectiveness of any written consent to the release of the security interest granted hereby in any Collateral pursuant to Section 9.09 or 10.01 of the Credit Agreement, the security interest of such Grantor in such Collateral shall be automatically released and the license granted in Section 4.03 shall be automatically terminated with respect to such Collateral.</w:t>
      </w:r>
    </w:p>
    <w:p>
      <w:pPr>
        <w:spacing w:after="0" w:line="186" w:lineRule="exact"/>
        <w:rPr>
          <w:rFonts w:ascii="Arial" w:cs="Arial" w:eastAsia="Arial" w:hAnsi="Arial"/>
          <w:sz w:val="18"/>
          <w:szCs w:val="18"/>
          <w:color w:val="auto"/>
        </w:rPr>
      </w:pPr>
    </w:p>
    <w:p>
      <w:pPr>
        <w:ind w:right="160" w:firstLine="1305"/>
        <w:spacing w:after="0" w:line="279" w:lineRule="auto"/>
        <w:tabs>
          <w:tab w:leader="none" w:pos="2001" w:val="left"/>
        </w:tabs>
        <w:numPr>
          <w:ilvl w:val="1"/>
          <w:numId w:val="391"/>
        </w:numPr>
        <w:rPr>
          <w:rFonts w:ascii="Arial" w:cs="Arial" w:eastAsia="Arial" w:hAnsi="Arial"/>
          <w:sz w:val="17"/>
          <w:szCs w:val="17"/>
          <w:color w:val="auto"/>
        </w:rPr>
      </w:pPr>
      <w:r>
        <w:rPr>
          <w:rFonts w:ascii="Arial" w:cs="Arial" w:eastAsia="Arial" w:hAnsi="Arial"/>
          <w:sz w:val="17"/>
          <w:szCs w:val="17"/>
          <w:color w:val="auto"/>
        </w:rPr>
        <w:t>In connection with any termination or release pursuant to paragraph (a), (b) or (c) of this Section 5.13, the Collateral Agent shall execute and deliver to any Grantor, at such Grantor’s expense, all documents and take all such further actions that such Grantor shall reasonably request to evidence such termination or release, in each case in accordance with the terms of Section 9.09 of the Credit Agreement. Any execution and delivery of documents pursuant to this Section 5.13 shall be without recourse to or warranty by the Collateral Agent.</w:t>
      </w:r>
    </w:p>
    <w:p>
      <w:pPr>
        <w:spacing w:after="0" w:line="171" w:lineRule="exact"/>
        <w:rPr>
          <w:rFonts w:ascii="Arial" w:cs="Arial" w:eastAsia="Arial" w:hAnsi="Arial"/>
          <w:sz w:val="17"/>
          <w:szCs w:val="17"/>
          <w:color w:val="auto"/>
        </w:rPr>
      </w:pPr>
    </w:p>
    <w:p>
      <w:pPr>
        <w:ind w:right="120" w:firstLine="1305"/>
        <w:spacing w:after="0" w:line="288" w:lineRule="auto"/>
        <w:tabs>
          <w:tab w:leader="none" w:pos="1991" w:val="left"/>
        </w:tabs>
        <w:numPr>
          <w:ilvl w:val="1"/>
          <w:numId w:val="391"/>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each Hedge Bank by the acceptance of the benefits under this Agreement hereby acknowledges and agrees that (i) the obligations of the Borrower or any Subsidiary under any Secured Hedge Agreement and any Treasury Services Agreement shall be secured pursuant to this Agreement only to the extent that, and for so long as, the other Obligations are so secured and</w:t>
      </w:r>
    </w:p>
    <w:p>
      <w:pPr>
        <w:ind w:left="280" w:hanging="272"/>
        <w:spacing w:after="0"/>
        <w:tabs>
          <w:tab w:leader="none" w:pos="28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release of Collateral effected in the manner permitted by this Agreement shall not require the consent of any Hedge Bank.</w:t>
      </w:r>
    </w:p>
    <w:p>
      <w:pPr>
        <w:spacing w:after="0" w:line="211"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Additional Guarantors</w:t>
      </w:r>
      <w:r>
        <w:rPr>
          <w:rFonts w:ascii="Arial" w:cs="Arial" w:eastAsia="Arial" w:hAnsi="Arial"/>
          <w:sz w:val="16"/>
          <w:szCs w:val="16"/>
          <w:color w:val="auto"/>
        </w:rPr>
        <w:t>. Each Subsidiary (other than an Excluded Subsidiary) of the Borrower that is required to enter into this Agreement as a Grantor pursuant to Section 6.11 of the Credit Agreement shall, and any Subsidiary of the Borrower may, execute and deliver a Security Agreement Supplement and thereupon such Subsidiary shall become a Grantor hereunder with the same force and effect as if originally named as a Grantor herein. The execution and delivery of any such instrument shall not require the consent of any other Grantor hereunder. The rights and obligations of each Grantor hereunder shall remain in full force and effect notwithstanding the addition of any new Grantor as a party to this Agreement.</w:t>
      </w:r>
    </w:p>
    <w:p>
      <w:pPr>
        <w:spacing w:after="0" w:line="158"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Collateral Agent Appointed Attorney-in-Fact</w:t>
      </w:r>
      <w:r>
        <w:rPr>
          <w:rFonts w:ascii="Arial" w:cs="Arial" w:eastAsia="Arial" w:hAnsi="Arial"/>
          <w:sz w:val="17"/>
          <w:szCs w:val="17"/>
          <w:color w:val="auto"/>
        </w:rPr>
        <w:t>. Each Grantor hereby appoints the Collateral Agent the attorney-in-fact of such Grantor for the purpose of carrying out the provisions of this Agreement and taking any action and executing any instrument that the Collateral Agent may deem necessary or advisable to accomplish the purposes hereof at any time after and during the continuance of an Event of Default, which appointment is irrevocable and coupled with an interest. Without limiting the generality of the foregoing, the Collateral Agent shall have the right, upon the occurrence and during the continuance of an Event of Default and notice by the Collateral Agent to the Borrower of its intent to exercise such rights, with full power of substitution either in the Collateral Agent’s name or in the name of such Grantor (a) to receive, endorse, assign and/or deliver any and all notes, acceptances, checks, drafts, money orders or other evidences of payment relating to the Collateral or any part thereof; (b) to demand, collect, receive payment of, give receipt for and give discharges and releases of all or any of the Collateral; (c) to sign the name of any Grantor on any invoice or bill of lading relating to any of the Collateral; (d) to send verifications of Accounts to any Account Debtor; (e) to commence and prosecute any and all suits, actions or proceedings at law or in equity in any court of competent jurisdiction to collect or otherwise realize on all or any of the Collateral or to enforce any rights in respect of any Collateral; (f) to settle, compromise, compound, adjust or defend any actions, suits or proceedings relating to all or any of the Collateral; (g) to notify, or to require any Grantor to notify, Account Debtors to make payment directly to the Collateral Agent; (h) to make, settle and adjust claims in respect of Article 9 Collateral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under policies of insurance, including endorsing the name of any Grantor on any check, draft, instrument or other item of payment for the proceeds of such policies of insurance, making all determinations and decisions with respect thereto and obtaining or maintaining the policies of insurance required by Section 6.07 of the Credit Agreement or paying any premium in whole or in part relating thereto; and (i) 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Anything in this Section 5.15 to the contrary notwithstanding, the Collateral Agent agrees that it will not exercise any rights under the power of attorney provided for in this Section 5.15 unless an Event of Default shall have occurred and be continuing. The Collateral Agent and the other Secured Parties shall be accountable only for amounts actually received as a result of the exercise of the powers granted to them herein. No Agent Party shall be liable in the absence of its own bad faith, gross negligence or willful misconduct, as determined by a final judgment of a court of competent jurisdiction. All sums disbursed by the Collateral Agent in connection with this paragraph, including reasonable attorneys’ fees, court costs, expenses and other charges relating thereto, shall be payable, as provided in Sections 10.04 and 10.05 of the Credit Agreement promptly upon written demand therefor by the Grantors to the Collateral Agent and shall be additional Obligations secured hereby.</w:t>
      </w:r>
    </w:p>
    <w:p>
      <w:pPr>
        <w:spacing w:after="0" w:line="172" w:lineRule="exact"/>
        <w:rPr>
          <w:sz w:val="20"/>
          <w:szCs w:val="20"/>
          <w:color w:val="auto"/>
        </w:rPr>
      </w:pPr>
    </w:p>
    <w:p>
      <w:pPr>
        <w:ind w:right="100" w:firstLine="1297"/>
        <w:spacing w:after="0" w:line="253"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General Authority of the Collateral Agent</w:t>
      </w:r>
      <w:r>
        <w:rPr>
          <w:rFonts w:ascii="Arial" w:cs="Arial" w:eastAsia="Arial" w:hAnsi="Arial"/>
          <w:sz w:val="18"/>
          <w:szCs w:val="18"/>
          <w:color w:val="auto"/>
        </w:rPr>
        <w:t>. By acceptance of the benefits of this Agreement and any other Collateral Documents, each Secured Party (whether or not a signatory hereto) shall be deemed irrevocably (a) to consent to the appointment of the Collateral Agent as its agent hereunder and under such other Collateral Documents, (b) to confirm that the Collateral Agent shall have the authority to act as the exclusive agent of such Secured Party for the enforcement of any provisions of this Agreement and such other Collateral Documents against any Grantor, the exercise of remedies hereunder or thereunder and the giving or withholding of any consent or approval hereunder or thereunder relating to any Collateral or any Grantor’s obligations with respect thereto, (c) to agree that it shall not take any action to enforce any provisions of this Agreement or any other Collateral Document against any Grantor, to exercise any remedy hereunder or thereunder or to give any consents or approvals hereunder or thereunder except as expressly provided in this Agreement or any other Collateral Document and (d) to agree to be bound by the terms of this Agreement and any other Collateral Documents.</w:t>
      </w:r>
    </w:p>
    <w:p>
      <w:pPr>
        <w:spacing w:after="0" w:line="197"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Reasonable Care</w:t>
      </w:r>
      <w:r>
        <w:rPr>
          <w:rFonts w:ascii="Arial" w:cs="Arial" w:eastAsia="Arial" w:hAnsi="Arial"/>
          <w:sz w:val="16"/>
          <w:szCs w:val="16"/>
          <w:color w:val="auto"/>
        </w:rPr>
        <w:t>. The Collateral Agent is required to exercise reasonable care in the custody and preservation of any of the Collateral in its possession; provided that the Collateral Agent shall be deemed to have exercised reasonable care in the custody and preservation of any of the Collateral, if such Collateral is accorded treatment substantially similar to that which the Collateral Agent accords its own property.</w:t>
      </w:r>
    </w:p>
    <w:p>
      <w:pPr>
        <w:spacing w:after="0" w:line="147"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Mortgages</w:t>
      </w:r>
      <w:r>
        <w:rPr>
          <w:rFonts w:ascii="Arial" w:cs="Arial" w:eastAsia="Arial" w:hAnsi="Arial"/>
          <w:sz w:val="18"/>
          <w:szCs w:val="18"/>
          <w:color w:val="auto"/>
        </w:rPr>
        <w:t>. In the event that any of the Collateral hereunder is also subject to a valid and enforceable Lien under the terms of a Mortgage and the terms thereof are inconsistent with the terms of this Agreement, then with respect to such Collateral, the terms of such Mortgage shall control in the case of Fixtures and real estate leases, letting and licenses of, and contracts and agreements relating to the lease of, real property, and the terms of this Agreement shall control in the case of all other Collateral.</w:t>
      </w:r>
    </w:p>
    <w:p>
      <w:pPr>
        <w:sectPr>
          <w:pgSz w:w="11900" w:h="16838" w:orient="portrait"/>
          <w:cols w:equalWidth="0" w:num="1">
            <w:col w:w="11420"/>
          </w:cols>
          <w:pgMar w:left="240" w:top="341" w:right="239" w:bottom="0" w:gutter="0" w:footer="0" w:header="0"/>
        </w:sectPr>
      </w:pPr>
    </w:p>
    <w:bookmarkStart w:id="126" w:name="page127"/>
    <w:bookmarkEnd w:id="126"/>
    <w:p>
      <w:pPr>
        <w:ind w:right="100" w:firstLine="1297"/>
        <w:spacing w:after="0" w:line="264"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Reinstatement</w:t>
      </w:r>
      <w:r>
        <w:rPr>
          <w:rFonts w:ascii="Arial" w:cs="Arial" w:eastAsia="Arial" w:hAnsi="Arial"/>
          <w:sz w:val="18"/>
          <w:szCs w:val="18"/>
          <w:color w:val="auto"/>
        </w:rPr>
        <w:t>. This Security Agreement shall continue to be effective, or be reinstated, as the case may be, if at any time payment, or any part thereof, of any of the Obligations is rescinded or must otherwise be restored or returned by the Collateral Agent or any other Secured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Party upon the insolvency, bankruptcy, dissolution, liquidation or reorganization of the Borrower or any other Loan Party, or upon or as a result of the appointment of a receiver, intervenor or conservator of, or trustee or similar officer for, the Borrower or any other Loan Party or any substantial part of its property, or otherwise, all as though such payments had not been made.</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5.20.</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7" w:lineRule="auto"/>
        <w:tabs>
          <w:tab w:leader="none" w:pos="199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Collateral Agent may execute any of the powers granted under this Agreement and perform any duty hereunder either directly or by or through agents or attorneys-in-fact.</w:t>
      </w:r>
    </w:p>
    <w:p>
      <w:pPr>
        <w:spacing w:after="0" w:line="170" w:lineRule="exact"/>
        <w:rPr>
          <w:rFonts w:ascii="Arial" w:cs="Arial" w:eastAsia="Arial" w:hAnsi="Arial"/>
          <w:sz w:val="18"/>
          <w:szCs w:val="18"/>
          <w:color w:val="auto"/>
        </w:rPr>
      </w:pPr>
    </w:p>
    <w:p>
      <w:pPr>
        <w:ind w:right="20" w:firstLine="1305"/>
        <w:spacing w:after="0" w:line="257" w:lineRule="auto"/>
        <w:tabs>
          <w:tab w:leader="none" w:pos="200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Collateral Agent shall not be deemed to have actual, constructive, direct or indirect notice or knowledge of the occurrence of any Event of Default unless and until the Collateral Agent shall have received a notice of Event of Default or a notice from the Grantor or the Secured Parties to the Collateral Agent in its capacity as Collateral Agent indicating that an Event of Default has occurred. The Collateral Agent shall have no obligation either prior to or after receiving such notice to inquire whether an Event of Default has, in fact, occurred and shall be entitled to rely conclusively, and shall be fully protected in so relying, on any notice so furnished to 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ACTIVISION BLIZZARD, INC., </w:t>
      </w:r>
      <w:r>
        <w:rPr>
          <w:rFonts w:ascii="Arial" w:cs="Arial" w:eastAsia="Arial" w:hAnsi="Arial"/>
          <w:sz w:val="18"/>
          <w:szCs w:val="18"/>
          <w:color w:val="auto"/>
        </w:rPr>
        <w:t>as Borrower</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Dennis Durkin</w:t>
            </w:r>
          </w:p>
        </w:tc>
      </w:tr>
      <w:tr>
        <w:trPr>
          <w:trHeight w:val="195"/>
        </w:trPr>
        <w:tc>
          <w:tcPr>
            <w:tcW w:w="4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Dennis Durkin</w:t>
            </w:r>
          </w:p>
        </w:tc>
      </w:tr>
      <w:tr>
        <w:trPr>
          <w:trHeight w:val="230"/>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ACTIVISION PUBLlSHING, INC.</w:t>
            </w:r>
          </w:p>
        </w:tc>
      </w:tr>
      <w:tr>
        <w:trPr>
          <w:trHeight w:val="64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Dennis Durkin</w:t>
            </w:r>
          </w:p>
        </w:tc>
      </w:tr>
      <w:tr>
        <w:trPr>
          <w:trHeight w:val="195"/>
        </w:trPr>
        <w:tc>
          <w:tcPr>
            <w:tcW w:w="4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Dennis Durkin</w:t>
            </w:r>
          </w:p>
        </w:tc>
      </w:tr>
      <w:tr>
        <w:trPr>
          <w:trHeight w:val="230"/>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BLIZZARD ENTERTAINMENT,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Eric Roeder</w:t>
      </w:r>
    </w:p>
    <w:p>
      <w:pPr>
        <w:spacing w:after="0" w:line="23" w:lineRule="exact"/>
        <w:rPr>
          <w:sz w:val="20"/>
          <w:szCs w:val="20"/>
          <w:color w:val="auto"/>
        </w:rPr>
      </w:pPr>
    </w:p>
    <w:p>
      <w:pPr>
        <w:ind w:left="6180"/>
        <w:spacing w:after="0"/>
        <w:tabs>
          <w:tab w:leader="none" w:pos="6900" w:val="left"/>
        </w:tabs>
        <w:rPr>
          <w:sz w:val="20"/>
          <w:szCs w:val="20"/>
          <w:color w:val="auto"/>
        </w:rPr>
      </w:pPr>
      <w:r>
        <w:rPr>
          <w:rFonts w:ascii="Arial" w:cs="Arial" w:eastAsia="Arial" w:hAnsi="Arial"/>
          <w:sz w:val="18"/>
          <w:szCs w:val="18"/>
          <w:color w:val="auto"/>
        </w:rPr>
        <w:t>Name:</w:t>
        <w:tab/>
        <w:t>Eric Roeder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ACTIVISION ENTERTAINMENT HOLDINGS,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Dennis Durkin</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Dennis Durkin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as Collateral Agent</w:t>
            </w:r>
          </w:p>
        </w:tc>
        <w:tc>
          <w:tcPr>
            <w:tcW w:w="3660" w:type="dxa"/>
            <w:vAlign w:val="bottom"/>
          </w:tcPr>
          <w:p>
            <w:pPr>
              <w:spacing w:after="0"/>
              <w:rPr>
                <w:sz w:val="20"/>
                <w:szCs w:val="20"/>
                <w:color w:val="auto"/>
              </w:rPr>
            </w:pPr>
          </w:p>
        </w:tc>
      </w:tr>
      <w:tr>
        <w:trPr>
          <w:trHeight w:val="634"/>
        </w:trPr>
        <w:tc>
          <w:tcPr>
            <w:tcW w:w="2040" w:type="dxa"/>
            <w:vAlign w:val="bottom"/>
            <w:gridSpan w:val="2"/>
          </w:tcPr>
          <w:p>
            <w:pPr>
              <w:spacing w:after="0"/>
              <w:rPr>
                <w:sz w:val="20"/>
                <w:szCs w:val="20"/>
                <w:color w:val="auto"/>
              </w:rPr>
            </w:pPr>
            <w:r>
              <w:rPr>
                <w:rFonts w:ascii="Arial" w:cs="Arial" w:eastAsia="Arial" w:hAnsi="Arial"/>
                <w:sz w:val="18"/>
                <w:szCs w:val="18"/>
                <w:color w:val="auto"/>
              </w:rPr>
              <w:t>By:</w:t>
            </w:r>
          </w:p>
        </w:tc>
        <w:tc>
          <w:tcPr>
            <w:tcW w:w="3660" w:type="dxa"/>
            <w:vAlign w:val="bottom"/>
          </w:tcPr>
          <w:p>
            <w:pPr>
              <w:ind w:left="480"/>
              <w:spacing w:after="0"/>
              <w:rPr>
                <w:sz w:val="20"/>
                <w:szCs w:val="20"/>
                <w:color w:val="auto"/>
              </w:rPr>
            </w:pPr>
            <w:r>
              <w:rPr>
                <w:rFonts w:ascii="Arial" w:cs="Arial" w:eastAsia="Arial" w:hAnsi="Arial"/>
                <w:sz w:val="18"/>
                <w:szCs w:val="18"/>
                <w:color w:val="auto"/>
              </w:rPr>
              <w:t>/s/ Tiffany Shin</w:t>
            </w:r>
          </w:p>
        </w:tc>
      </w:tr>
      <w:tr>
        <w:trPr>
          <w:trHeight w:val="195"/>
        </w:trPr>
        <w:tc>
          <w:tcPr>
            <w:tcW w:w="460" w:type="dxa"/>
            <w:vAlign w:val="bottom"/>
          </w:tcPr>
          <w:p>
            <w:pPr>
              <w:spacing w:after="0"/>
              <w:rPr>
                <w:sz w:val="16"/>
                <w:szCs w:val="16"/>
                <w:color w:val="auto"/>
              </w:rPr>
            </w:pPr>
          </w:p>
        </w:tc>
        <w:tc>
          <w:tcPr>
            <w:tcW w:w="1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660" w:type="dxa"/>
            <w:vAlign w:val="bottom"/>
            <w:tcBorders>
              <w:top w:val="single" w:sz="8" w:color="auto"/>
            </w:tcBorders>
          </w:tcPr>
          <w:p>
            <w:pPr>
              <w:jc w:val="center"/>
              <w:ind w:right="750"/>
              <w:spacing w:after="0" w:line="195" w:lineRule="exact"/>
              <w:rPr>
                <w:sz w:val="20"/>
                <w:szCs w:val="20"/>
                <w:color w:val="auto"/>
              </w:rPr>
            </w:pPr>
            <w:r>
              <w:rPr>
                <w:rFonts w:ascii="Arial" w:cs="Arial" w:eastAsia="Arial" w:hAnsi="Arial"/>
                <w:sz w:val="18"/>
                <w:szCs w:val="18"/>
                <w:color w:val="auto"/>
                <w:w w:val="94"/>
              </w:rPr>
              <w:t>Tiffany Shin</w:t>
            </w:r>
          </w:p>
        </w:tc>
      </w:tr>
      <w:tr>
        <w:trPr>
          <w:trHeight w:val="230"/>
        </w:trPr>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jc w:val="center"/>
              <w:ind w:right="750"/>
              <w:spacing w:after="0"/>
              <w:rPr>
                <w:sz w:val="20"/>
                <w:szCs w:val="20"/>
                <w:color w:val="auto"/>
              </w:rPr>
            </w:pPr>
            <w:r>
              <w:rPr>
                <w:rFonts w:ascii="Arial" w:cs="Arial" w:eastAsia="Arial" w:hAnsi="Arial"/>
                <w:sz w:val="18"/>
                <w:szCs w:val="18"/>
                <w:color w:val="auto"/>
                <w:w w:val="89"/>
              </w:rPr>
              <w:t>Assistant Vice President</w:t>
            </w:r>
          </w:p>
        </w:tc>
      </w:tr>
    </w:tbl>
    <w:p>
      <w:pPr>
        <w:sectPr>
          <w:pgSz w:w="11900" w:h="16838" w:orient="portrait"/>
          <w:cols w:equalWidth="0" w:num="1">
            <w:col w:w="11420"/>
          </w:cols>
          <w:pgMar w:left="240" w:top="125" w:right="239" w:bottom="0" w:gutter="0" w:footer="0" w:header="0"/>
        </w:sectPr>
      </w:pPr>
    </w:p>
    <w:bookmarkStart w:id="127" w:name="page128"/>
    <w:bookmarkEnd w:id="127"/>
    <w:p>
      <w:pPr>
        <w:ind w:left="3660"/>
        <w:spacing w:after="0"/>
        <w:rPr>
          <w:sz w:val="20"/>
          <w:szCs w:val="20"/>
          <w:color w:val="auto"/>
        </w:rPr>
      </w:pPr>
      <w:r>
        <w:rPr>
          <w:rFonts w:ascii="Arial" w:cs="Arial" w:eastAsia="Arial" w:hAnsi="Arial"/>
          <w:sz w:val="17"/>
          <w:szCs w:val="17"/>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226060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 AGREEMENT</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THIS AMENDED AND RESTATED INVESTOR AGREEMENT, dated as of October 11, 2013 (this “</w:t>
      </w:r>
      <w:r>
        <w:rPr>
          <w:rFonts w:ascii="Arial" w:cs="Arial" w:eastAsia="Arial" w:hAnsi="Arial"/>
          <w:sz w:val="18"/>
          <w:szCs w:val="18"/>
          <w:u w:val="single" w:color="auto"/>
          <w:color w:val="auto"/>
        </w:rPr>
        <w:t>Agreement</w:t>
      </w:r>
      <w:r>
        <w:rPr>
          <w:rFonts w:ascii="Arial" w:cs="Arial" w:eastAsia="Arial" w:hAnsi="Arial"/>
          <w:sz w:val="18"/>
          <w:szCs w:val="18"/>
          <w:color w:val="auto"/>
        </w:rPr>
        <w:t>”), is between VIVENDI, S.A., a societe anonyme organized under the laws of France (“</w:t>
      </w:r>
      <w:r>
        <w:rPr>
          <w:rFonts w:ascii="Arial" w:cs="Arial" w:eastAsia="Arial" w:hAnsi="Arial"/>
          <w:sz w:val="18"/>
          <w:szCs w:val="18"/>
          <w:u w:val="single" w:color="auto"/>
          <w:color w:val="auto"/>
        </w:rPr>
        <w:t>Vivendi</w:t>
      </w:r>
      <w:r>
        <w:rPr>
          <w:rFonts w:ascii="Arial" w:cs="Arial" w:eastAsia="Arial" w:hAnsi="Arial"/>
          <w:sz w:val="18"/>
          <w:szCs w:val="18"/>
          <w:color w:val="auto"/>
        </w:rPr>
        <w:t>”), VIVENDI HOLDING I LLC (as successor to VGAC LLC, a Delaware limited liability company), a Delaware limited liability company (“</w:t>
      </w:r>
      <w:r>
        <w:rPr>
          <w:rFonts w:ascii="Arial" w:cs="Arial" w:eastAsia="Arial" w:hAnsi="Arial"/>
          <w:sz w:val="18"/>
          <w:szCs w:val="18"/>
          <w:u w:val="single" w:color="auto"/>
          <w:color w:val="auto"/>
        </w:rPr>
        <w:t>VHI LLC</w:t>
      </w:r>
      <w:r>
        <w:rPr>
          <w:rFonts w:ascii="Arial" w:cs="Arial" w:eastAsia="Arial" w:hAnsi="Arial"/>
          <w:sz w:val="18"/>
          <w:szCs w:val="18"/>
          <w:color w:val="auto"/>
        </w:rPr>
        <w:t>” and together with Vivendi, the “</w:t>
      </w:r>
      <w:r>
        <w:rPr>
          <w:rFonts w:ascii="Arial" w:cs="Arial" w:eastAsia="Arial" w:hAnsi="Arial"/>
          <w:sz w:val="18"/>
          <w:szCs w:val="18"/>
          <w:u w:val="single" w:color="auto"/>
          <w:color w:val="auto"/>
        </w:rPr>
        <w:t>Vivendi Parties</w:t>
      </w:r>
      <w:r>
        <w:rPr>
          <w:rFonts w:ascii="Arial" w:cs="Arial" w:eastAsia="Arial" w:hAnsi="Arial"/>
          <w:sz w:val="18"/>
          <w:szCs w:val="18"/>
          <w:color w:val="auto"/>
        </w:rPr>
        <w:t>”), ACTIVISION ENTERTAINMENT HOLDINGS, INC. (f/k/a VIVENDI GAMES, INC.), a Delaware corporation (“</w:t>
      </w:r>
      <w:r>
        <w:rPr>
          <w:rFonts w:ascii="Arial" w:cs="Arial" w:eastAsia="Arial" w:hAnsi="Arial"/>
          <w:sz w:val="18"/>
          <w:szCs w:val="18"/>
          <w:u w:val="single" w:color="auto"/>
          <w:color w:val="auto"/>
        </w:rPr>
        <w:t>Games</w:t>
      </w:r>
      <w:r>
        <w:rPr>
          <w:rFonts w:ascii="Arial" w:cs="Arial" w:eastAsia="Arial" w:hAnsi="Arial"/>
          <w:sz w:val="18"/>
          <w:szCs w:val="18"/>
          <w:color w:val="auto"/>
        </w:rPr>
        <w:t>”), and ACTIVISION BLIZZARD,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amends and restates in its entirety that certain Investor Agreement, dated as of July 9, 2008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between Vivendi, VGAC LLC, Games and the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WHEREAS, Vivendi, VGAC LLC, Games, the Company and Sego Merger Corporation, a Delaware corporation and wholly owned subsidiary of the Company, entered into a Business Combination Agreement (the “</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dated as of December 1, 2007, which provided for, among other things, the combination of the respective businesses of the Company and Games upon the terms and subject to the conditions set forth therein;</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WHEREAS, Vivendi, ASAC II LLP, an exempted limited partnership organized under the laws of the Cayman Islands and acting by ASAC II LLC, its general partner(“</w:t>
      </w:r>
      <w:r>
        <w:rPr>
          <w:rFonts w:ascii="Arial" w:cs="Arial" w:eastAsia="Arial" w:hAnsi="Arial"/>
          <w:sz w:val="18"/>
          <w:szCs w:val="18"/>
          <w:u w:val="single" w:color="auto"/>
          <w:color w:val="auto"/>
        </w:rPr>
        <w:t>ASAC</w:t>
      </w:r>
      <w:r>
        <w:rPr>
          <w:rFonts w:ascii="Arial" w:cs="Arial" w:eastAsia="Arial" w:hAnsi="Arial"/>
          <w:sz w:val="18"/>
          <w:szCs w:val="18"/>
          <w:color w:val="auto"/>
        </w:rPr>
        <w:t>”), and the Company entered into a Stock Purchase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dated as of July 25, 2013, pursuant to which, among other things, (a) the Company agreed to purchase from Vivendi (the “</w:t>
      </w:r>
      <w:r>
        <w:rPr>
          <w:rFonts w:ascii="Arial" w:cs="Arial" w:eastAsia="Arial" w:hAnsi="Arial"/>
          <w:sz w:val="18"/>
          <w:szCs w:val="18"/>
          <w:u w:val="single" w:color="auto"/>
          <w:color w:val="auto"/>
        </w:rPr>
        <w:t>Purchase Transaction</w:t>
      </w:r>
      <w:r>
        <w:rPr>
          <w:rFonts w:ascii="Arial" w:cs="Arial" w:eastAsia="Arial" w:hAnsi="Arial"/>
          <w:sz w:val="18"/>
          <w:szCs w:val="18"/>
          <w:color w:val="auto"/>
        </w:rPr>
        <w:t>”) all of the capital stock of Amber Holding Subsidiary Co., a Delaware corporation and wholly-owned subsidiary of Vivendi (“</w:t>
      </w:r>
      <w:r>
        <w:rPr>
          <w:rFonts w:ascii="Arial" w:cs="Arial" w:eastAsia="Arial" w:hAnsi="Arial"/>
          <w:sz w:val="18"/>
          <w:szCs w:val="18"/>
          <w:u w:val="single" w:color="auto"/>
          <w:color w:val="auto"/>
        </w:rPr>
        <w:t>New VH</w:t>
      </w:r>
      <w:r>
        <w:rPr>
          <w:rFonts w:ascii="Arial" w:cs="Arial" w:eastAsia="Arial" w:hAnsi="Arial"/>
          <w:sz w:val="18"/>
          <w:szCs w:val="18"/>
          <w:color w:val="auto"/>
        </w:rPr>
        <w:t>”), which at the time of the Purchase Transaction would be the direct owner of 428,676,471 shares of the Company’s common stock, par value $0.000001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in exchange for $5,830,000,005.60 in cash and (b) ASAC agreed to purchase from Vivendi 171,968,042 shares of Common Stock (the “</w:t>
      </w:r>
      <w:r>
        <w:rPr>
          <w:rFonts w:ascii="Arial" w:cs="Arial" w:eastAsia="Arial" w:hAnsi="Arial"/>
          <w:sz w:val="18"/>
          <w:szCs w:val="18"/>
          <w:u w:val="single" w:color="auto"/>
          <w:color w:val="auto"/>
        </w:rPr>
        <w:t>Private Sale</w:t>
      </w:r>
      <w:r>
        <w:rPr>
          <w:rFonts w:ascii="Arial" w:cs="Arial" w:eastAsia="Arial" w:hAnsi="Arial"/>
          <w:sz w:val="18"/>
          <w:szCs w:val="18"/>
          <w:color w:val="auto"/>
        </w:rPr>
        <w:t>”), in each case, upon the terms and subject to the conditions set forth therein;</w:t>
      </w:r>
    </w:p>
    <w:p>
      <w:pPr>
        <w:spacing w:after="0" w:line="18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WHEREAS, following the consummation of the Purchase Transaction and the Private Sale, Vivendi and its Controlled Affiliates will own 82,999,377 shares of Common Stock (the “</w:t>
      </w:r>
      <w:r>
        <w:rPr>
          <w:rFonts w:ascii="Arial" w:cs="Arial" w:eastAsia="Arial" w:hAnsi="Arial"/>
          <w:sz w:val="18"/>
          <w:szCs w:val="18"/>
          <w:u w:val="single" w:color="auto"/>
          <w:color w:val="auto"/>
        </w:rPr>
        <w:t>Remaining Shares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execution and delivery of this Agreement is a condition to the closing of the Purchase Transaction; and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WHEREAS, parties desire to set forth in this Agreement certain terms and conditions upon which Vivendi will hold shares of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and agreements herein contained, and intending to be legally bound hereby,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40" w:hanging="184"/>
        <w:spacing w:after="0"/>
        <w:tabs>
          <w:tab w:leader="none" w:pos="840"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For purposes of this Agreement, the following terms shall have the meanings set forth elsewhere in this Agreement or set forth below:</w:t>
      </w:r>
    </w:p>
    <w:p>
      <w:pPr>
        <w:spacing w:after="0" w:line="237"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set forth in rule 12b-2 under the Exchange Act; provided, however, that, for purposes of this Agreement, the Vivendi Parties shall not be deemed to control, be controlled by, or be under common control with, or be an Affiliate of, the Company or any of its subsidiaries, or vice versa.</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Securities</w:t>
      </w:r>
      <w:r>
        <w:rPr>
          <w:rFonts w:ascii="Arial" w:cs="Arial" w:eastAsia="Arial" w:hAnsi="Arial"/>
          <w:sz w:val="18"/>
          <w:szCs w:val="18"/>
          <w:color w:val="auto"/>
        </w:rPr>
        <w:t>” means, with respect to any Registration Statement, the Registrable Securities identified in the Demand Notice or Piggyback Notice (or, in the case of the Market Offering Registration Statements, the Remaining Shares that are required to be registered thereunder pursuant to the terms of the Purchase Agreement) relating to such Registration Statement and any Registrable Securities which any other Holder is entitled to, and requests, be included in such registration statement within 20 days after receiving such notice.</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attributed to it in Rules 13d-3 and 13d-5 under the Exchange Act, whether or not applicable, except that a “person” shall not be deemed to have “beneficial ownership” of any shares that any such person has the right to acquire, whether or not such right is exercisable immediately or within sixty (60) days after the date as of which such determination is being made (the term “beneficial ownership” shall have a correlative meaning to the term “beneficial owner”).</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BMC</w:t>
      </w:r>
      <w:r>
        <w:rPr>
          <w:rFonts w:ascii="Arial" w:cs="Arial" w:eastAsia="Arial" w:hAnsi="Arial"/>
          <w:sz w:val="18"/>
          <w:szCs w:val="18"/>
          <w:color w:val="auto"/>
        </w:rPr>
        <w:t>” means the tax scheme recognized and authorized by the French Ministry of the Economy and Finance known as “corporate taxation on global profits” (or, bénéfice mondial consolidé).</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Company, as adopted on February 10, 2010.</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Cash-Settled Equity Awards</w:t>
      </w:r>
      <w:r>
        <w:rPr>
          <w:rFonts w:ascii="Arial" w:cs="Arial" w:eastAsia="Arial" w:hAnsi="Arial"/>
          <w:sz w:val="18"/>
          <w:szCs w:val="18"/>
          <w:color w:val="auto"/>
        </w:rPr>
        <w:t>” means stock appreciation rights and/or restricted stock units, in each case, in respect of the common stock of Vivendi that were awarded to Games Employees prior to the Combination Closing Date under the Vivendi Equity Plans.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means the Amended and Restated Certificate of Incorporation of the Company, dated July 9, 2008, and as amended on August 15, 2008.</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have the meaning set forth in the Purchase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the Purchase Agreement.</w:t>
      </w:r>
    </w:p>
    <w:p>
      <w:pPr>
        <w:sectPr>
          <w:pgSz w:w="11900" w:h="16838" w:orient="portrait"/>
          <w:cols w:equalWidth="0" w:num="1">
            <w:col w:w="11420"/>
          </w:cols>
          <w:pgMar w:left="240" w:top="121" w:right="239" w:bottom="0" w:gutter="0" w:footer="0" w:header="0"/>
        </w:sectPr>
      </w:pPr>
    </w:p>
    <w:bookmarkStart w:id="129" w:name="page130"/>
    <w:bookmarkEnd w:id="129"/>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 Closing Date</w:t>
      </w:r>
      <w:r>
        <w:rPr>
          <w:rFonts w:ascii="Arial" w:cs="Arial" w:eastAsia="Arial" w:hAnsi="Arial"/>
          <w:sz w:val="18"/>
          <w:szCs w:val="18"/>
          <w:color w:val="auto"/>
        </w:rPr>
        <w:t>” means July 9, 2008.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“control” shall have the meaning set forth in rule 12b-2 under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Affiliate</w:t>
      </w:r>
      <w:r>
        <w:rPr>
          <w:rFonts w:ascii="Arial" w:cs="Arial" w:eastAsia="Arial" w:hAnsi="Arial"/>
          <w:sz w:val="18"/>
          <w:szCs w:val="18"/>
          <w:color w:val="auto"/>
        </w:rPr>
        <w:t>” of a person shall mean an Affiliate controlled, directly or indirectly, by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Notice</w:t>
      </w:r>
      <w:r>
        <w:rPr>
          <w:rFonts w:ascii="Arial" w:cs="Arial" w:eastAsia="Arial" w:hAnsi="Arial"/>
          <w:sz w:val="18"/>
          <w:szCs w:val="18"/>
          <w:color w:val="auto"/>
        </w:rPr>
        <w:t>” means a notice given by a Holder pursuant to Section 5.1(a).</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means a registration under the Securities Act of an offer and sale of Registrable Securities effected pursuant to Section 5.1 hereof, which, notwithstanding the last sentence of Section 5.1(a), shall include the registration of Registrable Securities under each Market Offering Registration Statement.</w:t>
      </w:r>
    </w:p>
    <w:p>
      <w:pPr>
        <w:spacing w:after="0" w:line="181" w:lineRule="exact"/>
        <w:rPr>
          <w:sz w:val="20"/>
          <w:szCs w:val="20"/>
          <w:color w:val="auto"/>
        </w:rPr>
      </w:pPr>
    </w:p>
    <w:p>
      <w:pPr>
        <w:ind w:right="5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Demand Registration Statement</w:t>
      </w:r>
      <w:r>
        <w:rPr>
          <w:rFonts w:ascii="Arial" w:cs="Arial" w:eastAsia="Arial" w:hAnsi="Arial"/>
          <w:sz w:val="17"/>
          <w:szCs w:val="17"/>
          <w:color w:val="auto"/>
        </w:rPr>
        <w:t>” means a registration statement filed under the Securities Act by the Company pursuant to the provisions of Section 5.1 hereof (including, for the avoidance of doubt, each Market Offering Registration Statement required to be filed pursuant to the Purchase Agreement), including the Prospectus contained therein, any amendments and supplements to such registration statement, including post-effective amendments, and all exhibits and all material incorporated by reference in such registration statement.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Effectiveness Period</w:t>
      </w:r>
      <w:r>
        <w:rPr>
          <w:rFonts w:ascii="Arial" w:cs="Arial" w:eastAsia="Arial" w:hAnsi="Arial"/>
          <w:sz w:val="17"/>
          <w:szCs w:val="17"/>
          <w:color w:val="auto"/>
        </w:rPr>
        <w:t>” means, with respect to any Registration Statement, the period during which such Registration Statement is effective.</w:t>
      </w:r>
    </w:p>
    <w:p>
      <w:pPr>
        <w:spacing w:after="0" w:line="23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means, with respect to any Registration Statement, the date on which the Commission declares such Registration Statement effective or on which such Registration Statement otherwise becomes effective under the Securities Act.</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Electing Holder</w:t>
      </w:r>
      <w:r>
        <w:rPr>
          <w:rFonts w:ascii="Arial" w:cs="Arial" w:eastAsia="Arial" w:hAnsi="Arial"/>
          <w:sz w:val="18"/>
          <w:szCs w:val="18"/>
          <w:color w:val="auto"/>
        </w:rPr>
        <w:t>” means, with respect to any Registration, each Holder that is entitled and elects to sell Registrable Securities pursuant to such Registration and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Games Employees</w:t>
      </w:r>
      <w:r>
        <w:rPr>
          <w:rFonts w:ascii="Arial" w:cs="Arial" w:eastAsia="Arial" w:hAnsi="Arial"/>
          <w:sz w:val="18"/>
          <w:szCs w:val="18"/>
          <w:color w:val="auto"/>
        </w:rPr>
        <w:t>” means employees of Games or any of its Subsidiaries on or prior to the Combination Closing Date.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 Vivendi, (ii) each of its Controlled Affiliates and (iii) each holder of Registrable Securities that acquires from Vivendi or any of its Affiliates a number of shares of Common Stock that, as of the time of such acquisition, constitutes 10% or more of the aggregate number of issued and outstanding shares of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means any individual serving on the Board who is not an Ineligible Nominee.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Nominees</w:t>
      </w:r>
      <w:r>
        <w:rPr>
          <w:rFonts w:ascii="Arial" w:cs="Arial" w:eastAsia="Arial" w:hAnsi="Arial"/>
          <w:sz w:val="18"/>
          <w:szCs w:val="18"/>
          <w:color w:val="auto"/>
        </w:rPr>
        <w:t>” means any individual who (a) is a former director, officer or employee of Vivendi or any of its Controlled Affiliates, (b) is an officer or director of any Person who is a competitor of Vivendi or any of its Controlled Affiliates, (c) is an officer or director of any Person that is or was a party to any material action, suit or proceeding, claim or arbitration in which Vivendi or any of its Controlled Affiliates is or was an adverse party, (d) is a member or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partner of ASAC, ASAC GP LLC, or an officer or director of ASAC, ASAC GP LLC, or any member of partner thereof or (e) does not qualify as an “independent director” as such term is defined in Rule 4200(15) of the rules promulgated by The Nasdaq Stock Market, Inc. which apply to issuers whose common stock is listed on the Nasdaq Global Market (or any successor rules as may be promulgated from time to time, or, if the Company’s Common Stock is listed on a different national securities exchange, the comparable “independent director” requirements of such other exchange).</w:t>
      </w:r>
    </w:p>
    <w:p>
      <w:pPr>
        <w:spacing w:after="0" w:line="17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JFG Employment Agreement</w:t>
      </w:r>
      <w:r>
        <w:rPr>
          <w:rFonts w:ascii="Arial" w:cs="Arial" w:eastAsia="Arial" w:hAnsi="Arial"/>
          <w:sz w:val="18"/>
          <w:szCs w:val="18"/>
          <w:color w:val="auto"/>
        </w:rPr>
        <w:t>” means that certain employment agreement, dated as of January 12, 2004, between Vivendi and Jean-Francois Grollemund, as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Offering Registration</w:t>
      </w:r>
      <w:r>
        <w:rPr>
          <w:rFonts w:ascii="Arial" w:cs="Arial" w:eastAsia="Arial" w:hAnsi="Arial"/>
          <w:sz w:val="18"/>
          <w:szCs w:val="18"/>
          <w:color w:val="auto"/>
        </w:rPr>
        <w:t>” means any Demand Registration under a Market Offering Registration Statement.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Offering Registration Statements</w:t>
      </w:r>
      <w:r>
        <w:rPr>
          <w:rFonts w:ascii="Arial" w:cs="Arial" w:eastAsia="Arial" w:hAnsi="Arial"/>
          <w:sz w:val="18"/>
          <w:szCs w:val="18"/>
          <w:color w:val="auto"/>
        </w:rPr>
        <w:t>” means the First Market Offering Registration Statement and the Second Market Offering Registration Statement (each as defined in the Purchase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means the National Association of Securities Dealers,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 Rules</w:t>
      </w:r>
      <w:r>
        <w:rPr>
          <w:rFonts w:ascii="Arial" w:cs="Arial" w:eastAsia="Arial" w:hAnsi="Arial"/>
          <w:sz w:val="18"/>
          <w:szCs w:val="18"/>
          <w:color w:val="auto"/>
        </w:rPr>
        <w:t>” means the Rules of the NASD, as amended from time to time.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not-for-profit), general or limited partnership, limited liability company, joint venture, estate, trust, association, organization, Governmental Entity or other entity of any kind or nature.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means a registration under the Securities Act of an offer and sale of Registrable Securities effected pursuant to Section 5.2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(including, without limitation, any preliminary prospectus, any final prospectus and any prospectus that discloses information previously omitted from a prospectus filed as part of an effective Registration Statement in reliance upon Rule 430A under the Act) included in a Registration Statement, as amended or supplemented by any prospectus supplement with respect to the terms of the offering of any portion of the Applicable</w:t>
      </w:r>
    </w:p>
    <w:p>
      <w:pPr>
        <w:sectPr>
          <w:pgSz w:w="11900" w:h="16952" w:orient="portrait"/>
          <w:cols w:equalWidth="0" w:num="1">
            <w:col w:w="11380"/>
          </w:cols>
          <w:pgMar w:left="240" w:top="125" w:right="279" w:bottom="0" w:gutter="0" w:footer="0" w:header="0"/>
        </w:sectPr>
      </w:pPr>
    </w:p>
    <w:bookmarkStart w:id="130" w:name="page131"/>
    <w:bookmarkEnd w:id="130"/>
    <w:p>
      <w:pPr>
        <w:spacing w:after="0" w:line="6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Securities covered by a Registration Statement and by all other amendments and supplements to such prospectus, including all material incorporated by reference in such prospectus and all documents filed after the date of such prospectus by the Company under the Exchange Act and incorporated by reference therein.</w:t>
      </w:r>
    </w:p>
    <w:p>
      <w:pPr>
        <w:spacing w:after="0" w:line="181"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(a) the Remaining Shares, (b) any securities issued or distributed with respect to, or in exchange for, any such Remaining Shares or securities (whether directly or indirectly or in one or a series of transactions) pursuant to any reclassification, merger, consolidation, reorganization or other transaction or procedure and (c) any securities issued or distributed with respect to, or in exchange for, any securities described in clause (b) or this clause (c) (whether directly or indirectly or in one or a series of transactions) pursuant to any reclassification, merger, consolidation, reorganization or other transaction or procedure, other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than, in the case of each of clauses (a), (b) and (c), any such securities that are Unrestricted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w:t>
      </w:r>
      <w:r>
        <w:rPr>
          <w:rFonts w:ascii="Arial" w:cs="Arial" w:eastAsia="Arial" w:hAnsi="Arial"/>
          <w:sz w:val="18"/>
          <w:szCs w:val="18"/>
          <w:color w:val="auto"/>
        </w:rPr>
        <w:t>” means a Demand Registration or Piggyback Registration.</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means all expenses incident to the Company’s performance of its obligations in respect of any Registration of Registrable Securities pursuant to this Agreement, including but not limited to all registration, filing and NASD fees, fees of any stock exchange upon which the Registrable Securities are listed, all fees and expenses of complying with securities or blue sky laws, all word processing, duplicating and printing expenses, messenger and delivery expenses, the fees and disbursements of counsel for the Company and of its independent public accountants, including the expenses of any special audits or “comfort” letters required by or incident to such performance and compliance, premiums and other costs of policies of insurance obtained by the Company against liabilities arising out of the public offering of Registrable Securities being registered;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Registration Expenses shall not include any fees and disbursements of counsel retained by any Holders, underwriters, selling brokers or similar professionals or any transfer taxes or underwriting discounts, fees or commissions relating to the sale of the Registrable Securities.</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Market Offering Registration Statement and each registration statement filed by the Company with the Commission under the Securities Act pursuant to the provisions of Section 5.1 or 5.2 hereof, including the Prospectus contained therein, any amendments and supplements to such registration statement, including post-effective amendments, and all exhibits and all material incorporated by reference in such registration statement.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 means the published rules and regulations of the Commission promulgated under the Securities Act or the Exchange Act, as in effect at any relevant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Stock-Settled Equity Awards</w:t>
      </w:r>
      <w:r>
        <w:rPr>
          <w:rFonts w:ascii="Arial" w:cs="Arial" w:eastAsia="Arial" w:hAnsi="Arial"/>
          <w:sz w:val="18"/>
          <w:szCs w:val="18"/>
          <w:color w:val="auto"/>
        </w:rPr>
        <w:t>” means stock options and/or restricted stock, in each case, in respect of the common stock of Vivendi that were awarded to Games Employees prior to the Combination Closing Date under the Vivendi Equity Plans.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Contest</w:t>
      </w:r>
      <w:r>
        <w:rPr>
          <w:rFonts w:ascii="Arial" w:cs="Arial" w:eastAsia="Arial" w:hAnsi="Arial"/>
          <w:sz w:val="16"/>
          <w:szCs w:val="16"/>
          <w:color w:val="auto"/>
        </w:rPr>
        <w:t>” means any audit, assessment of tax, other examination by any Taxing Authority, or any proceeding or appeal of such proceeding.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each tax return required to be filed by the Company or any of its Subsidiaries by applicable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Taxing Authority</w:t>
      </w:r>
      <w:r>
        <w:rPr>
          <w:rFonts w:ascii="Arial" w:cs="Arial" w:eastAsia="Arial" w:hAnsi="Arial"/>
          <w:sz w:val="17"/>
          <w:szCs w:val="17"/>
          <w:color w:val="auto"/>
        </w:rPr>
        <w:t>” means any Governmental Entity having jurisdiction over the imposition, determination, assessment, or collection of any tax.</w:t>
      </w:r>
    </w:p>
    <w:p>
      <w:pPr>
        <w:spacing w:after="0" w:line="237" w:lineRule="exact"/>
        <w:rPr>
          <w:sz w:val="20"/>
          <w:szCs w:val="20"/>
          <w:color w:val="auto"/>
        </w:rPr>
      </w:pPr>
    </w:p>
    <w:p>
      <w:pPr>
        <w:ind w:right="240" w:firstLine="70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Event</w:t>
      </w:r>
      <w:r>
        <w:rPr>
          <w:rFonts w:ascii="Arial" w:cs="Arial" w:eastAsia="Arial" w:hAnsi="Arial"/>
          <w:sz w:val="17"/>
          <w:szCs w:val="17"/>
          <w:color w:val="auto"/>
        </w:rPr>
        <w:t>” means the disposition by Vivendi and/or its Controlled Affiliates of beneficial ownership of common stock of the Company which disposition has the effect of causing Vivendi’s Voting Interest falling and remaining below 9.9% for ninety (90) consecutive days.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Security</w:t>
      </w:r>
      <w:r>
        <w:rPr>
          <w:rFonts w:ascii="Arial" w:cs="Arial" w:eastAsia="Arial" w:hAnsi="Arial"/>
          <w:sz w:val="18"/>
          <w:szCs w:val="18"/>
          <w:color w:val="auto"/>
        </w:rPr>
        <w:t>” means any Registrable Security that (a) has been offered and sold pursuant to a registration statement that has become effective under the Securities Act, (b) has been transferred in compliance with Rule 144 under the Securities Act (or any successor provision thereto) under circumstances after which such Registrable Securities became freely transferable without registration under the Securities Act and any legend relating to transfer restrictions under the Securities Act has been removed or (c) is transferable pursuant to paragraph (k) of Rule 144 (or any successor provision thereto).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Vivendi Equity Plans</w:t>
      </w:r>
      <w:r>
        <w:rPr>
          <w:rFonts w:ascii="Arial" w:cs="Arial" w:eastAsia="Arial" w:hAnsi="Arial"/>
          <w:sz w:val="18"/>
          <w:szCs w:val="18"/>
          <w:color w:val="auto"/>
        </w:rPr>
        <w:t>” means those stock option and other equity-based plans set forth on Schedule 1 attached hereto.</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Vivendi’s Voting Interest</w:t>
      </w:r>
      <w:r>
        <w:rPr>
          <w:rFonts w:ascii="Arial" w:cs="Arial" w:eastAsia="Arial" w:hAnsi="Arial"/>
          <w:sz w:val="18"/>
          <w:szCs w:val="18"/>
          <w:color w:val="auto"/>
        </w:rPr>
        <w:t>” means the percentage of the issued and outstanding Common Stock beneficially owned by Vivendi and its Controlled Affiliates.</w:t>
      </w:r>
    </w:p>
    <w:p>
      <w:pPr>
        <w:spacing w:after="0" w:line="170" w:lineRule="exact"/>
        <w:rPr>
          <w:sz w:val="20"/>
          <w:szCs w:val="20"/>
          <w:color w:val="auto"/>
        </w:rPr>
      </w:pPr>
    </w:p>
    <w:p>
      <w:pPr>
        <w:ind w:right="240" w:firstLine="656"/>
        <w:spacing w:after="0" w:line="342" w:lineRule="auto"/>
        <w:tabs>
          <w:tab w:leader="none" w:pos="1304" w:val="left"/>
        </w:tabs>
        <w:numPr>
          <w:ilvl w:val="0"/>
          <w:numId w:val="396"/>
        </w:numPr>
        <w:rPr>
          <w:rFonts w:ascii="Arial" w:cs="Arial" w:eastAsia="Arial" w:hAnsi="Arial"/>
          <w:sz w:val="16"/>
          <w:szCs w:val="16"/>
          <w:color w:val="auto"/>
        </w:rPr>
      </w:pPr>
      <w:r>
        <w:rPr>
          <w:rFonts w:ascii="Arial" w:cs="Arial" w:eastAsia="Arial" w:hAnsi="Arial"/>
          <w:sz w:val="16"/>
          <w:szCs w:val="16"/>
          <w:color w:val="auto"/>
        </w:rPr>
        <w:t>For purposes of this Agreement, capitalized terms used and not defined herein shall have the respective meanings ascribed to them in the Purchase Agreement, but if not defined therein or herein, shall have the respective meanings ascribed to them in the Combination Agreement.</w:t>
      </w:r>
    </w:p>
    <w:p>
      <w:pPr>
        <w:spacing w:after="0" w:line="124" w:lineRule="exact"/>
        <w:rPr>
          <w:sz w:val="20"/>
          <w:szCs w:val="20"/>
          <w:color w:val="auto"/>
        </w:rPr>
      </w:pPr>
    </w:p>
    <w:p>
      <w:pPr>
        <w:ind w:left="840" w:hanging="184"/>
        <w:spacing w:after="0"/>
        <w:tabs>
          <w:tab w:leader="none" w:pos="8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Vivendi Equity Awards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4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Reimbursement for Stock-Settled Equity Award Expenses</w:t>
      </w:r>
      <w:r>
        <w:rPr>
          <w:rFonts w:ascii="Arial" w:cs="Arial" w:eastAsia="Arial" w:hAnsi="Arial"/>
          <w:sz w:val="17"/>
          <w:szCs w:val="17"/>
          <w:color w:val="auto"/>
        </w:rPr>
        <w:t>. On or prior to February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and August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each year, Vivendi shall provide the Company and Games with a statement (the “</w:t>
      </w:r>
      <w:r>
        <w:rPr>
          <w:rFonts w:ascii="Arial" w:cs="Arial" w:eastAsia="Arial" w:hAnsi="Arial"/>
          <w:sz w:val="17"/>
          <w:szCs w:val="17"/>
          <w:u w:val="single" w:color="auto"/>
          <w:color w:val="auto"/>
        </w:rPr>
        <w:t>Equity Expense Statement</w:t>
      </w:r>
      <w:r>
        <w:rPr>
          <w:rFonts w:ascii="Arial" w:cs="Arial" w:eastAsia="Arial" w:hAnsi="Arial"/>
          <w:sz w:val="17"/>
          <w:szCs w:val="17"/>
          <w:color w:val="auto"/>
        </w:rPr>
        <w:t>”) setting forth, in reasonable detail, the amount of the equity-based compensation expense recorded by Vivendi and/or its Controlled Affiliates (other than the Company and its Subsidiaries) during the preceding six month periods ended December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and June 30</w:t>
      </w:r>
      <w:r>
        <w:rPr>
          <w:rFonts w:ascii="Arial" w:cs="Arial" w:eastAsia="Arial" w:hAnsi="Arial"/>
          <w:sz w:val="22"/>
          <w:szCs w:val="22"/>
          <w:color w:val="auto"/>
          <w:vertAlign w:val="superscript"/>
        </w:rPr>
        <w:t>th</w:t>
      </w:r>
      <w:r>
        <w:rPr>
          <w:rFonts w:ascii="Arial" w:cs="Arial" w:eastAsia="Arial" w:hAnsi="Arial"/>
          <w:sz w:val="17"/>
          <w:szCs w:val="17"/>
          <w:color w:val="auto"/>
        </w:rPr>
        <w:t>, respectively, in respect of grants of Stock-Settled Equity Awards to Games Employees that were made after January 1, 2004 and prior to the Combination Closing Date (such amount, a “</w:t>
      </w:r>
      <w:r>
        <w:rPr>
          <w:rFonts w:ascii="Arial" w:cs="Arial" w:eastAsia="Arial" w:hAnsi="Arial"/>
          <w:sz w:val="17"/>
          <w:szCs w:val="17"/>
          <w:u w:val="single" w:color="auto"/>
          <w:color w:val="auto"/>
        </w:rPr>
        <w:t>Periodic Grant Expense</w:t>
      </w:r>
      <w:r>
        <w:rPr>
          <w:rFonts w:ascii="Arial" w:cs="Arial" w:eastAsia="Arial" w:hAnsi="Arial"/>
          <w:sz w:val="17"/>
          <w:szCs w:val="17"/>
          <w:color w:val="auto"/>
        </w:rPr>
        <w:t>”), which shall be calculated in a manner consistent with Vivendi’s consolidated financial statements. Within ten (10) business days after the Company’s receipt of an Equity Expense Statement, the Company or Games shall pay to Vivendi an amount in cash equal to the amount of the Periodic Grant Expense set forth therein.</w:t>
      </w:r>
    </w:p>
    <w:p>
      <w:pPr>
        <w:sectPr>
          <w:pgSz w:w="11900" w:h="16903" w:orient="portrait"/>
          <w:cols w:equalWidth="0" w:num="1">
            <w:col w:w="11400"/>
          </w:cols>
          <w:pgMar w:left="240" w:top="125" w:right="259" w:bottom="0" w:gutter="0" w:footer="0" w:header="0"/>
        </w:sectPr>
      </w:pPr>
    </w:p>
    <w:bookmarkStart w:id="131" w:name="page132"/>
    <w:bookmarkEnd w:id="131"/>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Payment of Cash-Settled Equity Awards</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59" w:lineRule="auto"/>
        <w:tabs>
          <w:tab w:leader="none" w:pos="129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Promptly following the exercise of any Cash-Settled Equity Award, (i) Vivendi shall provide the Company and Games with a statement (an “</w:t>
      </w:r>
      <w:r>
        <w:rPr>
          <w:rFonts w:ascii="Arial" w:cs="Arial" w:eastAsia="Arial" w:hAnsi="Arial"/>
          <w:sz w:val="18"/>
          <w:szCs w:val="18"/>
          <w:u w:val="single" w:color="auto"/>
          <w:color w:val="auto"/>
        </w:rPr>
        <w:t>Exercise Statement</w:t>
      </w:r>
      <w:r>
        <w:rPr>
          <w:rFonts w:ascii="Arial" w:cs="Arial" w:eastAsia="Arial" w:hAnsi="Arial"/>
          <w:sz w:val="18"/>
          <w:szCs w:val="18"/>
          <w:color w:val="auto"/>
        </w:rPr>
        <w:t>”) setting forth, in reasonable detail, (A) the name of the exercising party, (B) the number, type and exercise price (if any) of the Cash-Settled Equity Award(s) exercised by such person and (C) the aggregate amount payable to such person with respect to such exercised Cash-Settled Equity Award (the “</w:t>
      </w:r>
      <w:r>
        <w:rPr>
          <w:rFonts w:ascii="Arial" w:cs="Arial" w:eastAsia="Arial" w:hAnsi="Arial"/>
          <w:sz w:val="18"/>
          <w:szCs w:val="18"/>
          <w:u w:val="single" w:color="auto"/>
          <w:color w:val="auto"/>
        </w:rPr>
        <w:t>Aggregate Exercise Payment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80" w:firstLine="656"/>
        <w:spacing w:after="0" w:line="286" w:lineRule="auto"/>
        <w:tabs>
          <w:tab w:leader="none" w:pos="1304" w:val="left"/>
        </w:tabs>
        <w:numPr>
          <w:ilvl w:val="0"/>
          <w:numId w:val="398"/>
        </w:numPr>
        <w:rPr>
          <w:rFonts w:ascii="Arial" w:cs="Arial" w:eastAsia="Arial" w:hAnsi="Arial"/>
          <w:sz w:val="17"/>
          <w:szCs w:val="17"/>
          <w:color w:val="auto"/>
        </w:rPr>
      </w:pPr>
      <w:r>
        <w:rPr>
          <w:rFonts w:ascii="Arial" w:cs="Arial" w:eastAsia="Arial" w:hAnsi="Arial"/>
          <w:sz w:val="17"/>
          <w:szCs w:val="17"/>
          <w:color w:val="auto"/>
        </w:rPr>
        <w:t>Games shall be responsible for all payments in respect of the exercise of Cash-Settled Equity awards and, promptly following receipt of each Exercise Statement, the Company or Games shall pay to the applicable exercising party the amount of the Aggregate Exercise Payment set forth in such Exercise Statement, less any applicable tax withholdings required to be made by the Company or Games with respect to such payment.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Reimbursement for Certain Social Security Contributions</w:t>
      </w:r>
      <w:r>
        <w:rPr>
          <w:rFonts w:ascii="Arial" w:cs="Arial" w:eastAsia="Arial" w:hAnsi="Arial"/>
          <w:sz w:val="16"/>
          <w:szCs w:val="16"/>
          <w:color w:val="auto"/>
        </w:rPr>
        <w:t>. To the extent still applicable, Games shall be responsible for all salary, bonus and other compensation and benefits required to be paid or provided under the JFG Employment Agreement. In addition, within thirty (30) days after the end of each quarterly period, Vivendi shall provide the Company and Games with a statement (a “</w:t>
      </w:r>
      <w:r>
        <w:rPr>
          <w:rFonts w:ascii="Arial" w:cs="Arial" w:eastAsia="Arial" w:hAnsi="Arial"/>
          <w:sz w:val="16"/>
          <w:szCs w:val="16"/>
          <w:u w:val="single" w:color="auto"/>
          <w:color w:val="auto"/>
        </w:rPr>
        <w:t>JFG Retirement Statement</w:t>
      </w:r>
      <w:r>
        <w:rPr>
          <w:rFonts w:ascii="Arial" w:cs="Arial" w:eastAsia="Arial" w:hAnsi="Arial"/>
          <w:sz w:val="16"/>
          <w:szCs w:val="16"/>
          <w:color w:val="auto"/>
        </w:rPr>
        <w:t>”) setting forth, in reasonable detail, the amount of the contributions made by Vivendi or any of its Controlled Affiliates (other than the Company and its Subsidiaries) in such quarterly period to the French social security system in respect of the employment of Jean-Francois Grollemund. Within ten (10) business days after the Company’s receipt of a JFG Retirement Statement, the Company or Games shall pay to Vivendi an amount in cash equal to the amount of the social security contributions set forth therein (but in no event in excess of the maximum amount of the social security contributions required under applicable law).</w:t>
      </w:r>
    </w:p>
    <w:p>
      <w:pPr>
        <w:spacing w:after="0" w:line="167" w:lineRule="exact"/>
        <w:rPr>
          <w:sz w:val="20"/>
          <w:szCs w:val="20"/>
          <w:color w:val="auto"/>
        </w:rPr>
      </w:pPr>
    </w:p>
    <w:p>
      <w:pPr>
        <w:ind w:left="840" w:hanging="184"/>
        <w:spacing w:after="0"/>
        <w:tabs>
          <w:tab w:leader="none" w:pos="84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Voting and Related Matters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Voting of Company Shares</w:t>
      </w:r>
      <w:r>
        <w:rPr>
          <w:rFonts w:ascii="Arial" w:cs="Arial" w:eastAsia="Arial" w:hAnsi="Arial"/>
          <w:sz w:val="16"/>
          <w:szCs w:val="16"/>
          <w:color w:val="auto"/>
        </w:rPr>
        <w:t>. Until the 6-month anniversary of the first time at which Vivendi and its Controlled Affiliates, in the aggregate, no longer beneficially own 5% of the issued and outstanding Common Stock, Vivendi agrees to vote, and to cause to be voted, all shares of Common Stock owned by it and its Controlled Affiliates that represent shares of Common Stock in excess of 9.9% of the issued and outstanding Common Stock (such 9.9%, the “</w:t>
      </w:r>
      <w:r>
        <w:rPr>
          <w:rFonts w:ascii="Arial" w:cs="Arial" w:eastAsia="Arial" w:hAnsi="Arial"/>
          <w:sz w:val="16"/>
          <w:szCs w:val="16"/>
          <w:u w:val="single" w:color="auto"/>
          <w:color w:val="auto"/>
        </w:rPr>
        <w:t>Minority Interest</w:t>
      </w:r>
      <w:r>
        <w:rPr>
          <w:rFonts w:ascii="Arial" w:cs="Arial" w:eastAsia="Arial" w:hAnsi="Arial"/>
          <w:sz w:val="16"/>
          <w:szCs w:val="16"/>
          <w:color w:val="auto"/>
        </w:rPr>
        <w:t>”) (a) in a manner proportionally consistent with the vote of the shares of Common Stock not owned by Vivendi and its Controlled Affiliates or (b) in accordance with the recommendation, if any, of a majority of the Independent Directors then serving on the Board. Shares of Common Stock owned by Vivendi and its Controlled Affiliates up to the Minority Interest may be voted by Vivendi and its Controlled Affiliates in their sole discretion.</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Agreement to Vote in Favor of Amendment to Bylaws</w:t>
      </w:r>
      <w:r>
        <w:rPr>
          <w:rFonts w:ascii="Arial" w:cs="Arial" w:eastAsia="Arial" w:hAnsi="Arial"/>
          <w:sz w:val="16"/>
          <w:szCs w:val="16"/>
          <w:color w:val="auto"/>
        </w:rPr>
        <w:t xml:space="preserve">. Vivendi, on behalf of itself and its Controlled Affiliates, hereby agrees to vote in favor of any proposed amendments by the Company to the Charter or Bylaws that amend the Charter and/or Bylaws (as applicable) to (a) remove all references to the “Vivendi Nominating Committee,” the “Executive Nominating Committee” and the “Special Nominating Committees” (each as defined in the Bylaws) and all references to any of the definitions listed in Section 3.3(b) of the Bylaws (other than the definition of “Blizzard”) or Article X of the Charter, (b) amend all sections of the Charter or Bylaws (as applicable) that reference or to the extent that they are otherwise implicated, directly or indirectly, by the terms “Vivendi Nominating Committee,” “Executive Nominating Committee” and “Special Nominating Committees” or any of the definitions listed in Section 3.3(b) of the Bylaws or Article X of the Charter, including, for the avoidance of doubt, Sections 3.2, 3.3, 3.4(b), 3.6, 3.10(c), 3.10(d), 3.10(f), 3.12 and 8.4 of the Bylaws or Sections 5.1(b), 5.3, 5.4, 6.1, 8.1, 8.2, 8.3, 8.5, 8.6, 9.1 and 10.1 of the Charter and (c) otherwise eliminate any express rights of Vivendi to representation on the Board or any other express rights of Vivendi with respect to the Company, the Common Stock or otherwise that is not equally available to every other stockholder of the Company (other than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amendment shall terminate, amend, limit or modify any rights to indemnification or exculpation provided by the Charter or the Bylaws in any manner adverse to the beneficiaries thereof.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Standstill</w:t>
      </w:r>
      <w:r>
        <w:rPr>
          <w:rFonts w:ascii="Arial" w:cs="Arial" w:eastAsia="Arial" w:hAnsi="Arial"/>
          <w:sz w:val="16"/>
          <w:szCs w:val="16"/>
          <w:color w:val="auto"/>
        </w:rPr>
        <w:t xml:space="preserve">. Each of the Vivendi Parties, on behalf of itself and its Controlled Affiliates, hereby agrees, that for the period commencing on the date hereof and ending six months after the first date on which Vivendi and its Controlled Affiliates, in the aggregate, beneficially own less than 5% of the issued and outstanding Common Stock, none of the Vivendi Parties nor any of their Controlled Affiliates will, in any manner, directly or indirectly: (a) acquire, offer or propose to acquire, or agree or seek to acquire, or solicit the acquisition of, by purchase or otherwise, any Common Stock (or beneficial ownership thereof) or rights or options to acquire any Common Stock (or beneficial ownership thereof) or commence any tender or exchange offer for any Common Stock (or beneficial ownership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clause (a) shall not (i) apply to Common Stock or rights to acquire Common Stock issued by the Company to Vivendi or any of its Controlled Affiliates as a dividend, distribution or otherwise in respect of any Common Stock owned by Vivendi and its Controlled Affiliates immediately after giving effect to the Purchase Transaction or (ii) prohibit Vivendi or any of its Controlled Affiliates from purchasing shares of Common Stock issued by the Company pursuant to any public offering of Common Stock conducted by the Company; (b) call or seek to call a meeting of the stockholders of the Company or initiate any stockholder proposal for action by stockholders of the Company or engage in the “solicitation” of “proxies” (as such terms are used in the proxy rules of the Securities and Exchange Commission) or consents to vote any voting securities of the Company, including soliciting consents or taking other action with respect to the calling of a special meeting of the Company’s stockholders; (c) form, join or in any way participate in a “group” (as defined under the Exchange Act and the rules and regulations thereunder) with respect to the Company or Common Stock (other than to the extent that Vivendi and its Controlled Affiliates constitute a “group” as of the date hereof); (d) otherwise act, alone or in concert with others, to seek representation on or to control or influence the management, board of directors or policies of the Company or to obtain representation on the board of directors of the Company; (e) enter into or agree, offer, propose or seek (whether publicly or otherwise) to enter into, or otherwise be involved in or part of, any acquisition transaction, merger or other business combination or similar transaction relating to all or part of the Company or any of its subsidiaries or any acquisition transaction for all or part of the assets of the Company or any of its subsidiaries or any of their respective businesses or any recapitalization, restructuring, change in control or similar transaction involving the Company or any of its subsidiaries;</w:t>
      </w:r>
    </w:p>
    <w:p>
      <w:pPr>
        <w:spacing w:after="0" w:line="12" w:lineRule="exact"/>
        <w:rPr>
          <w:sz w:val="20"/>
          <w:szCs w:val="20"/>
          <w:color w:val="auto"/>
        </w:rPr>
      </w:pPr>
    </w:p>
    <w:p>
      <w:pPr>
        <w:ind w:right="40" w:firstLine="8"/>
        <w:spacing w:after="0" w:line="288" w:lineRule="auto"/>
        <w:tabs>
          <w:tab w:leader="none" w:pos="225" w:val="left"/>
        </w:tabs>
        <w:numPr>
          <w:ilvl w:val="0"/>
          <w:numId w:val="400"/>
        </w:numPr>
        <w:rPr>
          <w:rFonts w:ascii="Arial" w:cs="Arial" w:eastAsia="Arial" w:hAnsi="Arial"/>
          <w:sz w:val="16"/>
          <w:szCs w:val="16"/>
          <w:color w:val="auto"/>
        </w:rPr>
      </w:pPr>
      <w:r>
        <w:rPr>
          <w:rFonts w:ascii="Arial" w:cs="Arial" w:eastAsia="Arial" w:hAnsi="Arial"/>
          <w:sz w:val="16"/>
          <w:szCs w:val="16"/>
          <w:color w:val="auto"/>
        </w:rPr>
        <w:t>request that the Company or the Board amend, waive or otherwise consent to any action inconsistent with any provision of this Section 3.3, (g) enter into any discussions, negotiations, arrangements or understandings with any other person with respect to any of the foregoing activities; (h) advise, assist, encourage, act as a financing source for or other otherwise invest in any other person in connection with any of the foregoing; (i) publicly disclose through its authorized representatives any intention, plan or arrangement inconsistent with any of the foregoing; or (j) expressly take any initiative with respect to the Company which could require the Company to make a public announcement regarding (A) such initiative or (B) any of the foregoing activities. For purposes of this Section 3.3, the term “Common Stock” shall be deemed to include any other equity securities of the Company. The Company and Games acknowledge and agree that no transfer, sale or other transaction with respect to the Remaining Shares between Vivendi or any of its Controlled Affiliates, on</w:t>
      </w:r>
    </w:p>
    <w:p>
      <w:pPr>
        <w:sectPr>
          <w:pgSz w:w="11900" w:h="16838" w:orient="portrait"/>
          <w:cols w:equalWidth="0" w:num="1">
            <w:col w:w="11400"/>
          </w:cols>
          <w:pgMar w:left="240" w:top="341" w:right="259" w:bottom="0" w:gutter="0" w:footer="0" w:header="0"/>
        </w:sectPr>
      </w:pPr>
    </w:p>
    <w:bookmarkStart w:id="132" w:name="page133"/>
    <w:bookmarkEnd w:id="132"/>
    <w:p>
      <w:pPr>
        <w:ind w:right="240"/>
        <w:spacing w:after="0" w:line="277" w:lineRule="auto"/>
        <w:rPr>
          <w:sz w:val="20"/>
          <w:szCs w:val="20"/>
          <w:color w:val="auto"/>
        </w:rPr>
      </w:pPr>
      <w:r>
        <w:rPr>
          <w:rFonts w:ascii="Arial" w:cs="Arial" w:eastAsia="Arial" w:hAnsi="Arial"/>
          <w:sz w:val="18"/>
          <w:szCs w:val="18"/>
          <w:color w:val="auto"/>
        </w:rPr>
        <w:t>the one hand, and Vivendi or any of its Controlled Affiliates, on the other hand, that is not prohibited under Section 7.4 of the Purchase Agreement shall be prohibited by this Section 3.3.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40" w:hanging="184"/>
        <w:spacing w:after="0"/>
        <w:tabs>
          <w:tab w:leader="none" w:pos="84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Financial Statements; Access to Information, Audit and Inspection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right="380" w:firstLine="656"/>
        <w:spacing w:after="0" w:line="264" w:lineRule="auto"/>
        <w:tabs>
          <w:tab w:leader="none" w:pos="1294" w:val="left"/>
        </w:tabs>
        <w:numPr>
          <w:ilvl w:val="1"/>
          <w:numId w:val="403"/>
        </w:numPr>
        <w:rPr>
          <w:rFonts w:ascii="Arial" w:cs="Arial" w:eastAsia="Arial" w:hAnsi="Arial"/>
          <w:sz w:val="18"/>
          <w:szCs w:val="18"/>
          <w:color w:val="auto"/>
        </w:rPr>
      </w:pPr>
      <w:r>
        <w:rPr>
          <w:rFonts w:ascii="Arial" w:cs="Arial" w:eastAsia="Arial" w:hAnsi="Arial"/>
          <w:sz w:val="18"/>
          <w:szCs w:val="18"/>
          <w:color w:val="auto"/>
        </w:rPr>
        <w:t>In order to facilitate Vivendi’s consolidation of the Company for financial reporting purposes, the Company will provide to Vivendi the Company’s quarterly consolidated financial statements through, and use its reasonable best efforts to comply with, Vivendi’s consolidation and financial reporting process for all periods prior to and including December 31, 2013.</w:t>
      </w:r>
    </w:p>
    <w:p>
      <w:pPr>
        <w:spacing w:after="0" w:line="181" w:lineRule="exact"/>
        <w:rPr>
          <w:rFonts w:ascii="Arial" w:cs="Arial" w:eastAsia="Arial" w:hAnsi="Arial"/>
          <w:sz w:val="18"/>
          <w:szCs w:val="18"/>
          <w:color w:val="auto"/>
        </w:rPr>
      </w:pPr>
    </w:p>
    <w:p>
      <w:pPr>
        <w:ind w:right="100" w:firstLine="656"/>
        <w:spacing w:after="0" w:line="264" w:lineRule="auto"/>
        <w:tabs>
          <w:tab w:leader="none" w:pos="1304"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Company shall provide to Vivendi such financial and tax-related information with respect to the Company and its Subsidiaries for all periods prior to and including December 31, 2013 as is reasonably necessary in order for Vivendi to comply with its reporting obligations with respect to any “controlled foreign corporation” legislation, including providing to Vivendi:</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2"/>
          <w:numId w:val="403"/>
        </w:numPr>
        <w:rPr>
          <w:rFonts w:ascii="Arial" w:cs="Arial" w:eastAsia="Arial" w:hAnsi="Arial"/>
          <w:sz w:val="18"/>
          <w:szCs w:val="18"/>
          <w:color w:val="auto"/>
        </w:rPr>
      </w:pPr>
      <w:r>
        <w:rPr>
          <w:rFonts w:ascii="Arial" w:cs="Arial" w:eastAsia="Arial" w:hAnsi="Arial"/>
          <w:sz w:val="18"/>
          <w:szCs w:val="18"/>
          <w:color w:val="auto"/>
        </w:rPr>
        <w:t>within 120 days following the end of each calendar year:</w:t>
      </w:r>
    </w:p>
    <w:p>
      <w:pPr>
        <w:spacing w:after="0" w:line="225" w:lineRule="exact"/>
        <w:rPr>
          <w:rFonts w:ascii="Arial" w:cs="Arial" w:eastAsia="Arial" w:hAnsi="Arial"/>
          <w:sz w:val="18"/>
          <w:szCs w:val="18"/>
          <w:color w:val="auto"/>
        </w:rPr>
      </w:pPr>
    </w:p>
    <w:p>
      <w:pPr>
        <w:ind w:left="1300" w:right="680" w:firstLine="653"/>
        <w:spacing w:after="0" w:line="308" w:lineRule="auto"/>
        <w:tabs>
          <w:tab w:leader="none" w:pos="2617" w:val="left"/>
        </w:tabs>
        <w:numPr>
          <w:ilvl w:val="3"/>
          <w:numId w:val="403"/>
        </w:numPr>
        <w:rPr>
          <w:rFonts w:ascii="Arial" w:cs="Arial" w:eastAsia="Arial" w:hAnsi="Arial"/>
          <w:sz w:val="17"/>
          <w:szCs w:val="17"/>
          <w:color w:val="auto"/>
        </w:rPr>
      </w:pPr>
      <w:r>
        <w:rPr>
          <w:rFonts w:ascii="Arial" w:cs="Arial" w:eastAsia="Arial" w:hAnsi="Arial"/>
          <w:sz w:val="17"/>
          <w:szCs w:val="17"/>
          <w:color w:val="auto"/>
        </w:rPr>
        <w:t>separate statutory accounts for the Company and each of its Subsidiaries, each prepared on a standalone basis, in compliance with French generally accepted accounting principles and consistent with Vivendi’s instructions;</w:t>
      </w:r>
    </w:p>
    <w:p>
      <w:pPr>
        <w:spacing w:after="0" w:line="146" w:lineRule="exact"/>
        <w:rPr>
          <w:rFonts w:ascii="Arial" w:cs="Arial" w:eastAsia="Arial" w:hAnsi="Arial"/>
          <w:sz w:val="17"/>
          <w:szCs w:val="17"/>
          <w:color w:val="auto"/>
        </w:rPr>
      </w:pPr>
    </w:p>
    <w:p>
      <w:pPr>
        <w:ind w:left="1300" w:right="500" w:firstLine="653"/>
        <w:spacing w:after="0" w:line="277" w:lineRule="auto"/>
        <w:tabs>
          <w:tab w:leader="none" w:pos="2607" w:val="left"/>
        </w:tabs>
        <w:numPr>
          <w:ilvl w:val="3"/>
          <w:numId w:val="403"/>
        </w:numPr>
        <w:rPr>
          <w:rFonts w:ascii="Arial" w:cs="Arial" w:eastAsia="Arial" w:hAnsi="Arial"/>
          <w:sz w:val="18"/>
          <w:szCs w:val="18"/>
          <w:color w:val="auto"/>
        </w:rPr>
      </w:pPr>
      <w:r>
        <w:rPr>
          <w:rFonts w:ascii="Arial" w:cs="Arial" w:eastAsia="Arial" w:hAnsi="Arial"/>
          <w:sz w:val="18"/>
          <w:szCs w:val="18"/>
          <w:color w:val="auto"/>
        </w:rPr>
        <w:t>reports of independent auditors on the statutory accounts for each of the Company’s Subsidiaries that is located in a jurisdiction where such reports is required; and</w:t>
      </w:r>
    </w:p>
    <w:p>
      <w:pPr>
        <w:spacing w:after="0" w:line="170" w:lineRule="exact"/>
        <w:rPr>
          <w:rFonts w:ascii="Arial" w:cs="Arial" w:eastAsia="Arial" w:hAnsi="Arial"/>
          <w:sz w:val="18"/>
          <w:szCs w:val="18"/>
          <w:color w:val="auto"/>
        </w:rPr>
      </w:pPr>
    </w:p>
    <w:p>
      <w:pPr>
        <w:ind w:left="1300" w:right="80" w:firstLine="653"/>
        <w:spacing w:after="0" w:line="277" w:lineRule="auto"/>
        <w:tabs>
          <w:tab w:leader="none" w:pos="2607" w:val="left"/>
        </w:tabs>
        <w:numPr>
          <w:ilvl w:val="3"/>
          <w:numId w:val="403"/>
        </w:numPr>
        <w:rPr>
          <w:rFonts w:ascii="Arial" w:cs="Arial" w:eastAsia="Arial" w:hAnsi="Arial"/>
          <w:sz w:val="18"/>
          <w:szCs w:val="18"/>
          <w:color w:val="auto"/>
        </w:rPr>
      </w:pPr>
      <w:r>
        <w:rPr>
          <w:rFonts w:ascii="Arial" w:cs="Arial" w:eastAsia="Arial" w:hAnsi="Arial"/>
          <w:sz w:val="18"/>
          <w:szCs w:val="18"/>
          <w:color w:val="auto"/>
        </w:rPr>
        <w:t>a letter, in a form to be provided by Vivendi, signed by the Company and each of its Subsidiaries, that authorizes Vivendi to consolidate such statutory accounts.</w:t>
      </w:r>
    </w:p>
    <w:p>
      <w:pPr>
        <w:spacing w:after="0" w:line="170" w:lineRule="exact"/>
        <w:rPr>
          <w:rFonts w:ascii="Arial" w:cs="Arial" w:eastAsia="Arial" w:hAnsi="Arial"/>
          <w:sz w:val="18"/>
          <w:szCs w:val="18"/>
          <w:color w:val="auto"/>
        </w:rPr>
      </w:pPr>
    </w:p>
    <w:p>
      <w:pPr>
        <w:ind w:left="660" w:right="900" w:firstLine="645"/>
        <w:spacing w:after="0" w:line="277" w:lineRule="auto"/>
        <w:tabs>
          <w:tab w:leader="none" w:pos="1987" w:val="left"/>
        </w:tabs>
        <w:numPr>
          <w:ilvl w:val="2"/>
          <w:numId w:val="403"/>
        </w:numPr>
        <w:rPr>
          <w:rFonts w:ascii="Arial" w:cs="Arial" w:eastAsia="Arial" w:hAnsi="Arial"/>
          <w:sz w:val="18"/>
          <w:szCs w:val="18"/>
          <w:color w:val="auto"/>
        </w:rPr>
      </w:pPr>
      <w:r>
        <w:rPr>
          <w:rFonts w:ascii="Arial" w:cs="Arial" w:eastAsia="Arial" w:hAnsi="Arial"/>
          <w:sz w:val="18"/>
          <w:szCs w:val="18"/>
          <w:color w:val="auto"/>
        </w:rPr>
        <w:t>promptly following the payment by the Company or any of its Subsidiaries of any corporate income tax paid by in any jurisdiction, proof of such payments.</w:t>
      </w:r>
    </w:p>
    <w:p>
      <w:pPr>
        <w:spacing w:after="0" w:line="170" w:lineRule="exact"/>
        <w:rPr>
          <w:rFonts w:ascii="Arial" w:cs="Arial" w:eastAsia="Arial" w:hAnsi="Arial"/>
          <w:sz w:val="18"/>
          <w:szCs w:val="18"/>
          <w:color w:val="auto"/>
        </w:rPr>
      </w:pPr>
    </w:p>
    <w:p>
      <w:pPr>
        <w:ind w:right="20" w:firstLine="656"/>
        <w:spacing w:after="0" w:line="297" w:lineRule="auto"/>
        <w:tabs>
          <w:tab w:leader="none" w:pos="1307" w:val="left"/>
        </w:tabs>
        <w:numPr>
          <w:ilvl w:val="1"/>
          <w:numId w:val="403"/>
        </w:numPr>
        <w:rPr>
          <w:rFonts w:ascii="Arial" w:cs="Arial" w:eastAsia="Arial" w:hAnsi="Arial"/>
          <w:sz w:val="16"/>
          <w:szCs w:val="16"/>
          <w:color w:val="auto"/>
        </w:rPr>
      </w:pPr>
      <w:r>
        <w:rPr>
          <w:rFonts w:ascii="Arial" w:cs="Arial" w:eastAsia="Arial" w:hAnsi="Arial"/>
          <w:sz w:val="16"/>
          <w:szCs w:val="16"/>
          <w:color w:val="auto"/>
        </w:rPr>
        <w:t>To the extent required to enable Vivendi to comply with applicable French tax or regulatory requirements, including those with respect to the BMC, the Company shall provide Vivendi with a draft copy of each tax return required to be filed by the Company or any of its Subsidiaries by applicable Law (each, a “</w:t>
      </w:r>
      <w:r>
        <w:rPr>
          <w:rFonts w:ascii="Arial" w:cs="Arial" w:eastAsia="Arial" w:hAnsi="Arial"/>
          <w:sz w:val="16"/>
          <w:szCs w:val="16"/>
          <w:u w:val="single" w:color="auto"/>
          <w:color w:val="auto"/>
        </w:rPr>
        <w:t>Designated Tax Return</w:t>
      </w:r>
      <w:r>
        <w:rPr>
          <w:rFonts w:ascii="Arial" w:cs="Arial" w:eastAsia="Arial" w:hAnsi="Arial"/>
          <w:sz w:val="16"/>
          <w:szCs w:val="16"/>
          <w:color w:val="auto"/>
        </w:rPr>
        <w:t>”) at least 40 Business Days prior to the due date (including any extensions of such due date) of the filing of such Designated Tax Return. From time to time, as may be necessary, Vivendi shall provide written notice to the Company indicating which category of tax return (e.g. Federal income tax return on Form 1120) shall constitute a Designated Tax Return for purposes of French tax or regulatory compliance.</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In the event any material Tax Contest is initiated by any Taxing Authority pertaining to any Designated Tax Return, the Company shall</w:t>
      </w:r>
    </w:p>
    <w:p>
      <w:pPr>
        <w:spacing w:after="0" w:line="34" w:lineRule="exact"/>
        <w:rPr>
          <w:rFonts w:ascii="Arial" w:cs="Arial" w:eastAsia="Arial" w:hAnsi="Arial"/>
          <w:sz w:val="17"/>
          <w:szCs w:val="17"/>
          <w:color w:val="auto"/>
        </w:rPr>
      </w:pPr>
    </w:p>
    <w:p>
      <w:pPr>
        <w:ind w:right="120" w:firstLine="8"/>
        <w:spacing w:after="0" w:line="261" w:lineRule="auto"/>
        <w:tabs>
          <w:tab w:leader="none" w:pos="215"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promptly notify Vivendi in writing of the existence of such Tax Contest and (ii) to the extent required to enable Vivendi to comply with applicable French tax or regulatory requirements as indicated in a written request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Vivendi, (x) keep Vivendi reasonably informed of the material issues arising during the course of such Tax Contest and (y) furnish to Vivendi a copy of all written communications, documents, and other material writings as specified in such request.</w:t>
      </w:r>
    </w:p>
    <w:p>
      <w:pPr>
        <w:spacing w:after="0" w:line="170" w:lineRule="exact"/>
        <w:rPr>
          <w:sz w:val="20"/>
          <w:szCs w:val="20"/>
          <w:color w:val="auto"/>
        </w:rPr>
      </w:pPr>
    </w:p>
    <w:p>
      <w:pPr>
        <w:jc w:val="both"/>
        <w:ind w:right="40" w:firstLine="656"/>
        <w:spacing w:after="0" w:line="259" w:lineRule="auto"/>
        <w:tabs>
          <w:tab w:leader="none" w:pos="1307" w:val="left"/>
        </w:tabs>
        <w:numPr>
          <w:ilvl w:val="0"/>
          <w:numId w:val="405"/>
        </w:numPr>
        <w:rPr>
          <w:rFonts w:ascii="Arial" w:cs="Arial" w:eastAsia="Arial" w:hAnsi="Arial"/>
          <w:sz w:val="18"/>
          <w:szCs w:val="18"/>
          <w:color w:val="auto"/>
        </w:rPr>
      </w:pPr>
      <w:r>
        <w:rPr>
          <w:rFonts w:ascii="Arial" w:cs="Arial" w:eastAsia="Arial" w:hAnsi="Arial"/>
          <w:sz w:val="18"/>
          <w:szCs w:val="18"/>
          <w:color w:val="auto"/>
        </w:rPr>
        <w:t>Vivendi agrees that it shall reimburse the Company for the actual and reasonably documented out-of-pocket expenses (including reasonable fees of attorneys, accountants and consultants) incurred by the Company and its Subsidiaries in connection with providing to Vivendi the materials described in Section 4.1(b) above; provided that such expenses are previously approved by Vivendi (which approval shall not be unreasonably withheld, conditioned or delayed).</w:t>
      </w:r>
    </w:p>
    <w:p>
      <w:pPr>
        <w:spacing w:after="0" w:line="186" w:lineRule="exact"/>
        <w:rPr>
          <w:rFonts w:ascii="Arial" w:cs="Arial" w:eastAsia="Arial" w:hAnsi="Arial"/>
          <w:sz w:val="18"/>
          <w:szCs w:val="18"/>
          <w:color w:val="auto"/>
        </w:rPr>
      </w:pPr>
    </w:p>
    <w:p>
      <w:pPr>
        <w:ind w:firstLine="656"/>
        <w:spacing w:after="0" w:line="259" w:lineRule="auto"/>
        <w:tabs>
          <w:tab w:leader="none" w:pos="1301"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provisions of this Section 4.1 shall remain operative until the Company has provided Vivendi with all of the information required by this Section 4.1 for the fiscal quarter in which a Termination Event first occurs; provided, however, that the requirements of Section 4.1(a) shall continue following a Termination Event (i) for all periods prior to the Termination Date and (ii) if the Company is no longer required to file periodic reports pursuant to the Exchange Act.</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Access to Information, Audit and Inspection</w:t>
      </w:r>
      <w:r>
        <w:rPr>
          <w:rFonts w:ascii="Arial" w:cs="Arial" w:eastAsia="Arial" w:hAnsi="Arial"/>
          <w:sz w:val="16"/>
          <w:szCs w:val="16"/>
          <w:color w:val="auto"/>
        </w:rPr>
        <w:t>. Vivendi and its Representatives shall have (and the Company shall cause its Subsidiaries to provide Vivendi and its Representatives with) access at reasonable times and during normal business hours to all pertinent books and records of the Company and its Subsidiaries and their respective businesses (including those books and records pertaining to periods prior to the Combination Closing Date (but excluding any materials provided by advisors to the Company with respect to the Combination Agreement and the transactions contemplated thereby)), including the right to examine and audit any of such books and records and to make copies and extracts therefrom. Vivendi shall bear all expenses incurred by it or its Representatives in making any such examination or audit and will reimburse the Company for all reasonable out-of-pocket expenses incurred by it or its Subsidiaries in connection therewith. The Company shall, and shall cause each of its Subsidiaries to, make arrangements for Vivendi and its Representatives to have prompt access at reasonable times and during normal business hours to its officers, directors and employees to discuss the business and affairs of the Company and its Subsidiaries and the books and records pertaining thereto; provided that Vivendi shall coordinate all requests for access to such officers, directors and other personnel through the Company’s Chief Executive Officer. The provisions of this Section 4.2 shall continue to apply to the Company and its Subsidiaries and be enforceable by Vivendi after a Termination Event, but only to the extent, in each case, that such books and records and such access to officers, directors and other employees are reasonably requested by Vivendi in connection with any pending or threatened litigation, proceeding or investigation instituted by a third party involving Vivendi or any of its Affiliates insofar as such matter relates to the business or affairs of the Company or such Subsidiary (including any matters relating to the business and affairs of any predecessor businesses, and including relating to periods prior to the date of a Termination Event). All non-public information provided to Vivendi or its Affiliates or Representatives by the Company or its Affiliates or</w:t>
      </w:r>
    </w:p>
    <w:p>
      <w:pPr>
        <w:sectPr>
          <w:pgSz w:w="11900" w:h="16838" w:orient="portrait"/>
          <w:cols w:equalWidth="0" w:num="1">
            <w:col w:w="11420"/>
          </w:cols>
          <w:pgMar w:left="240" w:top="125" w:right="239" w:bottom="0" w:gutter="0" w:footer="0" w:header="0"/>
        </w:sectPr>
      </w:pPr>
    </w:p>
    <w:bookmarkStart w:id="133" w:name="page134"/>
    <w:bookmarkEnd w:id="133"/>
    <w:p>
      <w:pPr>
        <w:ind w:right="540"/>
        <w:spacing w:after="0" w:line="277" w:lineRule="auto"/>
        <w:rPr>
          <w:sz w:val="20"/>
          <w:szCs w:val="20"/>
          <w:color w:val="auto"/>
        </w:rPr>
      </w:pPr>
      <w:r>
        <w:rPr>
          <w:rFonts w:ascii="Arial" w:cs="Arial" w:eastAsia="Arial" w:hAnsi="Arial"/>
          <w:sz w:val="18"/>
          <w:szCs w:val="18"/>
          <w:color w:val="auto"/>
        </w:rPr>
        <w:t>Representatives shall be kept confidential by Vivendi and its Affiliates and Representatives and shall not be disclosed by Vivendi and its Affiliates and Representatives unless and to the extent required by applicable law or a governmental agency.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Additional Information</w:t>
      </w:r>
      <w:r>
        <w:rPr>
          <w:rFonts w:ascii="Arial" w:cs="Arial" w:eastAsia="Arial" w:hAnsi="Arial"/>
          <w:sz w:val="18"/>
          <w:szCs w:val="18"/>
          <w:color w:val="auto"/>
        </w:rPr>
        <w:t>. In order to facilitate Vivendi’s drafting and submission of its annual report and of its “activity and sustainable development” report required under the French commercial code (or a “Cahier RSE”), the Company will provide Vivendi with all information regarding the Company and its subsidiaries reasonably requested by Vivendi and consistent with past practice to draft the annual report and Cahier RSE for the complete year of 2013.</w:t>
      </w:r>
    </w:p>
    <w:p>
      <w:pPr>
        <w:spacing w:after="0" w:line="187" w:lineRule="exact"/>
        <w:rPr>
          <w:sz w:val="20"/>
          <w:szCs w:val="20"/>
          <w:color w:val="auto"/>
        </w:rPr>
      </w:pPr>
    </w:p>
    <w:p>
      <w:pPr>
        <w:ind w:left="840" w:hanging="184"/>
        <w:spacing w:after="0"/>
        <w:tabs>
          <w:tab w:leader="none" w:pos="84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left="660" w:firstLine="645"/>
        <w:spacing w:after="0" w:line="285" w:lineRule="auto"/>
        <w:tabs>
          <w:tab w:leader="none" w:pos="1954" w:val="left"/>
        </w:tabs>
        <w:numPr>
          <w:ilvl w:val="1"/>
          <w:numId w:val="407"/>
        </w:numPr>
        <w:rPr>
          <w:rFonts w:ascii="Arial" w:cs="Arial" w:eastAsia="Arial" w:hAnsi="Arial"/>
          <w:sz w:val="16"/>
          <w:szCs w:val="16"/>
          <w:color w:val="auto"/>
        </w:rPr>
      </w:pPr>
      <w:r>
        <w:rPr>
          <w:rFonts w:ascii="Arial" w:cs="Arial" w:eastAsia="Arial" w:hAnsi="Arial"/>
          <w:sz w:val="16"/>
          <w:szCs w:val="16"/>
          <w:color w:val="auto"/>
        </w:rPr>
        <w:t>Each Holder shall have the right, subject to the terms of this Agreement and to the Purchase Agreement, to require the Company to register for offer and sale under the Securities Act all or a portion of the Registrable Securities then owned by such Holder subject to the requirements and limitations in this Section 5.1. In order to exercise such right, the Holder (the “</w:t>
      </w:r>
      <w:r>
        <w:rPr>
          <w:rFonts w:ascii="Arial" w:cs="Arial" w:eastAsia="Arial" w:hAnsi="Arial"/>
          <w:sz w:val="16"/>
          <w:szCs w:val="16"/>
          <w:u w:val="single" w:color="auto"/>
          <w:color w:val="auto"/>
        </w:rPr>
        <w:t>Demanding Holder</w:t>
      </w:r>
      <w:r>
        <w:rPr>
          <w:rFonts w:ascii="Arial" w:cs="Arial" w:eastAsia="Arial" w:hAnsi="Arial"/>
          <w:sz w:val="16"/>
          <w:szCs w:val="16"/>
          <w:color w:val="auto"/>
        </w:rPr>
        <w:t>”) must give written notice to the Company (a “</w:t>
      </w:r>
      <w:r>
        <w:rPr>
          <w:rFonts w:ascii="Arial" w:cs="Arial" w:eastAsia="Arial" w:hAnsi="Arial"/>
          <w:sz w:val="16"/>
          <w:szCs w:val="16"/>
          <w:u w:val="single" w:color="auto"/>
          <w:color w:val="auto"/>
        </w:rPr>
        <w:t>Demand Notice</w:t>
      </w:r>
      <w:r>
        <w:rPr>
          <w:rFonts w:ascii="Arial" w:cs="Arial" w:eastAsia="Arial" w:hAnsi="Arial"/>
          <w:sz w:val="16"/>
          <w:szCs w:val="16"/>
          <w:color w:val="auto"/>
        </w:rPr>
        <w:t>”) requesting that the Company register under the Securities Act the offer and sale of Registrable Securities (i) having a market value on the date the Demand Notice is received (the “</w:t>
      </w:r>
      <w:r>
        <w:rPr>
          <w:rFonts w:ascii="Arial" w:cs="Arial" w:eastAsia="Arial" w:hAnsi="Arial"/>
          <w:sz w:val="16"/>
          <w:szCs w:val="16"/>
          <w:u w:val="single" w:color="auto"/>
          <w:color w:val="auto"/>
        </w:rPr>
        <w:t>Demand Date</w:t>
      </w:r>
      <w:r>
        <w:rPr>
          <w:rFonts w:ascii="Arial" w:cs="Arial" w:eastAsia="Arial" w:hAnsi="Arial"/>
          <w:sz w:val="16"/>
          <w:szCs w:val="16"/>
          <w:color w:val="auto"/>
        </w:rPr>
        <w:t>”) of at least $500 million based on the then prevailing market price, or</w:t>
      </w:r>
    </w:p>
    <w:p>
      <w:pPr>
        <w:spacing w:after="0" w:line="2" w:lineRule="exact"/>
        <w:rPr>
          <w:rFonts w:ascii="Arial" w:cs="Arial" w:eastAsia="Arial" w:hAnsi="Arial"/>
          <w:sz w:val="16"/>
          <w:szCs w:val="16"/>
          <w:color w:val="auto"/>
        </w:rPr>
      </w:pPr>
    </w:p>
    <w:p>
      <w:pPr>
        <w:ind w:left="920" w:hanging="264"/>
        <w:spacing w:after="0"/>
        <w:tabs>
          <w:tab w:leader="none" w:pos="92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representing at least 7.5% of the outstanding Common Stock (on a fully diluted basis). Upon receipt of the Demand Notice, the Company shall</w:t>
      </w:r>
    </w:p>
    <w:p>
      <w:pPr>
        <w:spacing w:after="0" w:line="32" w:lineRule="exact"/>
        <w:rPr>
          <w:rFonts w:ascii="Arial" w:cs="Arial" w:eastAsia="Arial" w:hAnsi="Arial"/>
          <w:sz w:val="16"/>
          <w:szCs w:val="16"/>
          <w:color w:val="auto"/>
        </w:rPr>
      </w:pPr>
    </w:p>
    <w:p>
      <w:pPr>
        <w:ind w:left="660" w:right="20" w:hanging="4"/>
        <w:spacing w:after="0" w:line="287" w:lineRule="auto"/>
        <w:tabs>
          <w:tab w:leader="none" w:pos="875" w:val="left"/>
        </w:tabs>
        <w:numPr>
          <w:ilvl w:val="0"/>
          <w:numId w:val="409"/>
        </w:numPr>
        <w:rPr>
          <w:rFonts w:ascii="Arial" w:cs="Arial" w:eastAsia="Arial" w:hAnsi="Arial"/>
          <w:sz w:val="16"/>
          <w:szCs w:val="16"/>
          <w:color w:val="auto"/>
        </w:rPr>
      </w:pPr>
      <w:r>
        <w:rPr>
          <w:rFonts w:ascii="Arial" w:cs="Arial" w:eastAsia="Arial" w:hAnsi="Arial"/>
          <w:sz w:val="16"/>
          <w:szCs w:val="16"/>
          <w:color w:val="auto"/>
        </w:rPr>
        <w:t>prepare and file with the Commission as soon as practicable and in no event later than 90 days after the Demand Date a Demand Registration Statement relating to the offer and sale of the Applicable Securities on any available form agreed to by the Demanding Holder and the Company for which the Company then qualifies (which may include a “shelf” Registration Statement under Rule 415 promulgated under the Securities Act solely for use in connection with delayed underwritten offerings under Rule 415 promulgated under the Securities Act) and (ii) use reasonable efforts to cause such Demand Registration Statement to be declared effective under the Securities Act as promptly as practicable. The Company shall use reasonable efforts to have each Demand Registration Statement remain effective until the earlier of (i) one year (in the case of a shelf Demand Registration Statement) or 60 days (in the case of any other Demand Registration Statement) from the Effective Time of such Registration Statement and (ii) such time as all of the Applicable Securities have been disposed of by the Electing Holders. Notwithstanding the foregoing, it is understood and agreed the provisions of this Section 5.1(a) shall not apply to the Market Offering Registration Statements.</w:t>
      </w:r>
    </w:p>
    <w:p>
      <w:pPr>
        <w:spacing w:after="0" w:line="166" w:lineRule="exact"/>
        <w:rPr>
          <w:rFonts w:ascii="Arial" w:cs="Arial" w:eastAsia="Arial" w:hAnsi="Arial"/>
          <w:sz w:val="16"/>
          <w:szCs w:val="16"/>
          <w:color w:val="auto"/>
        </w:rPr>
      </w:pPr>
    </w:p>
    <w:p>
      <w:pPr>
        <w:ind w:left="660" w:firstLine="645"/>
        <w:spacing w:after="0" w:line="273" w:lineRule="auto"/>
        <w:tabs>
          <w:tab w:leader="none" w:pos="1964" w:val="left"/>
        </w:tabs>
        <w:numPr>
          <w:ilvl w:val="1"/>
          <w:numId w:val="409"/>
        </w:numPr>
        <w:rPr>
          <w:rFonts w:ascii="Arial" w:cs="Arial" w:eastAsia="Arial" w:hAnsi="Arial"/>
          <w:sz w:val="17"/>
          <w:szCs w:val="17"/>
          <w:color w:val="auto"/>
        </w:rPr>
      </w:pPr>
      <w:r>
        <w:rPr>
          <w:rFonts w:ascii="Arial" w:cs="Arial" w:eastAsia="Arial" w:hAnsi="Arial"/>
          <w:sz w:val="17"/>
          <w:szCs w:val="17"/>
          <w:color w:val="auto"/>
        </w:rPr>
        <w:t>The Company shall have the right to postpone (or, if necessary or advisable, withdraw) the filing, or to delay the effectiveness, of a Registration Statement or offers and sales of Applicable Securities registered under a shelf Demand Registration Statement or otherwise suspend the use of any Prospectus if a majority of the Independent Directors of the Company determines in good faith that the sale of Registrable Securities covered by such Registration Statement (i) would interfere with any pending financing, acquisition, corporate reorganization or other corporate transaction involving the Company or any of its Subsidiaries, (ii) would require disclosure of any event or condition that such directors determine would be disadvantageous for the Company to disclose and which the Company is not otherwise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 xml:space="preserve">required to disclose at such time, or (iii) would otherwise be materially detrimental to the Company and its Subsidiaries, taken as a whole, and furnishes to the Electing Holders a copy of a resolution of the Independent Directors setting forth such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single postponement shall exceed 120 days in the aggregate. The Company shall advise the Electing Holders of any such determination as promptly as practicable.</w:t>
      </w:r>
    </w:p>
    <w:p>
      <w:pPr>
        <w:spacing w:after="0" w:line="187" w:lineRule="exact"/>
        <w:rPr>
          <w:sz w:val="20"/>
          <w:szCs w:val="20"/>
          <w:color w:val="auto"/>
        </w:rPr>
      </w:pPr>
    </w:p>
    <w:p>
      <w:pPr>
        <w:ind w:left="1960" w:hanging="655"/>
        <w:spacing w:after="0"/>
        <w:tabs>
          <w:tab w:leader="none" w:pos="1960" w:val="left"/>
        </w:tabs>
        <w:numPr>
          <w:ilvl w:val="1"/>
          <w:numId w:val="410"/>
        </w:numPr>
        <w:rPr>
          <w:rFonts w:ascii="Arial" w:cs="Arial" w:eastAsia="Arial" w:hAnsi="Arial"/>
          <w:sz w:val="17"/>
          <w:szCs w:val="17"/>
          <w:color w:val="auto"/>
        </w:rPr>
      </w:pPr>
      <w:r>
        <w:rPr>
          <w:rFonts w:ascii="Arial" w:cs="Arial" w:eastAsia="Arial" w:hAnsi="Arial"/>
          <w:sz w:val="17"/>
          <w:szCs w:val="17"/>
          <w:color w:val="auto"/>
        </w:rPr>
        <w:t>Notwithstanding anything in this Section 5.1, the Company shall not be obligated to take any action under this Section 5.1:</w:t>
      </w:r>
    </w:p>
    <w:p>
      <w:pPr>
        <w:spacing w:after="0" w:line="236" w:lineRule="exact"/>
        <w:rPr>
          <w:rFonts w:ascii="Arial" w:cs="Arial" w:eastAsia="Arial" w:hAnsi="Arial"/>
          <w:sz w:val="17"/>
          <w:szCs w:val="17"/>
          <w:color w:val="auto"/>
        </w:rPr>
      </w:pPr>
    </w:p>
    <w:p>
      <w:pPr>
        <w:ind w:left="1300" w:firstLine="653"/>
        <w:spacing w:after="0" w:line="259" w:lineRule="auto"/>
        <w:tabs>
          <w:tab w:leader="none" w:pos="2618" w:val="left"/>
        </w:tabs>
        <w:numPr>
          <w:ilvl w:val="2"/>
          <w:numId w:val="410"/>
        </w:numPr>
        <w:rPr>
          <w:rFonts w:ascii="Arial" w:cs="Arial" w:eastAsia="Arial" w:hAnsi="Arial"/>
          <w:sz w:val="18"/>
          <w:szCs w:val="18"/>
          <w:color w:val="auto"/>
        </w:rPr>
      </w:pPr>
      <w:r>
        <w:rPr>
          <w:rFonts w:ascii="Arial" w:cs="Arial" w:eastAsia="Arial" w:hAnsi="Arial"/>
          <w:sz w:val="18"/>
          <w:szCs w:val="18"/>
          <w:color w:val="auto"/>
        </w:rPr>
        <w:t>with respect to more than four (4) Demand Registrations (provided that the Market Offering Registration Statements shall not constitute Demand Registrations for purposes of this Section 5.1(c)(i)) relating to underwritten offerings which have become effective (or as otherwise provided in Section 5.1(e)) and which covered all the Registrable Securities requested by the Demanding Holder to be included therein; or</w:t>
      </w:r>
    </w:p>
    <w:p>
      <w:pPr>
        <w:spacing w:after="0" w:line="186" w:lineRule="exact"/>
        <w:rPr>
          <w:rFonts w:ascii="Arial" w:cs="Arial" w:eastAsia="Arial" w:hAnsi="Arial"/>
          <w:sz w:val="18"/>
          <w:szCs w:val="18"/>
          <w:color w:val="auto"/>
        </w:rPr>
      </w:pPr>
    </w:p>
    <w:p>
      <w:pPr>
        <w:ind w:left="1300" w:right="340" w:firstLine="653"/>
        <w:spacing w:after="0" w:line="277" w:lineRule="auto"/>
        <w:tabs>
          <w:tab w:leader="none" w:pos="2627" w:val="left"/>
        </w:tabs>
        <w:numPr>
          <w:ilvl w:val="2"/>
          <w:numId w:val="410"/>
        </w:numPr>
        <w:rPr>
          <w:rFonts w:ascii="Arial" w:cs="Arial" w:eastAsia="Arial" w:hAnsi="Arial"/>
          <w:sz w:val="18"/>
          <w:szCs w:val="18"/>
          <w:color w:val="auto"/>
        </w:rPr>
      </w:pPr>
      <w:r>
        <w:rPr>
          <w:rFonts w:ascii="Arial" w:cs="Arial" w:eastAsia="Arial" w:hAnsi="Arial"/>
          <w:sz w:val="18"/>
          <w:szCs w:val="18"/>
          <w:color w:val="auto"/>
        </w:rPr>
        <w:t>with respect to more than two (2) Demand Registration Statements which have become and remained effective (or as otherwise provided in Section 5.1(e)) as required by this Agreement in a twenty-four month period.</w:t>
      </w:r>
    </w:p>
    <w:p>
      <w:pPr>
        <w:spacing w:after="0" w:line="170" w:lineRule="exact"/>
        <w:rPr>
          <w:rFonts w:ascii="Arial" w:cs="Arial" w:eastAsia="Arial" w:hAnsi="Arial"/>
          <w:sz w:val="18"/>
          <w:szCs w:val="18"/>
          <w:color w:val="auto"/>
        </w:rPr>
      </w:pPr>
    </w:p>
    <w:p>
      <w:pPr>
        <w:ind w:left="660" w:right="80" w:firstLine="645"/>
        <w:spacing w:after="0" w:line="270" w:lineRule="auto"/>
        <w:tabs>
          <w:tab w:leader="none" w:pos="1964" w:val="left"/>
        </w:tabs>
        <w:numPr>
          <w:ilvl w:val="1"/>
          <w:numId w:val="410"/>
        </w:numPr>
        <w:rPr>
          <w:rFonts w:ascii="Arial" w:cs="Arial" w:eastAsia="Arial" w:hAnsi="Arial"/>
          <w:sz w:val="17"/>
          <w:szCs w:val="17"/>
          <w:color w:val="auto"/>
        </w:rPr>
      </w:pPr>
      <w:r>
        <w:rPr>
          <w:rFonts w:ascii="Arial" w:cs="Arial" w:eastAsia="Arial" w:hAnsi="Arial"/>
          <w:sz w:val="17"/>
          <w:szCs w:val="17"/>
          <w:color w:val="auto"/>
        </w:rPr>
        <w:t>Other than with respect to the Market Offering Registration Statements, the Company may include in any Registration requested pursuant to Section 5.1(a) hereof other securities for sale for its own account or for the account of another Person, subject to the following sentence. In connection with an underwritten offering, if the managing underwriter advises the Company and the Electing Holders that in its good faith view the number of securities requested to be registered exceeds the maximum number which can be sold in such offering without materially adversely affecting the pricing, timing or likely success of the offering (with respect to any offering, the “</w:t>
      </w:r>
      <w:r>
        <w:rPr>
          <w:rFonts w:ascii="Arial" w:cs="Arial" w:eastAsia="Arial" w:hAnsi="Arial"/>
          <w:sz w:val="17"/>
          <w:szCs w:val="17"/>
          <w:u w:val="single" w:color="auto"/>
          <w:color w:val="auto"/>
        </w:rPr>
        <w:t>Maximum Number</w:t>
      </w:r>
      <w:r>
        <w:rPr>
          <w:rFonts w:ascii="Arial" w:cs="Arial" w:eastAsia="Arial" w:hAnsi="Arial"/>
          <w:sz w:val="17"/>
          <w:szCs w:val="17"/>
          <w:color w:val="auto"/>
        </w:rPr>
        <w:t>”), the Company shall include such Maximum Number in such Registration Statement as follows: (i) first, the Applicable Securities requested to be registered by the Demanding Holder, (ii) second, the Applicable Securities requested to be included by any other Electing Holders, if any, (iii) third, any securities proposed to be included by the Company and (iv) fourth, any other securities requested to be included in such Registration Statement. For purposes of this Agreement, an “underwritten offering” shall be an offering pursuant to which securities are sold to a broker-dealer or other financial institution or group thereof for resale by them to investors.</w:t>
      </w:r>
    </w:p>
    <w:p>
      <w:pPr>
        <w:spacing w:after="0" w:line="177" w:lineRule="exact"/>
        <w:rPr>
          <w:rFonts w:ascii="Arial" w:cs="Arial" w:eastAsia="Arial" w:hAnsi="Arial"/>
          <w:sz w:val="17"/>
          <w:szCs w:val="17"/>
          <w:color w:val="auto"/>
        </w:rPr>
      </w:pPr>
    </w:p>
    <w:p>
      <w:pPr>
        <w:ind w:left="660" w:right="40" w:firstLine="645"/>
        <w:spacing w:after="0" w:line="291" w:lineRule="auto"/>
        <w:tabs>
          <w:tab w:leader="none" w:pos="1967" w:val="left"/>
        </w:tabs>
        <w:numPr>
          <w:ilvl w:val="1"/>
          <w:numId w:val="410"/>
        </w:numPr>
        <w:rPr>
          <w:rFonts w:ascii="Arial" w:cs="Arial" w:eastAsia="Arial" w:hAnsi="Arial"/>
          <w:sz w:val="16"/>
          <w:szCs w:val="16"/>
          <w:color w:val="auto"/>
        </w:rPr>
      </w:pPr>
      <w:r>
        <w:rPr>
          <w:rFonts w:ascii="Arial" w:cs="Arial" w:eastAsia="Arial" w:hAnsi="Arial"/>
          <w:sz w:val="16"/>
          <w:szCs w:val="16"/>
          <w:color w:val="auto"/>
        </w:rPr>
        <w:t>Other than with respect to any Marketing Offering Registration Statement, the Demanding Holder shall have the right to withdraw its Demand Notice (in which case such Demand Notice shall be deemed never to have been given for purposes of Section 5.1(a) or Section 5.1(c))</w:t>
      </w:r>
    </w:p>
    <w:p>
      <w:pPr>
        <w:jc w:val="both"/>
        <w:ind w:left="660" w:right="100" w:hanging="4"/>
        <w:spacing w:after="0" w:line="254" w:lineRule="auto"/>
        <w:tabs>
          <w:tab w:leader="none" w:pos="87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at any time prior to the time the Demand Registration Statement has been declared or becomes effective if the Demanding Holder reimburses the Company for the reasonable out-of-pocket expenses incurred by it prior to such withdrawal in effecting such Registration, (ii) upon the issuance by the Commission or any court or other governmental agency or authority of a stop order, injunction or other order which prohibits or interferes with such Registration, (iii) if the conditions to closing</w:t>
      </w:r>
    </w:p>
    <w:p>
      <w:pPr>
        <w:sectPr>
          <w:pgSz w:w="11900" w:h="16838" w:orient="portrait"/>
          <w:cols w:equalWidth="0" w:num="1">
            <w:col w:w="11400"/>
          </w:cols>
          <w:pgMar w:left="240" w:top="125" w:right="259" w:bottom="0" w:gutter="0" w:footer="0" w:header="0"/>
        </w:sectPr>
      </w:pPr>
    </w:p>
    <w:bookmarkStart w:id="134" w:name="page135"/>
    <w:bookmarkEnd w:id="134"/>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specified in the purchase agreement or underwriting agreement entered into in connection with such registration are not satisfied other than as a result of default by the Demanding Holder, or (iv) if the Company exercises any of its rights under Section 5.1(b) of this Agreement. If the Holders withdraw a Demand Notice pursuant to this Section 5.1(e) and the Company nevertheless decides to continue with the Registration as to securities other than the Applicable Securities, then the Holders shall be entitled to participate in such Registration pursuant to Section 5.2 hereof, but in such case the Intended Offering Notice must be given to the Holders at least 10 business days prior to the anticipated filing date of the Registration Statement and the Holders shall be required to give the Piggyback Notice no later than five business days after the Company’s delivery of such Intended Offering Notice.</w:t>
      </w:r>
    </w:p>
    <w:p>
      <w:pPr>
        <w:spacing w:after="0" w:line="189" w:lineRule="exact"/>
        <w:rPr>
          <w:sz w:val="20"/>
          <w:szCs w:val="20"/>
          <w:color w:val="auto"/>
        </w:rPr>
      </w:pPr>
    </w:p>
    <w:p>
      <w:pPr>
        <w:ind w:right="200" w:firstLine="645"/>
        <w:spacing w:after="0" w:line="272" w:lineRule="auto"/>
        <w:tabs>
          <w:tab w:leader="none" w:pos="1301" w:val="left"/>
        </w:tabs>
        <w:numPr>
          <w:ilvl w:val="0"/>
          <w:numId w:val="412"/>
        </w:numPr>
        <w:rPr>
          <w:rFonts w:ascii="Arial" w:cs="Arial" w:eastAsia="Arial" w:hAnsi="Arial"/>
          <w:sz w:val="17"/>
          <w:szCs w:val="17"/>
          <w:color w:val="auto"/>
        </w:rPr>
      </w:pPr>
      <w:r>
        <w:rPr>
          <w:rFonts w:ascii="Arial" w:cs="Arial" w:eastAsia="Arial" w:hAnsi="Arial"/>
          <w:sz w:val="17"/>
          <w:szCs w:val="17"/>
          <w:color w:val="auto"/>
        </w:rPr>
        <w:t>If any Registration pursuant to this Section 5.1 (other than any Market Offering Registration) shall relate to an underwritten offering, each of the Demanding Holder and the Company shall select one or more joint lead managing underwriters reasonably acceptable to the other party, which consent shall not be unreasonably withheld, conditioned or delayed, and the right of any other Holder to participate therein shall be conditioned upon such Holder’s participation in the underwriting agreements and arrangements required by this Agreement. If any Market Offering Registration pursuant to this Section 5.1 shall relate to an underwritten offering, the Demanding Holder shall select one or more lead managing underwriters reasonably acceptable to the Company, which consent shall not be unreasonably withheld, conditioned or delayed, and no other Holder shall have the right to participate in such offering.</w:t>
      </w:r>
    </w:p>
    <w:p>
      <w:pPr>
        <w:spacing w:after="0" w:line="177" w:lineRule="exact"/>
        <w:rPr>
          <w:rFonts w:ascii="Arial" w:cs="Arial" w:eastAsia="Arial" w:hAnsi="Arial"/>
          <w:sz w:val="17"/>
          <w:szCs w:val="17"/>
          <w:color w:val="auto"/>
        </w:rPr>
      </w:pPr>
    </w:p>
    <w:p>
      <w:pPr>
        <w:ind w:right="20" w:firstLine="645"/>
        <w:spacing w:after="0" w:line="255" w:lineRule="auto"/>
        <w:tabs>
          <w:tab w:leader="none" w:pos="131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For purposes of this Section 5, with respect to any Registration in connection with a Market Offering Registration Statement, the terms “Demanding Holder” and “Electing Holder” shall be deemed references to Vivendi. Notwithstanding anything in this Agreement to the contrary, the rights of the Holders under Sections 5.1 and 5.2 shall be suspended, and any sales by the Holders under Registrations shall be prohibited, during the First Lockup Period and the Second Lockup Period (each as defined in the Purchase Agreement), other than with respect to the filing of Market Offering Registration Statements. The parties hereby agree that the Company may designate an existing effective registration statement of the Company, including any Market Offering Registration Statement, as the Demand Offering Registration Statement in satisfaction of the Company’s obligations under Section 5.1(a).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Piggyback Registrations</w:t>
      </w:r>
      <w:r>
        <w:rPr>
          <w:rFonts w:ascii="Arial" w:cs="Arial" w:eastAsia="Arial" w:hAnsi="Arial"/>
          <w:sz w:val="18"/>
          <w:szCs w:val="18"/>
          <w:color w:val="auto"/>
        </w:rPr>
        <w:t>.</w:t>
      </w:r>
    </w:p>
    <w:p>
      <w:pPr>
        <w:spacing w:after="0" w:line="225" w:lineRule="exact"/>
        <w:rPr>
          <w:sz w:val="20"/>
          <w:szCs w:val="20"/>
          <w:color w:val="auto"/>
        </w:rPr>
      </w:pPr>
    </w:p>
    <w:p>
      <w:pPr>
        <w:ind w:right="80" w:firstLine="645"/>
        <w:spacing w:after="0" w:line="255" w:lineRule="auto"/>
        <w:tabs>
          <w:tab w:leader="none" w:pos="129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If at any time the Company intends to file on its behalf or on behalf of any holder of its securities a Registration Statement under the Securities Act in connection with a public offering of any securities of the Company (other than a registration statement on Form S-8 or Form S-4 or their successor forms), then the Company shall give written notice of such intention (an “</w:t>
      </w:r>
      <w:r>
        <w:rPr>
          <w:rFonts w:ascii="Arial" w:cs="Arial" w:eastAsia="Arial" w:hAnsi="Arial"/>
          <w:sz w:val="18"/>
          <w:szCs w:val="18"/>
          <w:u w:val="single" w:color="auto"/>
          <w:color w:val="auto"/>
        </w:rPr>
        <w:t>Intended Offering Notice</w:t>
      </w:r>
      <w:r>
        <w:rPr>
          <w:rFonts w:ascii="Arial" w:cs="Arial" w:eastAsia="Arial" w:hAnsi="Arial"/>
          <w:sz w:val="18"/>
          <w:szCs w:val="18"/>
          <w:color w:val="auto"/>
        </w:rPr>
        <w:t>”) to Vivendi and to each other Holder (provided the Company shall not be obligated to provide an Intended Offering Notice to any person (other than Vivendi and its Controlled Affiliates) unless Vivendi or one of its Controlled Affiliates has provided written notice to the Company that such other person qualifies as a “Holder” as provided in this Agreement) at least 10</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business days prior to the date such Registration Statement is filed. Such Intended Offering Notice shall offer to include in such Registration Statement for offer to the public the number or amount of Registrable Securities as each such notified Holder may request, subject to the conditions set forth herein, and shall specify, to the extent then known, the number and class of securities proposed to be registered, the proposed date of filing of such Registration Statement, any proposed means of distribution of such securities, and any proposed managing underwriter or underwriters of such securities. Any Holder that elects to have its Registrable Securities offered and sold pursuant to such Registration Statement shall so advise the Company in writing (such written notice from any such Holder being a “</w:t>
      </w:r>
      <w:r>
        <w:rPr>
          <w:rFonts w:ascii="Arial" w:cs="Arial" w:eastAsia="Arial" w:hAnsi="Arial"/>
          <w:sz w:val="16"/>
          <w:szCs w:val="16"/>
          <w:u w:val="single" w:color="auto"/>
          <w:color w:val="auto"/>
        </w:rPr>
        <w:t>Piggyback Notice</w:t>
      </w:r>
      <w:r>
        <w:rPr>
          <w:rFonts w:ascii="Arial" w:cs="Arial" w:eastAsia="Arial" w:hAnsi="Arial"/>
          <w:sz w:val="16"/>
          <w:szCs w:val="16"/>
          <w:color w:val="auto"/>
        </w:rPr>
        <w:t>”) not later than seven business days after the date on which such Holder received the Intended Offering Notice, setting forth the number of Registrable Securities that such Holder desires to have offered and sold pursuant to such Registration Statement. Upon the request of the Company, the Electing Holders shall enter into such underwriting, custody and other agreements as shall be customary in connection with registered secondary offerings or necessary or appropriate in connection with the offering. Each Holder shall be permitted to withdraw all or part of its Applicable Securities from any Registration pursuant to this Section 5.2 at any time prior to the sale thereof (or, if applicable, the entry into a binding agreement for such sale). If any Registration pursuant to this Section 5.2 shall relate to an underwritten offering, the right of any Holder to participate therein shall be conditioned upon such Holder’s participation in the underwriting agreements and arrangements required by this Agreement.</w:t>
      </w:r>
    </w:p>
    <w:p>
      <w:pPr>
        <w:spacing w:after="0" w:line="175" w:lineRule="exact"/>
        <w:rPr>
          <w:sz w:val="20"/>
          <w:szCs w:val="20"/>
          <w:color w:val="auto"/>
        </w:rPr>
      </w:pPr>
    </w:p>
    <w:p>
      <w:pPr>
        <w:ind w:firstLine="645"/>
        <w:spacing w:after="0" w:line="268" w:lineRule="auto"/>
        <w:tabs>
          <w:tab w:leader="none" w:pos="1304" w:val="left"/>
        </w:tabs>
        <w:numPr>
          <w:ilvl w:val="0"/>
          <w:numId w:val="414"/>
        </w:numPr>
        <w:rPr>
          <w:rFonts w:ascii="Arial" w:cs="Arial" w:eastAsia="Arial" w:hAnsi="Arial"/>
          <w:sz w:val="17"/>
          <w:szCs w:val="17"/>
          <w:color w:val="auto"/>
        </w:rPr>
      </w:pPr>
      <w:r>
        <w:rPr>
          <w:rFonts w:ascii="Arial" w:cs="Arial" w:eastAsia="Arial" w:hAnsi="Arial"/>
          <w:sz w:val="17"/>
          <w:szCs w:val="17"/>
          <w:color w:val="auto"/>
        </w:rPr>
        <w:t xml:space="preserve">In connection with an underwritten offering initiated by the Company for its own account, if the managing underwriter or underwriters advise the Company that in its or their good faith view the number of securities proposed to be registered exceeds the Maximum Number with respect to such offering, the Company shall include in such Registration such Maximum Number as follows: (i) first, the securities that the Company proposes to sell, and (ii) second, the Applicable Securities requested to be included in such Registration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Electing Holders and such other holders of securities of the Company who have requested that their securities be included in such underwritten offering and who hold contractual registration rights with respect to such securities, based on the respective amount of Applicable Securities owned by them. In connection with an underwritten offering initiated by holders of securities of the Company (other than the Holders) who have requested that their securities be included in such underwritten offering and who hold contractual registration rights with respect to such securities, if the managing underwriter or underwriters advise the Company that in its or their good faith view the number of securities proposed to be registered exceeds the Maximum Number with respect to such offering, the Company shall include in such Registration such Maximum Number as follows: (i) first, the securities that holders of securities of the Company (other than the Holders) who have requested that their securities be included in such underwritten offering and who hold contractual registration rights with respect to such securities propose to sell, (ii) second, the Applicable Securities requested to be included in such Registration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Electing Holders, based on the respective amount of Applicable Securities owned by them and (iii) third, the securities that the Company proposes to sell.</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25" w:right="239" w:bottom="680" w:gutter="0" w:footer="0" w:header="0"/>
        </w:sectPr>
      </w:pPr>
    </w:p>
    <w:bookmarkStart w:id="135" w:name="page136"/>
    <w:bookmarkEnd w:id="135"/>
    <w:p>
      <w:pPr>
        <w:spacing w:after="0" w:line="103" w:lineRule="exact"/>
        <w:rPr>
          <w:sz w:val="20"/>
          <w:szCs w:val="20"/>
          <w:color w:val="auto"/>
        </w:rPr>
      </w:pPr>
    </w:p>
    <w:p>
      <w:pPr>
        <w:ind w:left="660" w:right="120" w:firstLine="645"/>
        <w:spacing w:after="0" w:line="289" w:lineRule="auto"/>
        <w:tabs>
          <w:tab w:leader="none" w:pos="1967" w:val="left"/>
        </w:tabs>
        <w:numPr>
          <w:ilvl w:val="0"/>
          <w:numId w:val="415"/>
        </w:numPr>
        <w:rPr>
          <w:rFonts w:ascii="Arial" w:cs="Arial" w:eastAsia="Arial" w:hAnsi="Arial"/>
          <w:sz w:val="16"/>
          <w:szCs w:val="16"/>
          <w:color w:val="auto"/>
        </w:rPr>
      </w:pPr>
      <w:r>
        <w:rPr>
          <w:rFonts w:ascii="Arial" w:cs="Arial" w:eastAsia="Arial" w:hAnsi="Arial"/>
          <w:sz w:val="16"/>
          <w:szCs w:val="16"/>
          <w:color w:val="auto"/>
        </w:rPr>
        <w:t xml:space="preserve">The rights of the Holders pursuant to Section 5.1 hereof and this Section 5.2 are cumulative, and the exercise of rights under one such Section shall not exclude the subsequent exercise of rights under the other such Section (except to the extent expressly provided otherwise herein). Notwithstanding anything herein to the contrary, the Company may abandon and/or withdraw any registration as to which rights under Section 5.2 may exist (or have been exercised) at any time and for any reason without liability hereunder. In such event, the Company shall notify each Holder that has delivered a Piggyback Notice to participate therein. No Registration of Registrable Securities effected pursuant to a request under this Section 5.2 shall be deemed to be, or shall relieve the Company of its obligation to effect, a Registration upon request under Section 5.1 hereof. The Company may enter into other registration rights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rights and benefits of a holder of securities of the Company with respect to registration of such securities as contained in any such other agreement shall not be inconsistent with, or adversely affect, the rights and benefits of holders of Registrable Securities as contained in this Agreement.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In connection with a Registration Statement, the following provisions shall apply:</w:t>
      </w:r>
    </w:p>
    <w:p>
      <w:pPr>
        <w:spacing w:after="0" w:line="225" w:lineRule="exact"/>
        <w:rPr>
          <w:sz w:val="20"/>
          <w:szCs w:val="20"/>
          <w:color w:val="auto"/>
        </w:rPr>
      </w:pPr>
    </w:p>
    <w:p>
      <w:pPr>
        <w:ind w:left="660" w:right="80" w:firstLine="645"/>
        <w:spacing w:after="0" w:line="312" w:lineRule="auto"/>
        <w:tabs>
          <w:tab w:leader="none" w:pos="1954" w:val="left"/>
        </w:tabs>
        <w:numPr>
          <w:ilvl w:val="0"/>
          <w:numId w:val="416"/>
        </w:numPr>
        <w:rPr>
          <w:rFonts w:ascii="Arial" w:cs="Arial" w:eastAsia="Arial" w:hAnsi="Arial"/>
          <w:sz w:val="16"/>
          <w:szCs w:val="16"/>
          <w:color w:val="auto"/>
        </w:rPr>
      </w:pPr>
      <w:r>
        <w:rPr>
          <w:rFonts w:ascii="Arial" w:cs="Arial" w:eastAsia="Arial" w:hAnsi="Arial"/>
          <w:sz w:val="16"/>
          <w:szCs w:val="16"/>
          <w:color w:val="auto"/>
        </w:rPr>
        <w:t>Each Electing Holder shall in a timely manner (i) deliver to the Company and its counsel a duly completed copy of any form of notice and questionnaire reasonably requested by the Company and (ii) provide the Company and its counsel with such other information as to itself as may be reasonably requested by the Company in connection with the Company’s obligations under federal and state securities laws.</w:t>
      </w:r>
    </w:p>
    <w:p>
      <w:pPr>
        <w:spacing w:after="0" w:line="146" w:lineRule="exact"/>
        <w:rPr>
          <w:rFonts w:ascii="Arial" w:cs="Arial" w:eastAsia="Arial" w:hAnsi="Arial"/>
          <w:sz w:val="16"/>
          <w:szCs w:val="16"/>
          <w:color w:val="auto"/>
        </w:rPr>
      </w:pPr>
    </w:p>
    <w:p>
      <w:pPr>
        <w:ind w:left="660" w:right="40" w:firstLine="645"/>
        <w:spacing w:after="0" w:line="264" w:lineRule="auto"/>
        <w:tabs>
          <w:tab w:leader="none" w:pos="196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Company shall furnish to each Electing Holder, prior to the Effective Time, a copy of the Registration Statement initially filed with the Commission, and shall furnish to such Electing Holders copies of each amendment thereto and each amendment or supplement, if any, to the Prospectus included therein.</w:t>
      </w:r>
    </w:p>
    <w:p>
      <w:pPr>
        <w:spacing w:after="0" w:line="181" w:lineRule="exact"/>
        <w:rPr>
          <w:rFonts w:ascii="Arial" w:cs="Arial" w:eastAsia="Arial" w:hAnsi="Arial"/>
          <w:sz w:val="18"/>
          <w:szCs w:val="18"/>
          <w:color w:val="auto"/>
        </w:rPr>
      </w:pPr>
    </w:p>
    <w:p>
      <w:pPr>
        <w:ind w:left="660" w:firstLine="645"/>
        <w:spacing w:after="0" w:line="270" w:lineRule="auto"/>
        <w:tabs>
          <w:tab w:leader="none" w:pos="1967" w:val="left"/>
        </w:tabs>
        <w:numPr>
          <w:ilvl w:val="0"/>
          <w:numId w:val="416"/>
        </w:numPr>
        <w:rPr>
          <w:rFonts w:ascii="Arial" w:cs="Arial" w:eastAsia="Arial" w:hAnsi="Arial"/>
          <w:sz w:val="17"/>
          <w:szCs w:val="17"/>
          <w:color w:val="auto"/>
        </w:rPr>
      </w:pPr>
      <w:r>
        <w:rPr>
          <w:rFonts w:ascii="Arial" w:cs="Arial" w:eastAsia="Arial" w:hAnsi="Arial"/>
          <w:sz w:val="17"/>
          <w:szCs w:val="17"/>
          <w:color w:val="auto"/>
        </w:rPr>
        <w:t>The Company shall promptly take such action as may be reasonably necessary so that (i) each of the Registration Statement and any amendment thereto and the Prospectus forming part thereof and any amendment or supplement thereto (and each report or other document incorporated therein by reference in each case), when it becomes effective, complies in all material respects with the Securities Act and the Exchange Act and the respective rules and regulations thereunder, (ii) each of the Registration Statement and any amendment thereto does not, when it becomes effective, contain an untrue statement of a material fact or omit to state a material fact required to be stated therein or necessary to make the statements therein not misleading and (iii) each of the Prospectus forming part of the Registration Statement, and any amendment or supplement to such Prospectus, does not at any time during the period during which the Company is required to keep a Registration Statement continuously effective under Section 5.1(a) (other than any period during which it is entitled and elects to postpone offers and sales under Section 5.1(b) (each, a “</w:t>
      </w:r>
      <w:r>
        <w:rPr>
          <w:rFonts w:ascii="Arial" w:cs="Arial" w:eastAsia="Arial" w:hAnsi="Arial"/>
          <w:sz w:val="17"/>
          <w:szCs w:val="17"/>
          <w:u w:val="single" w:color="auto"/>
          <w:color w:val="auto"/>
        </w:rPr>
        <w:t>Postponement Period</w:t>
      </w:r>
      <w:r>
        <w:rPr>
          <w:rFonts w:ascii="Arial" w:cs="Arial" w:eastAsia="Arial" w:hAnsi="Arial"/>
          <w:sz w:val="17"/>
          <w:szCs w:val="17"/>
          <w:color w:val="auto"/>
        </w:rPr>
        <w:t>”)) include an untrue statement of a material fact or omit to state a material fact necessary in order to make the statements therein, in the light of the circumstances under which they were made, not misleading.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firstLine="645"/>
        <w:spacing w:after="0" w:line="277" w:lineRule="auto"/>
        <w:tabs>
          <w:tab w:leader="none" w:pos="1964"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Company shall, promptly upon learning thereof, advise each Electing Holder, and shall confirm such advice in writing if so requested by any such Electing Holder:</w:t>
      </w:r>
    </w:p>
    <w:p>
      <w:pPr>
        <w:spacing w:after="0" w:line="170" w:lineRule="exact"/>
        <w:rPr>
          <w:rFonts w:ascii="Arial" w:cs="Arial" w:eastAsia="Arial" w:hAnsi="Arial"/>
          <w:sz w:val="18"/>
          <w:szCs w:val="18"/>
          <w:color w:val="auto"/>
        </w:rPr>
      </w:pPr>
    </w:p>
    <w:p>
      <w:pPr>
        <w:ind w:left="1300" w:right="780" w:firstLine="653"/>
        <w:spacing w:after="0" w:line="277" w:lineRule="auto"/>
        <w:tabs>
          <w:tab w:leader="none" w:pos="2618" w:val="left"/>
        </w:tabs>
        <w:numPr>
          <w:ilvl w:val="2"/>
          <w:numId w:val="417"/>
        </w:numPr>
        <w:rPr>
          <w:rFonts w:ascii="Arial" w:cs="Arial" w:eastAsia="Arial" w:hAnsi="Arial"/>
          <w:sz w:val="18"/>
          <w:szCs w:val="18"/>
          <w:color w:val="auto"/>
        </w:rPr>
      </w:pPr>
      <w:r>
        <w:rPr>
          <w:rFonts w:ascii="Arial" w:cs="Arial" w:eastAsia="Arial" w:hAnsi="Arial"/>
          <w:sz w:val="18"/>
          <w:szCs w:val="18"/>
          <w:color w:val="auto"/>
        </w:rPr>
        <w:t>when the Registration Statement and any amendment thereto has been filed with the Commission and when the Registration Statement or any post-effective amendment thereto has become effective;</w:t>
      </w:r>
    </w:p>
    <w:p>
      <w:pPr>
        <w:spacing w:after="0" w:line="170" w:lineRule="exact"/>
        <w:rPr>
          <w:rFonts w:ascii="Arial" w:cs="Arial" w:eastAsia="Arial" w:hAnsi="Arial"/>
          <w:sz w:val="18"/>
          <w:szCs w:val="18"/>
          <w:color w:val="auto"/>
        </w:rPr>
      </w:pPr>
    </w:p>
    <w:p>
      <w:pPr>
        <w:ind w:left="1300" w:right="540" w:firstLine="653"/>
        <w:spacing w:after="0" w:line="277" w:lineRule="auto"/>
        <w:tabs>
          <w:tab w:leader="none" w:pos="2627" w:val="left"/>
        </w:tabs>
        <w:numPr>
          <w:ilvl w:val="2"/>
          <w:numId w:val="417"/>
        </w:numPr>
        <w:rPr>
          <w:rFonts w:ascii="Arial" w:cs="Arial" w:eastAsia="Arial" w:hAnsi="Arial"/>
          <w:sz w:val="18"/>
          <w:szCs w:val="18"/>
          <w:color w:val="auto"/>
        </w:rPr>
      </w:pPr>
      <w:r>
        <w:rPr>
          <w:rFonts w:ascii="Arial" w:cs="Arial" w:eastAsia="Arial" w:hAnsi="Arial"/>
          <w:sz w:val="18"/>
          <w:szCs w:val="18"/>
          <w:color w:val="auto"/>
        </w:rPr>
        <w:t>of any request by the Commission for amendments or supplements to the Registration Statement or the Prospectus included therein or for additional information;</w:t>
      </w:r>
    </w:p>
    <w:p>
      <w:pPr>
        <w:spacing w:after="0" w:line="170" w:lineRule="exact"/>
        <w:rPr>
          <w:rFonts w:ascii="Arial" w:cs="Arial" w:eastAsia="Arial" w:hAnsi="Arial"/>
          <w:sz w:val="18"/>
          <w:szCs w:val="18"/>
          <w:color w:val="auto"/>
        </w:rPr>
      </w:pPr>
    </w:p>
    <w:p>
      <w:pPr>
        <w:ind w:left="1300" w:right="280" w:firstLine="653"/>
        <w:spacing w:after="0" w:line="277" w:lineRule="auto"/>
        <w:tabs>
          <w:tab w:leader="none" w:pos="2637" w:val="left"/>
        </w:tabs>
        <w:numPr>
          <w:ilvl w:val="2"/>
          <w:numId w:val="417"/>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the Registration Statement or the initiation of any proceedings for such purpose;</w:t>
      </w:r>
    </w:p>
    <w:p>
      <w:pPr>
        <w:spacing w:after="0" w:line="170" w:lineRule="exact"/>
        <w:rPr>
          <w:rFonts w:ascii="Arial" w:cs="Arial" w:eastAsia="Arial" w:hAnsi="Arial"/>
          <w:sz w:val="18"/>
          <w:szCs w:val="18"/>
          <w:color w:val="auto"/>
        </w:rPr>
      </w:pPr>
    </w:p>
    <w:p>
      <w:pPr>
        <w:ind w:left="1300" w:right="440" w:firstLine="653"/>
        <w:spacing w:after="0" w:line="308" w:lineRule="auto"/>
        <w:tabs>
          <w:tab w:leader="none" w:pos="2613" w:val="left"/>
        </w:tabs>
        <w:numPr>
          <w:ilvl w:val="2"/>
          <w:numId w:val="417"/>
        </w:numPr>
        <w:rPr>
          <w:rFonts w:ascii="Arial" w:cs="Arial" w:eastAsia="Arial" w:hAnsi="Arial"/>
          <w:sz w:val="17"/>
          <w:szCs w:val="17"/>
          <w:color w:val="auto"/>
        </w:rPr>
      </w:pPr>
      <w:r>
        <w:rPr>
          <w:rFonts w:ascii="Arial" w:cs="Arial" w:eastAsia="Arial" w:hAnsi="Arial"/>
          <w:sz w:val="17"/>
          <w:szCs w:val="17"/>
          <w:color w:val="auto"/>
        </w:rPr>
        <w:t>of the receipt by the Company of any notification with respect to the suspension of the qualification of the securities included in the Registration Statement for sale in any jurisdiction or the initiation of any proceeding for such purpose;</w:t>
      </w:r>
    </w:p>
    <w:p>
      <w:pPr>
        <w:spacing w:after="0" w:line="146" w:lineRule="exact"/>
        <w:rPr>
          <w:rFonts w:ascii="Arial" w:cs="Arial" w:eastAsia="Arial" w:hAnsi="Arial"/>
          <w:sz w:val="17"/>
          <w:szCs w:val="17"/>
          <w:color w:val="auto"/>
        </w:rPr>
      </w:pPr>
    </w:p>
    <w:p>
      <w:pPr>
        <w:ind w:left="1300" w:firstLine="653"/>
        <w:spacing w:after="0" w:line="293" w:lineRule="auto"/>
        <w:tabs>
          <w:tab w:leader="none" w:pos="2604" w:val="left"/>
        </w:tabs>
        <w:numPr>
          <w:ilvl w:val="2"/>
          <w:numId w:val="417"/>
        </w:numPr>
        <w:rPr>
          <w:rFonts w:ascii="Arial" w:cs="Arial" w:eastAsia="Arial" w:hAnsi="Arial"/>
          <w:sz w:val="16"/>
          <w:szCs w:val="16"/>
          <w:color w:val="auto"/>
        </w:rPr>
      </w:pPr>
      <w:r>
        <w:rPr>
          <w:rFonts w:ascii="Arial" w:cs="Arial" w:eastAsia="Arial" w:hAnsi="Arial"/>
          <w:sz w:val="16"/>
          <w:szCs w:val="16"/>
          <w:color w:val="auto"/>
        </w:rPr>
        <w:t>following the effectiveness of any Registration Statement, of the happening of any event or the existence of any state of facts that requires the making of any changes in the Registration Statement or the Prospectus included therein so that, as of such date, such Registration Statement and Prospectus do not contain an untrue statement of a material fact and do not omit to state a material fact required to be stated therein or necessary to make the statements therein (in the case of the Prospectus, in light of the circumstances under which they were made) not misleading (which advice shall be accompanied by an instruction to such Electing Holders to suspend the use of the Prospectus until the requisite changes have been made which instruction such Electing Holders agree to follow); and</w:t>
      </w:r>
    </w:p>
    <w:p>
      <w:pPr>
        <w:spacing w:after="0" w:line="164" w:lineRule="exact"/>
        <w:rPr>
          <w:rFonts w:ascii="Arial" w:cs="Arial" w:eastAsia="Arial" w:hAnsi="Arial"/>
          <w:sz w:val="16"/>
          <w:szCs w:val="16"/>
          <w:color w:val="auto"/>
        </w:rPr>
      </w:pPr>
    </w:p>
    <w:p>
      <w:pPr>
        <w:ind w:left="1300" w:right="100" w:firstLine="653"/>
        <w:spacing w:after="0" w:line="277" w:lineRule="auto"/>
        <w:tabs>
          <w:tab w:leader="none" w:pos="2613" w:val="left"/>
        </w:tabs>
        <w:numPr>
          <w:ilvl w:val="2"/>
          <w:numId w:val="417"/>
        </w:numPr>
        <w:rPr>
          <w:rFonts w:ascii="Arial" w:cs="Arial" w:eastAsia="Arial" w:hAnsi="Arial"/>
          <w:sz w:val="18"/>
          <w:szCs w:val="18"/>
          <w:color w:val="auto"/>
        </w:rPr>
      </w:pPr>
      <w:r>
        <w:rPr>
          <w:rFonts w:ascii="Arial" w:cs="Arial" w:eastAsia="Arial" w:hAnsi="Arial"/>
          <w:sz w:val="18"/>
          <w:szCs w:val="18"/>
          <w:color w:val="auto"/>
        </w:rPr>
        <w:t>if at any time any of the representations and warranties of the Company contemplated by paragraph (l) below cease to be true and correct or will not be true and correct as of the closing date for the offering.</w:t>
      </w:r>
    </w:p>
    <w:p>
      <w:pPr>
        <w:spacing w:after="0" w:line="170" w:lineRule="exact"/>
        <w:rPr>
          <w:rFonts w:ascii="Arial" w:cs="Arial" w:eastAsia="Arial" w:hAnsi="Arial"/>
          <w:sz w:val="18"/>
          <w:szCs w:val="18"/>
          <w:color w:val="auto"/>
        </w:rPr>
      </w:pPr>
    </w:p>
    <w:p>
      <w:pPr>
        <w:ind w:right="380" w:firstLine="656"/>
        <w:spacing w:after="0" w:line="277" w:lineRule="auto"/>
        <w:tabs>
          <w:tab w:leader="none" w:pos="130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prevent the issuance, and if issued to obtain the withdrawal, of any order suspending the effectiveness of the Registration Statement at the earliest possible time.</w:t>
      </w:r>
    </w:p>
    <w:p>
      <w:pPr>
        <w:spacing w:after="0" w:line="170" w:lineRule="exact"/>
        <w:rPr>
          <w:rFonts w:ascii="Arial" w:cs="Arial" w:eastAsia="Arial" w:hAnsi="Arial"/>
          <w:sz w:val="18"/>
          <w:szCs w:val="18"/>
          <w:color w:val="auto"/>
        </w:rPr>
      </w:pPr>
    </w:p>
    <w:p>
      <w:pPr>
        <w:ind w:right="240" w:firstLine="656"/>
        <w:spacing w:after="0" w:line="264" w:lineRule="auto"/>
        <w:tabs>
          <w:tab w:leader="none" w:pos="1301"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Company shall furnish to each Electing Holder, without charge, at least one copy of the Registration Statement and all post-effective amendments thereto, including financial statements and schedules, and, if such Electing Holder so requests in writing, all reports, other documents and exhibits that are filed with or incorporated by reference in the Registration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97" w:lineRule="auto"/>
        <w:tabs>
          <w:tab w:leader="none" w:pos="1317"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Company shall, (i) during the period during that the Company is required to keep a Registration Statement continuously effective under Section 5.1(a) or, (ii) with respect to the Market Offering Registration Statements, during the period during that the Company is required to keep such Market Offering Registration Statement continuously effective pursuant to the terms of the Purchase Agreement, or (iii) during the period during which the Company elects to keep a Registration Statement continuously effective under Section 5.2(a), deliver to each Electing Holder and any managing underwriter or agent, without charge, as many copies of the Prospectus (including each preliminary Prospectus) included in the Registration Statement and any amendment or</w:t>
      </w:r>
    </w:p>
    <w:p>
      <w:pPr>
        <w:sectPr>
          <w:pgSz w:w="11900" w:h="16941" w:orient="portrait"/>
          <w:cols w:equalWidth="0" w:num="1">
            <w:col w:w="11420"/>
          </w:cols>
          <w:pgMar w:left="240" w:top="125" w:right="239" w:bottom="0" w:gutter="0" w:footer="0" w:header="0"/>
        </w:sectPr>
      </w:pPr>
    </w:p>
    <w:bookmarkStart w:id="136" w:name="page137"/>
    <w:bookmarkEnd w:id="136"/>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supplement thereto and other documents as they may reasonably request to facilitate the distribution of the Registrable Securities; and the Company consents (except during the continuance of any event described in Section 5.3(d)(v) hereof) to the use of the Prospectus, with any amendment or supplement thereto, by each of the Electing Holders and any managing underwriter or agent in connection with the offering and sale of the Applicable Securities covered by the Prospectus and any amendment or supplement thereto during such period.</w:t>
      </w:r>
    </w:p>
    <w:p>
      <w:pPr>
        <w:spacing w:after="0" w:line="187" w:lineRule="exact"/>
        <w:rPr>
          <w:sz w:val="20"/>
          <w:szCs w:val="20"/>
          <w:color w:val="auto"/>
        </w:rPr>
      </w:pPr>
    </w:p>
    <w:p>
      <w:pPr>
        <w:ind w:right="300" w:firstLine="656"/>
        <w:spacing w:after="0" w:line="288" w:lineRule="auto"/>
        <w:tabs>
          <w:tab w:leader="none" w:pos="1304" w:val="left"/>
        </w:tabs>
        <w:numPr>
          <w:ilvl w:val="1"/>
          <w:numId w:val="420"/>
        </w:numPr>
        <w:rPr>
          <w:rFonts w:ascii="Arial" w:cs="Arial" w:eastAsia="Arial" w:hAnsi="Arial"/>
          <w:sz w:val="16"/>
          <w:szCs w:val="16"/>
          <w:color w:val="auto"/>
        </w:rPr>
      </w:pPr>
      <w:r>
        <w:rPr>
          <w:rFonts w:ascii="Arial" w:cs="Arial" w:eastAsia="Arial" w:hAnsi="Arial"/>
          <w:sz w:val="16"/>
          <w:szCs w:val="16"/>
          <w:color w:val="auto"/>
        </w:rPr>
        <w:t>Prior to any offering of Applicable Securities pursuant to the Registration Statement, the Company shall (i) use reasonable efforts to cooperate with the Electing Holders and their respective counsel in connection with the registration or qualification of such Applicable Securities for offer and sale under any applicable securities or “blue sky” laws of such jurisdictions within the United States as any Electing Holder may reasonably request,</w:t>
      </w:r>
    </w:p>
    <w:p>
      <w:pPr>
        <w:ind w:right="20" w:firstLine="8"/>
        <w:spacing w:after="0" w:line="290" w:lineRule="auto"/>
        <w:tabs>
          <w:tab w:leader="none" w:pos="265" w:val="left"/>
        </w:tabs>
        <w:numPr>
          <w:ilvl w:val="0"/>
          <w:numId w:val="421"/>
        </w:numPr>
        <w:rPr>
          <w:rFonts w:ascii="Arial" w:cs="Arial" w:eastAsia="Arial" w:hAnsi="Arial"/>
          <w:sz w:val="16"/>
          <w:szCs w:val="16"/>
          <w:color w:val="auto"/>
        </w:rPr>
      </w:pPr>
      <w:r>
        <w:rPr>
          <w:rFonts w:ascii="Arial" w:cs="Arial" w:eastAsia="Arial" w:hAnsi="Arial"/>
          <w:sz w:val="16"/>
          <w:szCs w:val="16"/>
          <w:color w:val="auto"/>
        </w:rPr>
        <w:t xml:space="preserve">use reasonable efforts to keep such registrations or qualifications in effect and comply with such laws so as to permit the continuance of offers and sales in such jurisdictions for the period during which the Company is required to keep a Registration Statement continuously effective under Section 5.1(a) or elects to keep effective under Section 5.2(a) and (iii) take any and all other actions reasonably requested by an Electing Holder which are necessary or advisable to enable the disposition in such jurisdictions of such Applicable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this Section 5.3(h) shall require the Company to (A) qualify as a foreign corporation or as a dealer in securities in any jurisdiction where it would not otherwise be required to qualify but for this Section 5.3(h) or (B) take any action which would subject it to general service of process or taxation in any such jurisdiction if it is not then so subject.</w:t>
      </w:r>
    </w:p>
    <w:p>
      <w:pPr>
        <w:spacing w:after="0" w:line="164" w:lineRule="exact"/>
        <w:rPr>
          <w:rFonts w:ascii="Arial" w:cs="Arial" w:eastAsia="Arial" w:hAnsi="Arial"/>
          <w:sz w:val="16"/>
          <w:szCs w:val="16"/>
          <w:color w:val="auto"/>
        </w:rPr>
      </w:pPr>
    </w:p>
    <w:p>
      <w:pPr>
        <w:ind w:right="100" w:firstLine="656"/>
        <w:spacing w:after="0" w:line="264" w:lineRule="auto"/>
        <w:tabs>
          <w:tab w:leader="none" w:pos="1318"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Company shall, if requested by the Electing Holders, use commercially reasonable efforts to cause all such Applicable Securities to be sold pursuant to the Registration Statement to be listed on any securities exchange or automated quotation service on which securities of the Company are listed or quoted.</w:t>
      </w:r>
    </w:p>
    <w:p>
      <w:pPr>
        <w:spacing w:after="0" w:line="181" w:lineRule="exact"/>
        <w:rPr>
          <w:rFonts w:ascii="Arial" w:cs="Arial" w:eastAsia="Arial" w:hAnsi="Arial"/>
          <w:sz w:val="18"/>
          <w:szCs w:val="18"/>
          <w:color w:val="auto"/>
        </w:rPr>
      </w:pPr>
    </w:p>
    <w:p>
      <w:pPr>
        <w:ind w:right="140" w:firstLine="656"/>
        <w:spacing w:after="0" w:line="257" w:lineRule="auto"/>
        <w:tabs>
          <w:tab w:leader="none" w:pos="1304"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Company shall cooperate with the Electing Holders to facilitate the timely preparation and delivery of certificates representing Applicable Securities to be sold pursuant to the Registration Statement, which certificates shall comply with the requirements of any securities exchange or automated quotation service on which any securities of the Company are listed and quoted, and which certificates shall be free of any restrictive legends and in such permitted denominations and registered in such names as Electing Holders or any managing underwriter or agent may request in connection with the sale of Applicable Securities pursuant to the Registration Statement.</w:t>
      </w:r>
    </w:p>
    <w:p>
      <w:pPr>
        <w:spacing w:after="0" w:line="188" w:lineRule="exact"/>
        <w:rPr>
          <w:rFonts w:ascii="Arial" w:cs="Arial" w:eastAsia="Arial" w:hAnsi="Arial"/>
          <w:sz w:val="18"/>
          <w:szCs w:val="18"/>
          <w:color w:val="auto"/>
        </w:rPr>
      </w:pPr>
    </w:p>
    <w:p>
      <w:pPr>
        <w:ind w:right="260" w:firstLine="656"/>
        <w:spacing w:after="0" w:line="277" w:lineRule="auto"/>
        <w:tabs>
          <w:tab w:leader="none" w:pos="1304" w:val="left"/>
        </w:tabs>
        <w:numPr>
          <w:ilvl w:val="1"/>
          <w:numId w:val="421"/>
        </w:numPr>
        <w:rPr>
          <w:rFonts w:ascii="Arial" w:cs="Arial" w:eastAsia="Arial" w:hAnsi="Arial"/>
          <w:sz w:val="18"/>
          <w:szCs w:val="18"/>
          <w:color w:val="auto"/>
        </w:rPr>
      </w:pPr>
      <w:r>
        <w:rPr>
          <w:rFonts w:ascii="Arial" w:cs="Arial" w:eastAsia="Arial" w:hAnsi="Arial"/>
          <w:sz w:val="18"/>
          <w:szCs w:val="18"/>
          <w:color w:val="auto"/>
        </w:rPr>
        <w:t>Upon the occurrence of any fact or event contemplated by Section 5.3(d)(v) hereof, the Company shall promptly prepare a post-effective amendment or supplement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Registration Statement or the Prospectus, or any document incorporated therein by reference, or file any other required document so that, after such amendment or supplement, such Registration Statement and Prospectus do not contain an untrue statement of a material fact and do not omit to state a material fact required to be stated therein or necessary to make the statements therein (in the case of the Prospectus,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take any such action during a Postponement Period (but it shall promptly thereafter). In the event that the Company notifies the Electing Holders of the occurrence of any fact or event contemplated by Section 5.3(d)</w:t>
      </w:r>
    </w:p>
    <w:p>
      <w:pPr>
        <w:spacing w:after="0" w:line="2" w:lineRule="exact"/>
        <w:rPr>
          <w:sz w:val="20"/>
          <w:szCs w:val="20"/>
          <w:color w:val="auto"/>
        </w:rPr>
      </w:pPr>
    </w:p>
    <w:p>
      <w:pPr>
        <w:ind w:right="160" w:firstLine="8"/>
        <w:spacing w:after="0" w:line="261" w:lineRule="auto"/>
        <w:tabs>
          <w:tab w:leader="none" w:pos="25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hereof, each Electing Holder agrees, as a condition of the inclusion of any of such Electing Holder’s Applicable Securities in the Registration Statement, to suspend the use of the Prospectus until the requisite changes to the Prospectus have been made.</w:t>
      </w:r>
    </w:p>
    <w:p>
      <w:pPr>
        <w:spacing w:after="0" w:line="183" w:lineRule="exact"/>
        <w:rPr>
          <w:rFonts w:ascii="Arial" w:cs="Arial" w:eastAsia="Arial" w:hAnsi="Arial"/>
          <w:sz w:val="18"/>
          <w:szCs w:val="18"/>
          <w:color w:val="auto"/>
        </w:rPr>
      </w:pPr>
    </w:p>
    <w:p>
      <w:pPr>
        <w:ind w:firstLine="656"/>
        <w:spacing w:after="0" w:line="269" w:lineRule="auto"/>
        <w:tabs>
          <w:tab w:leader="none" w:pos="1318" w:val="left"/>
        </w:tabs>
        <w:numPr>
          <w:ilvl w:val="1"/>
          <w:numId w:val="422"/>
        </w:numPr>
        <w:rPr>
          <w:rFonts w:ascii="Arial" w:cs="Arial" w:eastAsia="Arial" w:hAnsi="Arial"/>
          <w:sz w:val="17"/>
          <w:szCs w:val="17"/>
          <w:color w:val="auto"/>
        </w:rPr>
      </w:pPr>
      <w:r>
        <w:rPr>
          <w:rFonts w:ascii="Arial" w:cs="Arial" w:eastAsia="Arial" w:hAnsi="Arial"/>
          <w:sz w:val="17"/>
          <w:szCs w:val="17"/>
          <w:color w:val="auto"/>
        </w:rPr>
        <w:t>The Company shall, together with all Electing Holders, enter into such customary agreements (including an underwriting agreement in customary form in the event of an underwritten offering) and take all other reasonable and appropriate action in order to expedite and facilitate the registration and disposition of the Registrable Securities, and in connection therewith, if an underwriting agreement is entered into, cause the same to contain indemnification provisions and procedures substantially similar to those set forth in Section 5.5 hereof with respect to all parties to be indemnified pursuant to Section 5.5 hereof. In addition, in such agreements, the Company will make such representations and warranties to the Electing Holder(s) and the underwriters or agents, if any, in form, substance and scope as are customarily made by issuers in primary equity offerings. The Electing Holder(s) shall be party to such agreements and may, at their option, require that any or all of the representations and warranties by, and the other agreements on the part of, the Company to and for the benefit of such underwriters shall also be made to and for the benefit of the Electing Holders to the extent applicable. No Electing Holder shall be required to make any representations or warranties to or agreements with the Company or the underwriters or agents, other than representations, warranties or agreements relating to such Electing Holder of its Affiliates, its Registrable Securities (including ownership and title) and its intended method of distribution or any other representations required by law or reasonably requested by the underwriters in light of the Electing Holders then current ownership and representation on the Company’s board of directors.</w:t>
      </w:r>
    </w:p>
    <w:p>
      <w:pPr>
        <w:spacing w:after="0" w:line="179" w:lineRule="exact"/>
        <w:rPr>
          <w:rFonts w:ascii="Arial" w:cs="Arial" w:eastAsia="Arial" w:hAnsi="Arial"/>
          <w:sz w:val="17"/>
          <w:szCs w:val="17"/>
          <w:color w:val="auto"/>
        </w:rPr>
      </w:pPr>
    </w:p>
    <w:p>
      <w:pPr>
        <w:ind w:right="140" w:firstLine="656"/>
        <w:spacing w:after="0" w:line="243" w:lineRule="auto"/>
        <w:tabs>
          <w:tab w:leader="none" w:pos="130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 xml:space="preserve">If requested by the managing underwriter in any underwritten offering (including in connection with any underwritten offering pursuant to either of the Market Offering Registration Statements), the Company and each Holder (whether or not an Electing Holder) will agree to such limitations on sale, transfer, short sale, hedging, option, swap and other transactions relating to any securities of the Company or convertible or exchangeable for securities of the Company (including any sales under Rule 144 of the Securities Act), and public announcements relating to the foregoing as are then customary in underwriting agreements for registered underwritten offerings;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limitations shall not continue beyond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effective date of the Registration Statement in question or, if later, the commencement of the public distribution of securities to the extent timely notified in writing by the managing underwriters.</w:t>
      </w:r>
    </w:p>
    <w:p>
      <w:pPr>
        <w:spacing w:after="0" w:line="203" w:lineRule="exact"/>
        <w:rPr>
          <w:rFonts w:ascii="Arial" w:cs="Arial" w:eastAsia="Arial" w:hAnsi="Arial"/>
          <w:sz w:val="18"/>
          <w:szCs w:val="18"/>
          <w:color w:val="auto"/>
        </w:rPr>
      </w:pPr>
    </w:p>
    <w:p>
      <w:pPr>
        <w:ind w:left="1320" w:hanging="664"/>
        <w:spacing w:after="0"/>
        <w:tabs>
          <w:tab w:leader="none" w:pos="132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The Company shall use commercially reasonable efforts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89" w:lineRule="auto"/>
        <w:tabs>
          <w:tab w:leader="none" w:pos="1978" w:val="left"/>
        </w:tabs>
        <w:numPr>
          <w:ilvl w:val="0"/>
          <w:numId w:val="423"/>
        </w:numPr>
        <w:rPr>
          <w:rFonts w:ascii="Arial" w:cs="Arial" w:eastAsia="Arial" w:hAnsi="Arial"/>
          <w:sz w:val="16"/>
          <w:szCs w:val="16"/>
          <w:color w:val="auto"/>
        </w:rPr>
      </w:pPr>
      <w:r>
        <w:rPr>
          <w:rFonts w:ascii="Arial" w:cs="Arial" w:eastAsia="Arial" w:hAnsi="Arial"/>
          <w:sz w:val="16"/>
          <w:szCs w:val="16"/>
          <w:color w:val="auto"/>
        </w:rPr>
        <w:t xml:space="preserve">(A) make reasonably available for inspection by Electing Holders, any underwriter participating in any disposition pursuant to the Registration Statement, and any attorney, accountant or other professional retained by such Holders or any such underwriter all relevant financial and other records, pertinent corporate documents and properties of the Company and its subsidiaries, and (B) cause the Company’s officers, directors and employees to participate in road shows or other customary marketing activities and to supply all information reasonably requested by such Electing Holders or any such underwriter, attorney, accountant or professional in connection with the Registration Statement as is customary for similar due diligence examinations;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records, information and documents that are designated by the Company, in good faith, as confidential shall be kept confidential by such Holders and any such underwriter, attorney, accountant or agent, unless such disclosure is required in connection with a court proceeding after such advance notice to the Company (to the extent practicable in the circumstances) so as to permit the Company to contest the same, or required by law, or such records, information or documents become available to the public generally or through a</w:t>
      </w:r>
    </w:p>
    <w:p>
      <w:pPr>
        <w:sectPr>
          <w:pgSz w:w="11900" w:h="16932" w:orient="portrait"/>
          <w:cols w:equalWidth="0" w:num="1">
            <w:col w:w="11420"/>
          </w:cols>
          <w:pgMar w:left="240" w:top="125" w:right="239" w:bottom="0" w:gutter="0" w:footer="0" w:header="0"/>
        </w:sectPr>
      </w:pPr>
    </w:p>
    <w:bookmarkStart w:id="137" w:name="page138"/>
    <w:bookmarkEnd w:id="137"/>
    <w:p>
      <w:pPr>
        <w:spacing w:after="0" w:line="94"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 xml:space="preserve">third party without an accompanying obligation of confidentiality;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foregoing inspection and information gathering shall, to the greatest extent possible, be coordinated on behalf of the Electing Holders and the other parties entitled thereto by one counsel designated by and on behalf of the Electing Holders and such other parties;</w:t>
      </w:r>
    </w:p>
    <w:p>
      <w:pPr>
        <w:spacing w:after="0" w:line="181" w:lineRule="exact"/>
        <w:rPr>
          <w:sz w:val="20"/>
          <w:szCs w:val="20"/>
          <w:color w:val="auto"/>
        </w:rPr>
      </w:pPr>
    </w:p>
    <w:p>
      <w:pPr>
        <w:ind w:left="660" w:right="60" w:firstLine="645"/>
        <w:spacing w:after="0" w:line="259" w:lineRule="auto"/>
        <w:tabs>
          <w:tab w:leader="none" w:pos="1987"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 connection with any underwritten offering, obtain opinions of counsel to the Company (which counsel and opinions (in form, scope and substance) shall be reasonably satisfactory to the underwriters) addressed to the underwriters, covering the matters customarily covered in opinions requested in secondary underwritten offerings of equity securities, to the extent reasonably required by the applicable underwriting agreement;</w:t>
      </w:r>
    </w:p>
    <w:p>
      <w:pPr>
        <w:spacing w:after="0" w:line="186" w:lineRule="exact"/>
        <w:rPr>
          <w:rFonts w:ascii="Arial" w:cs="Arial" w:eastAsia="Arial" w:hAnsi="Arial"/>
          <w:sz w:val="18"/>
          <w:szCs w:val="18"/>
          <w:color w:val="auto"/>
        </w:rPr>
      </w:pPr>
    </w:p>
    <w:p>
      <w:pPr>
        <w:ind w:left="660" w:right="120" w:firstLine="645"/>
        <w:spacing w:after="0" w:line="293" w:lineRule="auto"/>
        <w:tabs>
          <w:tab w:leader="none" w:pos="1997"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in connection with any underwritten offering, obtain “cold comfort” letters and updates thereof from the independent public accountants of the Company (and, if necessary, from the independent public accountants of any Subsidiary of the Company or of any business acquired by the Company for which financial statements and financial data are, or are required to be, included in the Registration Statement), addressed to each Electing Holder participating in such underwritten offering (if such Electing Holder has provided such letter, representations or documentation, if any, required for such cold comfort letter to be so addressed) and the underwriters, in customary form and covering matters of the type customarily covered in “cold comfort” letters in connection with secondary underwritten offerings of equity securities;</w:t>
      </w:r>
    </w:p>
    <w:p>
      <w:pPr>
        <w:spacing w:after="0" w:line="164" w:lineRule="exact"/>
        <w:rPr>
          <w:rFonts w:ascii="Arial" w:cs="Arial" w:eastAsia="Arial" w:hAnsi="Arial"/>
          <w:sz w:val="16"/>
          <w:szCs w:val="16"/>
          <w:color w:val="auto"/>
        </w:rPr>
      </w:pPr>
    </w:p>
    <w:p>
      <w:pPr>
        <w:ind w:left="660" w:right="440" w:firstLine="645"/>
        <w:spacing w:after="0" w:line="312" w:lineRule="auto"/>
        <w:tabs>
          <w:tab w:leader="none" w:pos="1973"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in connection with any underwritten offering, deliver such documents and certificates as may be reasonably requested by any Electing Holders participating in such underwritten offering and the underwriters, if any, including, without limitation, certificates to evidence compliance with any conditions contained in the underwriting agreement or other agreements entered into by the Company; and</w:t>
      </w:r>
    </w:p>
    <w:p>
      <w:pPr>
        <w:spacing w:after="0" w:line="146" w:lineRule="exact"/>
        <w:rPr>
          <w:rFonts w:ascii="Arial" w:cs="Arial" w:eastAsia="Arial" w:hAnsi="Arial"/>
          <w:sz w:val="16"/>
          <w:szCs w:val="16"/>
          <w:color w:val="auto"/>
        </w:rPr>
      </w:pPr>
    </w:p>
    <w:p>
      <w:pPr>
        <w:ind w:left="660" w:right="500" w:firstLine="645"/>
        <w:spacing w:after="0" w:line="277" w:lineRule="auto"/>
        <w:tabs>
          <w:tab w:leader="none" w:pos="1964" w:val="left"/>
        </w:tabs>
        <w:numPr>
          <w:ilvl w:val="0"/>
          <w:numId w:val="424"/>
        </w:numPr>
        <w:rPr>
          <w:rFonts w:ascii="Arial" w:cs="Arial" w:eastAsia="Arial" w:hAnsi="Arial"/>
          <w:sz w:val="18"/>
          <w:szCs w:val="18"/>
          <w:color w:val="auto"/>
        </w:rPr>
      </w:pPr>
      <w:r>
        <w:rPr>
          <w:rFonts w:ascii="Arial" w:cs="Arial" w:eastAsia="Arial" w:hAnsi="Arial"/>
          <w:sz w:val="18"/>
          <w:szCs w:val="18"/>
          <w:color w:val="auto"/>
        </w:rPr>
        <w:t>use its best efforts to comply with all applicable rules and regulations of the Commission and make generally available to its security holders, as soon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reasonably practicable (but not more than fifteen months) after the effective date of the Registration Statement, an earnings statement satisfying the provisions of Section 11(a) of the Securities Act and the rules and regulations promulgated thereunder.</w:t>
      </w:r>
    </w:p>
    <w:p>
      <w:pPr>
        <w:spacing w:after="0" w:line="170" w:lineRule="exact"/>
        <w:rPr>
          <w:sz w:val="20"/>
          <w:szCs w:val="20"/>
          <w:color w:val="auto"/>
        </w:rPr>
      </w:pPr>
    </w:p>
    <w:p>
      <w:pPr>
        <w:jc w:val="both"/>
        <w:ind w:right="240" w:firstLine="656"/>
        <w:spacing w:after="0" w:line="264" w:lineRule="auto"/>
        <w:tabs>
          <w:tab w:leader="none" w:pos="130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Not later than the effective date of the applicable Registration Statement, the Company shall provide a CUSIP number for all Registrable Securities and provide the applicable transfer agent with printed certificates for the Registrable Securities which are in a form eligible for deposit with The Depository Trust Company.</w:t>
      </w:r>
    </w:p>
    <w:p>
      <w:pPr>
        <w:spacing w:after="0" w:line="181" w:lineRule="exact"/>
        <w:rPr>
          <w:rFonts w:ascii="Arial" w:cs="Arial" w:eastAsia="Arial" w:hAnsi="Arial"/>
          <w:sz w:val="18"/>
          <w:szCs w:val="18"/>
          <w:color w:val="auto"/>
        </w:rPr>
      </w:pPr>
    </w:p>
    <w:p>
      <w:pPr>
        <w:ind w:right="160" w:firstLine="656"/>
        <w:spacing w:after="0" w:line="277" w:lineRule="auto"/>
        <w:tabs>
          <w:tab w:leader="none" w:pos="130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Company shall cooperate with each Electing Holder and each underwriter or agent participating in the disposition of such Registrable Securities and their respective counsel in connection with any filings required to be made with the NASD.</w:t>
      </w:r>
    </w:p>
    <w:p>
      <w:pPr>
        <w:spacing w:after="0" w:line="170" w:lineRule="exact"/>
        <w:rPr>
          <w:rFonts w:ascii="Arial" w:cs="Arial" w:eastAsia="Arial" w:hAnsi="Arial"/>
          <w:sz w:val="18"/>
          <w:szCs w:val="18"/>
          <w:color w:val="auto"/>
        </w:rPr>
      </w:pPr>
    </w:p>
    <w:p>
      <w:pPr>
        <w:ind w:right="180" w:firstLine="656"/>
        <w:spacing w:after="0" w:line="264" w:lineRule="auto"/>
        <w:tabs>
          <w:tab w:leader="none" w:pos="130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As promptly as practicable after filing with the Commission of any document which is incorporated by reference into the Registration Statement or the Prospectus, the Company shall provide copies of such document to counsel for each Electing Holder and to the managing underwriters and agents, if any.</w:t>
      </w:r>
    </w:p>
    <w:p>
      <w:pPr>
        <w:spacing w:after="0" w:line="181" w:lineRule="exact"/>
        <w:rPr>
          <w:rFonts w:ascii="Arial" w:cs="Arial" w:eastAsia="Arial" w:hAnsi="Arial"/>
          <w:sz w:val="18"/>
          <w:szCs w:val="18"/>
          <w:color w:val="auto"/>
        </w:rPr>
      </w:pPr>
    </w:p>
    <w:p>
      <w:pPr>
        <w:ind w:right="680" w:firstLine="656"/>
        <w:spacing w:after="0" w:line="277" w:lineRule="auto"/>
        <w:tabs>
          <w:tab w:leader="none" w:pos="131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Company shall provide and cause to be maintained a transfer agent and registrar for all Registrable Securities covered by such Registration Statement from and after a date not later than the effective date of such Registration Statement.</w:t>
      </w:r>
    </w:p>
    <w:p>
      <w:pPr>
        <w:spacing w:after="0" w:line="170" w:lineRule="exact"/>
        <w:rPr>
          <w:rFonts w:ascii="Arial" w:cs="Arial" w:eastAsia="Arial" w:hAnsi="Arial"/>
          <w:sz w:val="18"/>
          <w:szCs w:val="18"/>
          <w:color w:val="auto"/>
        </w:rPr>
      </w:pPr>
    </w:p>
    <w:p>
      <w:pPr>
        <w:ind w:right="420" w:firstLine="656"/>
        <w:spacing w:after="0" w:line="277" w:lineRule="auto"/>
        <w:tabs>
          <w:tab w:leader="none" w:pos="1311"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With respect to the Registrations in connection with the Market Offering Registration Statements, all uses of the words “commercially reasonable efforts” in this Section 5.3 shall be deemed replaced with the words “reasonable best efforts.”</w:t>
      </w:r>
    </w:p>
    <w:p>
      <w:pPr>
        <w:spacing w:after="0" w:line="170" w:lineRule="exact"/>
        <w:rPr>
          <w:rFonts w:ascii="Arial" w:cs="Arial" w:eastAsia="Arial" w:hAnsi="Arial"/>
          <w:sz w:val="18"/>
          <w:szCs w:val="18"/>
          <w:color w:val="auto"/>
        </w:rPr>
      </w:pPr>
    </w:p>
    <w:p>
      <w:pPr>
        <w:ind w:right="400" w:firstLine="656"/>
        <w:spacing w:after="0" w:line="277" w:lineRule="auto"/>
        <w:tabs>
          <w:tab w:leader="none" w:pos="130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Company shall use reasonable best efforts to take all other steps necessary to effect the timely registration, offering and sale of the Applicable Securities covered by the Registration Statements contemplated hereby.</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Company shall bear all of the Registration Expenses and all other expenses incurred by it in connection with the performance of its obligations under this Agreement. The Electing Holders shall bear all other expenses relating to any Registration or sale in which such Electing Holders participate, including without limitation the fees and expenses of counsel to such Electing Holders and any applicable underwriting discounts, fees or commissions.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55" w:lineRule="auto"/>
        <w:tabs>
          <w:tab w:leader="none" w:pos="129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Upon the Registration of Applicable Securities, the Company shall indemnify and hold harmless each Electing Holder and each underwriter, selling agent or other securities professional, if any, which facilitates the disposition of Applicable Securities, and each of their respective officers and directors and each person who controls such Electing Holder, underwriter, selling agent or other securities professional within the meaning of Section 15 of the Securities Act or Section 20 of the Exchange Act (each such Person, an “</w:t>
      </w:r>
      <w:r>
        <w:rPr>
          <w:rFonts w:ascii="Arial" w:cs="Arial" w:eastAsia="Arial" w:hAnsi="Arial"/>
          <w:sz w:val="18"/>
          <w:szCs w:val="18"/>
          <w:u w:val="single" w:color="auto"/>
          <w:color w:val="auto"/>
        </w:rPr>
        <w:t>Indemnified Person</w:t>
      </w:r>
      <w:r>
        <w:rPr>
          <w:rFonts w:ascii="Arial" w:cs="Arial" w:eastAsia="Arial" w:hAnsi="Arial"/>
          <w:sz w:val="18"/>
          <w:szCs w:val="18"/>
          <w:color w:val="auto"/>
        </w:rPr>
        <w:t>”) against any losses, claims, damages or liabilities, joint or several, to which such Indemnified Person may become subject under the Securities Act or otherwise, insofar as such losses, claims, damages or liabilities (or actions in respect thereof) arise out of or are based upon an untrue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statement or alleged untrue statement of a material fact contained in any Registration Statement under which such Applicable Securities are to be registered under the Securities Act, or any Prospectus contained therein, or any amendment or supplement thereto, or arise out of or are based upon the omission or alleged omission to state therein a material fact required to be stated therein or necessary to make the statements therein not misleading, and the Company hereby agrees to reimburse such Indemnified Person for any reasonable and documented legal or other expenses reasonably incurred by them in connection with investigating or defending any such action or claim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liable to any such Indemnified Person in any such case to the extent that any such loss, claim, damage, liability or expense arises out of or is based upon an untrue statement or alleged untrue statement or omission or alleged omission made in such Registration Statement or Prospectus, or amendment or supplement, in reliance upon and in conformity with written information furnished to the Company by such Indemnified Person or its agent expressly for use therein;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w:t>
      </w:r>
    </w:p>
    <w:p>
      <w:pPr>
        <w:sectPr>
          <w:pgSz w:w="11900" w:h="16933" w:orient="portrait"/>
          <w:cols w:equalWidth="0" w:num="1">
            <w:col w:w="11420"/>
          </w:cols>
          <w:pgMar w:left="240" w:top="125" w:right="239" w:bottom="0" w:gutter="0" w:footer="0" w:header="0"/>
        </w:sectPr>
      </w:pPr>
    </w:p>
    <w:bookmarkStart w:id="138" w:name="page139"/>
    <w:bookmarkEnd w:id="138"/>
    <w:p>
      <w:pPr>
        <w:spacing w:after="0" w:line="1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that the Company shall not be liable to the extent that any loss, claim, damage, liability (or action or proceeding in respect thereof) or expense arises out of or is based upon the use of any Prospectus after such time as the Company has advised the Electing Holder in writing that a post-effective amendment or supplement thereto is required, except such Prospectus as so amended or supplemented.</w:t>
      </w:r>
    </w:p>
    <w:p>
      <w:pPr>
        <w:spacing w:after="0" w:line="181" w:lineRule="exact"/>
        <w:rPr>
          <w:sz w:val="20"/>
          <w:szCs w:val="20"/>
          <w:color w:val="auto"/>
        </w:rPr>
      </w:pPr>
    </w:p>
    <w:p>
      <w:pPr>
        <w:ind w:firstLine="656"/>
        <w:spacing w:after="0" w:line="286" w:lineRule="auto"/>
        <w:tabs>
          <w:tab w:leader="none" w:pos="1304" w:val="left"/>
        </w:tabs>
        <w:numPr>
          <w:ilvl w:val="0"/>
          <w:numId w:val="427"/>
        </w:numPr>
        <w:rPr>
          <w:rFonts w:ascii="Arial" w:cs="Arial" w:eastAsia="Arial" w:hAnsi="Arial"/>
          <w:sz w:val="16"/>
          <w:szCs w:val="16"/>
          <w:color w:val="auto"/>
        </w:rPr>
      </w:pPr>
      <w:r>
        <w:rPr>
          <w:rFonts w:ascii="Arial" w:cs="Arial" w:eastAsia="Arial" w:hAnsi="Arial"/>
          <w:sz w:val="16"/>
          <w:szCs w:val="16"/>
          <w:color w:val="auto"/>
        </w:rPr>
        <w:t xml:space="preserve">Each Electing Holder agrees, as a consequence of the inclusion of any of such Holder’s Applicable Securities in such Registration Statement, and shall cause each underwriter, selling agent or other securities professional, if any, which facilitates the disposition of Applicable Securities to agree, as a consequence of facilitating such disposition of Applicable Securities, severally and not jointly, to indemnify and hold harmless the Company, its directors and officers and each person, if any, who controls the Company within the meaning of either Section 15 of the Securities Act or Section 20 of the Exchange Act, against any losses, claims, damages or liabilities to which the Company or such other persons may become subject, under the Securities Act or otherwise, insofar as such losses, claims, damages or liabilities (or actions in respect thereof) arise out of or are based upon an untrue statement or alleged untrue statement of a material fact contained in such Registration Statement or Prospectus, or any amendment or supplement,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Holder, underwriter, selling agent or other securities professional, as applicable,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herein to the contrary the maximum aggregate amount that any Electing Holder shall be required to pay pursuant to this Section 5.5 in respect of any Registration shall be the net proceeds received or to be received by such Electing Holder from sales of Registrable Securities pursuant to such Registration.</w:t>
      </w:r>
    </w:p>
    <w:p>
      <w:pPr>
        <w:spacing w:after="0" w:line="174" w:lineRule="exact"/>
        <w:rPr>
          <w:rFonts w:ascii="Arial" w:cs="Arial" w:eastAsia="Arial" w:hAnsi="Arial"/>
          <w:sz w:val="16"/>
          <w:szCs w:val="16"/>
          <w:color w:val="auto"/>
        </w:rPr>
      </w:pPr>
    </w:p>
    <w:p>
      <w:pPr>
        <w:ind w:right="220" w:firstLine="656"/>
        <w:spacing w:after="0" w:line="279" w:lineRule="auto"/>
        <w:tabs>
          <w:tab w:leader="none" w:pos="1307" w:val="left"/>
        </w:tabs>
        <w:numPr>
          <w:ilvl w:val="0"/>
          <w:numId w:val="427"/>
        </w:numPr>
        <w:rPr>
          <w:rFonts w:ascii="Arial" w:cs="Arial" w:eastAsia="Arial" w:hAnsi="Arial"/>
          <w:sz w:val="17"/>
          <w:szCs w:val="17"/>
          <w:color w:val="auto"/>
        </w:rPr>
      </w:pPr>
      <w:r>
        <w:rPr>
          <w:rFonts w:ascii="Arial" w:cs="Arial" w:eastAsia="Arial" w:hAnsi="Arial"/>
          <w:sz w:val="17"/>
          <w:szCs w:val="17"/>
          <w:color w:val="auto"/>
        </w:rPr>
        <w:t>Promptly after receipt by any Person entitled to indemnity under Section 5.5(a) or (b) hereof (an “</w:t>
      </w:r>
      <w:r>
        <w:rPr>
          <w:rFonts w:ascii="Arial" w:cs="Arial" w:eastAsia="Arial" w:hAnsi="Arial"/>
          <w:sz w:val="17"/>
          <w:szCs w:val="17"/>
          <w:u w:val="single" w:color="auto"/>
          <w:color w:val="auto"/>
        </w:rPr>
        <w:t>Indemnitee</w:t>
      </w:r>
      <w:r>
        <w:rPr>
          <w:rFonts w:ascii="Arial" w:cs="Arial" w:eastAsia="Arial" w:hAnsi="Arial"/>
          <w:sz w:val="17"/>
          <w:szCs w:val="17"/>
          <w:color w:val="auto"/>
        </w:rPr>
        <w:t>”) of any notice of the commencement of any action or claim, such Indemnitee shall, if a claim in respect thereof is to be made against any other person under this Section 5.5 (an “</w:t>
      </w:r>
      <w:r>
        <w:rPr>
          <w:rFonts w:ascii="Arial" w:cs="Arial" w:eastAsia="Arial" w:hAnsi="Arial"/>
          <w:sz w:val="17"/>
          <w:szCs w:val="17"/>
          <w:u w:val="single" w:color="auto"/>
          <w:color w:val="auto"/>
        </w:rPr>
        <w:t>Indemnitor</w:t>
      </w:r>
      <w:r>
        <w:rPr>
          <w:rFonts w:ascii="Arial" w:cs="Arial" w:eastAsia="Arial" w:hAnsi="Arial"/>
          <w:sz w:val="17"/>
          <w:szCs w:val="17"/>
          <w:color w:val="auto"/>
        </w:rPr>
        <w:t>”), notify such Indemnitor in writing of the commencement thereof, but the omission so to notify the Indemnitor shall not relieve it from any liability which it may have to any Indemnitee except to the extent the Indemnitor is actually prejudiced thereby. In case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any such action shall be brought against any Indemnitee and it shall notify an Indemnitor of the commencement thereof, such Indemnitor shall be entitled to participate therein and, to the extent that it shall wish, jointly with any other Indemnitor similarly notified, to assume the defense thereof with counsel reasonably satisfactory to such Indemnitee (which shall not be counsel to the Indemnitor without the consent of the Indemnitee, such consent not to be unreasonably withheld, conditioned or delayed). After notice from the Indemnitor to such Indemnitee of its election so to assume the defense thereof, such Indemnitor shall not be liable to such Indemnitee under this Section 5.5 or otherwise for any legal expenses of other counsel or any other expenses, in each case subsequently incurred by such Indemnitee, in connection with the defense thereof (other than reasonable costs of investigation) unless the Indemnitee shall have been advised by counsel that representation of the Indemnitee by counsel provided by the Indemnitor would be inappropriate due to actual or potential conflicting interests between the Indemnitee and the Indemnitor, including situations in which there are one or more legal defenses available to the Indemnitee that are different from or additional to those available to Indemnitor;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Indemnitor shall not, in connection with any one such action or separate but substantially similar actions arising out of the same general allegations, be liable for the fees and expenses of more than one separate counsel at any time for all Indemnitees, except to the extent that local counsel, in addition to their regular counsel, is required in order to effectively defend against such action. No Indemnitor shall, without the written consent of the Indemnitee, effect the settlement or compromise of, or consent to the entry of any judgment with respect to, any pending or threatened action or claim in respect of which indemnification or contribution may be sought hereunder (whether or not the Indemnitee is an actual or potential party to such action or claim) unless such settlement, compromise or judgment (i) includes an unconditional release of the Indemnitee from all liability arising out of such action or claim and (ii) does not include a statement as to, or an admission of, fault, culpability or a failure to act, by or on behalf of any Indemnitee. No indemnification shall be available in respect of any settlement of any action or claim effected by an Indemnitee without the prior written consent of the Indemnitor, which consent shall not be unreasonably withheld, conditioned or delayed.</w:t>
      </w:r>
    </w:p>
    <w:p>
      <w:pPr>
        <w:spacing w:after="0" w:line="191" w:lineRule="exact"/>
        <w:rPr>
          <w:sz w:val="20"/>
          <w:szCs w:val="20"/>
          <w:color w:val="auto"/>
        </w:rPr>
      </w:pPr>
    </w:p>
    <w:p>
      <w:pPr>
        <w:ind w:left="660" w:hanging="4"/>
        <w:spacing w:after="0" w:line="287" w:lineRule="auto"/>
        <w:tabs>
          <w:tab w:leader="none" w:pos="1316" w:val="left"/>
        </w:tabs>
        <w:numPr>
          <w:ilvl w:val="0"/>
          <w:numId w:val="42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5.5 is unavailable or insufficient to hold harmless an Indemnitee under Section 5.5(a) or Section 5.5(b) hereof in respect of any losses, claims, damages or liabilities (or actions in respect thereof) referred to therein, then each Indemnitor shall contribute to the amount paid or payable by such Indemnitee as a result of such losses, claims, damages or liabilities (or actions in respect thereof) in such proportion as is appropriate to reflect the relative fault of the Indemnitor and the Indemnitee in connection with the statements or omissions which resulted in such losses, claims, damages or liabilities (or actions in respect thereof), as well as any other relevant equitable considerations. The relative fault of such Indemnitor and Indemnitee shall be determined by reference to, among other things, whether the untrue or alleged untrue statement of a material fact or omission or alleged omission to state a material fact relates to information supplied by such Indemnitor or by such Indemnitee, and the parties’ relative intent, knowledge, access to information and opportunity to correct or prevent such statement or omission. The parties hereto agree that it would not be just and equitable if contribution pursuant to this Section 5.5(d) were determined solely by pro rata allocation (even if the Electing Holders or any underwriters, selling agents or other securities professionals or all of them were treated as one entity for such purpose) or by any other method of allocation which does not take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account of the considerations referred to in this Section 5.5(d). The amount paid or payable by an Indemnitee as a result of the losses, claims, damages or liabilities (or actions in respect thereof) referred to above shall be deemed to include any legal or other fees or expenses reasonably incurred by such Indemnitee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 The obligations of the Electing Holders and any underwriters, selling agents or other securities professionals in this Section 5.5(d) to contribute shall be several in proportion to the percentage of Applicable Securities registered or underwritten, as the case may be, by them and not joint.</w:t>
      </w:r>
    </w:p>
    <w:p>
      <w:pPr>
        <w:spacing w:after="0" w:line="189" w:lineRule="exact"/>
        <w:rPr>
          <w:sz w:val="20"/>
          <w:szCs w:val="20"/>
          <w:color w:val="auto"/>
        </w:rPr>
      </w:pPr>
    </w:p>
    <w:p>
      <w:pPr>
        <w:ind w:left="1080" w:hanging="181"/>
        <w:spacing w:after="0"/>
        <w:tabs>
          <w:tab w:leader="none" w:pos="1080"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ind w:left="1060" w:hanging="171"/>
        <w:spacing w:after="0"/>
        <w:tabs>
          <w:tab w:leader="none" w:pos="1060"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889"/>
        <w:spacing w:after="0" w:line="342" w:lineRule="auto"/>
        <w:tabs>
          <w:tab w:leader="none" w:pos="1061" w:val="left"/>
        </w:tabs>
        <w:numPr>
          <w:ilvl w:val="0"/>
          <w:numId w:val="429"/>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party hereto acknowledges that it will be impossible to measure in money the damages to the other parties if a party hereto fails to comply with any of the obligations imposed by this Agreement, that every such obligation is material and that, in the event of any such</w:t>
      </w:r>
    </w:p>
    <w:p>
      <w:pPr>
        <w:sectPr>
          <w:pgSz w:w="11900" w:h="16975" w:orient="portrait"/>
          <w:cols w:equalWidth="0" w:num="1">
            <w:col w:w="11400"/>
          </w:cols>
          <w:pgMar w:left="240" w:top="125" w:right="259" w:bottom="0" w:gutter="0" w:footer="0" w:header="0"/>
        </w:sectPr>
      </w:pPr>
    </w:p>
    <w:bookmarkStart w:id="139" w:name="page140"/>
    <w:bookmarkEnd w:id="139"/>
    <w:p>
      <w:pPr>
        <w:spacing w:after="0" w:line="5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failure, the other parties will not have an adequate remedy at law or in damages. Accordingly, each party hereto agrees that injunctive relief or any other equitable remedy, in addition to remedies at law or in damages, is the appropriate remedy for any such failure and will not oppose the granting of such relief on the basis that the other party has an adequate remedy at law or in damages. Each party hereto agrees that it will not seek, and agrees to waive any requirement for, the securing or posting of a bond in connection with any other party’s seeking or obtaining such equitable relief.</w:t>
      </w:r>
    </w:p>
    <w:p>
      <w:pPr>
        <w:spacing w:after="0" w:line="171" w:lineRule="exact"/>
        <w:rPr>
          <w:sz w:val="20"/>
          <w:szCs w:val="20"/>
          <w:color w:val="auto"/>
        </w:rPr>
      </w:pPr>
    </w:p>
    <w:p>
      <w:pPr>
        <w:ind w:right="100" w:firstLine="889"/>
        <w:spacing w:after="0" w:line="291" w:lineRule="auto"/>
        <w:tabs>
          <w:tab w:leader="none" w:pos="1061" w:val="left"/>
        </w:tabs>
        <w:numPr>
          <w:ilvl w:val="0"/>
          <w:numId w:val="430"/>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inure to the benefit of, and be enforceable by the parties hereto and their respective successors, assigns, heirs and devises, as applicable; and nothing in this Agreement, express or implied, is intended to confer upon any other Person any rights or remedies of any nature whatsoever under or by reason of this Agreement. This Agreement shall not be assignable without the written consent of the other party hereto, except that Vivendi may assign, in its sole discretion, all or any of its rights, interests and obligations hereunder (other than under Section 3) to any of its Controlled Affiliates and its rights and obligations under Section 5 to any Holder in connection with the transfer to such Holder of Registrable Securities; provided that such Controlled Affiliates or other Holders, as the case may be, execute a counterpart to this Agreement concurrent with such assignment and, provided, further, that Vivendi shall be responsible if any its Controlled Affiliates do not fulfill their obligations hereunder.</w:t>
      </w:r>
    </w:p>
    <w:p>
      <w:pPr>
        <w:spacing w:after="0" w:line="167" w:lineRule="exact"/>
        <w:rPr>
          <w:rFonts w:ascii="Arial" w:cs="Arial" w:eastAsia="Arial" w:hAnsi="Arial"/>
          <w:sz w:val="16"/>
          <w:szCs w:val="16"/>
          <w:color w:val="auto"/>
        </w:rPr>
      </w:pPr>
    </w:p>
    <w:p>
      <w:pPr>
        <w:ind w:right="300" w:firstLine="889"/>
        <w:spacing w:after="0" w:line="257" w:lineRule="auto"/>
        <w:tabs>
          <w:tab w:leader="none" w:pos="1151"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will terminate automatically, without any action on the part of any party hereto, upon the occurrence of a Termination Event; provided, however, that the following provisions shall survive the termination of this Agreement in accordance with their terms: Section 3, Section 4, Section 5 (solely to the extent applicable to the Market Offering Registration Statements and with respect to Section 5.5), Section 12, Section 13, Section 14 and Section 18. The Company acknowledges and agrees that (i) as of the date hereof, after giving effect to the transactions contemplated by the Purchase Agreement, the Company’s insider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trading policy does not apply to Vivendi and its Controlled Affiliates and (ii) the Company will not amend its insider trading policy to increase the scope of its applicability to Vivendi and its Controlled Affiliates.</w:t>
      </w:r>
    </w:p>
    <w:p>
      <w:pPr>
        <w:spacing w:after="0" w:line="170" w:lineRule="exact"/>
        <w:rPr>
          <w:sz w:val="20"/>
          <w:szCs w:val="20"/>
          <w:color w:val="auto"/>
        </w:rPr>
      </w:pPr>
    </w:p>
    <w:p>
      <w:pPr>
        <w:ind w:right="420" w:firstLine="889"/>
        <w:spacing w:after="0" w:line="342" w:lineRule="auto"/>
        <w:tabs>
          <w:tab w:leader="none" w:pos="1145" w:val="left"/>
        </w:tabs>
        <w:numPr>
          <w:ilvl w:val="0"/>
          <w:numId w:val="43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documents and the instruments referred to herein) constitutes the entire agreement and supersedes all prior agreements and understandings, both written and oral, between the parties with respect to the subject matter hereof.</w:t>
      </w:r>
    </w:p>
    <w:p>
      <w:pPr>
        <w:spacing w:after="0" w:line="123" w:lineRule="exact"/>
        <w:rPr>
          <w:rFonts w:ascii="Arial" w:cs="Arial" w:eastAsia="Arial" w:hAnsi="Arial"/>
          <w:sz w:val="16"/>
          <w:szCs w:val="16"/>
          <w:color w:val="auto"/>
        </w:rPr>
      </w:pPr>
    </w:p>
    <w:p>
      <w:pPr>
        <w:ind w:right="140" w:firstLine="889"/>
        <w:spacing w:after="0" w:line="277" w:lineRule="auto"/>
        <w:tabs>
          <w:tab w:leader="none" w:pos="1151"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Delaware, without regard to the conflicts of laws provisions thereof.</w:t>
      </w:r>
    </w:p>
    <w:p>
      <w:pPr>
        <w:spacing w:after="0" w:line="170" w:lineRule="exact"/>
        <w:rPr>
          <w:rFonts w:ascii="Arial" w:cs="Arial" w:eastAsia="Arial" w:hAnsi="Arial"/>
          <w:sz w:val="18"/>
          <w:szCs w:val="18"/>
          <w:color w:val="auto"/>
        </w:rPr>
      </w:pPr>
    </w:p>
    <w:p>
      <w:pPr>
        <w:ind w:right="40" w:firstLine="889"/>
        <w:spacing w:after="0" w:line="286" w:lineRule="auto"/>
        <w:tabs>
          <w:tab w:leader="none" w:pos="1151" w:val="left"/>
        </w:tabs>
        <w:numPr>
          <w:ilvl w:val="0"/>
          <w:numId w:val="431"/>
        </w:numPr>
        <w:rPr>
          <w:rFonts w:ascii="Arial" w:cs="Arial" w:eastAsia="Arial" w:hAnsi="Arial"/>
          <w:sz w:val="16"/>
          <w:szCs w:val="16"/>
          <w:color w:val="auto"/>
        </w:rPr>
      </w:pPr>
      <w:r>
        <w:rPr>
          <w:rFonts w:ascii="Arial" w:cs="Arial" w:eastAsia="Arial" w:hAnsi="Arial"/>
          <w:sz w:val="16"/>
          <w:szCs w:val="16"/>
          <w:u w:val="single" w:color="auto"/>
          <w:color w:val="auto"/>
        </w:rPr>
        <w:t>Jurisdiction; Waiver of Venue</w:t>
      </w:r>
      <w:r>
        <w:rPr>
          <w:rFonts w:ascii="Arial" w:cs="Arial" w:eastAsia="Arial" w:hAnsi="Arial"/>
          <w:sz w:val="16"/>
          <w:szCs w:val="16"/>
          <w:color w:val="auto"/>
        </w:rPr>
        <w:t>. Each of the parties hereto, including its successors and permitted assigns, irrevocably agrees that any legal action or proceeding arising out of or related to this Agreement or for recognition and enforcement of any judgment in respect hereof brought by any other party hereto or its successors or assigns may be brought and determined in the Court of Chancery in and for New Castle County in the State of Delaware (or, if such court lacks jurisdiction, any appropriate state or federal court in New Castle County in the State of Delaware), and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(and agrees not to commence any action, suit or proceeding relating thereto except in such courts). Each of the parties agrees further to accept service of process in any manner permitted by such courts. Each of the parties hereby irrevocably and unconditionally waives, and agrees not to assert, by way of motion or as a defense, counterclaim or otherwise, in any action or proceeding arising out of or related to this Agreement or the transactions contemplated hereby, (i) any claim that it is not personally subject to the jurisdiction of the above-named courts for any reason other than the failure lawfully to serve process, (ii) that it or its property is exempt or immune from jurisdiction of any such court or from any legal process commenced in such courts (whether through service of notice, attachment prior to judgment, attachment in aid of execution of judgment, execution of judgment or otherwise), (iii) to the fullest extent permitted by law, that (A) the suit, action or proceeding in any such court is brought in an inconvenient forum, (B) the venue of such suit, action or proceeding is improper or (C) this Agreement, or the subject matter hereof, may not be enforced in or by such courts and (iv) any right to a trial by jury.</w:t>
      </w:r>
    </w:p>
    <w:p>
      <w:pPr>
        <w:spacing w:after="0" w:line="171" w:lineRule="exact"/>
        <w:rPr>
          <w:rFonts w:ascii="Arial" w:cs="Arial" w:eastAsia="Arial" w:hAnsi="Arial"/>
          <w:sz w:val="16"/>
          <w:szCs w:val="16"/>
          <w:color w:val="auto"/>
        </w:rPr>
      </w:pPr>
    </w:p>
    <w:p>
      <w:pPr>
        <w:jc w:val="both"/>
        <w:ind w:right="80" w:firstLine="889"/>
        <w:spacing w:after="0" w:line="264" w:lineRule="auto"/>
        <w:tabs>
          <w:tab w:leader="none" w:pos="1151"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or made by a party hereto only upon receipt by the receiving party at the following addresses (if mailed) or the following telecopy numbers (if delivered by facsimile), or at such other address or telecopy number for a party as shall be specified by like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18"/>
        <w:spacing w:after="0"/>
        <w:tabs>
          <w:tab w:leader="none" w:pos="13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if to Vivendi or VHI LLC, to</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Vivendi, S.A.</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42 avenue de Friedland</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Arial" w:cs="Arial" w:eastAsia="Arial" w:hAnsi="Arial"/>
                <w:sz w:val="18"/>
                <w:szCs w:val="18"/>
                <w:color w:val="auto"/>
                <w:w w:val="88"/>
              </w:rPr>
              <w:t>75008 Paris, France</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1500" w:type="dxa"/>
            <w:vAlign w:val="bottom"/>
            <w:gridSpan w:val="2"/>
          </w:tcPr>
          <w:p>
            <w:pPr>
              <w:ind w:left="220"/>
              <w:spacing w:after="0"/>
              <w:rPr>
                <w:sz w:val="20"/>
                <w:szCs w:val="20"/>
                <w:color w:val="auto"/>
              </w:rPr>
            </w:pPr>
            <w:r>
              <w:rPr>
                <w:rFonts w:ascii="Arial" w:cs="Arial" w:eastAsia="Arial" w:hAnsi="Arial"/>
                <w:sz w:val="18"/>
                <w:szCs w:val="18"/>
                <w:color w:val="auto"/>
              </w:rPr>
              <w:t>Frédéric Crépin</w:t>
            </w:r>
          </w:p>
        </w:tc>
        <w:tc>
          <w:tcPr>
            <w:tcW w:w="9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color w:val="auto"/>
                <w:w w:val="98"/>
              </w:rPr>
              <w:t>Philippe Capron</w:t>
            </w:r>
          </w:p>
        </w:tc>
        <w:tc>
          <w:tcPr>
            <w:tcW w:w="900" w:type="dxa"/>
            <w:vAlign w:val="bottom"/>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220"/>
              <w:spacing w:after="0"/>
              <w:rPr>
                <w:sz w:val="20"/>
                <w:szCs w:val="20"/>
                <w:color w:val="auto"/>
              </w:rPr>
            </w:pPr>
            <w:r>
              <w:rPr>
                <w:rFonts w:ascii="Arial" w:cs="Arial" w:eastAsia="Arial" w:hAnsi="Arial"/>
                <w:sz w:val="18"/>
                <w:szCs w:val="18"/>
                <w:color w:val="auto"/>
                <w:w w:val="91"/>
              </w:rPr>
              <w:t>+33</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1 71 71 3150</w:t>
            </w:r>
          </w:p>
        </w:tc>
        <w:tc>
          <w:tcPr>
            <w:tcW w:w="900" w:type="dxa"/>
            <w:vAlign w:val="bottom"/>
          </w:tcPr>
          <w:p>
            <w:pPr>
              <w:ind w:left="20"/>
              <w:spacing w:after="0"/>
              <w:rPr>
                <w:sz w:val="20"/>
                <w:szCs w:val="20"/>
                <w:color w:val="auto"/>
              </w:rPr>
            </w:pPr>
            <w:r>
              <w:rPr>
                <w:rFonts w:ascii="Arial" w:cs="Arial" w:eastAsia="Arial" w:hAnsi="Arial"/>
                <w:sz w:val="18"/>
                <w:szCs w:val="18"/>
                <w:color w:val="auto"/>
              </w:rPr>
              <w:t>(Crépin)</w:t>
            </w:r>
          </w:p>
        </w:tc>
      </w:tr>
      <w:tr>
        <w:trPr>
          <w:trHeight w:val="216"/>
        </w:trPr>
        <w:tc>
          <w:tcPr>
            <w:tcW w:w="940" w:type="dxa"/>
            <w:vAlign w:val="bottom"/>
          </w:tcPr>
          <w:p>
            <w:pPr>
              <w:spacing w:after="0"/>
              <w:rPr>
                <w:sz w:val="18"/>
                <w:szCs w:val="18"/>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w w:val="91"/>
              </w:rPr>
              <w:t>+33</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1 71 71 3166</w:t>
            </w:r>
          </w:p>
        </w:tc>
        <w:tc>
          <w:tcPr>
            <w:tcW w:w="900" w:type="dxa"/>
            <w:vAlign w:val="bottom"/>
          </w:tcPr>
          <w:p>
            <w:pPr>
              <w:ind w:left="20"/>
              <w:spacing w:after="0"/>
              <w:rPr>
                <w:sz w:val="20"/>
                <w:szCs w:val="20"/>
                <w:color w:val="auto"/>
              </w:rPr>
            </w:pPr>
            <w:r>
              <w:rPr>
                <w:rFonts w:ascii="Arial" w:cs="Arial" w:eastAsia="Arial" w:hAnsi="Arial"/>
                <w:sz w:val="18"/>
                <w:szCs w:val="18"/>
                <w:color w:val="auto"/>
              </w:rPr>
              <w:t>(Capron)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Email:</w:t>
            </w:r>
          </w:p>
        </w:tc>
        <w:tc>
          <w:tcPr>
            <w:tcW w:w="2400" w:type="dxa"/>
            <w:vAlign w:val="bottom"/>
            <w:gridSpan w:val="3"/>
          </w:tcPr>
          <w:p>
            <w:pPr>
              <w:ind w:left="220"/>
              <w:spacing w:after="0"/>
              <w:rPr>
                <w:sz w:val="20"/>
                <w:szCs w:val="20"/>
                <w:color w:val="auto"/>
              </w:rPr>
            </w:pPr>
            <w:r>
              <w:rPr>
                <w:rFonts w:ascii="Arial" w:cs="Arial" w:eastAsia="Arial" w:hAnsi="Arial"/>
                <w:sz w:val="18"/>
                <w:szCs w:val="18"/>
                <w:color w:val="auto"/>
                <w:w w:val="94"/>
              </w:rPr>
              <w:t>frederic.crepin@vivendi.com</w:t>
            </w:r>
          </w:p>
        </w:tc>
      </w:tr>
      <w:tr>
        <w:trPr>
          <w:trHeight w:val="230"/>
        </w:trPr>
        <w:tc>
          <w:tcPr>
            <w:tcW w:w="940" w:type="dxa"/>
            <w:vAlign w:val="bottom"/>
          </w:tcPr>
          <w:p>
            <w:pPr>
              <w:spacing w:after="0"/>
              <w:rPr>
                <w:sz w:val="20"/>
                <w:szCs w:val="20"/>
                <w:color w:val="auto"/>
              </w:rPr>
            </w:pPr>
          </w:p>
        </w:tc>
        <w:tc>
          <w:tcPr>
            <w:tcW w:w="2400" w:type="dxa"/>
            <w:vAlign w:val="bottom"/>
            <w:gridSpan w:val="3"/>
          </w:tcPr>
          <w:p>
            <w:pPr>
              <w:ind w:left="220"/>
              <w:spacing w:after="0"/>
              <w:rPr>
                <w:sz w:val="20"/>
                <w:szCs w:val="20"/>
                <w:color w:val="auto"/>
              </w:rPr>
            </w:pPr>
            <w:r>
              <w:rPr>
                <w:rFonts w:ascii="Arial" w:cs="Arial" w:eastAsia="Arial" w:hAnsi="Arial"/>
                <w:sz w:val="18"/>
                <w:szCs w:val="18"/>
                <w:color w:val="auto"/>
                <w:w w:val="91"/>
              </w:rPr>
              <w:t>philippe.capron@vivendi.com</w:t>
            </w:r>
          </w:p>
        </w:tc>
      </w:tr>
    </w:tbl>
    <w:p>
      <w:pPr>
        <w:spacing w:after="0" w:line="200" w:lineRule="exact"/>
        <w:rPr>
          <w:sz w:val="20"/>
          <w:szCs w:val="20"/>
          <w:color w:val="auto"/>
        </w:rPr>
      </w:pP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2029 Century Park East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Ruth Fisher</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Mark Lahive</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(310) 551-8741</w:t>
      </w:r>
    </w:p>
    <w:p>
      <w:pPr>
        <w:sectPr>
          <w:pgSz w:w="11900" w:h="16888" w:orient="portrait"/>
          <w:cols w:equalWidth="0" w:num="1">
            <w:col w:w="11420"/>
          </w:cols>
          <w:pgMar w:left="240" w:top="125" w:right="239" w:bottom="0" w:gutter="0" w:footer="0" w:header="0"/>
        </w:sectPr>
      </w:pPr>
    </w:p>
    <w:bookmarkStart w:id="140" w:name="page141"/>
    <w:bookmarkEnd w:id="140"/>
    <w:p>
      <w:pPr>
        <w:ind w:left="1180"/>
        <w:spacing w:after="0"/>
        <w:tabs>
          <w:tab w:leader="none" w:pos="23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Rfisher@gibsondunn.com</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Mlahive@gibsondunn.com</w:t>
      </w:r>
    </w:p>
    <w:p>
      <w:pPr>
        <w:spacing w:after="0" w:line="211" w:lineRule="exact"/>
        <w:rPr>
          <w:sz w:val="20"/>
          <w:szCs w:val="20"/>
          <w:color w:val="auto"/>
        </w:rPr>
      </w:pPr>
    </w:p>
    <w:p>
      <w:pPr>
        <w:ind w:left="1200" w:hanging="664"/>
        <w:spacing w:after="0"/>
        <w:tabs>
          <w:tab w:leader="none" w:pos="12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Activision Blizzard, Inc.</w:t>
      </w:r>
    </w:p>
    <w:p>
      <w:pPr>
        <w:spacing w:after="0" w:line="23" w:lineRule="exact"/>
        <w:rPr>
          <w:rFonts w:ascii="Arial" w:cs="Arial" w:eastAsia="Arial" w:hAnsi="Arial"/>
          <w:sz w:val="18"/>
          <w:szCs w:val="18"/>
          <w:color w:val="auto"/>
        </w:rPr>
      </w:pPr>
    </w:p>
    <w:p>
      <w:pPr>
        <w:ind w:left="1180" w:right="7680"/>
        <w:spacing w:after="0" w:line="250" w:lineRule="auto"/>
        <w:rPr>
          <w:rFonts w:ascii="Arial" w:cs="Arial" w:eastAsia="Arial" w:hAnsi="Arial"/>
          <w:sz w:val="18"/>
          <w:szCs w:val="18"/>
          <w:color w:val="auto"/>
        </w:rPr>
      </w:pPr>
      <w:r>
        <w:rPr>
          <w:rFonts w:ascii="Arial" w:cs="Arial" w:eastAsia="Arial" w:hAnsi="Arial"/>
          <w:sz w:val="18"/>
          <w:szCs w:val="18"/>
          <w:color w:val="auto"/>
        </w:rPr>
        <w:t>3100 Ocean Park Boulevard Santa Monica, California 90405 Attention: Chief Legal Officer Fax: (310) 255-2152</w:t>
      </w:r>
    </w:p>
    <w:p>
      <w:pPr>
        <w:spacing w:after="0" w:line="1"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chris.walther@activision.com</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18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Adam O. Emmerich</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DongJu Song</w:t>
      </w:r>
    </w:p>
    <w:p>
      <w:pPr>
        <w:spacing w:after="0" w:line="9" w:lineRule="exact"/>
        <w:rPr>
          <w:sz w:val="20"/>
          <w:szCs w:val="20"/>
          <w:color w:val="auto"/>
        </w:rPr>
      </w:pPr>
    </w:p>
    <w:p>
      <w:pPr>
        <w:ind w:left="1180"/>
        <w:spacing w:after="0"/>
        <w:tabs>
          <w:tab w:leader="none" w:pos="23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 403-2000</w:t>
      </w:r>
    </w:p>
    <w:p>
      <w:pPr>
        <w:spacing w:after="0" w:line="9" w:lineRule="exact"/>
        <w:rPr>
          <w:sz w:val="20"/>
          <w:szCs w:val="20"/>
          <w:color w:val="auto"/>
        </w:rPr>
      </w:pPr>
    </w:p>
    <w:p>
      <w:pPr>
        <w:ind w:left="1180"/>
        <w:spacing w:after="0"/>
        <w:tabs>
          <w:tab w:leader="none" w:pos="23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AOEmmerich@wlrk.com</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DSong@wlrk.com</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New York, New York 10036-6522</w:t>
      </w:r>
    </w:p>
    <w:p>
      <w:pPr>
        <w:spacing w:after="0" w:line="9" w:lineRule="exact"/>
        <w:rPr>
          <w:sz w:val="20"/>
          <w:szCs w:val="20"/>
          <w:color w:val="auto"/>
        </w:rPr>
      </w:pPr>
    </w:p>
    <w:p>
      <w:pPr>
        <w:ind w:left="118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Peter A. Atkins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Neil P. Stronski</w:t>
      </w:r>
    </w:p>
    <w:p>
      <w:pPr>
        <w:spacing w:after="0" w:line="9" w:lineRule="exact"/>
        <w:rPr>
          <w:sz w:val="20"/>
          <w:szCs w:val="20"/>
          <w:color w:val="auto"/>
        </w:rPr>
      </w:pPr>
    </w:p>
    <w:p>
      <w:pPr>
        <w:ind w:left="1180"/>
        <w:spacing w:after="0"/>
        <w:tabs>
          <w:tab w:leader="none" w:pos="23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 735-2000</w:t>
      </w:r>
    </w:p>
    <w:p>
      <w:pPr>
        <w:spacing w:after="0" w:line="9" w:lineRule="exact"/>
        <w:rPr>
          <w:sz w:val="20"/>
          <w:szCs w:val="20"/>
          <w:color w:val="auto"/>
        </w:rPr>
      </w:pPr>
    </w:p>
    <w:p>
      <w:pPr>
        <w:ind w:left="1180"/>
        <w:spacing w:after="0"/>
        <w:tabs>
          <w:tab w:leader="none" w:pos="23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peter.atkins@skadden.com</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neil.stronski@skadden.com</w:t>
      </w:r>
    </w:p>
    <w:p>
      <w:pPr>
        <w:spacing w:after="0" w:line="211" w:lineRule="exact"/>
        <w:rPr>
          <w:sz w:val="20"/>
          <w:szCs w:val="20"/>
          <w:color w:val="auto"/>
        </w:rPr>
      </w:pPr>
    </w:p>
    <w:p>
      <w:pPr>
        <w:jc w:val="both"/>
        <w:ind w:left="-120" w:right="20" w:firstLine="889"/>
        <w:spacing w:after="0" w:line="259" w:lineRule="auto"/>
        <w:tabs>
          <w:tab w:leader="none" w:pos="1031"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the invalidity or unenforceability of any term or provision of this Agreement shall not affect the validity or enforceability of the balance of this Agreement or of any other term hereof, which shall remain in full force and effect. If any of the provisions hereof are determined to be invalid or unenforceable, the parties shall negotiate in good faith to modify this Agreement so as to effect the original intent of the parties as closely as possible.</w:t>
      </w:r>
    </w:p>
    <w:p>
      <w:pPr>
        <w:spacing w:after="0" w:line="186" w:lineRule="exact"/>
        <w:rPr>
          <w:rFonts w:ascii="Arial" w:cs="Arial" w:eastAsia="Arial" w:hAnsi="Arial"/>
          <w:sz w:val="18"/>
          <w:szCs w:val="18"/>
          <w:color w:val="auto"/>
        </w:rPr>
      </w:pPr>
    </w:p>
    <w:p>
      <w:pPr>
        <w:ind w:left="-120" w:right="80" w:firstLine="889"/>
        <w:spacing w:after="0" w:line="257" w:lineRule="auto"/>
        <w:tabs>
          <w:tab w:leader="none" w:pos="1031"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parties hereto may, to the extent permitted by applicable Law, subject to Section 18 hereof, (a) waive any inaccuracies in the representations and warranties contained herein or in any document delivered pursuant hereto or (b) waive compliance with any of the agreements or conditions contained herein. Any agreement on the part of a party hereto to any such waiver shall be valid only if set forth in a written instrument signed on behalf of such party. The failure of any party to this Agreement to assert any of its rights under this Agreement or otherwise shall not constitute a waiver of those rights.</w:t>
      </w:r>
    </w:p>
    <w:p>
      <w:pPr>
        <w:spacing w:after="0" w:line="188" w:lineRule="exact"/>
        <w:rPr>
          <w:rFonts w:ascii="Arial" w:cs="Arial" w:eastAsia="Arial" w:hAnsi="Arial"/>
          <w:sz w:val="18"/>
          <w:szCs w:val="18"/>
          <w:color w:val="auto"/>
        </w:rPr>
      </w:pPr>
    </w:p>
    <w:p>
      <w:pPr>
        <w:ind w:left="-120" w:right="360" w:firstLine="889"/>
        <w:spacing w:after="0" w:line="277" w:lineRule="auto"/>
        <w:tabs>
          <w:tab w:leader="none" w:pos="1031"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supplement, modification or amendment of this Agreement will be binding unless made in a written instrument that is signed by all of the parties hereto and that specifically refers to this Agreement.</w:t>
      </w:r>
    </w:p>
    <w:p>
      <w:pPr>
        <w:spacing w:after="0" w:line="170" w:lineRule="exact"/>
        <w:rPr>
          <w:rFonts w:ascii="Arial" w:cs="Arial" w:eastAsia="Arial" w:hAnsi="Arial"/>
          <w:sz w:val="18"/>
          <w:szCs w:val="18"/>
          <w:color w:val="auto"/>
        </w:rPr>
      </w:pPr>
    </w:p>
    <w:p>
      <w:pPr>
        <w:ind w:left="-120" w:firstLine="889"/>
        <w:spacing w:after="0" w:line="279" w:lineRule="auto"/>
        <w:tabs>
          <w:tab w:leader="none" w:pos="1031"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Enforcement of Company Rights.</w:t>
      </w:r>
      <w:r>
        <w:rPr>
          <w:rFonts w:ascii="Arial" w:cs="Arial" w:eastAsia="Arial" w:hAnsi="Arial"/>
          <w:sz w:val="17"/>
          <w:szCs w:val="17"/>
          <w:color w:val="auto"/>
        </w:rPr>
        <w:t xml:space="preserve"> Each of the Parties hereto acknowledges and agrees that the Independent Directors of the Company shall have the sole and exclusive right to control (acting by a majority vote of such Independent Directors) (i) the granting of all approvals, consents or waivers by the Company hereunder, (ii) the giving of all notices by the Company hereunder, (iii) the approval (or disapproval) of the Company’s entry into any amendment or supplement to this Agreement, or (iv) the Company’s exercise of its rights and remedies hereunder vis-à-vis Vivendi.</w:t>
      </w:r>
    </w:p>
    <w:p>
      <w:pPr>
        <w:spacing w:after="0" w:line="171" w:lineRule="exact"/>
        <w:rPr>
          <w:rFonts w:ascii="Arial" w:cs="Arial" w:eastAsia="Arial" w:hAnsi="Arial"/>
          <w:sz w:val="17"/>
          <w:szCs w:val="17"/>
          <w:color w:val="auto"/>
        </w:rPr>
      </w:pPr>
    </w:p>
    <w:p>
      <w:pPr>
        <w:ind w:left="-120" w:right="100" w:firstLine="889"/>
        <w:spacing w:after="0" w:line="264" w:lineRule="auto"/>
        <w:tabs>
          <w:tab w:leader="none" w:pos="1031"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all of which shall be considered one and the same agreement and shall become effective when such counterparts have been signed by each of the parties and delivered to the other parties, it being understood that all parties need not sign the same counterpart.</w:t>
      </w:r>
    </w:p>
    <w:p>
      <w:pPr>
        <w:spacing w:after="0" w:line="181" w:lineRule="exact"/>
        <w:rPr>
          <w:rFonts w:ascii="Arial" w:cs="Arial" w:eastAsia="Arial" w:hAnsi="Arial"/>
          <w:sz w:val="18"/>
          <w:szCs w:val="18"/>
          <w:color w:val="auto"/>
        </w:rPr>
      </w:pPr>
    </w:p>
    <w:p>
      <w:pPr>
        <w:ind w:left="-120" w:right="140" w:firstLine="890"/>
        <w:spacing w:after="0" w:line="277" w:lineRule="auto"/>
        <w:tabs>
          <w:tab w:leader="none" w:pos="1032"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All Section headings contained in this Agreement are for reference purposes only and shall not affect in any way the meaning or interpretation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 written above.</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VIVENDI S.A.</w:t>
      </w:r>
    </w:p>
    <w:p>
      <w:pPr>
        <w:sectPr>
          <w:pgSz w:w="11900" w:h="16838" w:orient="portrait"/>
          <w:cols w:equalWidth="0" w:num="1">
            <w:col w:w="11180"/>
          </w:cols>
          <w:pgMar w:left="360" w:top="125" w:right="359" w:bottom="32" w:gutter="0" w:footer="0" w:header="0"/>
        </w:sectPr>
      </w:pPr>
    </w:p>
    <w:bookmarkStart w:id="141" w:name="page142"/>
    <w:bookmarkEnd w:id="141"/>
    <w:p>
      <w:pPr>
        <w:ind w:left="4520"/>
        <w:spacing w:after="0"/>
        <w:tabs>
          <w:tab w:leader="none" w:pos="5020" w:val="left"/>
        </w:tabs>
        <w:rPr>
          <w:sz w:val="20"/>
          <w:szCs w:val="20"/>
          <w:color w:val="auto"/>
        </w:rPr>
      </w:pPr>
      <w:r>
        <w:rPr>
          <w:rFonts w:ascii="Arial" w:cs="Arial" w:eastAsia="Arial" w:hAnsi="Arial"/>
          <w:sz w:val="18"/>
          <w:szCs w:val="18"/>
          <w:color w:val="auto"/>
        </w:rPr>
        <w:t>By:</w:t>
        <w:tab/>
        <w:t>/s/ Philippe Capron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Philippe Capron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-130810</wp:posOffset>
            </wp:positionV>
            <wp:extent cx="329311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Title: Chief Financial Officer and Member of the Management Board</w:t>
      </w:r>
    </w:p>
    <w:p>
      <w:pPr>
        <w:spacing w:after="0" w:line="23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Amended and Restated Investor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VIVENDI HOLDING I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George E. Bushnell III</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George E. Bushnell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-130810</wp:posOffset>
            </wp:positionV>
            <wp:extent cx="32848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President and Secretary</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Amended and Restated Investor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right="300"/>
        <w:spacing w:after="0" w:line="277" w:lineRule="auto"/>
        <w:rPr>
          <w:sz w:val="20"/>
          <w:szCs w:val="20"/>
          <w:color w:val="auto"/>
        </w:rPr>
      </w:pPr>
      <w:r>
        <w:rPr>
          <w:rFonts w:ascii="Arial" w:cs="Arial" w:eastAsia="Arial" w:hAnsi="Arial"/>
          <w:sz w:val="18"/>
          <w:szCs w:val="18"/>
          <w:color w:val="auto"/>
        </w:rPr>
        <w:t>ACTIVISION ENTERTAINMENT HOLDINGS, INC. (f/k/a VIVENDI GAMES, INC.)</w:t>
      </w:r>
    </w:p>
    <w:p>
      <w:pPr>
        <w:spacing w:after="0" w:line="387"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Dennis Durkin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-130810</wp:posOffset>
            </wp:positionV>
            <wp:extent cx="329311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Amended and Restated Investor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ACTIVISION BLIZZARD,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Dennis Durkin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-130810</wp:posOffset>
            </wp:positionV>
            <wp:extent cx="329311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Amended and Restated Investor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20"/>
          </w:cols>
          <w:pgMar w:left="1440" w:top="125" w:right="4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October 11,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ASAC II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for the limited purposes set forth in Section 3.01(c) and Section 3.07,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Robert A. Kotick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Brian G.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20" w:type="dxa"/>
            <w:vAlign w:val="bottom"/>
            <w:gridSpan w:val="17"/>
          </w:tcPr>
          <w:p>
            <w:pPr>
              <w:ind w:left="28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17"/>
                <w:szCs w:val="17"/>
                <w:color w:val="auto"/>
              </w:rPr>
            </w:pPr>
          </w:p>
        </w:tc>
      </w:tr>
      <w:tr>
        <w:trPr>
          <w:trHeight w:val="385"/>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385"/>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ARTICLE I</w:t>
            </w:r>
          </w:p>
        </w:tc>
        <w:tc>
          <w:tcPr>
            <w:tcW w:w="502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r>
      <w:tr>
        <w:trPr>
          <w:trHeight w:val="412"/>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00" w:type="dxa"/>
            <w:vAlign w:val="bottom"/>
            <w:gridSpan w:val="15"/>
          </w:tcPr>
          <w:p>
            <w:pPr>
              <w:jc w:val="center"/>
              <w:ind w:right="4780"/>
              <w:spacing w:after="0"/>
              <w:rPr>
                <w:sz w:val="20"/>
                <w:szCs w:val="20"/>
                <w:color w:val="auto"/>
              </w:rPr>
            </w:pPr>
            <w:r>
              <w:rPr>
                <w:rFonts w:ascii="Arial" w:cs="Arial" w:eastAsia="Arial" w:hAnsi="Arial"/>
                <w:sz w:val="18"/>
                <w:szCs w:val="18"/>
                <w:color w:val="auto"/>
                <w:w w:val="98"/>
              </w:rPr>
              <w:t>DEFINITIONS</w:t>
            </w:r>
          </w:p>
        </w:tc>
        <w:tc>
          <w:tcPr>
            <w:tcW w:w="520" w:type="dxa"/>
            <w:vAlign w:val="bottom"/>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w w:val="89"/>
              </w:rPr>
              <w:t>Section 1.01.</w:t>
            </w:r>
          </w:p>
        </w:tc>
        <w:tc>
          <w:tcPr>
            <w:tcW w:w="3940" w:type="dxa"/>
            <w:vAlign w:val="bottom"/>
            <w:gridSpan w:val="21"/>
          </w:tcPr>
          <w:p>
            <w:pPr>
              <w:ind w:left="700"/>
              <w:spacing w:after="0"/>
              <w:rPr>
                <w:sz w:val="20"/>
                <w:szCs w:val="20"/>
                <w:color w:val="auto"/>
              </w:rPr>
            </w:pPr>
            <w:r>
              <w:rPr>
                <w:rFonts w:ascii="Arial" w:cs="Arial" w:eastAsia="Arial" w:hAnsi="Arial"/>
                <w:sz w:val="18"/>
                <w:szCs w:val="18"/>
                <w:color w:val="auto"/>
              </w:rPr>
              <w:t>Definitions</w:t>
            </w:r>
          </w:p>
        </w:tc>
        <w:tc>
          <w:tcPr>
            <w:tcW w:w="1120" w:type="dxa"/>
            <w:vAlign w:val="bottom"/>
            <w:tcBorders>
              <w:top w:val="single" w:sz="8" w:color="auto"/>
            </w:tcBorders>
            <w:gridSpan w:val="8"/>
          </w:tcPr>
          <w:p>
            <w:pPr>
              <w:spacing w:after="0"/>
              <w:rPr>
                <w:sz w:val="24"/>
                <w:szCs w:val="24"/>
                <w:color w:val="auto"/>
              </w:rPr>
            </w:pPr>
          </w:p>
        </w:tc>
        <w:tc>
          <w:tcPr>
            <w:tcW w:w="488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9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gridSpan w:val="13"/>
          </w:tcPr>
          <w:p>
            <w:pPr>
              <w:jc w:val="center"/>
              <w:ind w:right="5000"/>
              <w:spacing w:after="0"/>
              <w:rPr>
                <w:sz w:val="20"/>
                <w:szCs w:val="20"/>
                <w:color w:val="auto"/>
              </w:rPr>
            </w:pPr>
            <w:r>
              <w:rPr>
                <w:rFonts w:ascii="Arial" w:cs="Arial" w:eastAsia="Arial" w:hAnsi="Arial"/>
                <w:sz w:val="18"/>
                <w:szCs w:val="18"/>
                <w:color w:val="auto"/>
                <w:w w:val="98"/>
              </w:rPr>
              <w:t>ARTICLE II</w:t>
            </w:r>
          </w:p>
        </w:tc>
        <w:tc>
          <w:tcPr>
            <w:tcW w:w="52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0" w:type="dxa"/>
            <w:vAlign w:val="bottom"/>
            <w:gridSpan w:val="19"/>
          </w:tcPr>
          <w:p>
            <w:pPr>
              <w:jc w:val="center"/>
              <w:ind w:right="3900"/>
              <w:spacing w:after="0"/>
              <w:rPr>
                <w:sz w:val="20"/>
                <w:szCs w:val="20"/>
                <w:color w:val="auto"/>
              </w:rPr>
            </w:pPr>
            <w:r>
              <w:rPr>
                <w:rFonts w:ascii="Arial" w:cs="Arial" w:eastAsia="Arial" w:hAnsi="Arial"/>
                <w:sz w:val="18"/>
                <w:szCs w:val="18"/>
                <w:color w:val="auto"/>
                <w:w w:val="95"/>
              </w:rPr>
              <w:t>REGISTRATION RIGHTS</w:t>
            </w:r>
          </w:p>
        </w:tc>
        <w:tc>
          <w:tcPr>
            <w:tcW w:w="520" w:type="dxa"/>
            <w:vAlign w:val="bottom"/>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w w:val="89"/>
              </w:rPr>
              <w:t>Section 2.01.</w:t>
            </w:r>
          </w:p>
        </w:tc>
        <w:tc>
          <w:tcPr>
            <w:tcW w:w="3500" w:type="dxa"/>
            <w:vAlign w:val="bottom"/>
            <w:gridSpan w:val="17"/>
          </w:tcPr>
          <w:p>
            <w:pPr>
              <w:ind w:left="700"/>
              <w:spacing w:after="0"/>
              <w:rPr>
                <w:sz w:val="20"/>
                <w:szCs w:val="20"/>
                <w:color w:val="auto"/>
              </w:rPr>
            </w:pPr>
            <w:r>
              <w:rPr>
                <w:rFonts w:ascii="Arial" w:cs="Arial" w:eastAsia="Arial" w:hAnsi="Arial"/>
                <w:sz w:val="18"/>
                <w:szCs w:val="18"/>
                <w:color w:val="auto"/>
              </w:rPr>
              <w:t>Registration</w:t>
            </w:r>
          </w:p>
        </w:tc>
        <w:tc>
          <w:tcPr>
            <w:tcW w:w="1980" w:type="dxa"/>
            <w:vAlign w:val="bottom"/>
            <w:tcBorders>
              <w:top w:val="single" w:sz="8" w:color="auto"/>
            </w:tcBorders>
            <w:gridSpan w:val="14"/>
          </w:tcPr>
          <w:p>
            <w:pPr>
              <w:spacing w:after="0"/>
              <w:rPr>
                <w:sz w:val="24"/>
                <w:szCs w:val="24"/>
                <w:color w:val="auto"/>
              </w:rPr>
            </w:pPr>
          </w:p>
        </w:tc>
        <w:tc>
          <w:tcPr>
            <w:tcW w:w="446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2.02.</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Piggyback Registration</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2.03.</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Reduction of Size of Underwritten Offering</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2.04.</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Registration Procedures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2.05.</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Conditions to Offerings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2.06.</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Suspension Period</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2.07.</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Registration Expenses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2.08.</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Indemnification; Contribution</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2.09.</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Rule 144</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2.10.</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Transfer of Registration Rights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412"/>
        </w:trPr>
        <w:tc>
          <w:tcPr>
            <w:tcW w:w="9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7"/>
              </w:rPr>
              <w:t>ARTICLE III</w:t>
            </w:r>
          </w:p>
        </w:tc>
        <w:tc>
          <w:tcPr>
            <w:tcW w:w="496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r>
      <w:tr>
        <w:trPr>
          <w:trHeight w:val="412"/>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tcBorders>
              <w:bottom w:val="single" w:sz="8" w:color="auto"/>
            </w:tcBorders>
            <w:gridSpan w:val="26"/>
          </w:tcPr>
          <w:p>
            <w:pPr>
              <w:jc w:val="center"/>
              <w:spacing w:after="0"/>
              <w:rPr>
                <w:sz w:val="20"/>
                <w:szCs w:val="20"/>
                <w:color w:val="auto"/>
              </w:rPr>
            </w:pPr>
            <w:r>
              <w:rPr>
                <w:rFonts w:ascii="Arial" w:cs="Arial" w:eastAsia="Arial" w:hAnsi="Arial"/>
                <w:sz w:val="18"/>
                <w:szCs w:val="18"/>
                <w:color w:val="auto"/>
                <w:w w:val="96"/>
              </w:rPr>
              <w:t>STANDSTILL; LOCK-UP; VOTING; CERTAIN OTHER MATTERS</w:t>
            </w:r>
          </w:p>
        </w:tc>
        <w:tc>
          <w:tcPr>
            <w:tcW w:w="2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w w:val="89"/>
              </w:rPr>
              <w:t>Section 3.01.</w:t>
            </w:r>
          </w:p>
        </w:tc>
        <w:tc>
          <w:tcPr>
            <w:tcW w:w="9940" w:type="dxa"/>
            <w:vAlign w:val="bottom"/>
            <w:gridSpan w:val="35"/>
          </w:tcPr>
          <w:p>
            <w:pPr>
              <w:ind w:left="700"/>
              <w:spacing w:after="0"/>
              <w:rPr>
                <w:sz w:val="20"/>
                <w:szCs w:val="20"/>
                <w:color w:val="auto"/>
              </w:rPr>
            </w:pPr>
            <w:r>
              <w:rPr>
                <w:rFonts w:ascii="Arial" w:cs="Arial" w:eastAsia="Arial" w:hAnsi="Arial"/>
                <w:sz w:val="18"/>
                <w:szCs w:val="18"/>
                <w:color w:val="auto"/>
              </w:rPr>
              <w:t>Standstill</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3.02.</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Lock-Up</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3.03.</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Transfer Restrictions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3.04.</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Distributions to Investors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3.05.</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Transfer Agent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3.06.</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Legends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3.07.</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Voting</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412"/>
        </w:trPr>
        <w:tc>
          <w:tcPr>
            <w:tcW w:w="9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gridSpan w:val="13"/>
          </w:tcPr>
          <w:p>
            <w:pPr>
              <w:jc w:val="center"/>
              <w:ind w:right="4960"/>
              <w:spacing w:after="0"/>
              <w:rPr>
                <w:sz w:val="20"/>
                <w:szCs w:val="20"/>
                <w:color w:val="auto"/>
              </w:rPr>
            </w:pPr>
            <w:r>
              <w:rPr>
                <w:rFonts w:ascii="Arial" w:cs="Arial" w:eastAsia="Arial" w:hAnsi="Arial"/>
                <w:sz w:val="18"/>
                <w:szCs w:val="18"/>
                <w:color w:val="auto"/>
                <w:w w:val="95"/>
              </w:rPr>
              <w:t>ARTICLE IV</w:t>
            </w:r>
          </w:p>
        </w:tc>
        <w:tc>
          <w:tcPr>
            <w:tcW w:w="52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tcBorders>
              <w:right w:val="single" w:sz="8" w:color="auto"/>
            </w:tcBorders>
            <w:gridSpan w:val="4"/>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60" w:type="dxa"/>
            <w:vAlign w:val="bottom"/>
            <w:gridSpan w:val="20"/>
          </w:tcPr>
          <w:p>
            <w:pPr>
              <w:jc w:val="center"/>
              <w:ind w:right="3820"/>
              <w:spacing w:after="0" w:line="196" w:lineRule="exact"/>
              <w:rPr>
                <w:sz w:val="20"/>
                <w:szCs w:val="20"/>
                <w:color w:val="auto"/>
              </w:rPr>
            </w:pPr>
            <w:r>
              <w:rPr>
                <w:rFonts w:ascii="Arial" w:cs="Arial" w:eastAsia="Arial" w:hAnsi="Arial"/>
                <w:sz w:val="18"/>
                <w:szCs w:val="18"/>
                <w:color w:val="auto"/>
                <w:w w:val="93"/>
              </w:rPr>
              <w:t>REPRESENTATIONS AND WARRANTIES</w:t>
            </w:r>
          </w:p>
        </w:tc>
        <w:tc>
          <w:tcPr>
            <w:tcW w:w="5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1300" w:type="dxa"/>
            <w:vAlign w:val="bottom"/>
            <w:tcBorders>
              <w:right w:val="single" w:sz="8" w:color="auto"/>
            </w:tcBorders>
            <w:gridSpan w:val="9"/>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w w:val="89"/>
              </w:rPr>
              <w:t>Section 4.01.</w:t>
            </w:r>
          </w:p>
        </w:tc>
        <w:tc>
          <w:tcPr>
            <w:tcW w:w="9940" w:type="dxa"/>
            <w:vAlign w:val="bottom"/>
            <w:gridSpan w:val="35"/>
          </w:tcPr>
          <w:p>
            <w:pPr>
              <w:ind w:left="700"/>
              <w:spacing w:after="0"/>
              <w:rPr>
                <w:sz w:val="20"/>
                <w:szCs w:val="20"/>
                <w:color w:val="auto"/>
              </w:rPr>
            </w:pPr>
            <w:r>
              <w:rPr>
                <w:rFonts w:ascii="Arial" w:cs="Arial" w:eastAsia="Arial" w:hAnsi="Arial"/>
                <w:sz w:val="18"/>
                <w:szCs w:val="18"/>
                <w:color w:val="auto"/>
              </w:rPr>
              <w:t>Representations and Warranties of the 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gridSpan w:val="5"/>
            <w:shd w:val="clear" w:color="auto" w:fill="000000"/>
          </w:tcPr>
          <w:p>
            <w:pPr>
              <w:spacing w:after="0" w:line="20" w:lineRule="exact"/>
              <w:rPr>
                <w:sz w:val="1"/>
                <w:szCs w:val="1"/>
                <w:color w:val="auto"/>
              </w:rPr>
            </w:pPr>
          </w:p>
        </w:tc>
        <w:tc>
          <w:tcPr>
            <w:tcW w:w="1940" w:type="dxa"/>
            <w:vAlign w:val="bottom"/>
            <w:tcBorders>
              <w:left w:val="single" w:sz="8" w:color="auto"/>
            </w:tcBorders>
            <w:gridSpan w:val="12"/>
            <w:shd w:val="clear" w:color="auto" w:fill="000000"/>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w w:val="89"/>
              </w:rPr>
              <w:t>Section 4.02.</w:t>
            </w:r>
          </w:p>
        </w:tc>
        <w:tc>
          <w:tcPr>
            <w:tcW w:w="9940" w:type="dxa"/>
            <w:vAlign w:val="bottom"/>
            <w:gridSpan w:val="35"/>
          </w:tcPr>
          <w:p>
            <w:pPr>
              <w:ind w:left="700"/>
              <w:spacing w:after="0" w:line="196" w:lineRule="exact"/>
              <w:rPr>
                <w:sz w:val="20"/>
                <w:szCs w:val="20"/>
                <w:color w:val="auto"/>
              </w:rPr>
            </w:pPr>
            <w:r>
              <w:rPr>
                <w:rFonts w:ascii="Arial" w:cs="Arial" w:eastAsia="Arial" w:hAnsi="Arial"/>
                <w:sz w:val="18"/>
                <w:szCs w:val="18"/>
                <w:color w:val="auto"/>
              </w:rPr>
              <w:t>Representations and Warranties of Stockholder</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color w:val="auto"/>
                <w:w w:val="98"/>
              </w:rPr>
              <w:t>ARTICLE V</w:t>
            </w:r>
          </w:p>
        </w:tc>
        <w:tc>
          <w:tcPr>
            <w:tcW w:w="496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r>
      <w:tr>
        <w:trPr>
          <w:trHeight w:val="412"/>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40" w:type="dxa"/>
            <w:vAlign w:val="bottom"/>
            <w:gridSpan w:val="18"/>
          </w:tcPr>
          <w:p>
            <w:pPr>
              <w:jc w:val="center"/>
              <w:ind w:right="4460"/>
              <w:spacing w:after="0"/>
              <w:rPr>
                <w:sz w:val="20"/>
                <w:szCs w:val="20"/>
                <w:color w:val="auto"/>
              </w:rPr>
            </w:pPr>
            <w:r>
              <w:rPr>
                <w:rFonts w:ascii="Arial" w:cs="Arial" w:eastAsia="Arial" w:hAnsi="Arial"/>
                <w:sz w:val="18"/>
                <w:szCs w:val="18"/>
                <w:color w:val="auto"/>
                <w:w w:val="95"/>
              </w:rPr>
              <w:t>GENERAL PROVISIONS</w:t>
            </w:r>
          </w:p>
        </w:tc>
        <w:tc>
          <w:tcPr>
            <w:tcW w:w="520" w:type="dxa"/>
            <w:vAlign w:val="bottom"/>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w w:val="89"/>
              </w:rPr>
              <w:t>Section 5.01.</w:t>
            </w:r>
          </w:p>
        </w:tc>
        <w:tc>
          <w:tcPr>
            <w:tcW w:w="3520" w:type="dxa"/>
            <w:vAlign w:val="bottom"/>
            <w:gridSpan w:val="18"/>
          </w:tcPr>
          <w:p>
            <w:pPr>
              <w:ind w:left="700"/>
              <w:spacing w:after="0"/>
              <w:rPr>
                <w:sz w:val="20"/>
                <w:szCs w:val="20"/>
                <w:color w:val="auto"/>
              </w:rPr>
            </w:pPr>
            <w:r>
              <w:rPr>
                <w:rFonts w:ascii="Arial" w:cs="Arial" w:eastAsia="Arial" w:hAnsi="Arial"/>
                <w:sz w:val="18"/>
                <w:szCs w:val="18"/>
                <w:color w:val="auto"/>
              </w:rPr>
              <w:t>Adjustments</w:t>
            </w:r>
          </w:p>
        </w:tc>
        <w:tc>
          <w:tcPr>
            <w:tcW w:w="1940" w:type="dxa"/>
            <w:vAlign w:val="bottom"/>
            <w:tcBorders>
              <w:top w:val="single" w:sz="8" w:color="auto"/>
            </w:tcBorders>
            <w:gridSpan w:val="12"/>
          </w:tcPr>
          <w:p>
            <w:pPr>
              <w:spacing w:after="0"/>
              <w:rPr>
                <w:sz w:val="24"/>
                <w:szCs w:val="24"/>
                <w:color w:val="auto"/>
              </w:rPr>
            </w:pPr>
          </w:p>
        </w:tc>
        <w:tc>
          <w:tcPr>
            <w:tcW w:w="448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20" w:type="dxa"/>
            <w:vAlign w:val="bottom"/>
          </w:tcPr>
          <w:p>
            <w:pPr>
              <w:jc w:val="right"/>
              <w:ind w:right="5630"/>
              <w:spacing w:after="0"/>
              <w:rPr>
                <w:sz w:val="20"/>
                <w:szCs w:val="20"/>
                <w:color w:val="auto"/>
              </w:rPr>
            </w:pPr>
            <w:r>
              <w:rPr>
                <w:rFonts w:ascii="Arial" w:cs="Arial" w:eastAsia="Arial" w:hAnsi="Arial"/>
                <w:sz w:val="18"/>
                <w:szCs w:val="18"/>
                <w:color w:val="auto"/>
              </w:rPr>
              <w:t>i</w:t>
            </w:r>
          </w:p>
        </w:tc>
      </w:tr>
      <w:tr>
        <w:trPr>
          <w:trHeight w:val="132"/>
        </w:trPr>
        <w:tc>
          <w:tcPr>
            <w:tcW w:w="9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920" w:type="dxa"/>
            <w:vAlign w:val="bottom"/>
            <w:tcBorders>
              <w:bottom w:val="single" w:sz="8" w:color="010101"/>
            </w:tcBorders>
          </w:tcPr>
          <w:p>
            <w:pPr>
              <w:spacing w:after="0"/>
              <w:rPr>
                <w:sz w:val="11"/>
                <w:szCs w:val="11"/>
                <w:color w:val="auto"/>
              </w:rPr>
            </w:pPr>
          </w:p>
        </w:tc>
      </w:tr>
      <w:tr>
        <w:trPr>
          <w:trHeight w:val="740"/>
        </w:trPr>
        <w:tc>
          <w:tcPr>
            <w:tcW w:w="940" w:type="dxa"/>
            <w:vAlign w:val="bottom"/>
          </w:tcPr>
          <w:p>
            <w:pPr>
              <w:spacing w:after="0"/>
              <w:rPr>
                <w:sz w:val="20"/>
                <w:szCs w:val="20"/>
                <w:color w:val="auto"/>
              </w:rPr>
            </w:pPr>
            <w:r>
              <w:rPr>
                <w:rFonts w:ascii="Arial" w:cs="Arial" w:eastAsia="Arial" w:hAnsi="Arial"/>
                <w:sz w:val="18"/>
                <w:szCs w:val="18"/>
                <w:color w:val="auto"/>
                <w:w w:val="85"/>
              </w:rPr>
              <w:t>Section 5.02.</w:t>
            </w:r>
          </w:p>
        </w:tc>
        <w:tc>
          <w:tcPr>
            <w:tcW w:w="4600" w:type="dxa"/>
            <w:vAlign w:val="bottom"/>
            <w:gridSpan w:val="12"/>
          </w:tcPr>
          <w:p>
            <w:pPr>
              <w:ind w:left="720"/>
              <w:spacing w:after="0"/>
              <w:rPr>
                <w:sz w:val="20"/>
                <w:szCs w:val="20"/>
                <w:color w:val="auto"/>
              </w:rPr>
            </w:pPr>
            <w:r>
              <w:rPr>
                <w:rFonts w:ascii="Arial" w:cs="Arial" w:eastAsia="Arial" w:hAnsi="Arial"/>
                <w:sz w:val="18"/>
                <w:szCs w:val="18"/>
                <w:color w:val="auto"/>
              </w:rPr>
              <w:t>Notices</w:t>
            </w:r>
          </w:p>
        </w:tc>
        <w:tc>
          <w:tcPr>
            <w:tcW w:w="5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5.03.</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Expenses</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5.04.</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Amendments; Waivers</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5.05.</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Interpretation</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5.06.</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Construction</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5.07.</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Severability</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5.08.</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Counterparts</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5.09.</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w w:val="95"/>
              </w:rPr>
              <w:t>Entire Understanding; No Third-Party Beneficiaries</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5.10.</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Governing Law</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5.11.</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Assignment</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5.12.</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WAIVER OF JURY TRIAL</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80" w:type="dxa"/>
            <w:vAlign w:val="bottom"/>
            <w:tcBorders>
              <w:left w:val="single" w:sz="8" w:color="auto"/>
            </w:tcBorders>
            <w:gridSpan w:val="3"/>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5.13.</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Venue for Resolution of Disputes</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80" w:type="dxa"/>
            <w:vAlign w:val="bottom"/>
            <w:tcBorders>
              <w:left w:val="single" w:sz="8" w:color="auto"/>
            </w:tcBorders>
            <w:gridSpan w:val="3"/>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5.14.</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Specific Performance</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80" w:type="dxa"/>
            <w:vAlign w:val="bottom"/>
            <w:tcBorders>
              <w:left w:val="single" w:sz="8" w:color="auto"/>
            </w:tcBorders>
            <w:gridSpan w:val="3"/>
            <w:shd w:val="clear" w:color="auto" w:fill="000000"/>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85"/>
              </w:rPr>
              <w:t>Section 5.15.</w:t>
            </w:r>
          </w:p>
        </w:tc>
        <w:tc>
          <w:tcPr>
            <w:tcW w:w="4600" w:type="dxa"/>
            <w:vAlign w:val="bottom"/>
            <w:gridSpan w:val="12"/>
          </w:tcPr>
          <w:p>
            <w:pPr>
              <w:ind w:left="720"/>
              <w:spacing w:after="0" w:line="196" w:lineRule="exact"/>
              <w:rPr>
                <w:sz w:val="20"/>
                <w:szCs w:val="20"/>
                <w:color w:val="auto"/>
              </w:rPr>
            </w:pPr>
            <w:r>
              <w:rPr>
                <w:rFonts w:ascii="Arial" w:cs="Arial" w:eastAsia="Arial" w:hAnsi="Arial"/>
                <w:sz w:val="18"/>
                <w:szCs w:val="18"/>
                <w:color w:val="auto"/>
              </w:rPr>
              <w:t>Termination</w:t>
            </w:r>
          </w:p>
        </w:tc>
        <w:tc>
          <w:tcPr>
            <w:tcW w:w="59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9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-2291080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-2291080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b w:val="1"/>
          <w:bCs w:val="1"/>
          <w:color w:val="auto"/>
        </w:rPr>
        <w:t>STOCKHOLDERS AGREEMENT</w:t>
      </w:r>
      <w:r>
        <w:rPr>
          <w:rFonts w:ascii="Arial" w:cs="Arial" w:eastAsia="Arial" w:hAnsi="Arial"/>
          <w:sz w:val="18"/>
          <w:szCs w:val="18"/>
          <w:color w:val="auto"/>
        </w:rPr>
        <w:t>, dated as of October 11, 2013 (this “</w:t>
      </w:r>
      <w:r>
        <w:rPr>
          <w:rFonts w:ascii="Arial" w:cs="Arial" w:eastAsia="Arial" w:hAnsi="Arial"/>
          <w:sz w:val="18"/>
          <w:szCs w:val="18"/>
          <w:i w:val="1"/>
          <w:iCs w:val="1"/>
          <w:u w:val="single" w:color="auto"/>
          <w:color w:val="auto"/>
        </w:rPr>
        <w:t>Agreement</w:t>
      </w:r>
      <w:r>
        <w:rPr>
          <w:rFonts w:ascii="Arial" w:cs="Arial" w:eastAsia="Arial" w:hAnsi="Arial"/>
          <w:sz w:val="18"/>
          <w:szCs w:val="18"/>
          <w:color w:val="auto"/>
        </w:rPr>
        <w:t>”), by and among Activision Blizzard,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i w:val="1"/>
          <w:iCs w:val="1"/>
          <w:u w:val="single" w:color="auto"/>
          <w:color w:val="auto"/>
        </w:rPr>
        <w:t>Company</w:t>
      </w:r>
      <w:r>
        <w:rPr>
          <w:rFonts w:ascii="Arial" w:cs="Arial" w:eastAsia="Arial" w:hAnsi="Arial"/>
          <w:sz w:val="18"/>
          <w:szCs w:val="18"/>
          <w:color w:val="auto"/>
        </w:rPr>
        <w:t>”), ASAC II LP, an exempted limited partnership organized under the laws of the Cayman Islands (“</w:t>
      </w:r>
      <w:r>
        <w:rPr>
          <w:rFonts w:ascii="Arial" w:cs="Arial" w:eastAsia="Arial" w:hAnsi="Arial"/>
          <w:sz w:val="18"/>
          <w:szCs w:val="18"/>
          <w:i w:val="1"/>
          <w:iCs w:val="1"/>
          <w:u w:val="single" w:color="auto"/>
          <w:color w:val="auto"/>
        </w:rPr>
        <w:t>Stockholder</w:t>
      </w:r>
      <w:r>
        <w:rPr>
          <w:rFonts w:ascii="Arial" w:cs="Arial" w:eastAsia="Arial" w:hAnsi="Arial"/>
          <w:sz w:val="18"/>
          <w:szCs w:val="18"/>
          <w:color w:val="auto"/>
        </w:rPr>
        <w:t>”), and, for the limited purposes set forth in Section 3.01(c) and Section 3.07, Robert A. Kotick and Brian G. Kelly.</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50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Stockholder, Vivendi, S.A. (“</w:t>
      </w:r>
      <w:r>
        <w:rPr>
          <w:rFonts w:ascii="Arial" w:cs="Arial" w:eastAsia="Arial" w:hAnsi="Arial"/>
          <w:sz w:val="18"/>
          <w:szCs w:val="18"/>
          <w:i w:val="1"/>
          <w:iCs w:val="1"/>
          <w:u w:val="single" w:color="auto"/>
          <w:color w:val="auto"/>
        </w:rPr>
        <w:t>Seller</w:t>
      </w:r>
      <w:r>
        <w:rPr>
          <w:rFonts w:ascii="Arial" w:cs="Arial" w:eastAsia="Arial" w:hAnsi="Arial"/>
          <w:sz w:val="18"/>
          <w:szCs w:val="18"/>
          <w:color w:val="auto"/>
        </w:rPr>
        <w:t>”), and the Company are party to that certain Stock Purchase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u w:val="single" w:color="auto"/>
          <w:color w:val="auto"/>
        </w:rPr>
        <w:t>Purchase Agreement</w:t>
      </w:r>
      <w:r>
        <w:rPr>
          <w:rFonts w:ascii="Arial" w:cs="Arial" w:eastAsia="Arial" w:hAnsi="Arial"/>
          <w:sz w:val="18"/>
          <w:szCs w:val="18"/>
          <w:color w:val="auto"/>
        </w:rPr>
        <w:t>”), dated as of July 25, 2013;</w:t>
      </w:r>
    </w:p>
    <w:p>
      <w:pPr>
        <w:spacing w:after="0" w:line="162" w:lineRule="exact"/>
        <w:rPr>
          <w:sz w:val="20"/>
          <w:szCs w:val="20"/>
          <w:color w:val="auto"/>
        </w:rPr>
      </w:pPr>
    </w:p>
    <w:p>
      <w:pPr>
        <w:jc w:val="both"/>
        <w:ind w:right="120"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Purchase Agreement, Stockholder has agreed to acquire, as of the date of this Agreement and at the closing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the Purchase Agreement (the “</w:t>
      </w:r>
      <w:r>
        <w:rPr>
          <w:rFonts w:ascii="Arial" w:cs="Arial" w:eastAsia="Arial" w:hAnsi="Arial"/>
          <w:sz w:val="18"/>
          <w:szCs w:val="18"/>
          <w:i w:val="1"/>
          <w:iCs w:val="1"/>
          <w:u w:val="single" w:color="auto"/>
          <w:color w:val="auto"/>
        </w:rPr>
        <w:t>Closing</w:t>
      </w:r>
      <w:r>
        <w:rPr>
          <w:rFonts w:ascii="Arial" w:cs="Arial" w:eastAsia="Arial" w:hAnsi="Arial"/>
          <w:sz w:val="18"/>
          <w:szCs w:val="18"/>
          <w:color w:val="auto"/>
        </w:rPr>
        <w:t>”), 171,968,042 shares of Common Stock from Seller and its controlled affiliates (the “</w:t>
      </w:r>
      <w:r>
        <w:rPr>
          <w:rFonts w:ascii="Arial" w:cs="Arial" w:eastAsia="Arial" w:hAnsi="Arial"/>
          <w:sz w:val="18"/>
          <w:szCs w:val="18"/>
          <w:i w:val="1"/>
          <w:iCs w:val="1"/>
          <w:u w:val="single" w:color="auto"/>
          <w:color w:val="auto"/>
        </w:rPr>
        <w:t>Shares</w:t>
      </w:r>
      <w:r>
        <w:rPr>
          <w:rFonts w:ascii="Arial" w:cs="Arial" w:eastAsia="Arial" w:hAnsi="Arial"/>
          <w:sz w:val="18"/>
          <w:szCs w:val="18"/>
          <w:color w:val="auto"/>
        </w:rPr>
        <w:t>”);</w:t>
      </w:r>
    </w:p>
    <w:p>
      <w:pPr>
        <w:spacing w:after="0" w:line="176"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execution and delivery of this Agreement is a condition to the obligations of the parties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the Purchase Agreement; and</w:t>
      </w:r>
    </w:p>
    <w:p>
      <w:pPr>
        <w:spacing w:after="0" w:line="162" w:lineRule="exact"/>
        <w:rPr>
          <w:sz w:val="20"/>
          <w:szCs w:val="20"/>
          <w:color w:val="auto"/>
        </w:rPr>
      </w:pPr>
    </w:p>
    <w:p>
      <w:pPr>
        <w:ind w:right="220" w:firstLine="1297"/>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each of the parties hereto desires to enter into this Agreement in order to establish certain rights, restrictions and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Stockholder, as well as to set forth certain corporate governance, liquidity and other arrangements relating to the Company and the Shares.</w:t>
      </w:r>
    </w:p>
    <w:p>
      <w:pPr>
        <w:spacing w:after="0" w:line="116" w:lineRule="exact"/>
        <w:rPr>
          <w:sz w:val="20"/>
          <w:szCs w:val="20"/>
          <w:color w:val="auto"/>
        </w:rPr>
      </w:pPr>
    </w:p>
    <w:p>
      <w:pPr>
        <w:ind w:right="820" w:firstLine="1297"/>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intending to be legally bound, the parties agree as follows:</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As used in and for purposes of this Agreement, the following terms have the following meanings:</w:t>
      </w:r>
    </w:p>
    <w:p>
      <w:pPr>
        <w:spacing w:after="0" w:line="225"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Affiliate</w:t>
      </w:r>
      <w:r>
        <w:rPr>
          <w:rFonts w:ascii="Arial" w:cs="Arial" w:eastAsia="Arial" w:hAnsi="Arial"/>
          <w:sz w:val="18"/>
          <w:szCs w:val="18"/>
          <w:color w:val="auto"/>
        </w:rPr>
        <w:t>” of any person means those other persons that, directly or indirectly, control, are controlled by or are under common control with such person; for purposes of this definition, “</w:t>
      </w:r>
      <w:r>
        <w:rPr>
          <w:rFonts w:ascii="Arial" w:cs="Arial" w:eastAsia="Arial" w:hAnsi="Arial"/>
          <w:sz w:val="18"/>
          <w:szCs w:val="18"/>
          <w:i w:val="1"/>
          <w:iCs w:val="1"/>
          <w:u w:val="single" w:color="auto"/>
          <w:color w:val="auto"/>
        </w:rPr>
        <w:t>control</w:t>
      </w:r>
      <w:r>
        <w:rPr>
          <w:rFonts w:ascii="Arial" w:cs="Arial" w:eastAsia="Arial" w:hAnsi="Arial"/>
          <w:sz w:val="18"/>
          <w:szCs w:val="18"/>
          <w:color w:val="auto"/>
        </w:rPr>
        <w:t>” (including, with correlative meanings, the terms “</w:t>
      </w:r>
      <w:r>
        <w:rPr>
          <w:rFonts w:ascii="Arial" w:cs="Arial" w:eastAsia="Arial" w:hAnsi="Arial"/>
          <w:sz w:val="18"/>
          <w:szCs w:val="18"/>
          <w:i w:val="1"/>
          <w:iCs w:val="1"/>
          <w:u w:val="single" w:color="auto"/>
          <w:color w:val="auto"/>
        </w:rPr>
        <w:t>controlled by</w:t>
      </w:r>
      <w:r>
        <w:rPr>
          <w:rFonts w:ascii="Arial" w:cs="Arial" w:eastAsia="Arial" w:hAnsi="Arial"/>
          <w:sz w:val="18"/>
          <w:szCs w:val="18"/>
          <w:color w:val="auto"/>
        </w:rPr>
        <w:t>” or “</w:t>
      </w:r>
      <w:r>
        <w:rPr>
          <w:rFonts w:ascii="Arial" w:cs="Arial" w:eastAsia="Arial" w:hAnsi="Arial"/>
          <w:sz w:val="18"/>
          <w:szCs w:val="18"/>
          <w:i w:val="1"/>
          <w:iCs w:val="1"/>
          <w:u w:val="single" w:color="auto"/>
          <w:color w:val="auto"/>
        </w:rPr>
        <w:t>under common control with</w:t>
      </w:r>
      <w:r>
        <w:rPr>
          <w:rFonts w:ascii="Arial" w:cs="Arial" w:eastAsia="Arial" w:hAnsi="Arial"/>
          <w:sz w:val="18"/>
          <w:szCs w:val="18"/>
          <w:color w:val="auto"/>
        </w:rPr>
        <w:t xml:space="preserve">”), as applied to any person, means the possession, directly or indirectly, of (i) ownership or control of, or power to vote, 25 percent or more of the outstanding shares of any class of voting securities of such person or (ii) control, in any manner, over the election of a majority of the directors, trustees or general partners (or individuals exercising similar functions)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this Agreement, Stockholder and its Affiliates shall not be deemed an Affiliate of the Company or any of its Subsidiaries, or vice versa, and none of the Company or its Subsidiaries shall be deemed an Affiliate of Seller, or vice</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versa,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general partner of Stockholder shall be deemed an Affiliate of Stockholder.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Automatic Shelf Registration Statement</w:t>
      </w:r>
      <w:r>
        <w:rPr>
          <w:rFonts w:ascii="Arial" w:cs="Arial" w:eastAsia="Arial" w:hAnsi="Arial"/>
          <w:sz w:val="16"/>
          <w:szCs w:val="16"/>
          <w:color w:val="auto"/>
        </w:rPr>
        <w:t>” means an “automatic shelf registration statement” as defined in Rule 405 promulgated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11"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beneficial owner</w:t>
      </w:r>
      <w:r>
        <w:rPr>
          <w:rFonts w:ascii="Arial" w:cs="Arial" w:eastAsia="Arial" w:hAnsi="Arial"/>
          <w:sz w:val="18"/>
          <w:szCs w:val="18"/>
          <w:color w:val="auto"/>
        </w:rPr>
        <w:t>” and words of similar import have the meaning assigned to such terms in Rule 13d-3 promulgated under the Exchange Act as in effect on the date of this Agreement. The term “</w:t>
      </w:r>
      <w:r>
        <w:rPr>
          <w:rFonts w:ascii="Arial" w:cs="Arial" w:eastAsia="Arial" w:hAnsi="Arial"/>
          <w:sz w:val="18"/>
          <w:szCs w:val="18"/>
          <w:i w:val="1"/>
          <w:iCs w:val="1"/>
          <w:u w:val="single" w:color="auto"/>
          <w:color w:val="auto"/>
        </w:rPr>
        <w:t>beneficially own</w:t>
      </w:r>
      <w:r>
        <w:rPr>
          <w:rFonts w:ascii="Arial" w:cs="Arial" w:eastAsia="Arial" w:hAnsi="Arial"/>
          <w:sz w:val="18"/>
          <w:szCs w:val="18"/>
          <w:color w:val="auto"/>
        </w:rPr>
        <w:t>” has a meaning correlative to the foregoing.</w:t>
      </w:r>
    </w:p>
    <w:p>
      <w:pPr>
        <w:sectPr>
          <w:pgSz w:w="11900" w:h="16838" w:orient="portrait"/>
          <w:cols w:equalWidth="0" w:num="1">
            <w:col w:w="11460"/>
          </w:cols>
          <w:pgMar w:left="240" w:top="341" w:right="199" w:bottom="126" w:gutter="0" w:footer="0" w:header="0"/>
        </w:sectPr>
      </w:pPr>
    </w:p>
    <w:bookmarkStart w:id="144" w:name="page145"/>
    <w:bookmarkEnd w:id="144"/>
    <w:p>
      <w:pPr>
        <w:ind w:right="8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Board of Directors</w:t>
      </w:r>
      <w:r>
        <w:rPr>
          <w:rFonts w:ascii="Arial" w:cs="Arial" w:eastAsia="Arial" w:hAnsi="Arial"/>
          <w:sz w:val="18"/>
          <w:szCs w:val="18"/>
          <w:color w:val="auto"/>
        </w:rPr>
        <w:t>” means, with respect to any person, the board of directors, board of managers, supervisory board and executive board, managing member(s), managers or such other similar governing body or group, as applicable, established pursuant to the charter, constitution, articles or articles of incorporation and by-laws of a corporation or banking organization, the certificate of partnership and partnership agreement of a general or limited partnership, the certificate of formation and limited liability company agreement of a limited liability company, the trust agreement of a trust or the comparable documents of other entities of such person.</w:t>
      </w:r>
    </w:p>
    <w:p>
      <w:pPr>
        <w:spacing w:after="0" w:line="188"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Business Day</w:t>
      </w:r>
      <w:r>
        <w:rPr>
          <w:rFonts w:ascii="Arial" w:cs="Arial" w:eastAsia="Arial" w:hAnsi="Arial"/>
          <w:sz w:val="18"/>
          <w:szCs w:val="18"/>
          <w:color w:val="auto"/>
        </w:rPr>
        <w:t>” means any day other than a Saturday, Sunday or any other day on which commercial banks in New York, New York are authorized or required by law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Closing</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Closing Date</w:t>
      </w:r>
      <w:r>
        <w:rPr>
          <w:rFonts w:ascii="Arial" w:cs="Arial" w:eastAsia="Arial" w:hAnsi="Arial"/>
          <w:sz w:val="18"/>
          <w:szCs w:val="18"/>
          <w:color w:val="auto"/>
        </w:rPr>
        <w:t>” means the date on which the Closing occurs.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Common Stock</w:t>
      </w:r>
      <w:r>
        <w:rPr>
          <w:rFonts w:ascii="Arial" w:cs="Arial" w:eastAsia="Arial" w:hAnsi="Arial"/>
          <w:sz w:val="18"/>
          <w:szCs w:val="18"/>
          <w:color w:val="auto"/>
        </w:rPr>
        <w:t>” means, collectively, the common stock, par value $0.000001 per share,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Company 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Davis</w:t>
      </w:r>
      <w:r>
        <w:rPr>
          <w:rFonts w:ascii="Arial" w:cs="Arial" w:eastAsia="Arial" w:hAnsi="Arial"/>
          <w:sz w:val="18"/>
          <w:szCs w:val="18"/>
          <w:color w:val="auto"/>
        </w:rPr>
        <w:t>” means each Investor that is an investment company registered under the Investment Company Act and advised by Davis Selected Advisers, L.P. or any of its Affiliates.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Delaware Court of Chancery</w:t>
      </w:r>
      <w:r>
        <w:rPr>
          <w:rFonts w:ascii="Arial" w:cs="Arial" w:eastAsia="Arial" w:hAnsi="Arial"/>
          <w:sz w:val="18"/>
          <w:szCs w:val="18"/>
          <w:color w:val="auto"/>
        </w:rPr>
        <w:t>” has the meaning set forth in Section 5.13.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Demand Notice</w:t>
      </w:r>
      <w:r>
        <w:rPr>
          <w:rFonts w:ascii="Arial" w:cs="Arial" w:eastAsia="Arial" w:hAnsi="Arial"/>
          <w:sz w:val="18"/>
          <w:szCs w:val="18"/>
          <w:color w:val="auto"/>
        </w:rPr>
        <w:t>” has the meaning set forth in Section 2.01(b)(i).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Demand Registration</w:t>
      </w:r>
      <w:r>
        <w:rPr>
          <w:rFonts w:ascii="Arial" w:cs="Arial" w:eastAsia="Arial" w:hAnsi="Arial"/>
          <w:sz w:val="18"/>
          <w:szCs w:val="18"/>
          <w:color w:val="auto"/>
        </w:rPr>
        <w:t>” has the meaning set forth in Section 2.01(b)(i).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Distribution Date</w:t>
      </w:r>
      <w:r>
        <w:rPr>
          <w:rFonts w:ascii="Arial" w:cs="Arial" w:eastAsia="Arial" w:hAnsi="Arial"/>
          <w:sz w:val="18"/>
          <w:szCs w:val="18"/>
          <w:color w:val="auto"/>
        </w:rPr>
        <w:t>” means the date on which Stockholder Transfers Shares to the Investors in accordance with Section 3.04.</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Equity Interests</w:t>
      </w:r>
      <w:r>
        <w:rPr>
          <w:rFonts w:ascii="Arial" w:cs="Arial" w:eastAsia="Arial" w:hAnsi="Arial"/>
          <w:sz w:val="18"/>
          <w:szCs w:val="18"/>
          <w:color w:val="auto"/>
        </w:rPr>
        <w:t>” means any type of equity ownership in the Company or Right, including Common Stock or other stock or any similar security, or any interest entitling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holder thereof to participate in distributions, to vote for members of the Company Board, or otherwise granting or affording any other economic, voting or other rights, obligations, benefits or interests in, or attaching to or deriving from, such interests.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7"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Fidelity</w:t>
      </w:r>
      <w:r>
        <w:rPr>
          <w:rFonts w:ascii="Arial" w:cs="Arial" w:eastAsia="Arial" w:hAnsi="Arial"/>
          <w:sz w:val="18"/>
          <w:szCs w:val="18"/>
          <w:color w:val="auto"/>
        </w:rPr>
        <w:t>” means each Investor that is an investment company registered under the Investment Company Act and advised by Fidelity Management &amp; Research Co. or any of its Affiliates.</w:t>
      </w:r>
    </w:p>
    <w:p>
      <w:pPr>
        <w:spacing w:after="0" w:line="170"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Freely Tradable</w:t>
      </w:r>
      <w:r>
        <w:rPr>
          <w:rFonts w:ascii="Arial" w:cs="Arial" w:eastAsia="Arial" w:hAnsi="Arial"/>
          <w:sz w:val="18"/>
          <w:szCs w:val="18"/>
          <w:color w:val="auto"/>
        </w:rPr>
        <w:t>” shall mean, with respect to any security, that such security (i) is eligible to be sold by the holder thereof, without the application of any volume or manner of sale restrictions, pursuant to Rule 144, (ii) bears no legends restricting the transfer thereof, and (iii) bears an unrestricted CUSIP number (if held in global form).</w:t>
      </w:r>
    </w:p>
    <w:p>
      <w:pPr>
        <w:spacing w:after="0" w:line="181" w:lineRule="exact"/>
        <w:rPr>
          <w:sz w:val="20"/>
          <w:szCs w:val="20"/>
          <w:color w:val="auto"/>
        </w:rPr>
      </w:pPr>
    </w:p>
    <w:p>
      <w:pPr>
        <w:jc w:val="both"/>
        <w:ind w:right="8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Governmental Entity</w:t>
      </w:r>
      <w:r>
        <w:rPr>
          <w:rFonts w:ascii="Arial" w:cs="Arial" w:eastAsia="Arial" w:hAnsi="Arial"/>
          <w:sz w:val="16"/>
          <w:szCs w:val="16"/>
          <w:color w:val="auto"/>
        </w:rPr>
        <w:t>” means any federal, state, local or foreign government, any transnational governmental organization or any court of competent jurisdiction, arbitral, administrative agency or commission or other governmental authority or instrumentality, domestic or foreign, or any national securities exchange or national quotation system on which securities issued by the Company or any of its Subsidiaries are listed or quoted.</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Holder</w:t>
      </w:r>
      <w:r>
        <w:rPr>
          <w:rFonts w:ascii="Arial" w:cs="Arial" w:eastAsia="Arial" w:hAnsi="Arial"/>
          <w:sz w:val="18"/>
          <w:szCs w:val="18"/>
          <w:color w:val="auto"/>
        </w:rPr>
        <w:t>” means either (a) Stockholder or (b) the Investors to whom Stockholder has Transferred Shares in accordance with Section 3.04, as applicable; it being understood that the Investors shall only have the obligations of Holder under Article II to the extent they participate in any registration and offering thereunder.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Indemnified Party</w:t>
      </w:r>
      <w:r>
        <w:rPr>
          <w:rFonts w:ascii="Arial" w:cs="Arial" w:eastAsia="Arial" w:hAnsi="Arial"/>
          <w:sz w:val="18"/>
          <w:szCs w:val="18"/>
          <w:color w:val="auto"/>
        </w:rPr>
        <w:t>” has the meaning set forth in Section 2.08(c).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Indemnified Persons</w:t>
      </w:r>
      <w:r>
        <w:rPr>
          <w:rFonts w:ascii="Arial" w:cs="Arial" w:eastAsia="Arial" w:hAnsi="Arial"/>
          <w:sz w:val="18"/>
          <w:szCs w:val="18"/>
          <w:color w:val="auto"/>
        </w:rPr>
        <w:t>” has the meaning set forth in Section 2.08(a).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Indemnifying Party</w:t>
      </w:r>
      <w:r>
        <w:rPr>
          <w:rFonts w:ascii="Arial" w:cs="Arial" w:eastAsia="Arial" w:hAnsi="Arial"/>
          <w:sz w:val="18"/>
          <w:szCs w:val="18"/>
          <w:color w:val="auto"/>
        </w:rPr>
        <w:t>” has the meaning set forth in Section 2.08(c).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Inspectors</w:t>
      </w:r>
      <w:r>
        <w:rPr>
          <w:rFonts w:ascii="Arial" w:cs="Arial" w:eastAsia="Arial" w:hAnsi="Arial"/>
          <w:sz w:val="18"/>
          <w:szCs w:val="18"/>
          <w:color w:val="auto"/>
        </w:rPr>
        <w:t>” has the meaning set forth in Section 2.04(a)(ix).</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Investment Company Act</w:t>
      </w:r>
      <w:r>
        <w:rPr>
          <w:rFonts w:ascii="Arial" w:cs="Arial" w:eastAsia="Arial" w:hAnsi="Arial"/>
          <w:sz w:val="17"/>
          <w:szCs w:val="17"/>
          <w:color w:val="auto"/>
        </w:rPr>
        <w:t>” means the Investment Company Act of 1940, as amended, and the rules and regulations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Investment Company Investors</w:t>
      </w:r>
      <w:r>
        <w:rPr>
          <w:rFonts w:ascii="Arial" w:cs="Arial" w:eastAsia="Arial" w:hAnsi="Arial"/>
          <w:sz w:val="18"/>
          <w:szCs w:val="18"/>
          <w:color w:val="auto"/>
        </w:rPr>
        <w:t>” means Davis and Fidelity.</w:t>
      </w:r>
    </w:p>
    <w:p>
      <w:pPr>
        <w:spacing w:after="0" w:line="225" w:lineRule="exact"/>
        <w:rPr>
          <w:sz w:val="20"/>
          <w:szCs w:val="20"/>
          <w:color w:val="auto"/>
        </w:rPr>
      </w:pPr>
    </w:p>
    <w:p>
      <w:pPr>
        <w:ind w:right="4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Investor</w:t>
      </w:r>
      <w:r>
        <w:rPr>
          <w:rFonts w:ascii="Arial" w:cs="Arial" w:eastAsia="Arial" w:hAnsi="Arial"/>
          <w:sz w:val="17"/>
          <w:szCs w:val="17"/>
          <w:i w:val="1"/>
          <w:iCs w:val="1"/>
          <w:color w:val="auto"/>
        </w:rPr>
        <w:t>”</w:t>
      </w:r>
      <w:r>
        <w:rPr>
          <w:rFonts w:ascii="Arial" w:cs="Arial" w:eastAsia="Arial" w:hAnsi="Arial"/>
          <w:sz w:val="17"/>
          <w:szCs w:val="17"/>
          <w:color w:val="auto"/>
        </w:rPr>
        <w:t xml:space="preserve"> means any person who beneficially owns, directly or indirectly, as of the date hereof, or at any time hereafter, a partnership interest in Stockholder (including, for the avoidance of doubt, any general partner of Stockholder), or in any successor to Stockholder.</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Investor Termination Date</w:t>
      </w:r>
      <w:r>
        <w:rPr>
          <w:rFonts w:ascii="Arial" w:cs="Arial" w:eastAsia="Arial" w:hAnsi="Arial"/>
          <w:sz w:val="18"/>
          <w:szCs w:val="18"/>
          <w:color w:val="auto"/>
        </w:rPr>
        <w:t>” has the meaning set forth in Section 2.01(a)(ii).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Issuer FWP</w:t>
      </w:r>
      <w:r>
        <w:rPr>
          <w:rFonts w:ascii="Arial" w:cs="Arial" w:eastAsia="Arial" w:hAnsi="Arial"/>
          <w:sz w:val="18"/>
          <w:szCs w:val="18"/>
          <w:color w:val="auto"/>
        </w:rPr>
        <w:t>” means an “issuer free writing prospectus” as defined in Rule 433 under the Securities Act.</w:t>
      </w:r>
    </w:p>
    <w:p>
      <w:pPr>
        <w:sectPr>
          <w:pgSz w:w="11900" w:h="16838" w:orient="portrait"/>
          <w:cols w:equalWidth="0" w:num="1">
            <w:col w:w="11420"/>
          </w:cols>
          <w:pgMar w:left="240" w:top="125" w:right="239" w:bottom="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Law</w:t>
      </w:r>
      <w:r>
        <w:rPr>
          <w:rFonts w:ascii="Arial" w:cs="Arial" w:eastAsia="Arial" w:hAnsi="Arial"/>
          <w:sz w:val="16"/>
          <w:szCs w:val="16"/>
          <w:color w:val="auto"/>
        </w:rPr>
        <w:t>” means any law (including common law), treaty, statute, ordinance, code, rule, regulation, judgment, decree, order, writ, award, injunction, decree, directive, authorization or determination enacted, entered, promulgated, enforced or issued by any Governmental Entity.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Lock-Up End Date</w:t>
      </w:r>
      <w:r>
        <w:rPr>
          <w:rFonts w:ascii="Arial" w:cs="Arial" w:eastAsia="Arial" w:hAnsi="Arial"/>
          <w:sz w:val="18"/>
          <w:szCs w:val="18"/>
          <w:color w:val="auto"/>
        </w:rPr>
        <w:t>” means the date that is twelve months following the Closing Date.</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Losses</w:t>
      </w:r>
      <w:r>
        <w:rPr>
          <w:rFonts w:ascii="Arial" w:cs="Arial" w:eastAsia="Arial" w:hAnsi="Arial"/>
          <w:sz w:val="18"/>
          <w:szCs w:val="18"/>
          <w:color w:val="auto"/>
        </w:rPr>
        <w:t>” means any and all losses, claims, damages, liabilities, obligations, costs and expenses (including as a result of any notices, actions, suits, proceedings, claims, demands, assessments, judgments, awards, costs, penalties, taxes and reasonable expenses, including reasonable attorneys’ and other professionals’ fees and disbursements).</w:t>
      </w:r>
    </w:p>
    <w:p>
      <w:pPr>
        <w:spacing w:after="0" w:line="181"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Market Offering Registration Statements</w:t>
      </w:r>
      <w:r>
        <w:rPr>
          <w:rFonts w:ascii="Arial" w:cs="Arial" w:eastAsia="Arial" w:hAnsi="Arial"/>
          <w:sz w:val="18"/>
          <w:szCs w:val="18"/>
          <w:color w:val="auto"/>
        </w:rPr>
        <w:t>” shall mean the First Market Offering Registration Statement and the Second Market Offering Registration Statement, in each case as defined in the Purchase Agreement.</w:t>
      </w:r>
    </w:p>
    <w:p>
      <w:pPr>
        <w:spacing w:after="0" w:line="170"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person</w:t>
      </w:r>
      <w:r>
        <w:rPr>
          <w:rFonts w:ascii="Arial" w:cs="Arial" w:eastAsia="Arial" w:hAnsi="Arial"/>
          <w:sz w:val="18"/>
          <w:szCs w:val="18"/>
          <w:color w:val="auto"/>
        </w:rPr>
        <w:t>” means any individual, corporation (including not-for-profit), general or limited partnership, limited liability company, joint venture, estate, trust, association, organization, Governmental Entity or other entity of any kind or nature.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Piggyback Registration</w:t>
      </w:r>
      <w:r>
        <w:rPr>
          <w:rFonts w:ascii="Arial" w:cs="Arial" w:eastAsia="Arial" w:hAnsi="Arial"/>
          <w:sz w:val="18"/>
          <w:szCs w:val="18"/>
          <w:color w:val="auto"/>
        </w:rPr>
        <w:t>” has the meaning set forth in Section 2.02.</w:t>
      </w:r>
    </w:p>
    <w:p>
      <w:pPr>
        <w:spacing w:after="0" w:line="225" w:lineRule="exact"/>
        <w:rPr>
          <w:sz w:val="20"/>
          <w:szCs w:val="20"/>
          <w:color w:val="auto"/>
        </w:rPr>
      </w:pPr>
    </w:p>
    <w:p>
      <w:pPr>
        <w:ind w:right="22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Prospectus</w:t>
      </w:r>
      <w:r>
        <w:rPr>
          <w:rFonts w:ascii="Arial" w:cs="Arial" w:eastAsia="Arial" w:hAnsi="Arial"/>
          <w:sz w:val="18"/>
          <w:szCs w:val="18"/>
          <w:color w:val="auto"/>
        </w:rPr>
        <w:t>” means the prospectus (including any preliminary prospectus, any final prospectus and any prospectus that discloses information previously omitted from a prospectus filed as part of an effective Registration Statement in reliance upon Rule 430A under the Securities Act) included in a Registration Statement, as amended or supplemented by any prospectus supplement with respect to the terms of the offering of any portion of the Registrable Securities covered by the Registration Statement and by all other amendments and supplements to the prospectus, including all material incorporated by reference in such prospectus and all documents filed after the date of such prospectus by the Company under the Exchange Act and incorporated by reference therein.</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Purchase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Records</w:t>
      </w:r>
      <w:r>
        <w:rPr>
          <w:rFonts w:ascii="Arial" w:cs="Arial" w:eastAsia="Arial" w:hAnsi="Arial"/>
          <w:sz w:val="18"/>
          <w:szCs w:val="18"/>
          <w:color w:val="auto"/>
        </w:rPr>
        <w:t>” has the meaning set forth in Section 2.04(a)(ix).</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Registrable Securities</w:t>
      </w:r>
      <w:r>
        <w:rPr>
          <w:rFonts w:ascii="Arial" w:cs="Arial" w:eastAsia="Arial" w:hAnsi="Arial"/>
          <w:sz w:val="18"/>
          <w:szCs w:val="18"/>
          <w:color w:val="auto"/>
        </w:rPr>
        <w:t xml:space="preserve">” means all Shares that are beneficially owned by Stockholder at any time or, following a Transfer of the Shares by Stockholder to the Investors in compliance with Section 3.04, any Investor;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Share shall cease to be a Registrable Security when (i) it has been effectively registered under the Securities Act and disposed of in accordance with the Registration Statement covering it, (ii) it is sold pursuant to Rule 144, or (iii) it has ceased to be outstanding.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Registration Rights Termination Date</w:t>
      </w:r>
      <w:r>
        <w:rPr>
          <w:rFonts w:ascii="Arial" w:cs="Arial" w:eastAsia="Arial" w:hAnsi="Arial"/>
          <w:sz w:val="17"/>
          <w:szCs w:val="17"/>
          <w:color w:val="auto"/>
        </w:rPr>
        <w:t>” means the Stockholder Termination Date or the Investor Termination Date, as applicable.</w:t>
      </w:r>
    </w:p>
    <w:p>
      <w:pPr>
        <w:spacing w:after="0" w:line="237"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Registration Statement</w:t>
      </w:r>
      <w:r>
        <w:rPr>
          <w:rFonts w:ascii="Arial" w:cs="Arial" w:eastAsia="Arial" w:hAnsi="Arial"/>
          <w:sz w:val="18"/>
          <w:szCs w:val="18"/>
          <w:color w:val="auto"/>
        </w:rPr>
        <w:t>” means any registration statement filed by the Company with the SEC under the Securities Act pursuant to the provisions of this Agreement, including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Prospectus contained therein, any amendments and supplements to such registration statement, including post-effective amendments, and all exhibits and all material incorporated by reference in such registration statement.</w:t>
      </w:r>
    </w:p>
    <w:p>
      <w:pPr>
        <w:spacing w:after="0" w:line="170"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Reporting Investment Company Investor</w:t>
      </w:r>
      <w:r>
        <w:rPr>
          <w:rFonts w:ascii="Arial" w:cs="Arial" w:eastAsia="Arial" w:hAnsi="Arial"/>
          <w:sz w:val="18"/>
          <w:szCs w:val="18"/>
          <w:color w:val="auto"/>
        </w:rPr>
        <w:t>” means such Investment Company Investor whose aggregate holdings of shares of Common Stock is reported on Form 13F under the Exchange Act.</w:t>
      </w:r>
    </w:p>
    <w:p>
      <w:pPr>
        <w:spacing w:after="0" w:line="170"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Representatives</w:t>
      </w:r>
      <w:r>
        <w:rPr>
          <w:rFonts w:ascii="Arial" w:cs="Arial" w:eastAsia="Arial" w:hAnsi="Arial"/>
          <w:sz w:val="18"/>
          <w:szCs w:val="18"/>
          <w:color w:val="auto"/>
        </w:rPr>
        <w:t>” means, with respect to any person, such person’s, or such person’s Subsidiaries’, directors, officers, employees, accountants, investment bankers, commercial bank lenders, attorneys and other advisors or representatives (including the employees or attorneys of such accountants, investment bankers, commercial bank lenders or attorneys).</w:t>
      </w:r>
    </w:p>
    <w:p>
      <w:pPr>
        <w:spacing w:after="0" w:line="181"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Rights</w:t>
      </w:r>
      <w:r>
        <w:rPr>
          <w:rFonts w:ascii="Arial" w:cs="Arial" w:eastAsia="Arial" w:hAnsi="Arial"/>
          <w:sz w:val="17"/>
          <w:szCs w:val="17"/>
          <w:color w:val="auto"/>
        </w:rPr>
        <w:t>” means, with respect to any person, securities or obligations, directly or indirectly, convertible into or exercisable or exchangeable for, or giving any other person any right, directly or indirectly, to subscribe for or acquire, or any options, puts, calls or commitments relating, directly or indirectly, to, or any stock appreciation right or other instrument the value of which is determined in whole or in part by reference to the market price, book or other value of, shares of capital stock, units or other equity interests of such first person, or which the first person or any of its Subsidiaries is or may become obligated to offer, issue, sell, purchase, return or redeem, or cause to be offered, issued, sold, purchased, returned or redeemed, any equity interests of such person or any of its Subsidiaries, whether pursuant to any security, obligation, right, instrument, agreement, contract, commitment, option, undertaking or other arrangement or understanding (including, for the avoidance of doubt, upon exercise of any options, warrants or convertible loans or securities), whether fixed or contingent and whether or not in writing.</w:t>
      </w:r>
    </w:p>
    <w:p>
      <w:pPr>
        <w:spacing w:after="0" w:line="179"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Rule 144</w:t>
      </w:r>
      <w:r>
        <w:rPr>
          <w:rFonts w:ascii="Arial" w:cs="Arial" w:eastAsia="Arial" w:hAnsi="Arial"/>
          <w:sz w:val="18"/>
          <w:szCs w:val="18"/>
          <w:color w:val="auto"/>
        </w:rPr>
        <w:t>” means Rule 144 promulgated under the Securities Act or any similar rule or regulation hereafter adopted by the SEC having substantially the same effect as such rule.</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Scheduled Black-out Period</w:t>
      </w:r>
      <w:r>
        <w:rPr>
          <w:rFonts w:ascii="Arial" w:cs="Arial" w:eastAsia="Arial" w:hAnsi="Arial"/>
          <w:sz w:val="18"/>
          <w:szCs w:val="18"/>
          <w:color w:val="auto"/>
        </w:rPr>
        <w:t>” means any regularly scheduled blackout period of the Company or any other trading blackout declared by the Company pursuant to its insider trading policies and procedures.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ectPr>
          <w:pgSz w:w="11900" w:h="16838" w:orient="portrait"/>
          <w:cols w:equalWidth="0" w:num="1">
            <w:col w:w="11400"/>
          </w:cols>
          <w:pgMar w:left="240" w:top="341" w:right="259" w:bottom="0" w:gutter="0" w:footer="0" w:header="0"/>
        </w:sectPr>
      </w:pPr>
    </w:p>
    <w:bookmarkStart w:id="146" w:name="page147"/>
    <w:bookmarkEnd w:id="146"/>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Seller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Standstill Period</w:t>
      </w:r>
      <w:r>
        <w:rPr>
          <w:rFonts w:ascii="Arial" w:cs="Arial" w:eastAsia="Arial" w:hAnsi="Arial"/>
          <w:sz w:val="18"/>
          <w:szCs w:val="18"/>
          <w:color w:val="auto"/>
        </w:rPr>
        <w:t>” means the period commencing on the date of this Agreement and terminating on the six-month anniversary of the date on which the Stockholder Percentage Interest is less than 5.0 percent.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Stockholder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Stockholder Percentage Interest</w:t>
      </w:r>
      <w:r>
        <w:rPr>
          <w:rFonts w:ascii="Arial" w:cs="Arial" w:eastAsia="Arial" w:hAnsi="Arial"/>
          <w:sz w:val="16"/>
          <w:szCs w:val="16"/>
          <w:color w:val="auto"/>
        </w:rPr>
        <w:t>” means, at any time, the aggregate percentage represented by a fraction, the numerator of which is the number of issued and outstanding shares of Common Stock beneficially owned by (x) Stockholder and (y) any other person(s) with whom Stockholder is a member of a “group” (within the meaning of Section 13(d)(3) of the Exchange Act) with respect to the Company or any Equity Interests, and (z) Mr. Kotick and Mr. Kelly at such time, and the denominator of which is the total number of shares of Common Stock issued and outstanding at such time.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Stockholder Termination Date</w:t>
      </w:r>
      <w:r>
        <w:rPr>
          <w:rFonts w:ascii="Arial" w:cs="Arial" w:eastAsia="Arial" w:hAnsi="Arial"/>
          <w:sz w:val="18"/>
          <w:szCs w:val="18"/>
          <w:color w:val="auto"/>
        </w:rPr>
        <w:t>” has the meaning set forth in Section 2.01(a)(i).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Suspension Period</w:t>
      </w:r>
      <w:r>
        <w:rPr>
          <w:rFonts w:ascii="Arial" w:cs="Arial" w:eastAsia="Arial" w:hAnsi="Arial"/>
          <w:sz w:val="18"/>
          <w:szCs w:val="18"/>
          <w:color w:val="auto"/>
        </w:rPr>
        <w:t>” has the meaning set forth in Section 2.06(a).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Subsidiary</w:t>
      </w:r>
      <w:r>
        <w:rPr>
          <w:rFonts w:ascii="Arial" w:cs="Arial" w:eastAsia="Arial" w:hAnsi="Arial"/>
          <w:sz w:val="18"/>
          <w:szCs w:val="18"/>
          <w:color w:val="auto"/>
        </w:rPr>
        <w:t>” means, with respect to a person, an Affiliate directly or indirectly controlled by such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Takedown Offering</w:t>
      </w:r>
      <w:r>
        <w:rPr>
          <w:rFonts w:ascii="Arial" w:cs="Arial" w:eastAsia="Arial" w:hAnsi="Arial"/>
          <w:sz w:val="18"/>
          <w:szCs w:val="18"/>
          <w:color w:val="auto"/>
        </w:rPr>
        <w:t>” means an offering pursuant to an Automatic Shelf Registration Statement.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Takedown Request</w:t>
      </w:r>
      <w:r>
        <w:rPr>
          <w:rFonts w:ascii="Arial" w:cs="Arial" w:eastAsia="Arial" w:hAnsi="Arial"/>
          <w:sz w:val="18"/>
          <w:szCs w:val="18"/>
          <w:color w:val="auto"/>
        </w:rPr>
        <w:t>” has the meaning set forth in Section 2.01(a)(iii).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Tencent</w:t>
      </w:r>
      <w:r>
        <w:rPr>
          <w:rFonts w:ascii="Arial" w:cs="Arial" w:eastAsia="Arial" w:hAnsi="Arial"/>
          <w:sz w:val="18"/>
          <w:szCs w:val="18"/>
          <w:color w:val="auto"/>
        </w:rPr>
        <w:t>” means THL A9 Limited.</w:t>
      </w:r>
    </w:p>
    <w:p>
      <w:pPr>
        <w:spacing w:after="0" w:line="225"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Transfer</w:t>
      </w:r>
      <w:r>
        <w:rPr>
          <w:rFonts w:ascii="Arial" w:cs="Arial" w:eastAsia="Arial" w:hAnsi="Arial"/>
          <w:sz w:val="16"/>
          <w:szCs w:val="16"/>
          <w:color w:val="auto"/>
        </w:rPr>
        <w:t xml:space="preserve">” means, with respect to any security, any direct or indirect sale, assignment, pledge, transfer, hedging, securities lending, voting agreement or other disposition, whether voluntary, by operation of Law or otherwise, of or with respect to such security or any interest or Rights therein, whether in a single transaction or a series of related transactions, or the entry into a definitive agreement with respect to any of the foregoing (for the avoidance of doubt, whether such agreement is to be settled by delivery of shares of Common Stock, in cash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“Transfer” include (a) any pledge or grant of security interest in the Shares by Stockholder in connection with any indebtedness of Stockholder to any third party outstanding as of the date hereof (or any refinancing or replacement of, or modifications to, such indebtedness), any sale or other disposition of the Shares to pay amounts (including to meet any margin obligations) under or to voluntarily prepay any such outstanding indebtedness and any sale or other disposition of the Shares upon the exercise of remedies (including foreclosure) by the lenders pursuant to the documents governing such outstanding indebtedness, (b) any direct or indirect sale or other disposition by (i) any of the Investors of or with respect to their interests in Stockholder (including as a result of the exercise by Investors of their rights under the limited partnership agreement to acquire interests in Stockholder proposed to be sold by any other Investor) or (ii) by Stockholder as a result of any Investor’s exercise of its rights under the limited partnership agreement of Stockholder to acquire Shares proposed to be sold by Stockholder to prepay or repay outstanding indebtedness, and (c) hedging transactions or derivative agreements relating to the Shares entered into in connection with ordinary course risk management and which do not have the effect or intention of producing economic benefits and risks to the counterparty to such hedging transaction or derivative agreement corresponding substantially to the ownership of a number of Shares specified or referenced in any contract related to such transaction (regardless of whether obligations under such contract are required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permitted to be settled through the delivery of cash, Shares or other property, and without regard to any short position under the same or any other hedging transaction or derivative arrangement). The terms “</w:t>
      </w:r>
      <w:r>
        <w:rPr>
          <w:rFonts w:ascii="Arial" w:cs="Arial" w:eastAsia="Arial" w:hAnsi="Arial"/>
          <w:sz w:val="18"/>
          <w:szCs w:val="18"/>
          <w:i w:val="1"/>
          <w:iCs w:val="1"/>
          <w:u w:val="single" w:color="auto"/>
          <w:color w:val="auto"/>
        </w:rPr>
        <w:t>Transferred</w:t>
      </w:r>
      <w:r>
        <w:rPr>
          <w:rFonts w:ascii="Arial" w:cs="Arial" w:eastAsia="Arial" w:hAnsi="Arial"/>
          <w:sz w:val="18"/>
          <w:szCs w:val="18"/>
          <w:color w:val="auto"/>
        </w:rPr>
        <w:t>”, “</w:t>
      </w:r>
      <w:r>
        <w:rPr>
          <w:rFonts w:ascii="Arial" w:cs="Arial" w:eastAsia="Arial" w:hAnsi="Arial"/>
          <w:sz w:val="18"/>
          <w:szCs w:val="18"/>
          <w:i w:val="1"/>
          <w:iCs w:val="1"/>
          <w:u w:val="single" w:color="auto"/>
          <w:color w:val="auto"/>
        </w:rPr>
        <w:t>Transferring</w:t>
      </w:r>
      <w:r>
        <w:rPr>
          <w:rFonts w:ascii="Arial" w:cs="Arial" w:eastAsia="Arial" w:hAnsi="Arial"/>
          <w:sz w:val="18"/>
          <w:szCs w:val="18"/>
          <w:color w:val="auto"/>
        </w:rPr>
        <w:t>”, “</w:t>
      </w:r>
      <w:r>
        <w:rPr>
          <w:rFonts w:ascii="Arial" w:cs="Arial" w:eastAsia="Arial" w:hAnsi="Arial"/>
          <w:sz w:val="18"/>
          <w:szCs w:val="18"/>
          <w:i w:val="1"/>
          <w:iCs w:val="1"/>
          <w:u w:val="single" w:color="auto"/>
          <w:color w:val="auto"/>
        </w:rPr>
        <w:t>Transferor</w:t>
      </w:r>
      <w:r>
        <w:rPr>
          <w:rFonts w:ascii="Arial" w:cs="Arial" w:eastAsia="Arial" w:hAnsi="Arial"/>
          <w:sz w:val="18"/>
          <w:szCs w:val="18"/>
          <w:color w:val="auto"/>
        </w:rPr>
        <w:t>”, “</w:t>
      </w:r>
      <w:r>
        <w:rPr>
          <w:rFonts w:ascii="Arial" w:cs="Arial" w:eastAsia="Arial" w:hAnsi="Arial"/>
          <w:sz w:val="18"/>
          <w:szCs w:val="18"/>
          <w:i w:val="1"/>
          <w:iCs w:val="1"/>
          <w:u w:val="single" w:color="auto"/>
          <w:color w:val="auto"/>
        </w:rPr>
        <w:t>Transferee</w:t>
      </w:r>
      <w:r>
        <w:rPr>
          <w:rFonts w:ascii="Arial" w:cs="Arial" w:eastAsia="Arial" w:hAnsi="Arial"/>
          <w:sz w:val="18"/>
          <w:szCs w:val="18"/>
          <w:color w:val="auto"/>
        </w:rPr>
        <w:t>” and “</w:t>
      </w:r>
      <w:r>
        <w:rPr>
          <w:rFonts w:ascii="Arial" w:cs="Arial" w:eastAsia="Arial" w:hAnsi="Arial"/>
          <w:sz w:val="18"/>
          <w:szCs w:val="18"/>
          <w:i w:val="1"/>
          <w:iCs w:val="1"/>
          <w:u w:val="single" w:color="auto"/>
          <w:color w:val="auto"/>
        </w:rPr>
        <w:t>Transferable</w:t>
      </w:r>
      <w:r>
        <w:rPr>
          <w:rFonts w:ascii="Arial" w:cs="Arial" w:eastAsia="Arial" w:hAnsi="Arial"/>
          <w:sz w:val="18"/>
          <w:szCs w:val="18"/>
          <w:color w:val="auto"/>
        </w:rPr>
        <w:t>” have meanings correlative to the foregoing.</w:t>
      </w:r>
    </w:p>
    <w:p>
      <w:pPr>
        <w:spacing w:after="0" w:line="181"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Unaffiliated Directors</w:t>
      </w:r>
      <w:r>
        <w:rPr>
          <w:rFonts w:ascii="Arial" w:cs="Arial" w:eastAsia="Arial" w:hAnsi="Arial"/>
          <w:sz w:val="17"/>
          <w:szCs w:val="17"/>
          <w:color w:val="auto"/>
        </w:rPr>
        <w:t>” means the members of the Company Board other than (i) Mr. Kotick, (ii) Mr. Kelly, and (iii) any other members of the Company Board who are Affiliates of Stockholder or of any Investor or any other person(s) who are a member of a “group” (within the meaning of Section 13(d)(3) of the Exchange Act) with the Stockholder with respect to the Company or any Equity Interests, and any consent of a majority of the Unaffiliated Directors referred to herein shall refer to an action duly taken by such Unaffiliated Directors by written consent or at a meeting of such Unaffiliated Directors duly called and convened in accordance with applicable law and governance procedures.</w:t>
      </w:r>
    </w:p>
    <w:p>
      <w:pPr>
        <w:spacing w:after="0" w:line="173"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Underwriter</w:t>
      </w:r>
      <w:r>
        <w:rPr>
          <w:rFonts w:ascii="Arial" w:cs="Arial" w:eastAsia="Arial" w:hAnsi="Arial"/>
          <w:sz w:val="18"/>
          <w:szCs w:val="18"/>
          <w:color w:val="auto"/>
        </w:rPr>
        <w:t>” means, with respect to any Underwritten Offering, a securities dealer who purchases any Registrable Securities as a principal in connection with a distribution of such Registrable Securities.</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Underwritten Offering</w:t>
      </w:r>
      <w:r>
        <w:rPr>
          <w:rFonts w:ascii="Arial" w:cs="Arial" w:eastAsia="Arial" w:hAnsi="Arial"/>
          <w:sz w:val="18"/>
          <w:szCs w:val="18"/>
          <w:color w:val="auto"/>
        </w:rPr>
        <w:t>” means a public offering of securities registered under the Securities Act in which an Underwriter participates in the distribution of such securities.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REGISTRATION RIGHTS</w:t>
      </w:r>
    </w:p>
    <w:p>
      <w:pPr>
        <w:spacing w:after="0" w:line="22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Registration.</w:t>
      </w:r>
    </w:p>
    <w:p>
      <w:pPr>
        <w:spacing w:after="0" w:line="225" w:lineRule="exact"/>
        <w:rPr>
          <w:sz w:val="20"/>
          <w:szCs w:val="20"/>
          <w:color w:val="auto"/>
        </w:rPr>
      </w:pPr>
    </w:p>
    <w:p>
      <w:pPr>
        <w:ind w:left="1600" w:hanging="295"/>
        <w:spacing w:after="0"/>
        <w:tabs>
          <w:tab w:leader="none" w:pos="1600" w:val="left"/>
        </w:tabs>
        <w:numPr>
          <w:ilvl w:val="1"/>
          <w:numId w:val="435"/>
        </w:numPr>
        <w:rPr>
          <w:rFonts w:ascii="Arial" w:cs="Arial" w:eastAsia="Arial" w:hAnsi="Arial"/>
          <w:sz w:val="16"/>
          <w:szCs w:val="16"/>
          <w:color w:val="auto"/>
        </w:rPr>
      </w:pPr>
      <w:r>
        <w:rPr>
          <w:rFonts w:ascii="Arial" w:cs="Arial" w:eastAsia="Arial" w:hAnsi="Arial"/>
          <w:sz w:val="16"/>
          <w:szCs w:val="16"/>
          <w:color w:val="auto"/>
        </w:rPr>
        <w:t>(i) Upon written request of Stockholder from time to time, subject to Section 2.01(b)(i), the Company will use its best efforts to either</w:t>
      </w:r>
    </w:p>
    <w:p>
      <w:pPr>
        <w:spacing w:after="0" w:line="46" w:lineRule="exact"/>
        <w:rPr>
          <w:rFonts w:ascii="Arial" w:cs="Arial" w:eastAsia="Arial" w:hAnsi="Arial"/>
          <w:sz w:val="16"/>
          <w:szCs w:val="16"/>
          <w:color w:val="auto"/>
        </w:rPr>
      </w:pPr>
    </w:p>
    <w:p>
      <w:pPr>
        <w:ind w:right="20" w:firstLine="8"/>
        <w:spacing w:after="0" w:line="302" w:lineRule="auto"/>
        <w:tabs>
          <w:tab w:leader="none" w:pos="215" w:val="left"/>
        </w:tabs>
        <w:numPr>
          <w:ilvl w:val="0"/>
          <w:numId w:val="436"/>
        </w:numPr>
        <w:rPr>
          <w:rFonts w:ascii="Arial" w:cs="Arial" w:eastAsia="Arial" w:hAnsi="Arial"/>
          <w:sz w:val="16"/>
          <w:szCs w:val="16"/>
          <w:color w:val="auto"/>
        </w:rPr>
      </w:pPr>
      <w:r>
        <w:rPr>
          <w:rFonts w:ascii="Arial" w:cs="Arial" w:eastAsia="Arial" w:hAnsi="Arial"/>
          <w:sz w:val="16"/>
          <w:szCs w:val="16"/>
          <w:color w:val="auto"/>
        </w:rPr>
        <w:t>file an Automatic Shelf Registration Statement useable for the resale of Registrable Securities under the Securities Act, (ii) amend an existing Automatic Shelf Registration Statement so that it is useable for such resales, or (iii) file a prospectus supplement that shall be deemed to be part of an existing Automatic Shelf Registration Statement in accordance with Rule 430B under the Securities Act that is useable for such resales, in each case, to the extent necessary to</w:t>
      </w:r>
    </w:p>
    <w:p>
      <w:pPr>
        <w:sectPr>
          <w:pgSz w:w="11900" w:h="16944" w:orient="portrait"/>
          <w:cols w:equalWidth="0" w:num="1">
            <w:col w:w="11400"/>
          </w:cols>
          <w:pgMar w:left="240" w:top="125" w:right="259" w:bottom="0" w:gutter="0" w:footer="0" w:header="0"/>
        </w:sectPr>
      </w:pPr>
    </w:p>
    <w:bookmarkStart w:id="147" w:name="page148"/>
    <w:bookmarkEnd w:id="147"/>
    <w:p>
      <w:pPr>
        <w:spacing w:after="0" w:line="7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cover resales to pay amounts (including to meet any margin obligations) under or to voluntarily prepay any indebtedness of Stockholder to any third party outstanding as of the date hereof (or any refinancing or replacement of, or modifications to, such indebtedness) and to permit Stockholder to resell to the extent necessary to reduce its beneficial ownership below 25.0 percent of the outstanding Common Stock. Until such time as the earlier of (i) the date the Stockholder Percentage Interest is less than 5.0 percent (the “</w:t>
      </w:r>
      <w:r>
        <w:rPr>
          <w:rFonts w:ascii="Arial" w:cs="Arial" w:eastAsia="Arial" w:hAnsi="Arial"/>
          <w:sz w:val="16"/>
          <w:szCs w:val="16"/>
          <w:i w:val="1"/>
          <w:iCs w:val="1"/>
          <w:u w:val="single" w:color="auto"/>
          <w:color w:val="auto"/>
        </w:rPr>
        <w:t>Stockholder Termination Date</w:t>
      </w:r>
      <w:r>
        <w:rPr>
          <w:rFonts w:ascii="Arial" w:cs="Arial" w:eastAsia="Arial" w:hAnsi="Arial"/>
          <w:sz w:val="16"/>
          <w:szCs w:val="16"/>
          <w:color w:val="auto"/>
        </w:rPr>
        <w:t>”) and (ii) the time when the Company is no longer eligible to maintain an Automatic Shelf Registration Statement, the Company will keep current and effective any such Automatic Shelf Registration Statement and file such supplements or amendments to such Automatic Shelf Registration Statement as may be necessary or appropriate in order to keep such Automatic Shelf Registration Statement continuously effective and useable for the resale of Registrable Securities under the Securities Act.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629"/>
        <w:spacing w:after="0" w:line="270" w:lineRule="auto"/>
        <w:tabs>
          <w:tab w:leader="none" w:pos="1976" w:val="left"/>
        </w:tabs>
        <w:numPr>
          <w:ilvl w:val="1"/>
          <w:numId w:val="437"/>
        </w:numPr>
        <w:rPr>
          <w:rFonts w:ascii="Arial" w:cs="Arial" w:eastAsia="Arial" w:hAnsi="Arial"/>
          <w:sz w:val="17"/>
          <w:szCs w:val="17"/>
          <w:color w:val="auto"/>
        </w:rPr>
      </w:pPr>
      <w:r>
        <w:rPr>
          <w:rFonts w:ascii="Arial" w:cs="Arial" w:eastAsia="Arial" w:hAnsi="Arial"/>
          <w:sz w:val="17"/>
          <w:szCs w:val="17"/>
          <w:color w:val="auto"/>
        </w:rPr>
        <w:t>On or prior to the date that is three days prior to the Distribution Date, subject to Section 2.01(b)(i), the Company will use its best efforts to either (i) file an Automatic Shelf Registration Statement useable for the resale of Registrable Securities under the Securities Act, (ii) amend an existing Automatic Shelf Registration Statement so that it is useable for such resales, or (iii) file a prospectus supplement that shall be deemed to be part of an existing Automatic Shelf Registration Statement in accordance with Rule 430B under the Securities Act that is useable for such resales, in each case, to cover resales of the Shares to be Transferred by Stockholder to the Investors on the Distribution Date. Until such time as the earlier of (i) the later of the twelve-month anniversary of the date of such Transfer and the date on which such Shares become Freely Tradable or cease to be Registrable Securities (the “</w:t>
      </w:r>
      <w:r>
        <w:rPr>
          <w:rFonts w:ascii="Arial" w:cs="Arial" w:eastAsia="Arial" w:hAnsi="Arial"/>
          <w:sz w:val="17"/>
          <w:szCs w:val="17"/>
          <w:i w:val="1"/>
          <w:iCs w:val="1"/>
          <w:u w:val="single" w:color="auto"/>
          <w:color w:val="auto"/>
        </w:rPr>
        <w:t>Investor</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Termination Date</w:t>
      </w:r>
      <w:r>
        <w:rPr>
          <w:rFonts w:ascii="Arial" w:cs="Arial" w:eastAsia="Arial" w:hAnsi="Arial"/>
          <w:sz w:val="17"/>
          <w:szCs w:val="17"/>
          <w:color w:val="auto"/>
        </w:rPr>
        <w:t>”) and (ii) the time when the Company is no longer eligible to maintain an Automatic Shelf Registration Statement, the Company will keep</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and effective any such Automatic Shelf Registration Statement and file such supplements or amendments to such Automatic Shelf Registration Statement as may be necessary or appropriate in order to keep such Automatic Shelf Registration Statement continuously effective and useable for the resale of Registrable Securities under the Securities Act.</w:t>
      </w:r>
    </w:p>
    <w:p>
      <w:pPr>
        <w:spacing w:after="0" w:line="177" w:lineRule="exact"/>
        <w:rPr>
          <w:rFonts w:ascii="Arial" w:cs="Arial" w:eastAsia="Arial" w:hAnsi="Arial"/>
          <w:sz w:val="17"/>
          <w:szCs w:val="17"/>
          <w:color w:val="auto"/>
        </w:rPr>
      </w:pPr>
    </w:p>
    <w:p>
      <w:pPr>
        <w:ind w:right="140" w:firstLine="1629"/>
        <w:spacing w:after="0" w:line="290" w:lineRule="auto"/>
        <w:tabs>
          <w:tab w:leader="none" w:pos="1985" w:val="left"/>
        </w:tabs>
        <w:numPr>
          <w:ilvl w:val="1"/>
          <w:numId w:val="437"/>
        </w:numPr>
        <w:rPr>
          <w:rFonts w:ascii="Arial" w:cs="Arial" w:eastAsia="Arial" w:hAnsi="Arial"/>
          <w:sz w:val="16"/>
          <w:szCs w:val="16"/>
          <w:color w:val="auto"/>
        </w:rPr>
      </w:pPr>
      <w:r>
        <w:rPr>
          <w:rFonts w:ascii="Arial" w:cs="Arial" w:eastAsia="Arial" w:hAnsi="Arial"/>
          <w:sz w:val="16"/>
          <w:szCs w:val="16"/>
          <w:color w:val="auto"/>
        </w:rPr>
        <w:t>Upon the written request of Holder from time to time (a “</w:t>
      </w:r>
      <w:r>
        <w:rPr>
          <w:rFonts w:ascii="Arial" w:cs="Arial" w:eastAsia="Arial" w:hAnsi="Arial"/>
          <w:sz w:val="16"/>
          <w:szCs w:val="16"/>
          <w:i w:val="1"/>
          <w:iCs w:val="1"/>
          <w:u w:val="single" w:color="auto"/>
          <w:color w:val="auto"/>
        </w:rPr>
        <w:t>Takedown Request</w:t>
      </w:r>
      <w:r>
        <w:rPr>
          <w:rFonts w:ascii="Arial" w:cs="Arial" w:eastAsia="Arial" w:hAnsi="Arial"/>
          <w:sz w:val="16"/>
          <w:szCs w:val="16"/>
          <w:color w:val="auto"/>
        </w:rPr>
        <w:t>”) prior to the applicable Registration Rights Termination Date (and up to three times prior to the Distribution Date), the Company will cooperate with Holder and any Underwriter in effecting a Takedown Offering pursuant to an Automatic Shelf Registration Statement as promptly as reasonably practicable following receipt of such Takedown Request. Each Takedown Request will specify the number of Registrable Securities proposed by Holder to be included in such Takedown Offering, the intended method of distribution and the estimated gross proceeds of such Takedown Offering, which may not be less than $250 million. Holder may change the number of Registrable Securities proposed to be offered in any Takedown Offering at any time prior to commencement of such offering so long as such change would not materially and adversely affect the timing or success of the Takedown Offering or reduce the estimated gross proceeds of such Takedown Offering to less than $250 million and provided that the Company shall be entitled to reasonably delay a Takedown Offering as a result of such change.</w:t>
      </w:r>
    </w:p>
    <w:p>
      <w:pPr>
        <w:spacing w:after="0" w:line="166" w:lineRule="exact"/>
        <w:rPr>
          <w:rFonts w:ascii="Arial" w:cs="Arial" w:eastAsia="Arial" w:hAnsi="Arial"/>
          <w:sz w:val="16"/>
          <w:szCs w:val="16"/>
          <w:color w:val="auto"/>
        </w:rPr>
      </w:pPr>
    </w:p>
    <w:p>
      <w:pPr>
        <w:ind w:firstLine="1305"/>
        <w:spacing w:after="0" w:line="288" w:lineRule="auto"/>
        <w:tabs>
          <w:tab w:leader="none" w:pos="1952" w:val="left"/>
        </w:tabs>
        <w:numPr>
          <w:ilvl w:val="0"/>
          <w:numId w:val="438"/>
        </w:numPr>
        <w:rPr>
          <w:rFonts w:ascii="Arial" w:cs="Arial" w:eastAsia="Arial" w:hAnsi="Arial"/>
          <w:sz w:val="16"/>
          <w:szCs w:val="16"/>
          <w:color w:val="auto"/>
        </w:rPr>
      </w:pPr>
      <w:r>
        <w:rPr>
          <w:rFonts w:ascii="Arial" w:cs="Arial" w:eastAsia="Arial" w:hAnsi="Arial"/>
          <w:sz w:val="16"/>
          <w:szCs w:val="16"/>
          <w:color w:val="auto"/>
        </w:rPr>
        <w:t>(i) If at any time prior to the applicable Registration Rights Termination Date the Company is no longer eligible to use an Automatic Shelf Registration Statement (and up to three times prior to the Distribution Date), within 30 days after Holder’s written request to register the resale of a specified amount of Registrable Securities under the Securities Act in accordance with Section 2.01(a) (a “</w:t>
      </w:r>
      <w:r>
        <w:rPr>
          <w:rFonts w:ascii="Arial" w:cs="Arial" w:eastAsia="Arial" w:hAnsi="Arial"/>
          <w:sz w:val="16"/>
          <w:szCs w:val="16"/>
          <w:i w:val="1"/>
          <w:iCs w:val="1"/>
          <w:u w:val="single" w:color="auto"/>
          <w:color w:val="auto"/>
        </w:rPr>
        <w:t>Demand Notice</w:t>
      </w:r>
      <w:r>
        <w:rPr>
          <w:rFonts w:ascii="Arial" w:cs="Arial" w:eastAsia="Arial" w:hAnsi="Arial"/>
          <w:sz w:val="16"/>
          <w:szCs w:val="16"/>
          <w:color w:val="auto"/>
        </w:rPr>
        <w:t>”), the Company will use its reasonable best efforts to file a Registration Statement, on an appropriate form which the Company is then eligible to use, to register the resale of such Registrable Securities, which Registration Statement will (if specified in Holder’s notice) contemplate the ability of Holder to effect an Underwritten Offering (each such registration, a “</w:t>
      </w:r>
      <w:r>
        <w:rPr>
          <w:rFonts w:ascii="Arial" w:cs="Arial" w:eastAsia="Arial" w:hAnsi="Arial"/>
          <w:sz w:val="16"/>
          <w:szCs w:val="16"/>
          <w:i w:val="1"/>
          <w:iCs w:val="1"/>
          <w:u w:val="single" w:color="auto"/>
          <w:color w:val="auto"/>
        </w:rPr>
        <w:t>Demand Registration</w:t>
      </w:r>
      <w:r>
        <w:rPr>
          <w:rFonts w:ascii="Arial" w:cs="Arial" w:eastAsia="Arial" w:hAnsi="Arial"/>
          <w:sz w:val="16"/>
          <w:szCs w:val="16"/>
          <w:u w:val="single" w:color="auto"/>
          <w:color w:val="auto"/>
        </w:rPr>
        <w:t>”)</w:t>
      </w:r>
      <w:r>
        <w:rPr>
          <w:rFonts w:ascii="Arial" w:cs="Arial" w:eastAsia="Arial" w:hAnsi="Arial"/>
          <w:sz w:val="16"/>
          <w:szCs w:val="16"/>
          <w:color w:val="auto"/>
        </w:rPr>
        <w:t>. Each Demand Notice will specify the number of Registrable Securities proposed to be offered for sale, the intended method of distribution thereof and the estimated gross proceeds of such Demand Registration, which may not be less than $250 million. Holder may change the number of Registrable Securities proposed to be offered pursuant to any Demand Registration at any time prior to commencement of the offering so long as such change would not materially and adversely affect the timing or success of the offering or reduce the estimated gross proceeds of such Demand Registration to less than $250 million. Subject to Section 2.03, the Company may include in any registration effected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2.01(a) or Section 2.01(b) any securities for its own account or for the account of holders of Common Stock (other than Holder).</w:t>
      </w:r>
    </w:p>
    <w:p>
      <w:pPr>
        <w:spacing w:after="0" w:line="237" w:lineRule="exact"/>
        <w:rPr>
          <w:sz w:val="20"/>
          <w:szCs w:val="20"/>
          <w:color w:val="auto"/>
        </w:rPr>
      </w:pPr>
    </w:p>
    <w:p>
      <w:pPr>
        <w:ind w:right="80" w:firstLine="1953"/>
        <w:spacing w:after="0" w:line="290" w:lineRule="auto"/>
        <w:tabs>
          <w:tab w:leader="none" w:pos="2624" w:val="left"/>
        </w:tabs>
        <w:numPr>
          <w:ilvl w:val="1"/>
          <w:numId w:val="439"/>
        </w:numPr>
        <w:rPr>
          <w:rFonts w:ascii="Arial" w:cs="Arial" w:eastAsia="Arial" w:hAnsi="Arial"/>
          <w:sz w:val="16"/>
          <w:szCs w:val="16"/>
          <w:color w:val="auto"/>
        </w:rPr>
      </w:pPr>
      <w:r>
        <w:rPr>
          <w:rFonts w:ascii="Arial" w:cs="Arial" w:eastAsia="Arial" w:hAnsi="Arial"/>
          <w:sz w:val="16"/>
          <w:szCs w:val="16"/>
          <w:color w:val="auto"/>
        </w:rPr>
        <w:t>The Company will use its reasonable best efforts (A) to cause any Registration Statement to be declared effective (unless it becomes effective automatically upon filing) as promptly as reasonably practicable after the filing thereof with the SEC and (B) to keep such Registration Statement current and effective for a period of not less than 30 days, and in any event for so long as necessary for the completion of the resale of Registrable Securities registered thereon. The Company further agrees to supplement or make amendments to each such Registration Statement as may be necessary to keep such Registration Statement effective for the period referred to in clause (B) above, including (w) to respond to the comments of the SEC, if any, (x) as may be required by the registration form utilized by the Company for such Registration Statement or by the instructions to such registration form, (y) as may be required by the Securities Act, or (z) as may be reasonably requested in writing by Holder or any Underwriter and reasonably acceptable to the Company. The Company agrees to furnish to Holder copies of any such supplement or amendment no later than the time it is first being used or filed with the SEC.</w:t>
      </w:r>
    </w:p>
    <w:p>
      <w:pPr>
        <w:spacing w:after="0" w:line="166" w:lineRule="exact"/>
        <w:rPr>
          <w:rFonts w:ascii="Arial" w:cs="Arial" w:eastAsia="Arial" w:hAnsi="Arial"/>
          <w:sz w:val="16"/>
          <w:szCs w:val="16"/>
          <w:color w:val="auto"/>
        </w:rPr>
      </w:pPr>
    </w:p>
    <w:p>
      <w:pPr>
        <w:ind w:right="20" w:firstLine="1305"/>
        <w:spacing w:after="0" w:line="287" w:lineRule="auto"/>
        <w:tabs>
          <w:tab w:leader="none" w:pos="1955" w:val="left"/>
        </w:tabs>
        <w:numPr>
          <w:ilvl w:val="0"/>
          <w:numId w:val="440"/>
        </w:numPr>
        <w:rPr>
          <w:rFonts w:ascii="Arial" w:cs="Arial" w:eastAsia="Arial" w:hAnsi="Arial"/>
          <w:sz w:val="16"/>
          <w:szCs w:val="16"/>
          <w:color w:val="auto"/>
        </w:rPr>
      </w:pPr>
      <w:r>
        <w:rPr>
          <w:rFonts w:ascii="Arial" w:cs="Arial" w:eastAsia="Arial" w:hAnsi="Arial"/>
          <w:sz w:val="16"/>
          <w:szCs w:val="16"/>
          <w:color w:val="auto"/>
        </w:rPr>
        <w:t xml:space="preserve">In the event an offering of Registrable Securities (including in connection with any Takedown Offering) under this Section 2.01 involves one or more Underwriters, each of Holder and the Company shall choose a joint lead Underwriter reasonably acceptable to the other party, which consent shall not be unreasonably withheld, conditioned or delayed, to administer such offering, and the Company and Holder shall be entitled to select any additional Underwriters;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Underwriters shall be reasonably acceptable to the other party, which consent shall not be unreasonably withheld, conditioned or delayed. The Company shall reasonably assist such managing Underwriter or Underwriters in their efforts to sell Registrable Securities pursuant to such Registration Statement and, if reasonably requested in connection with any Takedown Offering or Demand Registration that is an Underwritten Offering in which Holder intends to sell Registrable Securities, shall make executives with appropriate seniority and expertise reasonably available for customary “road show” or other presentations during the marketing period for such Registrable Securities, in each case in connection with a maximum of one Underwritten Offering in any 180-day period (which shall not require the consent of a majority of the Unaffiliated Directors) (with an understanding that these shall be scheduled in a collaborative manner so as not to unreasonably interfere with the conduct of the business of the Company). Subject to Section 2.03, if the Company gives Holder notice of a request by the Company or another holder of the Company’s securities to include any Equity Interests in any Underwritten Offering, Holder shall offer to include such Equity Interests in the Underwritten Offering.</w:t>
      </w:r>
    </w:p>
    <w:p>
      <w:pPr>
        <w:spacing w:after="0" w:line="168" w:lineRule="exact"/>
        <w:rPr>
          <w:rFonts w:ascii="Arial" w:cs="Arial" w:eastAsia="Arial" w:hAnsi="Arial"/>
          <w:sz w:val="16"/>
          <w:szCs w:val="16"/>
          <w:color w:val="auto"/>
        </w:rPr>
      </w:pPr>
    </w:p>
    <w:p>
      <w:pPr>
        <w:ind w:right="80" w:firstLine="1305"/>
        <w:spacing w:after="0" w:line="257" w:lineRule="auto"/>
        <w:tabs>
          <w:tab w:leader="none" w:pos="1952"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except as may be consented to by a majority of the Unaffiliated Directors, the Company shall not be obligated to effect more than one Takedown Offering and/or Demand Registration in any 180-day period. Holder will be permitted to rescind a Demand Registration or Takedown Request and such rescinded Demand Registration or Takedown Request will not count against the limit set forth in the preceding sentence;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Holder shall reimburse the Company for all reasonable, out-of-pocket expenses incurred by the Company in connection with such Demand</w:t>
      </w:r>
    </w:p>
    <w:p>
      <w:pPr>
        <w:sectPr>
          <w:pgSz w:w="11900" w:h="16911" w:orient="portrait"/>
          <w:cols w:equalWidth="0" w:num="1">
            <w:col w:w="11420"/>
          </w:cols>
          <w:pgMar w:left="240" w:top="125" w:right="239" w:bottom="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Registration or Takedown Request;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applicable Registration Statement or supplement thereto has not been filed with the SEC prior to such rescission.</w:t>
      </w:r>
    </w:p>
    <w:p>
      <w:pPr>
        <w:spacing w:after="0" w:line="170"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If the Company proposes to file a registration statement under the Securities Act or consummate a Takedown Offering with respect to an offering of Equity Interests after the Lock-Up End Date and before the Registration Rights Termination Date for (a) the Company’s own account (other than a Registration Statement on Form S-4 or S-8 (or any substitute form that may be adopted by the SEC)) or</w:t>
      </w:r>
    </w:p>
    <w:p>
      <w:pPr>
        <w:ind w:right="40" w:firstLine="8"/>
        <w:spacing w:after="0" w:line="285" w:lineRule="auto"/>
        <w:tabs>
          <w:tab w:leader="none" w:pos="255"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the account of any holder of Equity Interests (other than Holder), other than any Market Offering Registration Statement, then the Company shall give written notice of such proposed filing or Takedown Offering to Holder as soon as practicable (but in no event less than 10 days before the anticipated filing date). Upon a written request, given by Holder to the Company within 4 days after delivery of any such notice by the Company, to include Registrable Securities in such registration or Takedown Offering, as applicable (which request shall specify the number of Registrable Securities proposed to be included in such registration or Takedown Offering, as applicable), the Company shall, subject to Section 2.03, include all such requested Registrable Securities in such registration or Takedown Offering, as applicable, on the same terms and conditions as applicable to the Company’s or such holder’s shares of Common Stock (or, in the event of an offering of Equity Interests other than Common Stock, on terms as commercially comparable as practicable) (a “</w:t>
      </w:r>
      <w:r>
        <w:rPr>
          <w:rFonts w:ascii="Arial" w:cs="Arial" w:eastAsia="Arial" w:hAnsi="Arial"/>
          <w:sz w:val="16"/>
          <w:szCs w:val="16"/>
          <w:i w:val="1"/>
          <w:iCs w:val="1"/>
          <w:u w:val="single" w:color="auto"/>
          <w:color w:val="auto"/>
        </w:rPr>
        <w:t>Piggyback</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Registration</w:t>
      </w:r>
      <w:r>
        <w:rPr>
          <w:rFonts w:ascii="Arial" w:cs="Arial" w:eastAsia="Arial" w:hAnsi="Arial"/>
          <w:sz w:val="16"/>
          <w:szCs w:val="16"/>
          <w:color w:val="auto"/>
        </w:rPr>
        <w: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at any time after giving written notice of such proposed filing or Takedown Offering, as applicable, and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date of the Registration Statement filed in connection with such registration, or the consummation of such Takedown Offering, as applicable, the Company shall determine for any reason not to proceed with the proposed registration or disposition, as applicable, of the Equity Interests, then the Company may, at its election, give written notice of such determination to Holder and, thereupon, will be relieved of its obligation to register any Registrable Securities in connection with such registration, or dispose of any Registrable Securities in connection with such Takedown Offering, as applicable. Holder shall, subject to Section 2.04(b), enter into an underwriting agreement with the Underwriter or Underwriters selected by the Company with respect to any Common Stock sold by Holder pursuant to this Section 2.02.</w:t>
      </w:r>
    </w:p>
    <w:p>
      <w:pPr>
        <w:spacing w:after="0" w:line="168" w:lineRule="exact"/>
        <w:rPr>
          <w:sz w:val="20"/>
          <w:szCs w:val="20"/>
          <w:color w:val="auto"/>
        </w:rPr>
      </w:pPr>
    </w:p>
    <w:p>
      <w:pPr>
        <w:ind w:right="160" w:firstLine="1297"/>
        <w:spacing w:after="0" w:line="290"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Reduction of Size of Underwritten Offering</w:t>
      </w:r>
      <w:r>
        <w:rPr>
          <w:rFonts w:ascii="Arial" w:cs="Arial" w:eastAsia="Arial" w:hAnsi="Arial"/>
          <w:sz w:val="16"/>
          <w:szCs w:val="16"/>
          <w:color w:val="auto"/>
        </w:rPr>
        <w:t xml:space="preserve">. Notwithstanding anything to the contrary contained herein, if the lead Underwriter of an Underwritten Offering advises the Company in writing that, in its reasonable opinion, the number of Equity Interests (including any Registrable Securities) that the Company, Holder and any other persons intend to include in any Registration Statement or dispose of pursuant to any Takedown Offering is such that the success of any such offering would be materially and adversely affected, including with respect to the price at which the securities can be sold, then the number of shares of Common Stock or other Equity Interests to be included in the Registration Statement, or disposed of pursuant to such Takedown Offering, as applicable, for the account of the Company, Holder and any other persons will be reduced to the extent necessary to reduce the total number of securities to be included in any such Registration Statement or disposed of pursuant to such Takedown Offering, as applicable, to the number recommended by such lead Underwriter;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reduction shall be made in accordance with the following priorities:</w:t>
      </w:r>
    </w:p>
    <w:p>
      <w:pPr>
        <w:spacing w:after="0" w:line="166" w:lineRule="exact"/>
        <w:rPr>
          <w:sz w:val="20"/>
          <w:szCs w:val="20"/>
          <w:color w:val="auto"/>
        </w:rPr>
      </w:pPr>
    </w:p>
    <w:p>
      <w:pPr>
        <w:ind w:left="660" w:right="100" w:firstLine="645"/>
        <w:spacing w:after="0" w:line="277" w:lineRule="auto"/>
        <w:tabs>
          <w:tab w:leader="none" w:pos="195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priority in the case of a Demand Registration or Takedown Offering pursuant to Section 2.01(a) or Section 2.01(b) will be (i) </w:t>
      </w:r>
      <w:r>
        <w:rPr>
          <w:rFonts w:ascii="Arial" w:cs="Arial" w:eastAsia="Arial" w:hAnsi="Arial"/>
          <w:sz w:val="18"/>
          <w:szCs w:val="18"/>
          <w:u w:val="single" w:color="auto"/>
          <w:color w:val="auto"/>
        </w:rPr>
        <w:t>first</w:t>
      </w:r>
      <w:r>
        <w:rPr>
          <w:rFonts w:ascii="Arial" w:cs="Arial" w:eastAsia="Arial" w:hAnsi="Arial"/>
          <w:sz w:val="18"/>
          <w:szCs w:val="18"/>
          <w:color w:val="auto"/>
        </w:rPr>
        <w:t>, all Registrable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 xml:space="preserve">requested to be included in the Registration Statement, or disposed of pursuant to the Takedown Offering, as applicable, for the account of Holder pursuant to Section 2.01(a) or Section 2.01(b), (ii)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any Common Stock or other Equity Interests proposed to be offered by the Company for its own account, and (iii) </w:t>
      </w:r>
      <w:r>
        <w:rPr>
          <w:rFonts w:ascii="Arial" w:cs="Arial" w:eastAsia="Arial" w:hAnsi="Arial"/>
          <w:sz w:val="18"/>
          <w:szCs w:val="18"/>
          <w:u w:val="single" w:color="auto"/>
          <w:color w:val="auto"/>
        </w:rPr>
        <w:t>third</w:t>
      </w:r>
      <w:r>
        <w:rPr>
          <w:rFonts w:ascii="Arial" w:cs="Arial" w:eastAsia="Arial" w:hAnsi="Arial"/>
          <w:sz w:val="18"/>
          <w:szCs w:val="18"/>
          <w:color w:val="auto"/>
        </w:rPr>
        <w:t>, among any other holders of shares of Common Stock or other Equity Interests requested to be registered, or disposed of, as applicable, based on the respective amount of Equity Interests owned by them;</w:t>
      </w:r>
    </w:p>
    <w:p>
      <w:pPr>
        <w:spacing w:after="0" w:line="187" w:lineRule="exact"/>
        <w:rPr>
          <w:sz w:val="20"/>
          <w:szCs w:val="20"/>
          <w:color w:val="auto"/>
        </w:rPr>
      </w:pPr>
    </w:p>
    <w:p>
      <w:pPr>
        <w:ind w:left="660" w:right="120" w:firstLine="645"/>
        <w:spacing w:after="0" w:line="297" w:lineRule="auto"/>
        <w:tabs>
          <w:tab w:leader="none" w:pos="1964" w:val="left"/>
        </w:tabs>
        <w:numPr>
          <w:ilvl w:val="0"/>
          <w:numId w:val="443"/>
        </w:numPr>
        <w:rPr>
          <w:rFonts w:ascii="Arial" w:cs="Arial" w:eastAsia="Arial" w:hAnsi="Arial"/>
          <w:sz w:val="16"/>
          <w:szCs w:val="16"/>
          <w:color w:val="auto"/>
        </w:rPr>
      </w:pPr>
      <w:r>
        <w:rPr>
          <w:rFonts w:ascii="Arial" w:cs="Arial" w:eastAsia="Arial" w:hAnsi="Arial"/>
          <w:sz w:val="16"/>
          <w:szCs w:val="16"/>
          <w:color w:val="auto"/>
        </w:rPr>
        <w:t xml:space="preserve">priority in the case of a registration statement or Takedown Offering initiated by the Company for its own account, which gives rise to a Piggyback Registration pursuant to Section 2.02, will be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Equity Interests proposed to be offered by the Company for its own account and (ii)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Holder(s) with respect to any Registrable Securities requested to be included in the Registration Statement, or disposed of pursuant to the Takedown Offering, as applicable, for the account of Holder(s) pursuant to Section 2.02 and any other holders of Equity Interests requested to be registered or disposed of, as applicable, based on the respective amount of Equity Interests owned by them; and</w:t>
      </w:r>
    </w:p>
    <w:p>
      <w:pPr>
        <w:spacing w:after="0" w:line="158" w:lineRule="exact"/>
        <w:rPr>
          <w:rFonts w:ascii="Arial" w:cs="Arial" w:eastAsia="Arial" w:hAnsi="Arial"/>
          <w:sz w:val="16"/>
          <w:szCs w:val="16"/>
          <w:color w:val="auto"/>
        </w:rPr>
      </w:pPr>
    </w:p>
    <w:p>
      <w:pPr>
        <w:ind w:left="660" w:right="60" w:firstLine="645"/>
        <w:spacing w:after="0" w:line="291" w:lineRule="auto"/>
        <w:tabs>
          <w:tab w:leader="none" w:pos="1967" w:val="left"/>
        </w:tabs>
        <w:numPr>
          <w:ilvl w:val="0"/>
          <w:numId w:val="443"/>
        </w:numPr>
        <w:rPr>
          <w:rFonts w:ascii="Arial" w:cs="Arial" w:eastAsia="Arial" w:hAnsi="Arial"/>
          <w:sz w:val="16"/>
          <w:szCs w:val="16"/>
          <w:color w:val="auto"/>
        </w:rPr>
      </w:pPr>
      <w:r>
        <w:rPr>
          <w:rFonts w:ascii="Arial" w:cs="Arial" w:eastAsia="Arial" w:hAnsi="Arial"/>
          <w:sz w:val="16"/>
          <w:szCs w:val="16"/>
          <w:color w:val="auto"/>
        </w:rPr>
        <w:t xml:space="preserve">priority in the case of a registration statement or Takedown Offering initiated by the Company for the account of holders of Equity Interests other than Holder pursuant to registration rights afforded to such holders pursuant to a contractual right with the Company, which gives rise to a Piggyback Registration pursuant to Section 2.02, will be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holders of Equity Interests requesting the offering pursuant to such contractual right, based on the respective amount of Equity Interests owned by them, (ii)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Registrable Securities requested to be included in the Registration Statement, or disposed of, pursuant to the Takedown Offering, for the account of Holder pursuant to its registration rights under Section 2.02, (iii)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Equity Interests offered by the Company for its own account, and (iv)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any other holders of Equity Interests requested to be registered, or disposed of, as applicable, based on the respective amount of Equity Interests owned by them.</w:t>
      </w:r>
    </w:p>
    <w:p>
      <w:pPr>
        <w:spacing w:after="0" w:line="167"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(a) Subject to the provisions of Section 2.01 or Section 2.02, in connection with the registration of the sale of Registrable Securities pursuant to a Demand Registration, any Takedown Offering or any Piggyback Registration hereunder, the Company will as promptly as reasonably practicable:</w:t>
      </w:r>
    </w:p>
    <w:p>
      <w:pPr>
        <w:spacing w:after="0" w:line="181" w:lineRule="exact"/>
        <w:rPr>
          <w:sz w:val="20"/>
          <w:szCs w:val="20"/>
          <w:color w:val="auto"/>
        </w:rPr>
      </w:pPr>
    </w:p>
    <w:p>
      <w:pPr>
        <w:ind w:left="660" w:firstLine="1293"/>
        <w:spacing w:after="0" w:line="293" w:lineRule="auto"/>
        <w:tabs>
          <w:tab w:leader="none" w:pos="2626" w:val="left"/>
        </w:tabs>
        <w:numPr>
          <w:ilvl w:val="0"/>
          <w:numId w:val="444"/>
        </w:numPr>
        <w:rPr>
          <w:rFonts w:ascii="Arial" w:cs="Arial" w:eastAsia="Arial" w:hAnsi="Arial"/>
          <w:sz w:val="16"/>
          <w:szCs w:val="16"/>
          <w:color w:val="auto"/>
        </w:rPr>
      </w:pPr>
      <w:r>
        <w:rPr>
          <w:rFonts w:ascii="Arial" w:cs="Arial" w:eastAsia="Arial" w:hAnsi="Arial"/>
          <w:sz w:val="16"/>
          <w:szCs w:val="16"/>
          <w:color w:val="auto"/>
        </w:rPr>
        <w:t>furnish to Holder without charge, prior to the filing of a Registration Statement, copies of such Registration Statement as it is proposed to be filed, and thereafter such number of copies of such Registration Statement, each amendment and supplement thereto (in each case including all exhibits thereto, including each preliminary prospectus), copies of any and all transmittal letters or other correspondence with the SEC relating to such Registration Statement and such other documents in such quantities as Holder may reasonably request from time to time in order to facilitate the disposition of such Registrable Securities (including in connection with any Takedown Offering), and give Holder and its Representatives a reasonable opportunity to review and comment on such Registration Statement prior to filing any such documents;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248" w:gutter="0" w:footer="0" w:header="0"/>
        </w:sectPr>
      </w:pPr>
    </w:p>
    <w:bookmarkStart w:id="149" w:name="page150"/>
    <w:bookmarkEnd w:id="149"/>
    <w:p>
      <w:pPr>
        <w:ind w:firstLine="1293"/>
        <w:spacing w:after="0" w:line="312" w:lineRule="auto"/>
        <w:tabs>
          <w:tab w:leader="none" w:pos="1976" w:val="left"/>
        </w:tabs>
        <w:numPr>
          <w:ilvl w:val="0"/>
          <w:numId w:val="445"/>
        </w:numPr>
        <w:rPr>
          <w:rFonts w:ascii="Arial" w:cs="Arial" w:eastAsia="Arial" w:hAnsi="Arial"/>
          <w:sz w:val="16"/>
          <w:szCs w:val="16"/>
          <w:color w:val="auto"/>
        </w:rPr>
      </w:pPr>
      <w:r>
        <w:rPr>
          <w:rFonts w:ascii="Arial" w:cs="Arial" w:eastAsia="Arial" w:hAnsi="Arial"/>
          <w:sz w:val="16"/>
          <w:szCs w:val="16"/>
          <w:color w:val="auto"/>
        </w:rPr>
        <w:t>(A) use its reasonable best efforts to cause the Company’s Representatives to supply all information reasonably requested by Holder, any Underwriter, or their Representatives in connection with the Registration Statement or Takedown Offering and (B) provide Holder and its Representatives with the opportunity to reasonably participate in the preparation of such Registration Statement and the related Prospectus;</w:t>
      </w:r>
    </w:p>
    <w:p>
      <w:pPr>
        <w:spacing w:after="0" w:line="146" w:lineRule="exact"/>
        <w:rPr>
          <w:rFonts w:ascii="Arial" w:cs="Arial" w:eastAsia="Arial" w:hAnsi="Arial"/>
          <w:sz w:val="16"/>
          <w:szCs w:val="16"/>
          <w:color w:val="auto"/>
        </w:rPr>
      </w:pPr>
    </w:p>
    <w:p>
      <w:pPr>
        <w:ind w:right="20" w:firstLine="1293"/>
        <w:spacing w:after="0" w:line="255" w:lineRule="auto"/>
        <w:tabs>
          <w:tab w:leader="none" w:pos="198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use its reasonable best efforts to register or qualify such Registrable Securities under such other securities or “blue sky” laws of such jurisdictions as Holder reasonably requests and do any and all other reasonable acts and things as may be reasonably necessary or advisable to enable Holder to consummate the disposition of such Registrable Securities in such jurisdictions;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in no event be required to (w) qualify generally to do business in any jurisdiction where it is not then so qualified, (x) subject itself to taxation in any jurisdiction where is not otherwise then so subject, (y) take any action that would subject it to service of process in suits other than those arising out of the offer and sale of the securities covered by the Registration Statement or (z) consent to general service of process in any jurisdiction where it is not then so subject;</w:t>
      </w:r>
    </w:p>
    <w:p>
      <w:pPr>
        <w:spacing w:after="0" w:line="189" w:lineRule="exact"/>
        <w:rPr>
          <w:rFonts w:ascii="Arial" w:cs="Arial" w:eastAsia="Arial" w:hAnsi="Arial"/>
          <w:sz w:val="18"/>
          <w:szCs w:val="18"/>
          <w:color w:val="auto"/>
        </w:rPr>
      </w:pPr>
    </w:p>
    <w:p>
      <w:pPr>
        <w:ind w:right="20" w:firstLine="1293"/>
        <w:spacing w:after="0" w:line="287" w:lineRule="auto"/>
        <w:tabs>
          <w:tab w:leader="none" w:pos="1962" w:val="left"/>
        </w:tabs>
        <w:numPr>
          <w:ilvl w:val="0"/>
          <w:numId w:val="445"/>
        </w:numPr>
        <w:rPr>
          <w:rFonts w:ascii="Arial" w:cs="Arial" w:eastAsia="Arial" w:hAnsi="Arial"/>
          <w:sz w:val="16"/>
          <w:szCs w:val="16"/>
          <w:color w:val="auto"/>
        </w:rPr>
      </w:pPr>
      <w:r>
        <w:rPr>
          <w:rFonts w:ascii="Arial" w:cs="Arial" w:eastAsia="Arial" w:hAnsi="Arial"/>
          <w:sz w:val="16"/>
          <w:szCs w:val="16"/>
          <w:color w:val="auto"/>
        </w:rPr>
        <w:t>notify Holder at any time when to the knowledge of the Company a prospectus relating to Registrable Securities is required to be delivered under the Securities Act and of the happening of any event as a result of which the Prospectus included in a Registration Statement or the Registration Statement or amendment or supplement relating to such Registration Statement or Prospectus contains an untrue statement of a material fact or omits to state any material fact required to be stated therein or necessary to make the statements therein, in the light of the circumstances under which they were made, not misleading (other than any such statement or omission with respect to information furnished to the Company in writing by, or at the direction of, any Holder or any Indemnified Persons expressly for use in such Registration Statement), and the Company will use its reasonable best efforts to promptly prepare and file with the SEC a supplement or amendment to such Prospectus and Registration Statement (and comply fully with the applicable provisions of Rules 424, 430A and 430B under the Securities Act in a timely manner) so that, as thereafter delivered to the purchasers of the Registrable Securities, such Prospectus and Registration Statement will not contain an untrue statement of a material fact or omit to state any material fact required to be stated therein or necessary to make the statements therein, in the light of the circumstances under which they were made, not misleading (other than any such statement or omission with respect to information furnished to the Company in writing by, or at the direction of, any Holder or any Indemnified Persons expressly for use in such Registration Statement);</w:t>
      </w:r>
    </w:p>
    <w:p>
      <w:pPr>
        <w:spacing w:after="0" w:line="168" w:lineRule="exact"/>
        <w:rPr>
          <w:rFonts w:ascii="Arial" w:cs="Arial" w:eastAsia="Arial" w:hAnsi="Arial"/>
          <w:sz w:val="16"/>
          <w:szCs w:val="16"/>
          <w:color w:val="auto"/>
        </w:rPr>
      </w:pPr>
    </w:p>
    <w:p>
      <w:pPr>
        <w:ind w:firstLine="1293"/>
        <w:spacing w:after="0" w:line="257" w:lineRule="auto"/>
        <w:tabs>
          <w:tab w:leader="none" w:pos="1952"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advise the Underwriter(s), if any, and Holder promptly and, if requested by such persons, confirm such advice in writing, of the issuance by the SEC of any stop order suspending the effectiveness of the Registration Statement under the Securities Act or of the suspension by any state securities commission of the qualification of the Registrable Securities for offering or sale in any jurisdiction, or the initiation of any proceeding for any of the preceding purposes. If at any time the SEC shall issue any stop order suspending the effectiveness of the Registration Statement, or any state</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securities commission or other regulatory authority shall issue an order suspending the qualification or exemption from qualification of the Registrable Securities under state securities or “blue sky” laws, the Company shall use its reasonable best efforts to obtain the withdrawal or lifting of such order as promptly as practicable;</w:t>
      </w:r>
    </w:p>
    <w:p>
      <w:pPr>
        <w:spacing w:after="0" w:line="181" w:lineRule="exact"/>
        <w:rPr>
          <w:sz w:val="20"/>
          <w:szCs w:val="20"/>
          <w:color w:val="auto"/>
        </w:rPr>
      </w:pPr>
    </w:p>
    <w:p>
      <w:pPr>
        <w:ind w:firstLine="1293"/>
        <w:spacing w:after="0" w:line="255" w:lineRule="auto"/>
        <w:tabs>
          <w:tab w:leader="none" w:pos="1962"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use its reasonable best efforts to cause such Registrable Securities to be registered with or approved by such other Governmental Entities as may be necessary by virtue of the business and operations of the Company to enable Holder to consummate the disposition of such Registrable Securities (including in connection with any Takedown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in no event be required to (w) qualify generally to do business in any jurisdiction where it is not then so qualified, (x) subject itself to taxation in any jurisdiction where is not otherwise then so subject, (y) take any action that would subject it to service of process in suits other than those arising out of the offer and sale of the securities covered by the Registration Statement or (z) consent to general service of process in any jurisdiction where it is not then so subject;</w:t>
      </w:r>
    </w:p>
    <w:p>
      <w:pPr>
        <w:spacing w:after="0" w:line="189" w:lineRule="exact"/>
        <w:rPr>
          <w:rFonts w:ascii="Arial" w:cs="Arial" w:eastAsia="Arial" w:hAnsi="Arial"/>
          <w:sz w:val="18"/>
          <w:szCs w:val="18"/>
          <w:color w:val="auto"/>
        </w:rPr>
      </w:pPr>
    </w:p>
    <w:p>
      <w:pPr>
        <w:ind w:right="40" w:firstLine="1293"/>
        <w:spacing w:after="0" w:line="259" w:lineRule="auto"/>
        <w:tabs>
          <w:tab w:leader="none" w:pos="1971" w:val="left"/>
        </w:tabs>
        <w:numPr>
          <w:ilvl w:val="0"/>
          <w:numId w:val="446"/>
        </w:numPr>
        <w:rPr>
          <w:rFonts w:ascii="Arial" w:cs="Arial" w:eastAsia="Arial" w:hAnsi="Arial"/>
          <w:sz w:val="18"/>
          <w:szCs w:val="18"/>
          <w:color w:val="auto"/>
        </w:rPr>
      </w:pPr>
      <w:r>
        <w:rPr>
          <w:rFonts w:ascii="Arial" w:cs="Arial" w:eastAsia="Arial" w:hAnsi="Arial"/>
          <w:sz w:val="18"/>
          <w:szCs w:val="18"/>
          <w:color w:val="auto"/>
        </w:rPr>
        <w:t>enter into customary agreements and use reasonable best efforts to take such other actions as are reasonably requested by Holder in order to expedite or facilitate the disposition of such Registrable Securities, including, subject to the provisions of Section 2.01(c) with respect to Underwritten Offerings, preparing for and participating in a road show and all such other customary selling efforts as the Underwriters, if any, or Holder, reasonably request in order to expedite or facilitate such disposition;</w:t>
      </w:r>
    </w:p>
    <w:p>
      <w:pPr>
        <w:spacing w:after="0" w:line="186" w:lineRule="exact"/>
        <w:rPr>
          <w:rFonts w:ascii="Arial" w:cs="Arial" w:eastAsia="Arial" w:hAnsi="Arial"/>
          <w:sz w:val="18"/>
          <w:szCs w:val="18"/>
          <w:color w:val="auto"/>
        </w:rPr>
      </w:pPr>
    </w:p>
    <w:p>
      <w:pPr>
        <w:ind w:right="40" w:firstLine="1293"/>
        <w:spacing w:after="0" w:line="255" w:lineRule="auto"/>
        <w:tabs>
          <w:tab w:leader="none" w:pos="1981"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if requested by Holder or the Underwriter(s), if any, promptly include in any Registration Statement or Prospectus, pursuant to a prospectus supplement or post-effective amendment if necessary, such information as Holder and such Underwriter(s), if any, may reasonably request to have included therein, including information relating to the “Plan of Distribution” of the Registrable Securities, information with respect to the number of Registrable Securities being sold to such Underwriter(s), the purchase price being paid therefor and any other terms of the offering of the Registrable Securities to be sold in such offering, and make all required filings of such prospectus supplement or post-effective amendment as soon as practicable after the Company is notified of the matters to be included in such prospectus supplement or post-effective amendment;</w:t>
      </w:r>
    </w:p>
    <w:p>
      <w:pPr>
        <w:spacing w:after="0" w:line="189" w:lineRule="exact"/>
        <w:rPr>
          <w:rFonts w:ascii="Arial" w:cs="Arial" w:eastAsia="Arial" w:hAnsi="Arial"/>
          <w:sz w:val="18"/>
          <w:szCs w:val="18"/>
          <w:color w:val="auto"/>
        </w:rPr>
      </w:pPr>
    </w:p>
    <w:p>
      <w:pPr>
        <w:ind w:right="120" w:firstLine="1293"/>
        <w:spacing w:after="0" w:line="293" w:lineRule="auto"/>
        <w:tabs>
          <w:tab w:leader="none" w:pos="1962" w:val="left"/>
        </w:tabs>
        <w:numPr>
          <w:ilvl w:val="0"/>
          <w:numId w:val="446"/>
        </w:numPr>
        <w:rPr>
          <w:rFonts w:ascii="Arial" w:cs="Arial" w:eastAsia="Arial" w:hAnsi="Arial"/>
          <w:sz w:val="16"/>
          <w:szCs w:val="16"/>
          <w:color w:val="auto"/>
        </w:rPr>
      </w:pPr>
      <w:r>
        <w:rPr>
          <w:rFonts w:ascii="Arial" w:cs="Arial" w:eastAsia="Arial" w:hAnsi="Arial"/>
          <w:sz w:val="16"/>
          <w:szCs w:val="16"/>
          <w:color w:val="auto"/>
        </w:rPr>
        <w:t>except to the extent prohibited by applicable Law and subject to entry into a customary confidentiality agreement or arrangement, make available, after reasonable advance notice, for inspection by Holder, any Underwriter participating in any disposition of such Registrable Securities, and any Representative for Holder and/or such Underwriter (collectively, the “</w:t>
      </w:r>
      <w:r>
        <w:rPr>
          <w:rFonts w:ascii="Arial" w:cs="Arial" w:eastAsia="Arial" w:hAnsi="Arial"/>
          <w:sz w:val="16"/>
          <w:szCs w:val="16"/>
          <w:i w:val="1"/>
          <w:iCs w:val="1"/>
          <w:u w:val="single" w:color="auto"/>
          <w:color w:val="auto"/>
        </w:rPr>
        <w:t>Inspectors</w:t>
      </w:r>
      <w:r>
        <w:rPr>
          <w:rFonts w:ascii="Arial" w:cs="Arial" w:eastAsia="Arial" w:hAnsi="Arial"/>
          <w:sz w:val="16"/>
          <w:szCs w:val="16"/>
          <w:color w:val="auto"/>
        </w:rPr>
        <w:t>”), during normal business hours at the offices where such information is normally kept or in such other manner as Holder may reasonably request, any financial and other records and corporate documents of the Company (collectively, the “</w:t>
      </w:r>
      <w:r>
        <w:rPr>
          <w:rFonts w:ascii="Arial" w:cs="Arial" w:eastAsia="Arial" w:hAnsi="Arial"/>
          <w:sz w:val="16"/>
          <w:szCs w:val="16"/>
          <w:i w:val="1"/>
          <w:iCs w:val="1"/>
          <w:u w:val="single" w:color="auto"/>
          <w:color w:val="auto"/>
        </w:rPr>
        <w:t>Records</w:t>
      </w:r>
      <w:r>
        <w:rPr>
          <w:rFonts w:ascii="Arial" w:cs="Arial" w:eastAsia="Arial" w:hAnsi="Arial"/>
          <w:sz w:val="16"/>
          <w:szCs w:val="16"/>
          <w:color w:val="auto"/>
        </w:rPr>
        <w:t>”) as will be reasonably necessary to enable them to conduct reasonable and customary due diligence with respect to the Company and the related Registration Statement and Prospectus and request the Representatives of the</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 xml:space="preserve">Company and its Subsidiaries to supply all information reasonably requested by any such Inspector;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Records and information obtained hereunder will be used by such Inspectors solely to conduct such due diligence and will not be used for any other purpose;</w:t>
      </w:r>
    </w:p>
    <w:p>
      <w:pPr>
        <w:sectPr>
          <w:pgSz w:w="11900" w:h="16838" w:orient="portrait"/>
          <w:cols w:equalWidth="0" w:num="1">
            <w:col w:w="10720"/>
          </w:cols>
          <w:pgMar w:left="900" w:top="341" w:right="279" w:bottom="0" w:gutter="0" w:footer="0" w:header="0"/>
        </w:sectPr>
      </w:pPr>
    </w:p>
    <w:bookmarkStart w:id="150" w:name="page151"/>
    <w:bookmarkEnd w:id="150"/>
    <w:p>
      <w:pPr>
        <w:ind w:left="660" w:right="20" w:firstLine="1293"/>
        <w:spacing w:after="0" w:line="291" w:lineRule="auto"/>
        <w:tabs>
          <w:tab w:leader="none" w:pos="2612" w:val="left"/>
        </w:tabs>
        <w:numPr>
          <w:ilvl w:val="0"/>
          <w:numId w:val="447"/>
        </w:numPr>
        <w:rPr>
          <w:rFonts w:ascii="Arial" w:cs="Arial" w:eastAsia="Arial" w:hAnsi="Arial"/>
          <w:sz w:val="16"/>
          <w:szCs w:val="16"/>
          <w:color w:val="auto"/>
        </w:rPr>
      </w:pPr>
      <w:r>
        <w:rPr>
          <w:rFonts w:ascii="Arial" w:cs="Arial" w:eastAsia="Arial" w:hAnsi="Arial"/>
          <w:sz w:val="16"/>
          <w:szCs w:val="16"/>
          <w:color w:val="auto"/>
        </w:rPr>
        <w:t xml:space="preserve">use its reasonable best efforts to obtain and deliver to each Underwriter and Holder a comfort letter from the independent registered public accounting firm for the Company (and additional comfort letters from the independent registered public accounting firm for any company acquired by the Company whose financial statements are included or incorporated by reference in the Registration Statement) in customary form and covering such matters as are customarily covered by comfort letters as such Underwriter and Holder may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fails to obtain such comfort letter and the relevant offering is abandoned, then such Demand Registration or Takedown</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will not count as a Demand Registration or Takedown Offering, as applicable, for purposes of determining when future Demand Registrations or Takedown Offerings may be requested by Holder pursuant to Section 2.01(a)(ii) or Section 2.01(b)(i);</w:t>
      </w:r>
    </w:p>
    <w:p>
      <w:pPr>
        <w:spacing w:after="0" w:line="167" w:lineRule="exact"/>
        <w:rPr>
          <w:rFonts w:ascii="Arial" w:cs="Arial" w:eastAsia="Arial" w:hAnsi="Arial"/>
          <w:sz w:val="16"/>
          <w:szCs w:val="16"/>
          <w:color w:val="auto"/>
        </w:rPr>
      </w:pPr>
    </w:p>
    <w:p>
      <w:pPr>
        <w:ind w:left="660" w:right="20" w:firstLine="1293"/>
        <w:spacing w:after="0" w:line="273" w:lineRule="auto"/>
        <w:tabs>
          <w:tab w:leader="none" w:pos="2622" w:val="left"/>
        </w:tabs>
        <w:numPr>
          <w:ilvl w:val="0"/>
          <w:numId w:val="447"/>
        </w:numPr>
        <w:rPr>
          <w:rFonts w:ascii="Arial" w:cs="Arial" w:eastAsia="Arial" w:hAnsi="Arial"/>
          <w:sz w:val="17"/>
          <w:szCs w:val="17"/>
          <w:color w:val="auto"/>
        </w:rPr>
      </w:pPr>
      <w:r>
        <w:rPr>
          <w:rFonts w:ascii="Arial" w:cs="Arial" w:eastAsia="Arial" w:hAnsi="Arial"/>
          <w:sz w:val="17"/>
          <w:szCs w:val="17"/>
          <w:color w:val="auto"/>
        </w:rPr>
        <w:t xml:space="preserve">use its reasonable best efforts to obtain and deliver to each Underwriter and Holder a 10b-5 statement and legal opinion from the Company’s counsel in customary form and covering such matters as are customarily covered by 10b-5 statements and legal opinions delivered to Underwriters in Underwritten Offerings as such Underwriter and/or Holder may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fails to obtain such 10b-5 statement and legal opinion and the relevant offering is abandoned, then such Demand Registration or Takedown Offering will not count as a Demand Registration or Takedown Offering, as applicable, for purposes of determining when future Demand Registrations or Takedown Offerings may be requested by Holder pursuant to Section 2.01(a)(ii) or Section 2.01(b)(i);</w:t>
      </w:r>
    </w:p>
    <w:p>
      <w:pPr>
        <w:spacing w:after="0" w:line="178" w:lineRule="exact"/>
        <w:rPr>
          <w:rFonts w:ascii="Arial" w:cs="Arial" w:eastAsia="Arial" w:hAnsi="Arial"/>
          <w:sz w:val="17"/>
          <w:szCs w:val="17"/>
          <w:color w:val="auto"/>
        </w:rPr>
      </w:pPr>
    </w:p>
    <w:p>
      <w:pPr>
        <w:ind w:left="660" w:right="80" w:firstLine="1293"/>
        <w:spacing w:after="0" w:line="257" w:lineRule="auto"/>
        <w:tabs>
          <w:tab w:leader="none" w:pos="2631" w:val="left"/>
        </w:tabs>
        <w:numPr>
          <w:ilvl w:val="0"/>
          <w:numId w:val="447"/>
        </w:numPr>
        <w:rPr>
          <w:rFonts w:ascii="Arial" w:cs="Arial" w:eastAsia="Arial" w:hAnsi="Arial"/>
          <w:sz w:val="18"/>
          <w:szCs w:val="18"/>
          <w:color w:val="auto"/>
        </w:rPr>
      </w:pPr>
      <w:r>
        <w:rPr>
          <w:rFonts w:ascii="Arial" w:cs="Arial" w:eastAsia="Arial" w:hAnsi="Arial"/>
          <w:sz w:val="18"/>
          <w:szCs w:val="18"/>
          <w:color w:val="auto"/>
        </w:rPr>
        <w:t>otherwise use its reasonable best efforts to comply with all applicable rules and regulations of the SEC and make generally available to its security holders, within the required time period, an earnings statement covering a period of 12 months, beginning with the first fiscal quarter after the effective date of the Registration Statement relating to such Registrable Securities (as the term “effective date” is defined in Rule 158(c) under the Securities Act), which earnings statement will satisfy the provisions of Section 11(a) of the Securities Act and Rule 158 thereunder or any successor provisions thereto;</w:t>
      </w:r>
    </w:p>
    <w:p>
      <w:pPr>
        <w:spacing w:after="0" w:line="188" w:lineRule="exact"/>
        <w:rPr>
          <w:rFonts w:ascii="Arial" w:cs="Arial" w:eastAsia="Arial" w:hAnsi="Arial"/>
          <w:sz w:val="18"/>
          <w:szCs w:val="18"/>
          <w:color w:val="auto"/>
        </w:rPr>
      </w:pPr>
    </w:p>
    <w:p>
      <w:pPr>
        <w:ind w:left="660" w:right="660" w:firstLine="1293"/>
        <w:spacing w:after="0" w:line="308" w:lineRule="auto"/>
        <w:tabs>
          <w:tab w:leader="none" w:pos="2641" w:val="left"/>
        </w:tabs>
        <w:numPr>
          <w:ilvl w:val="0"/>
          <w:numId w:val="447"/>
        </w:numPr>
        <w:rPr>
          <w:rFonts w:ascii="Arial" w:cs="Arial" w:eastAsia="Arial" w:hAnsi="Arial"/>
          <w:sz w:val="17"/>
          <w:szCs w:val="17"/>
          <w:color w:val="auto"/>
        </w:rPr>
      </w:pPr>
      <w:r>
        <w:rPr>
          <w:rFonts w:ascii="Arial" w:cs="Arial" w:eastAsia="Arial" w:hAnsi="Arial"/>
          <w:sz w:val="17"/>
          <w:szCs w:val="17"/>
          <w:color w:val="auto"/>
        </w:rPr>
        <w:t>use reasonable best efforts to provide and cause to be maintained a transfer agent and registrar for all Registrable Securities covered by such Registration Statement not later than the effective date of such Registration Statement;</w:t>
      </w:r>
    </w:p>
    <w:p>
      <w:pPr>
        <w:spacing w:after="0" w:line="146" w:lineRule="exact"/>
        <w:rPr>
          <w:rFonts w:ascii="Arial" w:cs="Arial" w:eastAsia="Arial" w:hAnsi="Arial"/>
          <w:sz w:val="17"/>
          <w:szCs w:val="17"/>
          <w:color w:val="auto"/>
        </w:rPr>
      </w:pPr>
    </w:p>
    <w:p>
      <w:pPr>
        <w:ind w:left="660" w:right="40" w:firstLine="1293"/>
        <w:spacing w:after="0" w:line="312" w:lineRule="auto"/>
        <w:tabs>
          <w:tab w:leader="none" w:pos="2617"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to the extent Registrable Securities are certificated, cooperate with Holder and the lead Underwriter or Underwriters, if any, to facilitate the timely preparation and delivery of certificates representing the Registrable Securities to be sold under the Registration Statement in a form eligible for deposit with The Depository Trust Company not bearing any restrictive legends and not subject to any stop transfer order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with any transfer agent, and cause such Registrable Securities to be issued in such denominations and registered in such names as the lead Underwriter or Underwriters, if any, may request in writing or, if not an Underwritten Offering, in accordance with the instructions of Holder, in each case in connection with the closing of any sale of Registrable Securities;</w:t>
      </w:r>
    </w:p>
    <w:p>
      <w:pPr>
        <w:spacing w:after="0" w:line="181" w:lineRule="exact"/>
        <w:rPr>
          <w:sz w:val="20"/>
          <w:szCs w:val="20"/>
          <w:color w:val="auto"/>
        </w:rPr>
      </w:pPr>
    </w:p>
    <w:p>
      <w:pPr>
        <w:ind w:left="2600" w:hanging="647"/>
        <w:spacing w:after="0"/>
        <w:tabs>
          <w:tab w:leader="none" w:pos="260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not later than the effective date of the applicable Registration Statement, provide a CUSIP number for all Registrable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and</w:t>
      </w:r>
    </w:p>
    <w:p>
      <w:pPr>
        <w:spacing w:after="0" w:line="211" w:lineRule="exact"/>
        <w:rPr>
          <w:sz w:val="20"/>
          <w:szCs w:val="20"/>
          <w:color w:val="auto"/>
        </w:rPr>
      </w:pPr>
    </w:p>
    <w:p>
      <w:pPr>
        <w:ind w:left="660" w:right="120" w:firstLine="1293"/>
        <w:spacing w:after="0" w:line="264" w:lineRule="auto"/>
        <w:tabs>
          <w:tab w:leader="none" w:pos="2617" w:val="left"/>
        </w:tabs>
        <w:numPr>
          <w:ilvl w:val="1"/>
          <w:numId w:val="449"/>
        </w:numPr>
        <w:rPr>
          <w:rFonts w:ascii="Arial" w:cs="Arial" w:eastAsia="Arial" w:hAnsi="Arial"/>
          <w:sz w:val="18"/>
          <w:szCs w:val="18"/>
          <w:color w:val="auto"/>
        </w:rPr>
      </w:pPr>
      <w:r>
        <w:rPr>
          <w:rFonts w:ascii="Arial" w:cs="Arial" w:eastAsia="Arial" w:hAnsi="Arial"/>
          <w:sz w:val="18"/>
          <w:szCs w:val="18"/>
          <w:color w:val="auto"/>
        </w:rPr>
        <w:t>use its reasonable best efforts to cause such Registrable Securities to be listed or quoted on the NASDAQ or, if Common Stock is not then listed on the NASDAQ, then on such other securities exchange or national quotation system on which the Common Stock is then listed or quoted.</w:t>
      </w:r>
    </w:p>
    <w:p>
      <w:pPr>
        <w:spacing w:after="0" w:line="181" w:lineRule="exact"/>
        <w:rPr>
          <w:rFonts w:ascii="Arial" w:cs="Arial" w:eastAsia="Arial" w:hAnsi="Arial"/>
          <w:sz w:val="18"/>
          <w:szCs w:val="18"/>
          <w:color w:val="auto"/>
        </w:rPr>
      </w:pPr>
    </w:p>
    <w:p>
      <w:pPr>
        <w:ind w:right="40" w:firstLine="1305"/>
        <w:spacing w:after="0" w:line="293" w:lineRule="auto"/>
        <w:tabs>
          <w:tab w:leader="none" w:pos="1952" w:val="left"/>
        </w:tabs>
        <w:numPr>
          <w:ilvl w:val="0"/>
          <w:numId w:val="450"/>
        </w:numPr>
        <w:rPr>
          <w:rFonts w:ascii="Arial" w:cs="Arial" w:eastAsia="Arial" w:hAnsi="Arial"/>
          <w:sz w:val="16"/>
          <w:szCs w:val="16"/>
          <w:color w:val="auto"/>
        </w:rPr>
      </w:pPr>
      <w:r>
        <w:rPr>
          <w:rFonts w:ascii="Arial" w:cs="Arial" w:eastAsia="Arial" w:hAnsi="Arial"/>
          <w:sz w:val="16"/>
          <w:szCs w:val="16"/>
          <w:color w:val="auto"/>
        </w:rPr>
        <w:t xml:space="preserve">In connection with the Registration Statement relating to such Registrable Securities covering an Underwritten Offering (including any Takedown Offering), the Company and Holder agree to enter into a written agreement with the Underwriters selected in the manner herein provided in such form and containing such provisions as are customary in the securities business for such an arrangement (it being understood that, unless otherwise required by the Securities Act or any other Law, the Company will not require Holder to make any representation, warranty or agreement in such agreement other than with respect to Holder, authority to enter into the underwriting agreement, the ownership of Shareholder’s Registrable Securities being registered and Holder’s intended method of disposition, or information furnished by Holder expressly for use in any Registration Statement or Prospectus), and agreements with respect to limitations on Transfer relating to any Equity Interests of the Company or convertible or exchangeable for Equity Interests of the Company (including any sales under Rule 144) and public announcements relating to the foregoing as are then customary in underwriting agreements for registered underwritten offerings;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limitations shall not continue beyond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closing of the related Underwritten Offering.</w:t>
      </w:r>
    </w:p>
    <w:p>
      <w:pPr>
        <w:spacing w:after="0" w:line="83" w:lineRule="exact"/>
        <w:rPr>
          <w:sz w:val="20"/>
          <w:szCs w:val="20"/>
          <w:color w:val="auto"/>
        </w:rPr>
      </w:pPr>
    </w:p>
    <w:p>
      <w:pPr>
        <w:ind w:right="460" w:firstLine="1297"/>
        <w:spacing w:after="0" w:line="26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Conditions to Offerings</w:t>
      </w:r>
      <w:r>
        <w:rPr>
          <w:rFonts w:ascii="Arial" w:cs="Arial" w:eastAsia="Arial" w:hAnsi="Arial"/>
          <w:sz w:val="18"/>
          <w:szCs w:val="18"/>
          <w:color w:val="auto"/>
        </w:rPr>
        <w:t>. (a) The obligations of the Company to take the actions contemplated by Section 2.01, Section 2.02 and Section 2.04 with respect to an offering of Registrable Securities (including any Takedown Offering) will be subject to the following conditions:</w:t>
      </w:r>
    </w:p>
    <w:p>
      <w:pPr>
        <w:spacing w:after="0" w:line="181" w:lineRule="exact"/>
        <w:rPr>
          <w:sz w:val="20"/>
          <w:szCs w:val="20"/>
          <w:color w:val="auto"/>
        </w:rPr>
      </w:pPr>
    </w:p>
    <w:p>
      <w:pPr>
        <w:ind w:left="660" w:right="60" w:firstLine="1293"/>
        <w:spacing w:after="0" w:line="279" w:lineRule="auto"/>
        <w:tabs>
          <w:tab w:leader="none" w:pos="2626"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Company may require Holder to furnish to the Company such information regarding Holder, the Investors, the Registrable Securities or the distribution of such Registrable Securities as the Company may from time to time reasonably request in writing, in each case to the extent reasonably required by the Securities Act and the rules and regulations promulgated thereunder, or under state securities or “blue sky” laws or by the SEC or its staff (including pursuant to any guidance released by the SEC or its staff); and</w:t>
      </w:r>
    </w:p>
    <w:p>
      <w:pPr>
        <w:spacing w:after="0" w:line="171" w:lineRule="exact"/>
        <w:rPr>
          <w:rFonts w:ascii="Arial" w:cs="Arial" w:eastAsia="Arial" w:hAnsi="Arial"/>
          <w:sz w:val="17"/>
          <w:szCs w:val="17"/>
          <w:color w:val="auto"/>
        </w:rPr>
      </w:pPr>
    </w:p>
    <w:p>
      <w:pPr>
        <w:ind w:left="660" w:right="80" w:firstLine="1293"/>
        <w:spacing w:after="0" w:line="264" w:lineRule="auto"/>
        <w:tabs>
          <w:tab w:leader="none" w:pos="263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any Underwritten Offering pursuant to Section 2.01 or Section 2.02, Holder, together with the Company and any other holders of the Company’s securities proposing to include securities in any Underwritten Offering, will enter into an underwriting agreement in accordance with Section 2.04(b) with the Underwriter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Underwriters selected for such underwriting, as well as such other documents customary in similar offerings.</w:t>
      </w:r>
    </w:p>
    <w:p>
      <w:pPr>
        <w:spacing w:after="0" w:line="225" w:lineRule="exact"/>
        <w:rPr>
          <w:sz w:val="20"/>
          <w:szCs w:val="20"/>
          <w:color w:val="auto"/>
        </w:rPr>
      </w:pPr>
    </w:p>
    <w:p>
      <w:pPr>
        <w:ind w:left="1960" w:hanging="655"/>
        <w:spacing w:after="0"/>
        <w:tabs>
          <w:tab w:leader="none" w:pos="196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Holder agrees that, upon receipt of any notice from the Company of the happening of any event of the kind described in</w:t>
      </w:r>
    </w:p>
    <w:p>
      <w:pPr>
        <w:spacing w:after="0" w:line="3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Section 2.04(a)(iv) or Section 2.04(a)(v) or a condition described in Section 2.06, Holder will forthwith discontinue disposition of such Registrable Securities pursuant to the Registration Statement covering the sale of such Registrable Securities or Takedown Offering until Holder’s receipt of the copies of the</w:t>
      </w:r>
    </w:p>
    <w:p>
      <w:pPr>
        <w:sectPr>
          <w:pgSz w:w="11900" w:h="16838" w:orient="portrait"/>
          <w:cols w:equalWidth="0" w:num="1">
            <w:col w:w="11420"/>
          </w:cols>
          <w:pgMar w:left="240" w:top="125" w:right="239" w:bottom="0" w:gutter="0" w:footer="0" w:header="0"/>
        </w:sectPr>
      </w:pPr>
    </w:p>
    <w:bookmarkStart w:id="151" w:name="page152"/>
    <w:bookmarkEnd w:id="151"/>
    <w:p>
      <w:pPr>
        <w:spacing w:after="0" w:line="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supplemented or amended Prospectus or Registration Statement contemplated by Section 2.04(a)(iv) or notice from the Company of the termination of the stop order or Suspension Period.</w:t>
      </w:r>
    </w:p>
    <w:p>
      <w:pPr>
        <w:spacing w:after="0" w:line="170"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u w:val="single" w:color="auto"/>
          <w:color w:val="auto"/>
        </w:rPr>
        <w:t>Suspension Period</w:t>
      </w:r>
      <w:r>
        <w:rPr>
          <w:rFonts w:ascii="Arial" w:cs="Arial" w:eastAsia="Arial" w:hAnsi="Arial"/>
          <w:sz w:val="15"/>
          <w:szCs w:val="15"/>
          <w:color w:val="auto"/>
        </w:rPr>
        <w:t>.</w:t>
      </w:r>
    </w:p>
    <w:p>
      <w:pPr>
        <w:spacing w:after="0" w:line="225" w:lineRule="exact"/>
        <w:rPr>
          <w:sz w:val="20"/>
          <w:szCs w:val="20"/>
          <w:color w:val="auto"/>
        </w:rPr>
      </w:pPr>
    </w:p>
    <w:p>
      <w:pPr>
        <w:ind w:right="60" w:firstLine="1305"/>
        <w:spacing w:after="0" w:line="285" w:lineRule="auto"/>
        <w:tabs>
          <w:tab w:leader="none" w:pos="1942" w:val="left"/>
        </w:tabs>
        <w:numPr>
          <w:ilvl w:val="0"/>
          <w:numId w:val="45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(i) Holder shall suspend the use of the Prospectus included in any Automatic Shelf Registration Statement or Registration Statement for resales of Registrable Securities pursuant to Section 2.01 and postpone the filing and suspend the use of any Registration Statement pursuant to Section 2.01, in each case during any Scheduled Black-out Period and (ii) the Company shall be entitled, from time to time, by providing prior written notice to Holder, to require Holder to suspend the use of the Prospectus included in any Automatic Shelf Registration Statement for resales of Registrable Securities pursuant to Section 2.01(a) or Section 2.02 or to postpone the filing or suspend the use of any Registration Statement pursuant to Section 2.01(b) or Section 2.02 for a reasonable period of time not to exceed 90 days in succession (or a longer period of time with the prior written consent of Holder, which consent shall not be unreasonably withheld), 180 days in the aggregate in any one-year period or three times in any one-year period (a “</w:t>
      </w:r>
      <w:r>
        <w:rPr>
          <w:rFonts w:ascii="Arial" w:cs="Arial" w:eastAsia="Arial" w:hAnsi="Arial"/>
          <w:sz w:val="16"/>
          <w:szCs w:val="16"/>
          <w:i w:val="1"/>
          <w:iCs w:val="1"/>
          <w:u w:val="single" w:color="auto"/>
          <w:color w:val="auto"/>
        </w:rPr>
        <w:t>Suspension Period</w:t>
      </w:r>
      <w:r>
        <w:rPr>
          <w:rFonts w:ascii="Arial" w:cs="Arial" w:eastAsia="Arial" w:hAnsi="Arial"/>
          <w:sz w:val="16"/>
          <w:szCs w:val="16"/>
          <w:color w:val="auto"/>
        </w:rPr>
        <w:t>”) if (A) the Company determines in good faith that effecting the registration (or permitting sales under an effective registration) during the period specified in such notice would materially and adversely affect an offering of securities of the Company, (B) the Company is in possession of material non-public information and the Company determines in good faith that the disclosure of such information during the period specified in such notice would be materially detrimental to the Company, or (C) the Company shall determine that it is required to disclose in any such Registration Statement, Prospectus or prospectus supplement a contemplated financing, acquisition, corporate reorganization or other similar transaction or other material event or circumstance affecting the Company or its securities, and the Company determines in good faith that the disclosure of such information during the period specified in such notice would be materially detrimental to the Company or the holders of its Common Stock. In the event of any such suspension pursuant to clause (ii), the Company shall furnish to Holder a written notice setting forth the estimated length of the anticipated delay. The Company will notify Holder promptly upon the termination of the Suspension Period. Upon notice by the Company to Holder of any determination to commence a Suspension Period, Holder shall, except as required by applicable Law, keep the fact of any such Suspension Period strictly confidential, and during any Suspension Period, promptly halt any offer, sale (including sales pursuant to Rule 144), trading or transfer of any Common Stock for the duration of the Suspension Period until the Company has provided notice that the Suspension Period has been terminated. For the avoidance of doubt, nothing contained in this Section 2.06 shall relieve the Company of its obligations under Section 2.01.</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7" w:lineRule="auto"/>
        <w:tabs>
          <w:tab w:leader="none" w:pos="195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After the expiration of any Suspension Period and without any further request from a holder of Equity Interests, the Company shall as promptly as reasonably practicable prepare a Registration Statement or post-effective amendment or supplement to the applicable Registration Statement or Prospectus, or any document incorporated therein by reference, or file any other required document so that, as thereafter delivered to purchasers of the Registrable Securities included therein, the Prospectus will not include a material misstatement or omission or be not effective and useable for resale of Registrable Securities.</w:t>
      </w:r>
    </w:p>
    <w:p>
      <w:pPr>
        <w:spacing w:after="0" w:line="188"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All fees and expenses incident to the Company’s performance of or compliance with the obligations of this Article II will be borne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Holder will bear and pay any underwriting discounts, fees, commissions and related fees and out of pocket expenses of any Underwriters and such Underwriters’ counsel applicable to Registrable Securities offered for its account pursuant to any Registration Statement (including in connection with any Takedown Offering).</w:t>
      </w:r>
    </w:p>
    <w:p>
      <w:pPr>
        <w:spacing w:after="0" w:line="187" w:lineRule="exact"/>
        <w:rPr>
          <w:sz w:val="20"/>
          <w:szCs w:val="20"/>
          <w:color w:val="auto"/>
        </w:rPr>
      </w:pPr>
    </w:p>
    <w:p>
      <w:pPr>
        <w:ind w:right="40" w:firstLine="1297"/>
        <w:spacing w:after="0" w:line="288"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Indemnification; Contribution</w:t>
      </w:r>
      <w:r>
        <w:rPr>
          <w:rFonts w:ascii="Arial" w:cs="Arial" w:eastAsia="Arial" w:hAnsi="Arial"/>
          <w:sz w:val="16"/>
          <w:szCs w:val="16"/>
          <w:color w:val="auto"/>
        </w:rPr>
        <w:t>. (a) In connection with any registration of Registrable Securities or Takedown Offering pursuant to Section 2.01 or Section 2.02, the Company will indemnify, defend and hold harmless Holder, its Affiliates, directors, officers and shareholders and each person who controls Holder within the meaning of either Section 15 of the Securities Act or Section 20 of the Exchange Act (collectively, the “</w:t>
      </w:r>
      <w:r>
        <w:rPr>
          <w:rFonts w:ascii="Arial" w:cs="Arial" w:eastAsia="Arial" w:hAnsi="Arial"/>
          <w:sz w:val="16"/>
          <w:szCs w:val="16"/>
          <w:i w:val="1"/>
          <w:iCs w:val="1"/>
          <w:u w:val="single" w:color="auto"/>
          <w:color w:val="auto"/>
        </w:rPr>
        <w:t>Indemnified Persons</w:t>
      </w:r>
      <w:r>
        <w:rPr>
          <w:rFonts w:ascii="Arial" w:cs="Arial" w:eastAsia="Arial" w:hAnsi="Arial"/>
          <w:sz w:val="16"/>
          <w:szCs w:val="16"/>
          <w:color w:val="auto"/>
        </w:rPr>
        <w:t xml:space="preserve">”) from and against any and all Losses caused by any untrue or alleged untrue statement of material fact contained in any part of any Registration Statement or any Prospectus, including any amendment or supplement thereto, used in connection with the Registrable Securities or any Issuer FWP, or any omission or alleged omission to state therein a material fact required to be stated therein or necessary to make the statements therein (in the case of a Prospectus,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will not be required to indemnify any Indemnified Person for any Losses resulting from any such untrue statement or omission if such untrue statement or omission was made in reliance on and in conformity with information with respect to any Indemnified Person furnished to the Company in writing by, or at the direction of, Holder or any Indemnified Person expressly for use in such Registration Statement, Prospectus or Issuer FWP.</w:t>
      </w:r>
    </w:p>
    <w:p>
      <w:pPr>
        <w:spacing w:after="0" w:line="169" w:lineRule="exact"/>
        <w:rPr>
          <w:sz w:val="20"/>
          <w:szCs w:val="20"/>
          <w:color w:val="auto"/>
        </w:rPr>
      </w:pPr>
    </w:p>
    <w:p>
      <w:pPr>
        <w:ind w:right="40" w:firstLine="1305"/>
        <w:spacing w:after="0" w:line="271" w:lineRule="auto"/>
        <w:tabs>
          <w:tab w:leader="none" w:pos="1952" w:val="left"/>
        </w:tabs>
        <w:numPr>
          <w:ilvl w:val="0"/>
          <w:numId w:val="455"/>
        </w:numPr>
        <w:rPr>
          <w:rFonts w:ascii="Arial" w:cs="Arial" w:eastAsia="Arial" w:hAnsi="Arial"/>
          <w:sz w:val="17"/>
          <w:szCs w:val="17"/>
          <w:color w:val="auto"/>
        </w:rPr>
      </w:pPr>
      <w:r>
        <w:rPr>
          <w:rFonts w:ascii="Arial" w:cs="Arial" w:eastAsia="Arial" w:hAnsi="Arial"/>
          <w:sz w:val="17"/>
          <w:szCs w:val="17"/>
          <w:color w:val="auto"/>
        </w:rPr>
        <w:t>In connection with any Registration Statement, Prospectus or Issuer FWP, each Holder, on a several but not joint and several basis, will indemnify, defend and hold harmless the Company, its directors, its officers and each person, if any, who controls the Company (within the meaning of either Section 15 of the Securities Act or Section 20 of the Exchange Act) from and against any and all Losses caused by any untrue or alleged untrue statement of material fact contained in any part of any Registration Statement or any Prospectus, including any amendment or supplement thereto, used in connection with the Registrable Securities or any Issuer FWP, or any omission or alleged omission to state therein a material fact required to be stated therein or necessary to make the statements therein (in the case of a Prospectus, in the light of the circumstances under which they were made) not misleading, but only with respect to information furnished to the Company in writing by, or at direction of, such Holder or any Indemnified Persons related to such Holder expressly for use in such Registration Statement, Prospectus or Issuer FWP.</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87" w:lineRule="auto"/>
        <w:tabs>
          <w:tab w:leader="none" w:pos="1955" w:val="left"/>
        </w:tabs>
        <w:numPr>
          <w:ilvl w:val="0"/>
          <w:numId w:val="456"/>
        </w:numPr>
        <w:rPr>
          <w:rFonts w:ascii="Arial" w:cs="Arial" w:eastAsia="Arial" w:hAnsi="Arial"/>
          <w:sz w:val="16"/>
          <w:szCs w:val="16"/>
          <w:color w:val="auto"/>
        </w:rPr>
      </w:pPr>
      <w:r>
        <w:rPr>
          <w:rFonts w:ascii="Arial" w:cs="Arial" w:eastAsia="Arial" w:hAnsi="Arial"/>
          <w:sz w:val="16"/>
          <w:szCs w:val="16"/>
          <w:color w:val="auto"/>
        </w:rPr>
        <w:t>In case any claim, action or proceeding (including any governmental investigation) is instituted involving any person in respect of which indemnity may be sought pursuant to Section 2.08(a) or Section 2.08(b), such person (the “</w:t>
      </w:r>
      <w:r>
        <w:rPr>
          <w:rFonts w:ascii="Arial" w:cs="Arial" w:eastAsia="Arial" w:hAnsi="Arial"/>
          <w:sz w:val="16"/>
          <w:szCs w:val="16"/>
          <w:i w:val="1"/>
          <w:iCs w:val="1"/>
          <w:u w:val="single" w:color="auto"/>
          <w:color w:val="auto"/>
        </w:rPr>
        <w:t>Indemnified Party</w:t>
      </w:r>
      <w:r>
        <w:rPr>
          <w:rFonts w:ascii="Arial" w:cs="Arial" w:eastAsia="Arial" w:hAnsi="Arial"/>
          <w:sz w:val="16"/>
          <w:szCs w:val="16"/>
          <w:color w:val="auto"/>
        </w:rPr>
        <w:t>”) will promptly notify the person against whom such indemnity may be sought (the “</w:t>
      </w:r>
      <w:r>
        <w:rPr>
          <w:rFonts w:ascii="Arial" w:cs="Arial" w:eastAsia="Arial" w:hAnsi="Arial"/>
          <w:sz w:val="16"/>
          <w:szCs w:val="16"/>
          <w:i w:val="1"/>
          <w:iCs w:val="1"/>
          <w:u w:val="single" w:color="auto"/>
          <w:color w:val="auto"/>
        </w:rPr>
        <w:t>Indemnifying Party</w:t>
      </w:r>
      <w:r>
        <w:rPr>
          <w:rFonts w:ascii="Arial" w:cs="Arial" w:eastAsia="Arial" w:hAnsi="Arial"/>
          <w:sz w:val="16"/>
          <w:szCs w:val="16"/>
          <w:color w:val="auto"/>
        </w:rPr>
        <w:t xml:space="preserve">”) in writing and the Indemnifying Party shall be entitled to participate therein and, to the extent it shall wish, to assume the defense thereof with counsel reasonably satisfactory to the Indemnified Party and will pay the fees and disbursements of such counsel related to such claim, action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or delay to give such notice shall not relieve the Indemnifying Party of its obligations pursuant to this Agreement except to the extent such Indemnifying Party has been actually prejudiced by such failure or delay. In any such claim, action or proceeding, the Indemnified Party shall have the right, but not the obligation, to participate in any such defense and to retain its own counsel, but the fees and expenses of such counsel will be at the expense of such Indemnified Party unless (i) the Indemnifying Party and the Indemnified Party have mutually agreed to the retention of such counsel, (ii) the Indemnifying Party fails to assume the defense of the claim, action or proceeding within 15 Business Days following receipt of notice from the Indemnified Party, or (iii) the Indemnified Party and the Indemnifying Party are both actual or potential defendants in, or targets of, any such action and the Indemnified Party has been advised by counsel that representation of both parties by the same counsel</w:t>
      </w:r>
    </w:p>
    <w:p>
      <w:pPr>
        <w:sectPr>
          <w:pgSz w:w="11900" w:h="16926" w:orient="portrait"/>
          <w:cols w:equalWidth="0" w:num="1">
            <w:col w:w="11420"/>
          </w:cols>
          <w:pgMar w:left="240" w:top="125" w:right="239" w:bottom="0" w:gutter="0" w:footer="0" w:header="0"/>
        </w:sectPr>
      </w:pPr>
    </w:p>
    <w:bookmarkStart w:id="152" w:name="page153"/>
    <w:bookmarkEnd w:id="152"/>
    <w:p>
      <w:pPr>
        <w:spacing w:after="0" w:line="11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would be inappropriate due to actual or potential conflicting interests between them. It is understood that the Indemnifying Party will not, in connection with any claim, action or proceeding or related claims, actions or proceedings in the same jurisdiction, be liable for the reasonable fees and expenses of more than one separate firm of attorneys (in addition to any local counsel) at any time for all such Indemnified Parties and that all such reasonable fees and expenses will be reimbursed as they are incurred. In the case of the retention of any such separate firm for the Indemnified Parties, such firm will be designated in writing by the Indemnified Parties. The Indemnifying Party will not be liable for any settlement of any claim, action or proceeding effected without its written consent (which consent shall not be unreasonably withheld, conditioned or delayed), but if such claim, action or proceeding is settled with such consent or if there has been a final judgment for the plaintiff, the Indemnifying Party agrees to indemnify the Indemnified Party from and against any Loss by reason of such settlement or judgment. No Indemnifying Party will, without the prior written consent of the Indemnified Party, settle, compromise or offer to settle or compromise any pending or threatened proceeding in respect of which any Indemnified Party is seeking indemnity hereunder, unless (i) such settlement includes an unconditional release of such Indemnified Party from all liability in connection with such proceeding, (ii) such settlement includes no finding or admission of any violation of Law or any violation of the rights of any person by the Indemnified Party or any of its Affiliates as the result of such action, and (iii) the sole relief (if any) provided in such settlement is monetary damages that are reimbursed in full by the Indemnifying Party. No Indemnified Party will, without the prior written consent of the Indemnifying Party, settle, compromise or offer to settle or compromise any pending or threatened proceeding in respect of which any Indemnified Party is seeking indemnity hereunder.</w:t>
      </w:r>
    </w:p>
    <w:p>
      <w:pPr>
        <w:spacing w:after="0" w:line="185" w:lineRule="exact"/>
        <w:rPr>
          <w:sz w:val="20"/>
          <w:szCs w:val="20"/>
          <w:color w:val="auto"/>
        </w:rPr>
      </w:pPr>
    </w:p>
    <w:p>
      <w:pPr>
        <w:ind w:right="120" w:firstLine="1305"/>
        <w:spacing w:after="0" w:line="312" w:lineRule="auto"/>
        <w:tabs>
          <w:tab w:leader="none" w:pos="1952" w:val="left"/>
        </w:tabs>
        <w:numPr>
          <w:ilvl w:val="0"/>
          <w:numId w:val="457"/>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2.08 from the Indemnifying Party is unavailable to an Indemnified Party hereunder or is insufficient in respect of any Losses referred to in this Section 2.08, then the Indemnifying Party, in lieu of indemnifying such Indemnified Party, will contribute to the amount paid or payable by such Indemnified Party as a result of such Losses (i) in such proportion as is appropriate to reflect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relative fault of the Indemnifying Party and Indemnified Party in connection with the actions that resulted in such Losses, as well as any other relevant equitable considerations, or (ii) if the allocation provided by clause (i) is not permitted by applicable Law, in such proportion as is appropriate to reflect not only the relative fault referred to in clause (i) but also the relative benefit of the Company, on the one hand, and Holder, on the other, in connection with the statements or omissions that resulted in such Losses, as well as any other relevant equitable considerations. The relative fault of such Indemnifying Party and Indemnified Party will be determined by reference to, among other things, whether any action in question, including any untrue or alleged untrue statement of a material fact or omission or alleged omission to state a material fact, has been taken by, or relates to information supplied by, such Indemnifying Party or Indemnified Party, and the parties’ relative intent, knowledge, access to information and opportunity to correct or prevent such action. The amount paid or payable by a party as a result of the Losses referred to above will be deemed to include, subject to the limitations set forth in Section 2.08(c), any reasonable legal or other out of pocket fees or expenses reasonably incurred by such party in connection with any investigation, claim, action or proceeding.</w:t>
      </w:r>
    </w:p>
    <w:p>
      <w:pPr>
        <w:spacing w:after="0" w:line="167" w:lineRule="exact"/>
        <w:rPr>
          <w:sz w:val="20"/>
          <w:szCs w:val="20"/>
          <w:color w:val="auto"/>
        </w:rPr>
      </w:pPr>
    </w:p>
    <w:p>
      <w:pPr>
        <w:ind w:right="40" w:firstLine="1305"/>
        <w:spacing w:after="0" w:line="293" w:lineRule="auto"/>
        <w:tabs>
          <w:tab w:leader="none" w:pos="1955" w:val="left"/>
        </w:tabs>
        <w:numPr>
          <w:ilvl w:val="0"/>
          <w:numId w:val="458"/>
        </w:numPr>
        <w:rPr>
          <w:rFonts w:ascii="Arial" w:cs="Arial" w:eastAsia="Arial" w:hAnsi="Arial"/>
          <w:sz w:val="16"/>
          <w:szCs w:val="16"/>
          <w:color w:val="auto"/>
        </w:rPr>
      </w:pPr>
      <w:r>
        <w:rPr>
          <w:rFonts w:ascii="Arial" w:cs="Arial" w:eastAsia="Arial" w:hAnsi="Arial"/>
          <w:sz w:val="16"/>
          <w:szCs w:val="16"/>
          <w:color w:val="auto"/>
        </w:rPr>
        <w:t xml:space="preserve">The parties agree that it would not be just and equitable if contribution pursuant to Section 2.08(d)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that does not take into account the equitable considerations referred to in Section 2.08(d). No person guilty of “fraudulent misrepresentation” (within the meaning of Section 11(f) of the Securities Act) will be entitled to contribution from any person who was not guilty of such fraudulent misrepresentation. Notwithstanding the provisions of this Section 2.08(e), Holder shall not be required to contribute, in the aggregate, any amount in excess of the amount by which the net proceeds received by Holder from the sale of the Registrable Securities exceeds the amount of any damages which Holder has otherwise been required to pay by reason of such untrue or alleged untrue statement or omission or alleged omission.</w:t>
      </w:r>
    </w:p>
    <w:p>
      <w:pPr>
        <w:spacing w:after="0" w:line="164" w:lineRule="exact"/>
        <w:rPr>
          <w:rFonts w:ascii="Arial" w:cs="Arial" w:eastAsia="Arial" w:hAnsi="Arial"/>
          <w:sz w:val="16"/>
          <w:szCs w:val="16"/>
          <w:color w:val="auto"/>
        </w:rPr>
      </w:pPr>
    </w:p>
    <w:p>
      <w:pPr>
        <w:ind w:right="140" w:firstLine="1305"/>
        <w:spacing w:after="0" w:line="279" w:lineRule="auto"/>
        <w:tabs>
          <w:tab w:leader="none" w:pos="1949" w:val="left"/>
        </w:tabs>
        <w:numPr>
          <w:ilvl w:val="0"/>
          <w:numId w:val="458"/>
        </w:numPr>
        <w:rPr>
          <w:rFonts w:ascii="Arial" w:cs="Arial" w:eastAsia="Arial" w:hAnsi="Arial"/>
          <w:sz w:val="17"/>
          <w:szCs w:val="17"/>
          <w:color w:val="auto"/>
        </w:rPr>
      </w:pPr>
      <w:r>
        <w:rPr>
          <w:rFonts w:ascii="Arial" w:cs="Arial" w:eastAsia="Arial" w:hAnsi="Arial"/>
          <w:sz w:val="17"/>
          <w:szCs w:val="17"/>
          <w:color w:val="auto"/>
        </w:rPr>
        <w:t>If indemnification is available under this Section 2.08, the Indemnifying Party will indemnify each Indemnified Party pursuant to Section 2.08(a) and 2.08(b) to the fullest extent permissible under applicable Law, without regard to the relative fault of said Indemnifying Party or Indemnified Party or any other equitable consideration provided for in Section 2.08(d) or Section 2.08(e). The obligations of the Company under this Section 2.08 shall be in addition to any liability that the Company may otherwise have to any Indemnified Person.</w:t>
      </w:r>
    </w:p>
    <w:p>
      <w:pPr>
        <w:spacing w:after="0" w:line="171"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Rule 144</w:t>
      </w:r>
      <w:r>
        <w:rPr>
          <w:rFonts w:ascii="Arial" w:cs="Arial" w:eastAsia="Arial" w:hAnsi="Arial"/>
          <w:sz w:val="18"/>
          <w:szCs w:val="18"/>
          <w:color w:val="auto"/>
        </w:rPr>
        <w:t>. For so long as the Company is subject to the requirements of Section 13, 14 or 15(d) of the Exchange Act, the Company agrees that it will file the reports required to be filed by it under the Securities Act and the Exchange Act and take such further action as Holder may reasonably request (including providing Holder with such information as may be required in order to enable Holder to make sales within the limitation of the exemptions provided by Rule 144), all to the extent required from time to time to enable Holder to sell Registrable Securities pursuant to the exemptions provided by Rule 144.</w:t>
      </w:r>
    </w:p>
    <w:p>
      <w:pPr>
        <w:spacing w:after="0" w:line="188"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Transfer of Registration Rights</w:t>
      </w:r>
      <w:r>
        <w:rPr>
          <w:rFonts w:ascii="Arial" w:cs="Arial" w:eastAsia="Arial" w:hAnsi="Arial"/>
          <w:sz w:val="18"/>
          <w:szCs w:val="18"/>
          <w:color w:val="auto"/>
        </w:rPr>
        <w:t>. In furtherance of the registration rights granted under this Article II, Stockholder shall be permitted to, and shall, transfer the rights with respect to the maintenance of an Automatic Shelf Registration Statement and Takedown Requests and/or Demand Registrations by the Investors under this Article II to the Investors in connection with the Transfer of the Shares by Stockholder to the Investors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accordance with Section 3.04;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Investor seeking to sell any Registrable Securities pursuant to this Article II shall be required to fulfill all obligations of Holder pursuant to this Article II and the aggregate obligations of the Company pursuant to this Article II shall not be increased by any such Transfer. The rights granted under this Article II to Stockholder and/or the Investors may not be assigned by Stockholder or any Investor, in whole or in part, except as expressly provided in the immediately preceding sentence and Section 5.11 (for the avoidance of doubt, an Investor may assign its rights (subject to its obligations) hereunder in connection with the sale or other disposition of its interests in Stockholder in accordance with the limited partnership agreement of Stockholder).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u w:val="single" w:color="auto"/>
          <w:color w:val="auto"/>
        </w:rPr>
        <w:t>STANDSTILL; LOCK-UP; VOTING; CERTAIN OTHER MATTERS</w:t>
      </w:r>
    </w:p>
    <w:p>
      <w:pPr>
        <w:spacing w:after="0" w:line="22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Standstill.</w:t>
      </w:r>
    </w:p>
    <w:p>
      <w:pPr>
        <w:spacing w:after="0" w:line="225" w:lineRule="exact"/>
        <w:rPr>
          <w:sz w:val="20"/>
          <w:szCs w:val="20"/>
          <w:color w:val="auto"/>
        </w:rPr>
      </w:pPr>
    </w:p>
    <w:p>
      <w:pPr>
        <w:ind w:right="60" w:firstLine="1305"/>
        <w:spacing w:after="0" w:line="312" w:lineRule="auto"/>
        <w:tabs>
          <w:tab w:leader="none" w:pos="1942" w:val="left"/>
        </w:tabs>
        <w:numPr>
          <w:ilvl w:val="0"/>
          <w:numId w:val="459"/>
        </w:numPr>
        <w:rPr>
          <w:rFonts w:ascii="Arial" w:cs="Arial" w:eastAsia="Arial" w:hAnsi="Arial"/>
          <w:sz w:val="16"/>
          <w:szCs w:val="16"/>
          <w:color w:val="auto"/>
        </w:rPr>
      </w:pPr>
      <w:r>
        <w:rPr>
          <w:rFonts w:ascii="Arial" w:cs="Arial" w:eastAsia="Arial" w:hAnsi="Arial"/>
          <w:sz w:val="16"/>
          <w:szCs w:val="16"/>
          <w:color w:val="auto"/>
        </w:rPr>
        <w:t>During the Standstill Period, Stockholder shall not, and shall not permit its controlled Affiliates to, and, except as set forth in Section 3.01(b), shall cause each of the Investors (including for purposes of this Section 3.01 their Affiliates) not to (and Stockholder represents and warrants that the Investors (other than as set forth in Section 3.01(f) with respect to Tencent, and other than the Investment Company Investors as set forth in</w:t>
      </w:r>
    </w:p>
    <w:p>
      <w:pPr>
        <w:sectPr>
          <w:pgSz w:w="11900" w:h="16952" w:orient="portrait"/>
          <w:cols w:equalWidth="0" w:num="1">
            <w:col w:w="11400"/>
          </w:cols>
          <w:pgMar w:left="240" w:top="125" w:right="259" w:bottom="0" w:gutter="0" w:footer="0" w:header="0"/>
        </w:sectPr>
      </w:pPr>
    </w:p>
    <w:bookmarkStart w:id="153" w:name="page154"/>
    <w:bookmarkEnd w:id="153"/>
    <w:p>
      <w:pPr>
        <w:spacing w:after="0" w:line="286" w:lineRule="auto"/>
        <w:rPr>
          <w:sz w:val="20"/>
          <w:szCs w:val="20"/>
          <w:color w:val="auto"/>
        </w:rPr>
      </w:pPr>
      <w:r>
        <w:rPr>
          <w:rFonts w:ascii="Arial" w:cs="Arial" w:eastAsia="Arial" w:hAnsi="Arial"/>
          <w:sz w:val="16"/>
          <w:szCs w:val="16"/>
          <w:color w:val="auto"/>
        </w:rPr>
        <w:t xml:space="preserve">Section 3.01(b)) have agreed not to), directly or indirectly: (i) acquire, offer or propose to acquire, or agree or seek to acquire, or solicit the acquisition of, by purchase or otherwise, any Equity Interests (or beneficial ownership thereof) or commence any tender or exchange offer for any Equity Interests (or beneficial ownership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clause (i) shall not apply to Equity Interests or rights to acquire Equity Interests issued by the Company to Stockholder, any of its controlled Affiliates or any Investor as a dividend, distribution or otherwise in respect of any Shares;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w:t>
      </w:r>
    </w:p>
    <w:p>
      <w:pPr>
        <w:spacing w:after="0" w:line="2" w:lineRule="exact"/>
        <w:rPr>
          <w:sz w:val="20"/>
          <w:szCs w:val="20"/>
          <w:color w:val="auto"/>
        </w:rPr>
      </w:pPr>
    </w:p>
    <w:p>
      <w:pPr>
        <w:ind w:left="300" w:hanging="292"/>
        <w:spacing w:after="0"/>
        <w:tabs>
          <w:tab w:leader="none" w:pos="30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any Investor who is also an officer or director of the Company shall not be in breach of this clause (i) due to the acquisition of any securities of the</w:t>
      </w:r>
    </w:p>
    <w:p>
      <w:pPr>
        <w:spacing w:after="0" w:line="20"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 xml:space="preserve">Company pursuant to (x) the grant or vesting of any equity compensation awards duly authorized by the Company or (y) the exercise of any stock options, restricted stock units, or similar awards relating to any Equity Interests of the Company granted to such Investor by the Company following due authorization by the Company and (B) this clause (i) shall not prohibit an Investor from exercising its rights under the limited partnership agreement of Stockholder to acquire Shares proposed to be sold by Stockholder to prepay or repay outstanding indebtedness or to acquire interests in Stockholder proposed to be sold by any other Investor (subject to </w:t>
      </w:r>
      <w:r>
        <w:rPr>
          <w:rFonts w:ascii="Arial" w:cs="Arial" w:eastAsia="Arial" w:hAnsi="Arial"/>
          <w:sz w:val="16"/>
          <w:szCs w:val="16"/>
          <w:u w:val="single" w:color="auto"/>
          <w:color w:val="auto"/>
        </w:rPr>
        <w:t>Section 3.01(d)</w:t>
      </w:r>
      <w:r>
        <w:rPr>
          <w:rFonts w:ascii="Arial" w:cs="Arial" w:eastAsia="Arial" w:hAnsi="Arial"/>
          <w:sz w:val="16"/>
          <w:szCs w:val="16"/>
          <w:color w:val="auto"/>
        </w:rPr>
        <w:t xml:space="preserve">) or from acquiring Shares through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Shares by Stockholder pursuant to Section 3.04; (ii) call or seek to call a meeting of the stockholders of the Company or initiate any stockholder proposal for action by stockholders of the Company or engage in the “solicitation” of “proxies” (as such terms are defined under Regulation 14A under the Exchange Act) or consents to vote any voting securities of the Company, including soliciting consents or taking other action with respect to the calling of a special meeting of the Company’s stockholders (other than with respect to nominees to the Company Board designated by the Company, in each case solely for such nominees whose election to the Company Board has been recommended by the Company Board); (iii) form, join or in any way participate in a “group” (within the meaning of Section 13(d)(3) of the Exchange Act) with respect to the Company or any Equity Interests (other than to the extent that Stockholder and the Investors constitute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“group” as of the date hereof and other than to the extent Mr. Kotick and Mr. Kelly, by themselves and/or with Stockholder and its general partner, constitute a “group” at any time); (iv) otherwise act, alone or in concert with others, to seek representation on or to control or influence the management, Company Board or policies of the Company or to obtain representation on the Company Board of Directors (other than with respect to the nomination of Mr. Kotick and Mr. Kelly to the Company Board, as determined by the Company Board in the ordinary course); (v) enter into or agree, offer, propose or seek (whether publicly or otherwise) to enter into, or otherwise be involved in or part of, any acquisition transaction, merger or other business combination or similar transaction relating to all or part of the Company or any of its Subsidiaries or any acquisition transaction for all or part of the assets of the Company or any of its Subsidiaries or any of their respective businesses or any recapitalization, restructuring, change in control or similar transaction involving the Company or any of its Subsidiaries; (vi) request that the Company or the Company Board amend, waive or otherwise consent to any action inconsistent with any provision of this Section 3.01(a) (</w:t>
      </w:r>
      <w:r>
        <w:rPr>
          <w:rFonts w:ascii="Arial" w:cs="Arial" w:eastAsia="Arial" w:hAnsi="Arial"/>
          <w:sz w:val="16"/>
          <w:szCs w:val="16"/>
          <w:i w:val="1"/>
          <w:iCs w:val="1"/>
          <w:color w:val="auto"/>
        </w:rPr>
        <w:t>provided</w:t>
      </w:r>
      <w:r>
        <w:rPr>
          <w:rFonts w:ascii="Arial" w:cs="Arial" w:eastAsia="Arial" w:hAnsi="Arial"/>
          <w:sz w:val="16"/>
          <w:szCs w:val="16"/>
          <w:color w:val="auto"/>
        </w:rPr>
        <w:t>, this clause (vi) shall not prohibit communications by Stockholder with the Unaffiliated Directors on a confidential basis not involving public disclosure and not requiring any public announcement by the Company); (vii) enter into any discussions, negotiations, arrangements or understandings with any other person with respect to any of the foregoing activities; (viii) advise, assist, encourage, act as a financing source for or otherwise invest in any other person in connection with any of the foregoing; (ix)make any statement publicly disparaging the Company, its business or its management;</w:t>
      </w:r>
    </w:p>
    <w:p>
      <w:pPr>
        <w:spacing w:after="0" w:line="4" w:lineRule="exact"/>
        <w:rPr>
          <w:sz w:val="20"/>
          <w:szCs w:val="20"/>
          <w:color w:val="auto"/>
        </w:rPr>
      </w:pPr>
    </w:p>
    <w:p>
      <w:pPr>
        <w:ind w:right="200" w:firstLine="8"/>
        <w:spacing w:after="0" w:line="255" w:lineRule="auto"/>
        <w:tabs>
          <w:tab w:leader="none" w:pos="25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publicly disclose through its authorized representatives any intention, plan or arrangement inconsistent with any of the foregoing; or (xi) expressly take any initiative with respect to the Company which could require the Company to make a public announcement regarding (A) such initiative or (B) any of the foregoing activities.</w:t>
      </w:r>
    </w:p>
    <w:p>
      <w:pPr>
        <w:spacing w:after="0" w:line="190" w:lineRule="exact"/>
        <w:rPr>
          <w:rFonts w:ascii="Arial" w:cs="Arial" w:eastAsia="Arial" w:hAnsi="Arial"/>
          <w:sz w:val="18"/>
          <w:szCs w:val="18"/>
          <w:color w:val="auto"/>
        </w:rPr>
      </w:pPr>
    </w:p>
    <w:p>
      <w:pPr>
        <w:ind w:right="120" w:firstLine="1305"/>
        <w:spacing w:after="0" w:line="276" w:lineRule="auto"/>
        <w:tabs>
          <w:tab w:leader="none" w:pos="1952" w:val="left"/>
        </w:tabs>
        <w:numPr>
          <w:ilvl w:val="1"/>
          <w:numId w:val="461"/>
        </w:numPr>
        <w:rPr>
          <w:rFonts w:ascii="Arial" w:cs="Arial" w:eastAsia="Arial" w:hAnsi="Arial"/>
          <w:sz w:val="17"/>
          <w:szCs w:val="17"/>
          <w:color w:val="auto"/>
        </w:rPr>
      </w:pPr>
      <w:r>
        <w:rPr>
          <w:rFonts w:ascii="Arial" w:cs="Arial" w:eastAsia="Arial" w:hAnsi="Arial"/>
          <w:sz w:val="17"/>
          <w:szCs w:val="17"/>
          <w:color w:val="auto"/>
        </w:rPr>
        <w:t xml:space="preserve">The restrictions set forth in Sections 3.01(a) and 3.01(d) shall not apply to the Investment Company Investors and their respective Affiliates;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restrictions shall become applicable to any Investment Company Investor and its Affiliates if at any point such Investment Company Investor or any of its Affiliates shall in any way act in coordination with, cooperate with or otherwise form a “group” (within the meaning of Section 13(d)(3) of the Exchange Act) with Stockholder with respect to the Company (for the avoidance of doubt, other than any activities relating solely to the Investment Company Investors’ ownership of interests in Stockholder and their status as an Investor).</w:t>
      </w:r>
    </w:p>
    <w:p>
      <w:pPr>
        <w:spacing w:after="0" w:line="172" w:lineRule="exact"/>
        <w:rPr>
          <w:rFonts w:ascii="Arial" w:cs="Arial" w:eastAsia="Arial" w:hAnsi="Arial"/>
          <w:sz w:val="17"/>
          <w:szCs w:val="17"/>
          <w:color w:val="auto"/>
        </w:rPr>
      </w:pPr>
    </w:p>
    <w:p>
      <w:pPr>
        <w:ind w:right="140" w:firstLine="1305"/>
        <w:spacing w:after="0" w:line="302" w:lineRule="auto"/>
        <w:tabs>
          <w:tab w:leader="none" w:pos="1955" w:val="left"/>
        </w:tabs>
        <w:numPr>
          <w:ilvl w:val="1"/>
          <w:numId w:val="461"/>
        </w:numPr>
        <w:rPr>
          <w:rFonts w:ascii="Arial" w:cs="Arial" w:eastAsia="Arial" w:hAnsi="Arial"/>
          <w:sz w:val="16"/>
          <w:szCs w:val="16"/>
          <w:color w:val="auto"/>
        </w:rPr>
      </w:pPr>
      <w:r>
        <w:rPr>
          <w:rFonts w:ascii="Arial" w:cs="Arial" w:eastAsia="Arial" w:hAnsi="Arial"/>
          <w:sz w:val="16"/>
          <w:szCs w:val="16"/>
          <w:color w:val="auto"/>
        </w:rPr>
        <w:t>Without limiting Stockholder’s obligations under Section 3.01(a), each of Mr. Kotick and Mr. Kelly shall not, at any time, act in coordination with, cooperate with or otherwise form a “group” (within the meaning of Section 13(d)(3) of the Exchange Act) with any Investment Company Investor (or any of its Affiliates or permitted transferees under the limited partnership agreement of Stockholder) with respect to the Company (for the avoidance of doubt, other than any activities relating solely to each such person’s ownership of an interest in Stockholder and their status as an Investor).</w:t>
      </w:r>
    </w:p>
    <w:p>
      <w:pPr>
        <w:spacing w:after="0" w:line="154" w:lineRule="exact"/>
        <w:rPr>
          <w:rFonts w:ascii="Arial" w:cs="Arial" w:eastAsia="Arial" w:hAnsi="Arial"/>
          <w:sz w:val="16"/>
          <w:szCs w:val="16"/>
          <w:color w:val="auto"/>
        </w:rPr>
      </w:pPr>
    </w:p>
    <w:p>
      <w:pPr>
        <w:jc w:val="both"/>
        <w:ind w:right="40" w:firstLine="1305"/>
        <w:spacing w:after="0" w:line="312" w:lineRule="auto"/>
        <w:tabs>
          <w:tab w:leader="none" w:pos="1952" w:val="left"/>
        </w:tabs>
        <w:numPr>
          <w:ilvl w:val="1"/>
          <w:numId w:val="461"/>
        </w:numPr>
        <w:rPr>
          <w:rFonts w:ascii="Arial" w:cs="Arial" w:eastAsia="Arial" w:hAnsi="Arial"/>
          <w:sz w:val="16"/>
          <w:szCs w:val="16"/>
          <w:color w:val="auto"/>
        </w:rPr>
      </w:pPr>
      <w:r>
        <w:rPr>
          <w:rFonts w:ascii="Arial" w:cs="Arial" w:eastAsia="Arial" w:hAnsi="Arial"/>
          <w:sz w:val="16"/>
          <w:szCs w:val="16"/>
          <w:color w:val="auto"/>
        </w:rPr>
        <w:t>Notwithstanding anything to the contrary herein (except as provided in Section 3.01(b)), and in addition to the restrictions set forth in this Section 3.01 and otherwise herein, during the Standstill Period, no Investor shall acquire from Stockholder and/or any other Investor(s), in one or more transactions (including any exercise of any Investor’s rights under the limited partnership agreement of Stockholder to acquire Shares proposed to be sold by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Stockholder to prepay or repay outstanding indebtedness or to acquire interests in Stockholder proposed to be sold by any other Investor, or in any distribution by Stockholder), any direct or indirect beneficial ownership of or Rights with respect to any Equity Interests if such acquisition would cause such Investor and its Affiliates, in the aggregate, to beneficially own, directly or indirectly, including through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interest in the Common Stock owned by Stockholder, greater than 9.9 percent of the outstanding Common Stock. For purposes of this Section 3.01,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interest in the Common Stock owned by Stockholder” of an Investor, in the aggregate, is equal to the product of (i) the number of shares of Common Stock beneficially owned, directly or indirectly, by Stockholder, multiplied by (ii) the percentage of the outstanding partnership interests of Stockholder beneficially owned, directly or indirectly, by such Investor, in the aggregate.</w:t>
      </w:r>
    </w:p>
    <w:p>
      <w:pPr>
        <w:spacing w:after="0" w:line="189" w:lineRule="exact"/>
        <w:rPr>
          <w:sz w:val="20"/>
          <w:szCs w:val="20"/>
          <w:color w:val="auto"/>
        </w:rPr>
      </w:pPr>
    </w:p>
    <w:p>
      <w:pPr>
        <w:ind w:right="180" w:firstLine="1305"/>
        <w:spacing w:after="0" w:line="286" w:lineRule="auto"/>
        <w:tabs>
          <w:tab w:leader="none" w:pos="1955" w:val="left"/>
        </w:tabs>
        <w:numPr>
          <w:ilvl w:val="0"/>
          <w:numId w:val="462"/>
        </w:numPr>
        <w:rPr>
          <w:rFonts w:ascii="Arial" w:cs="Arial" w:eastAsia="Arial" w:hAnsi="Arial"/>
          <w:sz w:val="17"/>
          <w:szCs w:val="17"/>
          <w:color w:val="auto"/>
        </w:rPr>
      </w:pPr>
      <w:r>
        <w:rPr>
          <w:rFonts w:ascii="Arial" w:cs="Arial" w:eastAsia="Arial" w:hAnsi="Arial"/>
          <w:sz w:val="17"/>
          <w:szCs w:val="17"/>
          <w:color w:val="auto"/>
        </w:rPr>
        <w:t>Nothing in this Agreement (including any definition used in this Agreement) shall be deemed to prohibit, following the Lock-Up End Date, any Investor (including in its capacity as a Holder) from entering into or performing, settling, terminating, cancelling or unwinding any hedging transaction or derivative agreement relating to the Equity Interests that establishes a “short” position with respect to Equity Interests.</w:t>
      </w:r>
    </w:p>
    <w:p>
      <w:pPr>
        <w:spacing w:after="0" w:line="165" w:lineRule="exact"/>
        <w:rPr>
          <w:rFonts w:ascii="Arial" w:cs="Arial" w:eastAsia="Arial" w:hAnsi="Arial"/>
          <w:sz w:val="17"/>
          <w:szCs w:val="17"/>
          <w:color w:val="auto"/>
        </w:rPr>
      </w:pPr>
    </w:p>
    <w:p>
      <w:pPr>
        <w:ind w:right="40" w:firstLine="1305"/>
        <w:spacing w:after="0" w:line="291" w:lineRule="auto"/>
        <w:tabs>
          <w:tab w:leader="none" w:pos="1949"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Notwithstanding anything in Section 3.01(a) to the contrary, during the Standstill Period, Tencent shall be permitted to acquire shares of Common Stock, subject to the following limitations: (i) under no circumstances may Tencent acquire beneficial ownership of shares of Common Stock that would result in Tencent and its Affiliates, in the aggregate, having beneficial ownership of greater than 9.9 percent of the outstanding Common Stock (including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interest in the Common Stock owned by Stockholder), (ii) subject to the limitation set forth in clause (i), Tencent may acquire beneficial ownership of additional shares of Common Stock of up to the greater of (A) 2.0 percent of the outstanding Common Stock, or (B) if at any time the Stockholder Percentage Interest is less than 24.9 percent, additional shares of Common Stock representing a percentage of the outstanding Common Stock equal to the excess of 24.9 percent over the Stockholder Percentage Interest at such time, and (iii) Tencent will vote, or cause to be voted, any shares of</w:t>
      </w:r>
    </w:p>
    <w:p>
      <w:pPr>
        <w:sectPr>
          <w:pgSz w:w="11900" w:h="16838" w:orient="portrait"/>
          <w:cols w:equalWidth="0" w:num="1">
            <w:col w:w="11420"/>
          </w:cols>
          <w:pgMar w:left="240" w:top="126" w:right="239" w:bottom="0" w:gutter="0" w:footer="0" w:header="0"/>
        </w:sectPr>
      </w:pPr>
    </w:p>
    <w:bookmarkStart w:id="154" w:name="page155"/>
    <w:bookmarkEnd w:id="154"/>
    <w:p>
      <w:pPr>
        <w:ind w:right="240"/>
        <w:spacing w:after="0" w:line="277" w:lineRule="auto"/>
        <w:rPr>
          <w:sz w:val="20"/>
          <w:szCs w:val="20"/>
          <w:color w:val="auto"/>
        </w:rPr>
      </w:pPr>
      <w:r>
        <w:rPr>
          <w:rFonts w:ascii="Arial" w:cs="Arial" w:eastAsia="Arial" w:hAnsi="Arial"/>
          <w:sz w:val="18"/>
          <w:szCs w:val="18"/>
          <w:color w:val="auto"/>
        </w:rPr>
        <w:t>Common Stock which it acquires (or acquires beneficial ownership of) in accordance with the exception set forth in this Section 3.01(f) in accordance with the recommendation, if any, of a majority of the Unaffiliated Directors.</w:t>
      </w:r>
    </w:p>
    <w:p>
      <w:pPr>
        <w:spacing w:after="0" w:line="170"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Lock-Up</w:t>
      </w:r>
      <w:r>
        <w:rPr>
          <w:rFonts w:ascii="Arial" w:cs="Arial" w:eastAsia="Arial" w:hAnsi="Arial"/>
          <w:sz w:val="17"/>
          <w:szCs w:val="17"/>
          <w:color w:val="auto"/>
        </w:rPr>
        <w:t xml:space="preserve">. Prior to the Lock-Up End Date and thereafter during any Scheduled Black-out Period, Stockholder shall not Transfer or announce any intention to Transfer any Shares without the prior consent of a majority of the Unaffiliated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other than during any Scheduled Black-out Period, nothing herein shall prohibit Stockholder from Transferring Shares (other than any Transfer which would violate Section 3.03 or 3.04 if it occurred following the Lock-Up End Date) to the extent necessary to ensure that Stockholder beneficially owns at all times less than 25.0 percent of the outstanding Common Stock. In addition, the Company shall use its commercially reasonable efforts to provide prior notice of or to effect any repurchases of Common Stock or similar transactions in a manner which would permit Stockholder to avoid becoming the beneficial ownership of more than 25.0 percent of the then outstanding Common Stock as a result of such repurchase, by Transferring Shares or otherwise, taking into account applicable legal and disclosure requirements, and the best interests of the Company and its stockholders.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Transfer Restrictions</w:t>
      </w:r>
      <w:r>
        <w:rPr>
          <w:rFonts w:ascii="Arial" w:cs="Arial" w:eastAsia="Arial" w:hAnsi="Arial"/>
          <w:sz w:val="18"/>
          <w:szCs w:val="18"/>
          <w:color w:val="auto"/>
        </w:rPr>
        <w:t>. Following the Lock-Up End Date, Stockholder shall not, without the prior consent of a majority of the Unaffiliated Directors, Transfer any Shares:</w:t>
      </w:r>
    </w:p>
    <w:p>
      <w:pPr>
        <w:spacing w:after="0" w:line="170" w:lineRule="exact"/>
        <w:rPr>
          <w:sz w:val="20"/>
          <w:szCs w:val="20"/>
          <w:color w:val="auto"/>
        </w:rPr>
      </w:pPr>
    </w:p>
    <w:p>
      <w:pPr>
        <w:ind w:left="660" w:right="100" w:firstLine="1293"/>
        <w:spacing w:after="0" w:line="259" w:lineRule="auto"/>
        <w:tabs>
          <w:tab w:leader="none" w:pos="2626"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or in a transaction with, any person or “group” (within the meaning of Section 13(d)(3) of the Exchange Act) where any such person or “group” would acquire in such transaction or, to the knowledge of Stockholder after reasonable inquiry, owns or would own, following such transaction, beneficial ownership of an aggregate number of Shares representing 5.0 percent or more of the outstanding shares of the Common Stock; or</w:t>
      </w:r>
    </w:p>
    <w:p>
      <w:pPr>
        <w:spacing w:after="0" w:line="186" w:lineRule="exact"/>
        <w:rPr>
          <w:rFonts w:ascii="Arial" w:cs="Arial" w:eastAsia="Arial" w:hAnsi="Arial"/>
          <w:sz w:val="18"/>
          <w:szCs w:val="18"/>
          <w:color w:val="auto"/>
        </w:rPr>
      </w:pPr>
    </w:p>
    <w:p>
      <w:pPr>
        <w:jc w:val="both"/>
        <w:ind w:left="660" w:right="660" w:firstLine="1293"/>
        <w:spacing w:after="0" w:line="264" w:lineRule="auto"/>
        <w:tabs>
          <w:tab w:leader="none" w:pos="2636"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or in a transaction with, any person, or “group” (within the meaning of Section 13(d)(3) of the Exchange Act) including, any person that, to the knowledge of Stockholder after reasonable inquiry, competes directly or indirectly with the business of the Company in any material respect;</w:t>
      </w:r>
    </w:p>
    <w:p>
      <w:pPr>
        <w:spacing w:after="0" w:line="18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nothing in this Section 3.03 shall prohibit any Transfer of Shares to an Investor, which Transfer, if made by Stockholder, shall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Section 3.04 and not this Section 3.03 and (B) the restrictions in this Section 3.03 shall not apply to any Shares Transferred pursuant to a Registration Statement or a public distribution in compliance with any applicable requirements of U.S. federal or state securities laws (including Rule 144 under the Securities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Stockholder shall direct the underwriter(s) for any such offering or distribution to place the Shares sold in such offering or distribution so that, to the knowledge of the underwriter(s), in no event shall Shares representing more than 5.0 percent of the total number of issued and outstanding shares of Common Stock, after giving effect to such offering or distribution, be placed with any single person or group of related persons in any such offering or distribution.</w:t>
      </w:r>
    </w:p>
    <w:p>
      <w:pPr>
        <w:spacing w:after="0" w:line="189" w:lineRule="exact"/>
        <w:rPr>
          <w:sz w:val="20"/>
          <w:szCs w:val="20"/>
          <w:color w:val="auto"/>
        </w:rPr>
      </w:pPr>
    </w:p>
    <w:p>
      <w:pPr>
        <w:ind w:right="80" w:firstLine="1297"/>
        <w:spacing w:after="0" w:line="28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Distributions to Investors</w:t>
      </w:r>
      <w:r>
        <w:rPr>
          <w:rFonts w:ascii="Arial" w:cs="Arial" w:eastAsia="Arial" w:hAnsi="Arial"/>
          <w:sz w:val="16"/>
          <w:szCs w:val="16"/>
          <w:color w:val="auto"/>
        </w:rPr>
        <w:t>. Notwithstanding the restrictions set forth in Section 3.02 and Section 3.03 of this Agreement, Stockholder may not Transfer all or any portion of the Shares to any Investor unless such Investor transferee either (a) agrees in writing to be bound by the restrictions and obligations in Section 3.01(a) (subject to the exception set forth in Section 3.01(b)), Section 3.02 and Section 3.03 applicable to Stockholder under this Agreement with respect to such Shares, or (b) satisfies all three of the following conditions: (i) such Investor received its Shares in a distribution of which the Company received at least 30 days advance notice, (ii) such Investor and its Affiliates do not, in the aggregate, receive Shares in all such distributions from Stockholder representing greater than 8.5 percent of the total number of shares of Common Stock issued and outstanding at the time of any such distribution, and (iii) such Investor agrees in writing that, for a period of one year following the distribution of all Shares held by Stockholder to the Investors, it and its Affiliates will not in any way act in coordination with, cooperate with or otherwise form a “group” (within the meaning of</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13(d)(3) of the Exchange Act) with Stockholder or any other Investor or any of their respective Affiliates (or, in the case of the Investment Company Investors, with Stockholder), in which case such Investor shall no longer be subject to the provisions of Section 3.01(a), Section 3.02 or Section 3.03; it being understood that, notwithstanding the foregoing, each of Mr. Kotick and Mr. Kelly shall remain subject to the provisions of Section 3.01(a) until the later of the expiration of the Standstill Period and the date on which the aggregate number of shares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Common Stock beneficially owned, in the aggregate, by them and their Affiliates, is less than 5.0 percent of the total number of shares of Common Stock issued and outstanding on such date.</w:t>
      </w:r>
    </w:p>
    <w:p>
      <w:pPr>
        <w:spacing w:after="0" w:line="170"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Transfer Agent</w:t>
      </w:r>
      <w:r>
        <w:rPr>
          <w:rFonts w:ascii="Arial" w:cs="Arial" w:eastAsia="Arial" w:hAnsi="Arial"/>
          <w:sz w:val="18"/>
          <w:szCs w:val="18"/>
          <w:color w:val="auto"/>
        </w:rPr>
        <w:t xml:space="preserve">. Stockholder and the Company agree that the Company may cause the transfer agent or other registrar to enter stop transfer instructions and implement stop transfer procedures with respect to any Transfer of Shares not in compliance with Section 3.02, Section 3.03 or Section 3.04. Any Transfer or attempted Transfer of Shares in violation of Section 3.02, Section 3.03 or Section 3.04 shall, to the fullest extent permitted by law,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87"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Legends</w:t>
      </w:r>
      <w:r>
        <w:rPr>
          <w:rFonts w:ascii="Arial" w:cs="Arial" w:eastAsia="Arial" w:hAnsi="Arial"/>
          <w:sz w:val="18"/>
          <w:szCs w:val="18"/>
          <w:color w:val="auto"/>
        </w:rPr>
        <w:t>. For so long as any indebtedness of Stockholder remains outstanding, the Company shall use reasonable best efforts to have the Shares (i) registered in the name of The Depository Trust Company’s nominee, (ii) maintained in the form of book entries on the books of The Depository Trust Company, and (iii) allowed to be settled through The Depository Trust Company’s regular book-entry settlement services. Any certificates for Shares issued to Stockholder shall bear a legend or legends (and appropriate comparable notations or other arrangements will be made with respect to any uncertificated shares) referencing restrictions on transfer of such Shares under the Securities Act and under this Agreement which legend shall state in substance:</w:t>
      </w:r>
    </w:p>
    <w:p>
      <w:pPr>
        <w:spacing w:after="0" w:line="193" w:lineRule="exact"/>
        <w:rPr>
          <w:sz w:val="20"/>
          <w:szCs w:val="20"/>
          <w:color w:val="auto"/>
        </w:rPr>
      </w:pPr>
    </w:p>
    <w:p>
      <w:pPr>
        <w:ind w:left="1960" w:right="40"/>
        <w:spacing w:after="0" w:line="291" w:lineRule="auto"/>
        <w:rPr>
          <w:sz w:val="20"/>
          <w:szCs w:val="20"/>
          <w:color w:val="auto"/>
        </w:rPr>
      </w:pPr>
      <w:r>
        <w:rPr>
          <w:rFonts w:ascii="Arial" w:cs="Arial" w:eastAsia="Arial" w:hAnsi="Arial"/>
          <w:sz w:val="16"/>
          <w:szCs w:val="16"/>
          <w:color w:val="auto"/>
        </w:rPr>
        <w:t>“The securities evidenced by this certificate have been issued and sold without registration under the United States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the securities laws of any state of the United States (a “</w:t>
      </w:r>
      <w:r>
        <w:rPr>
          <w:rFonts w:ascii="Arial" w:cs="Arial" w:eastAsia="Arial" w:hAnsi="Arial"/>
          <w:sz w:val="16"/>
          <w:szCs w:val="16"/>
          <w:u w:val="single" w:color="auto"/>
          <w:color w:val="auto"/>
        </w:rPr>
        <w:t>State Act</w:t>
      </w:r>
      <w:r>
        <w:rPr>
          <w:rFonts w:ascii="Arial" w:cs="Arial" w:eastAsia="Arial" w:hAnsi="Arial"/>
          <w:sz w:val="16"/>
          <w:szCs w:val="16"/>
          <w:color w:val="auto"/>
        </w:rPr>
        <w:t>”) in reliance upon certain exemptions from registration under said acts. The securities evidenced by this certificate cannot be sold, assigned or otherwise transferred unless such sale, assignment or other transfer is (i) made pursuant to an effective registration statement under the Securities Act and in accordance with each applicable State Act or (ii) exempt from, or not subject to, the Securities Act and each applicable State Act. If the proposed sale, assignment or other transfer will be made pursuant to clause (ii) above, the holder must, prior to such sale, assignment or other transfer, furnish to the issuer such customary certifications, legal opinions and other</w:t>
      </w:r>
    </w:p>
    <w:p>
      <w:pPr>
        <w:sectPr>
          <w:pgSz w:w="11900" w:h="16838" w:orient="portrait"/>
          <w:cols w:equalWidth="0" w:num="1">
            <w:col w:w="11420"/>
          </w:cols>
          <w:pgMar w:left="240" w:top="125" w:right="239" w:bottom="0" w:gutter="0" w:footer="0" w:header="0"/>
        </w:sectPr>
      </w:pPr>
    </w:p>
    <w:bookmarkStart w:id="155" w:name="page156"/>
    <w:bookmarkEnd w:id="155"/>
    <w:p>
      <w:pPr>
        <w:ind w:left="1960" w:right="660"/>
        <w:spacing w:after="0" w:line="277" w:lineRule="auto"/>
        <w:rPr>
          <w:sz w:val="20"/>
          <w:szCs w:val="20"/>
          <w:color w:val="auto"/>
        </w:rPr>
      </w:pPr>
      <w:r>
        <w:rPr>
          <w:rFonts w:ascii="Arial" w:cs="Arial" w:eastAsia="Arial" w:hAnsi="Arial"/>
          <w:sz w:val="18"/>
          <w:szCs w:val="18"/>
          <w:color w:val="auto"/>
        </w:rPr>
        <w:t>information as the issuer may reasonably require to determine that such sale, assignment or other transfer is being made in accordance with such clause.</w:t>
      </w:r>
    </w:p>
    <w:p>
      <w:pPr>
        <w:spacing w:after="0" w:line="170" w:lineRule="exact"/>
        <w:rPr>
          <w:sz w:val="20"/>
          <w:szCs w:val="20"/>
          <w:color w:val="auto"/>
        </w:rPr>
      </w:pPr>
    </w:p>
    <w:p>
      <w:pPr>
        <w:ind w:left="1960" w:right="260"/>
        <w:spacing w:after="0" w:line="264" w:lineRule="auto"/>
        <w:rPr>
          <w:sz w:val="20"/>
          <w:szCs w:val="20"/>
          <w:color w:val="auto"/>
        </w:rPr>
      </w:pPr>
      <w:r>
        <w:rPr>
          <w:rFonts w:ascii="Arial" w:cs="Arial" w:eastAsia="Arial" w:hAnsi="Arial"/>
          <w:sz w:val="18"/>
          <w:szCs w:val="18"/>
          <w:color w:val="auto"/>
        </w:rPr>
        <w:t>The securities evidenced by this certificate are subject to restrictions on transfer set forth in a Stockholders Agreement dated October 11, 2013, among Activision Blizzard, Inc., ASAC II LP and for the limited purposes set forth therein, Robert A. Kotick and Brian G. Kelly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copy of which is on file with the Secretary of Activision Blizzard, Inc.).”</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Notwithstanding the foregoing, (a) if and for so long as (i) Stockholder shall have pledged Shares pursuant to (x) that certain Loan Agreement, dated as of October 11, 2013, by and between Stockholder, acting through its general partner, the several lenders party thereto from time to time, Merrill Lynch International, as administrative agent and the other parties thereto, and related agreements, (y) that certain Loan Agreement, dated as of October 11, 2013, by and between Stockholder, acting through its general partner, the several lenders party thereto from time to time, JPMorgan Chase Bank, N.A., London Branch, as administrative agent and the other parties thereto and related agreements or (z) any replacements or refinancings of, or modifications to, the foregoing having terms customary for margin loans to borrowers similar to the Stockholder, and (ii) the administrative agent under each such agreement has provided the Company with an acknowledgement in the form attached hereto as Annex A, Stockholder shall be entitled to hold such pledged Shares subject to such pledges without such legends (or comparable notations or other arrangements with respect to any uncertificated shares) (it being understood, for the avoidance of doubt, that following the release of such pledges, Stockholder shall no longer be entitled to hold such Shares without such legends and shall cooperate with the Company to make appropriate arrangements to have legends placed on the Shares at such time), and (b) to the extent the Shares bear a legend or legends (or comparable notations or other arrangements with respect to any uncertificated shares), the holder of any certificate(s) for Shares shall be entitled to receive from the Company new certificates for a like number of Shares not bearing such legend (or the elimination or termination of such notations or arrangements) upon the request of such holder at (i) such time as such restrictions are no longer applicable, and (ii) with respect to the restriction on transfer of such shares under the Securities Act, delivery of a customary opinion of counsel to such holder, which opinion is reasonably satisfactory in form and substance to the Company and its counsel, that the restriction referenced in such legend (or such notations or arrangements) is no longer required in order to ensure compliance with the Securities Act.</w:t>
      </w:r>
    </w:p>
    <w:p>
      <w:pPr>
        <w:spacing w:after="0" w:line="178"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Voting</w:t>
      </w:r>
      <w:r>
        <w:rPr>
          <w:rFonts w:ascii="Arial" w:cs="Arial" w:eastAsia="Arial" w:hAnsi="Arial"/>
          <w:sz w:val="18"/>
          <w:szCs w:val="18"/>
          <w:color w:val="auto"/>
        </w:rPr>
        <w:t>. With respect to any matter submitted for a vote of the Company’s stockholders at any time when the Stockholder Percentage Interest is in excess of 24.9 percent, Mr. Kotick and Mr. Kelly shall vote any shares of Common Stock over which they have beneficial ownership and the ability to direct voting in excess of such Stockholder Percentage Interest, other than the Shares, on each such matter either (a) in a manner proportionally consistent with the vote of the shares of Common Stock not owned by Stockholder, Mr. Kotick or Mr. Kelly or (b) in accordance with the recommendation, if any, of a majority of the Unaffiliated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Stockholder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hereof that:</w:t>
      </w:r>
    </w:p>
    <w:p>
      <w:pPr>
        <w:spacing w:after="0" w:line="211" w:lineRule="exact"/>
        <w:rPr>
          <w:sz w:val="20"/>
          <w:szCs w:val="20"/>
          <w:color w:val="auto"/>
        </w:rPr>
      </w:pPr>
    </w:p>
    <w:p>
      <w:pPr>
        <w:ind w:right="240" w:firstLine="1305"/>
        <w:spacing w:after="0" w:line="277" w:lineRule="auto"/>
        <w:tabs>
          <w:tab w:leader="none" w:pos="194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 and has all necessary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corporate power and authority to enter into this Agreement and to carry out its obligations hereunder.</w:t>
      </w:r>
    </w:p>
    <w:p>
      <w:pPr>
        <w:spacing w:after="0" w:line="225" w:lineRule="exact"/>
        <w:rPr>
          <w:sz w:val="20"/>
          <w:szCs w:val="20"/>
          <w:color w:val="auto"/>
        </w:rPr>
      </w:pPr>
    </w:p>
    <w:p>
      <w:pPr>
        <w:ind w:right="120" w:firstLine="1305"/>
        <w:spacing w:after="0" w:line="277" w:lineRule="auto"/>
        <w:tabs>
          <w:tab w:leader="none" w:pos="1952"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by the Company and all necessary and appropriate action has been taken by the Company to execute and deliver this Agreement and to perform its obligations hereunder.</w:t>
      </w:r>
    </w:p>
    <w:p>
      <w:pPr>
        <w:spacing w:after="0" w:line="170" w:lineRule="exact"/>
        <w:rPr>
          <w:rFonts w:ascii="Arial" w:cs="Arial" w:eastAsia="Arial" w:hAnsi="Arial"/>
          <w:sz w:val="18"/>
          <w:szCs w:val="18"/>
          <w:color w:val="auto"/>
        </w:rPr>
      </w:pPr>
    </w:p>
    <w:p>
      <w:pPr>
        <w:ind w:right="180" w:firstLine="1305"/>
        <w:spacing w:after="0" w:line="342" w:lineRule="auto"/>
        <w:tabs>
          <w:tab w:leader="none" w:pos="1955"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the Company and, assuming due authorization and valid execution and delivery by Stockholder, is a valid and binding obligation of the Company enforceable against the Company in accordance with its terms.</w:t>
      </w:r>
    </w:p>
    <w:p>
      <w:pPr>
        <w:spacing w:after="0" w:line="124"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Representations and Warranties of Stockholder</w:t>
      </w:r>
      <w:r>
        <w:rPr>
          <w:rFonts w:ascii="Arial" w:cs="Arial" w:eastAsia="Arial" w:hAnsi="Arial"/>
          <w:sz w:val="16"/>
          <w:szCs w:val="16"/>
          <w:color w:val="auto"/>
        </w:rPr>
        <w:t>. Stockholder represents and warrants to the Company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hereof that:</w:t>
      </w:r>
    </w:p>
    <w:p>
      <w:pPr>
        <w:spacing w:after="0" w:line="211" w:lineRule="exact"/>
        <w:rPr>
          <w:sz w:val="20"/>
          <w:szCs w:val="20"/>
          <w:color w:val="auto"/>
        </w:rPr>
      </w:pPr>
    </w:p>
    <w:p>
      <w:pPr>
        <w:ind w:right="60" w:firstLine="1305"/>
        <w:spacing w:after="0" w:line="308" w:lineRule="auto"/>
        <w:tabs>
          <w:tab w:leader="none" w:pos="1942" w:val="left"/>
        </w:tabs>
        <w:numPr>
          <w:ilvl w:val="0"/>
          <w:numId w:val="466"/>
        </w:numPr>
        <w:rPr>
          <w:rFonts w:ascii="Arial" w:cs="Arial" w:eastAsia="Arial" w:hAnsi="Arial"/>
          <w:sz w:val="17"/>
          <w:szCs w:val="17"/>
          <w:color w:val="auto"/>
        </w:rPr>
      </w:pPr>
      <w:r>
        <w:rPr>
          <w:rFonts w:ascii="Arial" w:cs="Arial" w:eastAsia="Arial" w:hAnsi="Arial"/>
          <w:sz w:val="17"/>
          <w:szCs w:val="17"/>
          <w:color w:val="auto"/>
        </w:rPr>
        <w:t>Stockholder has been duly formed and is validly existing as an exempted limited partnership under the laws of the Cayman Islands and has all necessary limited partnership power and authority to enter into this Agreement and to carry out its obligations hereunder.</w:t>
      </w:r>
    </w:p>
    <w:p>
      <w:pPr>
        <w:spacing w:after="0" w:line="146" w:lineRule="exact"/>
        <w:rPr>
          <w:rFonts w:ascii="Arial" w:cs="Arial" w:eastAsia="Arial" w:hAnsi="Arial"/>
          <w:sz w:val="17"/>
          <w:szCs w:val="17"/>
          <w:color w:val="auto"/>
        </w:rPr>
      </w:pPr>
    </w:p>
    <w:p>
      <w:pPr>
        <w:ind w:right="200" w:firstLine="1305"/>
        <w:spacing w:after="0" w:line="277" w:lineRule="auto"/>
        <w:tabs>
          <w:tab w:leader="none" w:pos="195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by Stockholder and all necessary and appropriate action has been taken by Stockholder to execute and deliver this Agreement and to perform its obligations hereunder.</w:t>
      </w:r>
    </w:p>
    <w:p>
      <w:pPr>
        <w:spacing w:after="0" w:line="170" w:lineRule="exact"/>
        <w:rPr>
          <w:rFonts w:ascii="Arial" w:cs="Arial" w:eastAsia="Arial" w:hAnsi="Arial"/>
          <w:sz w:val="18"/>
          <w:szCs w:val="18"/>
          <w:color w:val="auto"/>
        </w:rPr>
      </w:pPr>
    </w:p>
    <w:p>
      <w:pPr>
        <w:ind w:right="280" w:firstLine="1305"/>
        <w:spacing w:after="0" w:line="342" w:lineRule="auto"/>
        <w:tabs>
          <w:tab w:leader="none" w:pos="1955"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Stockholder and, assuming due authorization and valid execution and delivery by the Company, is a valid and binding obligation of Stockholder enforceable against Stockholder in accordance with its terms.</w:t>
      </w:r>
    </w:p>
    <w:p>
      <w:pPr>
        <w:spacing w:after="0" w:line="123" w:lineRule="exact"/>
        <w:rPr>
          <w:rFonts w:ascii="Arial" w:cs="Arial" w:eastAsia="Arial" w:hAnsi="Arial"/>
          <w:sz w:val="16"/>
          <w:szCs w:val="16"/>
          <w:color w:val="auto"/>
        </w:rPr>
      </w:pPr>
    </w:p>
    <w:p>
      <w:pPr>
        <w:ind w:right="20" w:firstLine="1305"/>
        <w:spacing w:after="0" w:line="259" w:lineRule="auto"/>
        <w:tabs>
          <w:tab w:leader="none" w:pos="195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Except as set forth on Annex B to this Agreement, none of Stockholder or any Investor (other than the Reporting Investment Company Investors) has beneficial ownership of any shares of Common Stock. Annex B to this Agreement sets forth the number of shares of Common Stock which will be beneficially owned by Stockholder and each Investor (other than the Reporting Investment Company Investors) immediately following the consummation of the transactions contemplated by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ectPr>
          <w:pgSz w:w="11900" w:h="16838" w:orient="portrait"/>
          <w:cols w:equalWidth="0" w:num="1">
            <w:col w:w="11420"/>
          </w:cols>
          <w:pgMar w:left="240" w:top="125" w:right="239" w:bottom="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Adjustments</w:t>
      </w:r>
      <w:r>
        <w:rPr>
          <w:rFonts w:ascii="Arial" w:cs="Arial" w:eastAsia="Arial" w:hAnsi="Arial"/>
          <w:sz w:val="18"/>
          <w:szCs w:val="18"/>
          <w:color w:val="auto"/>
        </w:rPr>
        <w:t>. References to numbers of shares contained herein will be adjusted to account for any reclassification, exchange, substitution, combination, stock split or reverse stock split of Equity Interests.</w:t>
      </w:r>
    </w:p>
    <w:p>
      <w:pPr>
        <w:spacing w:after="0" w:line="170"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hereunder to a party shall be deemed to have been duly given and made if in writing and (a) if served by personal delivery, on the day of such delivery, (b) if delivered by registered or certified mail (return receipt requested), or by a national courier service, on the day of delivery, or (c) if sent by facsimile, upon transmission of such facsimile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facsimile is confirmed 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printed report), or (d) if sent by email, upon transmission of such email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email is promptly confirmed with the recipient by telephone), to the person at the address set forth below, or such other address as may be designated in writing hereafter, in the same manner, by such person:</w:t>
      </w:r>
    </w:p>
    <w:p>
      <w:pPr>
        <w:spacing w:after="0" w:line="147" w:lineRule="exact"/>
        <w:rPr>
          <w:sz w:val="20"/>
          <w:szCs w:val="20"/>
          <w:color w:val="auto"/>
        </w:rPr>
      </w:pPr>
    </w:p>
    <w:p>
      <w:pPr>
        <w:ind w:left="2200" w:hanging="649"/>
        <w:spacing w:after="0"/>
        <w:tabs>
          <w:tab w:leader="none" w:pos="22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Santa Monica, California 90405</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2040"/>
        <w:spacing w:after="0"/>
        <w:tabs>
          <w:tab w:leader="none" w:pos="2980" w:val="left"/>
        </w:tabs>
        <w:rPr>
          <w:sz w:val="20"/>
          <w:szCs w:val="20"/>
          <w:color w:val="auto"/>
        </w:rPr>
      </w:pPr>
      <w:r>
        <w:rPr>
          <w:rFonts w:ascii="Arial" w:cs="Arial" w:eastAsia="Arial" w:hAnsi="Arial"/>
          <w:sz w:val="18"/>
          <w:szCs w:val="18"/>
          <w:color w:val="auto"/>
        </w:rPr>
        <w:t>Facsimile:</w:t>
        <w:tab/>
        <w:t>(310) 255-2152</w:t>
      </w:r>
    </w:p>
    <w:p>
      <w:pPr>
        <w:spacing w:after="0" w:line="9" w:lineRule="exact"/>
        <w:rPr>
          <w:sz w:val="20"/>
          <w:szCs w:val="20"/>
          <w:color w:val="auto"/>
        </w:rPr>
      </w:pPr>
    </w:p>
    <w:p>
      <w:pPr>
        <w:ind w:left="2040"/>
        <w:spacing w:after="0"/>
        <w:tabs>
          <w:tab w:leader="none" w:pos="2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chris.walther@activision.com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shall not constitute notice to the Company) to:</w:t>
      </w:r>
    </w:p>
    <w:p>
      <w:pPr>
        <w:spacing w:after="0" w:line="22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Wachtell, Lipton, Rosen &amp; Katz</w:t>
      </w:r>
    </w:p>
    <w:p>
      <w:pPr>
        <w:ind w:left="2060"/>
        <w:spacing w:after="0" w:line="218" w:lineRule="auto"/>
        <w:rPr>
          <w:sz w:val="20"/>
          <w:szCs w:val="20"/>
          <w:color w:val="auto"/>
        </w:rPr>
      </w:pPr>
      <w:r>
        <w:rPr>
          <w:rFonts w:ascii="Arial" w:cs="Arial" w:eastAsia="Arial" w:hAnsi="Arial"/>
          <w:sz w:val="18"/>
          <w:szCs w:val="18"/>
          <w:color w:val="auto"/>
        </w:rPr>
        <w:t>51 West 52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New York, New York 10019</w:t>
      </w:r>
    </w:p>
    <w:p>
      <w:pPr>
        <w:spacing w:after="0" w:line="7" w:lineRule="exact"/>
        <w:rPr>
          <w:sz w:val="20"/>
          <w:szCs w:val="20"/>
          <w:color w:val="auto"/>
        </w:rPr>
      </w:pPr>
    </w:p>
    <w:p>
      <w:pPr>
        <w:ind w:left="2060"/>
        <w:spacing w:after="0"/>
        <w:tabs>
          <w:tab w:leader="none" w:pos="3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Adam O. Emmerich</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DongJu Song</w:t>
      </w:r>
    </w:p>
    <w:p>
      <w:pPr>
        <w:sectPr>
          <w:pgSz w:w="11900" w:h="16838" w:orient="portrait"/>
          <w:cols w:equalWidth="0" w:num="1">
            <w:col w:w="11420"/>
          </w:cols>
          <w:pgMar w:left="240" w:top="121" w:right="239" w:bottom="0" w:gutter="0" w:footer="0" w:header="0"/>
        </w:sectPr>
      </w:pPr>
    </w:p>
    <w:p>
      <w:pPr>
        <w:spacing w:after="0" w:line="9" w:lineRule="exact"/>
        <w:rPr>
          <w:sz w:val="20"/>
          <w:szCs w:val="20"/>
          <w:color w:val="auto"/>
        </w:rPr>
      </w:pPr>
    </w:p>
    <w:p>
      <w:pPr>
        <w:ind w:left="206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Facsimile:</w:t>
      </w:r>
    </w:p>
    <w:p>
      <w:pPr>
        <w:spacing w:after="0" w:line="2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(212) 403-1000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403-2000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AOEmmerich@wlrk.com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DSong@wlrk.com</w:t>
      </w:r>
    </w:p>
    <w:p>
      <w:pPr>
        <w:spacing w:after="0" w:line="200" w:lineRule="exact"/>
        <w:rPr>
          <w:sz w:val="20"/>
          <w:szCs w:val="20"/>
          <w:color w:val="auto"/>
        </w:rPr>
      </w:pPr>
    </w:p>
    <w:p>
      <w:pPr>
        <w:sectPr>
          <w:pgSz w:w="11900" w:h="16838" w:orient="portrait"/>
          <w:cols w:equalWidth="0" w:num="2">
            <w:col w:w="2860" w:space="540"/>
            <w:col w:w="8020"/>
          </w:cols>
          <w:pgMar w:left="240" w:top="121" w:right="239" w:bottom="0" w:gutter="0" w:footer="0" w:header="0"/>
          <w:type w:val="continuous"/>
        </w:sectPr>
      </w:pPr>
    </w:p>
    <w:p>
      <w:pPr>
        <w:spacing w:after="0" w:line="1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New York, New York 10036-6522</w:t>
      </w:r>
    </w:p>
    <w:p>
      <w:pPr>
        <w:spacing w:after="0" w:line="9" w:lineRule="exact"/>
        <w:rPr>
          <w:sz w:val="20"/>
          <w:szCs w:val="20"/>
          <w:color w:val="auto"/>
        </w:rPr>
      </w:pPr>
    </w:p>
    <w:p>
      <w:pPr>
        <w:ind w:left="2060"/>
        <w:spacing w:after="0"/>
        <w:tabs>
          <w:tab w:leader="none" w:pos="3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Peter A. Atkins</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Neil P. Stronski</w:t>
      </w:r>
    </w:p>
    <w:p>
      <w:pPr>
        <w:spacing w:after="0" w:line="9" w:lineRule="exact"/>
        <w:rPr>
          <w:sz w:val="20"/>
          <w:szCs w:val="20"/>
          <w:color w:val="auto"/>
        </w:rPr>
      </w:pPr>
    </w:p>
    <w:p>
      <w:pPr>
        <w:ind w:left="2060"/>
        <w:spacing w:after="0"/>
        <w:tabs>
          <w:tab w:leader="none" w:pos="33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735-2000</w:t>
      </w:r>
    </w:p>
    <w:p>
      <w:pPr>
        <w:spacing w:after="0" w:line="9" w:lineRule="exact"/>
        <w:rPr>
          <w:sz w:val="20"/>
          <w:szCs w:val="20"/>
          <w:color w:val="auto"/>
        </w:rPr>
      </w:pPr>
    </w:p>
    <w:p>
      <w:pPr>
        <w:ind w:left="2060"/>
        <w:spacing w:after="0"/>
        <w:tabs>
          <w:tab w:leader="none" w:pos="3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peter.atkins@skadden.com</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neil.stronski@skadden.com</w:t>
      </w:r>
    </w:p>
    <w:p>
      <w:pPr>
        <w:spacing w:after="0" w:line="211" w:lineRule="exact"/>
        <w:rPr>
          <w:sz w:val="20"/>
          <w:szCs w:val="20"/>
          <w:color w:val="auto"/>
        </w:rPr>
      </w:pPr>
    </w:p>
    <w:p>
      <w:pPr>
        <w:ind w:left="2200" w:hanging="649"/>
        <w:spacing w:after="0"/>
        <w:tabs>
          <w:tab w:leader="none" w:pos="22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if to Stockholder, to:</w:t>
      </w:r>
    </w:p>
    <w:p>
      <w:pPr>
        <w:spacing w:after="0" w:line="22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ASAC II LP</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c/o Chadwick and Company</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225 Highway 35, Suite 102C</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Red Bank, New Jersey 07701</w:t>
      </w:r>
    </w:p>
    <w:p>
      <w:pPr>
        <w:spacing w:after="0" w:line="9" w:lineRule="exact"/>
        <w:rPr>
          <w:sz w:val="20"/>
          <w:szCs w:val="20"/>
          <w:color w:val="auto"/>
        </w:rPr>
      </w:pPr>
    </w:p>
    <w:p>
      <w:pPr>
        <w:ind w:left="2060"/>
        <w:spacing w:after="0"/>
        <w:tabs>
          <w:tab w:leader="none" w:pos="29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(732) 345-8332</w:t>
      </w:r>
    </w:p>
    <w:p>
      <w:pPr>
        <w:spacing w:after="0" w:line="9" w:lineRule="exact"/>
        <w:rPr>
          <w:sz w:val="20"/>
          <w:szCs w:val="20"/>
          <w:color w:val="auto"/>
        </w:rPr>
      </w:pPr>
    </w:p>
    <w:p>
      <w:pPr>
        <w:ind w:left="2060"/>
        <w:spacing w:after="0"/>
        <w:tabs>
          <w:tab w:leader="none" w:pos="2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bob@chadwickcpa.com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 Stockholder) to:</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Sullivan &amp; Cromwell LLP</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1888 Century Park East</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ind w:left="1900"/>
        <w:spacing w:after="0"/>
        <w:tabs>
          <w:tab w:leader="none" w:pos="31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Alison S. Ressler</w:t>
      </w:r>
    </w:p>
    <w:p>
      <w:pPr>
        <w:spacing w:after="0" w:line="9" w:lineRule="exact"/>
        <w:rPr>
          <w:sz w:val="20"/>
          <w:szCs w:val="20"/>
          <w:color w:val="auto"/>
        </w:rPr>
      </w:pPr>
    </w:p>
    <w:p>
      <w:pPr>
        <w:ind w:left="1900"/>
        <w:spacing w:after="0"/>
        <w:tabs>
          <w:tab w:leader="none" w:pos="31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310-712-6600</w:t>
      </w:r>
    </w:p>
    <w:p>
      <w:pPr>
        <w:spacing w:after="0" w:line="9" w:lineRule="exact"/>
        <w:rPr>
          <w:sz w:val="20"/>
          <w:szCs w:val="20"/>
          <w:color w:val="auto"/>
        </w:rPr>
      </w:pPr>
    </w:p>
    <w:p>
      <w:pPr>
        <w:ind w:left="1900"/>
        <w:spacing w:after="0"/>
        <w:tabs>
          <w:tab w:leader="none" w:pos="31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310-712-8800</w:t>
      </w:r>
    </w:p>
    <w:p>
      <w:pPr>
        <w:spacing w:after="0" w:line="9" w:lineRule="exact"/>
        <w:rPr>
          <w:sz w:val="20"/>
          <w:szCs w:val="20"/>
          <w:color w:val="auto"/>
        </w:rPr>
      </w:pPr>
    </w:p>
    <w:p>
      <w:pPr>
        <w:ind w:left="1900"/>
        <w:spacing w:after="0"/>
        <w:tabs>
          <w:tab w:leader="none" w:pos="3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resslera@sullcrom.com</w:t>
      </w:r>
    </w:p>
    <w:p>
      <w:pPr>
        <w:spacing w:after="0" w:line="21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in this Agreement, all costs and expenses incurred in connection with this Agreement shall be paid by the party incurring such cost or expense.</w:t>
      </w:r>
    </w:p>
    <w:p>
      <w:pPr>
        <w:sectPr>
          <w:pgSz w:w="11900" w:h="16838" w:orient="portrait"/>
          <w:cols w:equalWidth="0" w:num="1">
            <w:col w:w="11420"/>
          </w:cols>
          <w:pgMar w:left="240" w:top="121" w:right="239" w:bottom="0" w:gutter="0" w:footer="0" w:header="0"/>
          <w:type w:val="continuous"/>
        </w:sectPr>
      </w:pPr>
    </w:p>
    <w:bookmarkStart w:id="157" w:name="page158"/>
    <w:bookmarkEnd w:id="157"/>
    <w:p>
      <w:pPr>
        <w:spacing w:after="0" w:line="9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Amendments; Waivers</w:t>
      </w:r>
      <w:r>
        <w:rPr>
          <w:rFonts w:ascii="Arial" w:cs="Arial" w:eastAsia="Arial" w:hAnsi="Arial"/>
          <w:sz w:val="18"/>
          <w:szCs w:val="18"/>
          <w:color w:val="auto"/>
        </w:rPr>
        <w:t>. Any provision of this Agreement may be amended or waived if, and only if, such amendment or waiver is in writing and signed, in the case of an amendment, by the Company (following approval by a majority of the Unaffiliated Directors) and Stockholder or, in the case of a waiver, by the party against whom the waiver is to be effective.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188"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 In this Agreement, except as context may otherwise require, references:</w:t>
      </w:r>
    </w:p>
    <w:p>
      <w:pPr>
        <w:spacing w:after="0" w:line="225" w:lineRule="exact"/>
        <w:rPr>
          <w:sz w:val="20"/>
          <w:szCs w:val="20"/>
          <w:color w:val="auto"/>
        </w:rPr>
      </w:pPr>
    </w:p>
    <w:p>
      <w:pPr>
        <w:ind w:left="1940" w:hanging="635"/>
        <w:spacing w:after="0"/>
        <w:tabs>
          <w:tab w:leader="none" w:pos="194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the Preamble, Recitals or Sections are to the Preamble to, or a Recital or Section of, this Agreement;</w:t>
      </w:r>
    </w:p>
    <w:p>
      <w:pPr>
        <w:spacing w:after="0" w:line="225"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to any section of any statute or regulation include any successor to the section;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any Governmental Entity includes any successor to that Governmental Entity;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a person are also to its permitted successors and assigns;</w:t>
      </w:r>
    </w:p>
    <w:p>
      <w:pPr>
        <w:spacing w:after="0" w:line="225" w:lineRule="exact"/>
        <w:rPr>
          <w:rFonts w:ascii="Arial" w:cs="Arial" w:eastAsia="Arial" w:hAnsi="Arial"/>
          <w:sz w:val="18"/>
          <w:szCs w:val="18"/>
          <w:color w:val="auto"/>
        </w:rPr>
      </w:pPr>
    </w:p>
    <w:p>
      <w:pPr>
        <w:ind w:right="180" w:firstLine="1305"/>
        <w:spacing w:after="0" w:line="277" w:lineRule="auto"/>
        <w:tabs>
          <w:tab w:leader="none" w:pos="195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the words “hereby,” “herein,” “hereof,” “hereunder,” and similar terms are to be deemed to refer to this Agreement as a whole and not to any specific Section;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the words “include,” “includes,” or “including,” are to be deemed followed by the words “without limitation;”</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any singular term in this Agreement are to be deemed to include the plural, and any plural term the singular;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77" w:lineRule="auto"/>
        <w:tabs>
          <w:tab w:leader="none" w:pos="195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all pronouns and variations of pronouns are to be deemed to refer to the feminine, masculine or neuter, singular or plural, as the identity of the person referred to may require;</w:t>
      </w:r>
    </w:p>
    <w:p>
      <w:pPr>
        <w:spacing w:after="0" w:line="170" w:lineRule="exact"/>
        <w:rPr>
          <w:rFonts w:ascii="Arial" w:cs="Arial" w:eastAsia="Arial" w:hAnsi="Arial"/>
          <w:sz w:val="18"/>
          <w:szCs w:val="18"/>
          <w:color w:val="auto"/>
        </w:rPr>
      </w:pPr>
    </w:p>
    <w:p>
      <w:pPr>
        <w:ind w:right="80" w:firstLine="1305"/>
        <w:spacing w:after="0" w:line="277" w:lineRule="auto"/>
        <w:tabs>
          <w:tab w:leader="none" w:pos="1966"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the table of contents and article and section headings are for reference purposes only and do not limit or otherwise affect any of the substance of this Agreement; and</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is the product of negotiation by the parties, having the assistance of counsel and other advisers. The parties intend that this Agreement not be construed more strictly with regard to one party than with regard to the other.</w:t>
      </w:r>
    </w:p>
    <w:p>
      <w:pPr>
        <w:spacing w:after="0" w:line="170"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deemed severable and the invalidity or unenforceability of any provision shall not affect the validity or enforceability of the other provisions hereof. If any provisions of this Agreement, or the application thereof to any person or entity or any circumstance, is found by a court or other Governmental Entity of competent jurisdiction to be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spacing w:after="0" w:line="189"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which may be delivered by means of facsimile or email, each of which shall be deemed to constitute an original, but all of which together shall be deemed to constitute one and the same instrument.</w:t>
      </w:r>
    </w:p>
    <w:p>
      <w:pPr>
        <w:spacing w:after="0" w:line="181"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Entire Understanding; No Third-Party Beneficiaries</w:t>
      </w:r>
      <w:r>
        <w:rPr>
          <w:rFonts w:ascii="Arial" w:cs="Arial" w:eastAsia="Arial" w:hAnsi="Arial"/>
          <w:sz w:val="16"/>
          <w:szCs w:val="16"/>
          <w:color w:val="auto"/>
        </w:rPr>
        <w:t>. This Agreement represents the entire understanding of the parties hereto with respect to the subject matter hereof and supersedes any and all other oral or written agreements heretofore made with respect to the subject matter hereof. Nothing in this Agreement, express or implied, is intended to confer upon any person, other than the parties and their respective permitted successors and assigns, including, for the avoidance of doubt, the Investors, any rights or remedies under or by reason of this Agreement. Only the parties that are signatories to this Agreement (and their permitted successors and assigns) shall have any obligation or liability under, in connection with, arising out of, resulting from or in any way related to this Agreement or any other matter contemplated hereby or the process leading up to the execution and delivery of this Agreement and the transactions contemplated hereby, subject to delivery of this Agreement and such transactions and other provisions of this Agreement.</w:t>
      </w:r>
    </w:p>
    <w:p>
      <w:pPr>
        <w:spacing w:after="0" w:line="167"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interpreted in accordance with, the laws of the State Delaware applicable to contracts made and to be performed entirely within such state, without regard to the conflicts of law principles thereof to the extent that such principles would apply the law of another jurisdiction.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Assignment</w:t>
      </w:r>
      <w:r>
        <w:rPr>
          <w:rFonts w:ascii="Arial" w:cs="Arial" w:eastAsia="Arial" w:hAnsi="Arial"/>
          <w:sz w:val="18"/>
          <w:szCs w:val="18"/>
          <w:color w:val="auto"/>
        </w:rPr>
        <w:t>. Subject to Section 2.10 and the last sentence of this Section 5.11, neither this Agreement nor any of the rights, interests or obligations under this Agreement will be assigned, in whole or in part, by any of the parties without the prior written consent of the other parties hereto. Subject to Section 2.10 and the last sentence of this Section 5.11, any purported assignment without such prior written consent will be void. Subject to the preceding sentences, this Agreement will be binding upon, inure to the benefit of, and be enforceable by, the parties and their respective successors and assigns. Notwithstanding anything to the contrary herein, Stockholder may assign and/or pledge its rights (subject to its obligations and applicable limitations) under Article II of this Agreement in connection its indebtedness outstanding as of the date hereof (or any refinancing or replacement of, or modifications to, such indebtedness).</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ACKNOWLEDGES AND AGREES THAT ANY CONTROVERSY THAT MAY ARISE UNDER THIS AGREEMENT IS LIKELY TO INVOLVE COMPLICATED AND DIFFICULT ISSUES, AND THEREFORE EACH PARTY</w:t>
      </w:r>
    </w:p>
    <w:p>
      <w:pPr>
        <w:sectPr>
          <w:pgSz w:w="11900" w:h="16929" w:orient="portrait"/>
          <w:cols w:equalWidth="0" w:num="1">
            <w:col w:w="11400"/>
          </w:cols>
          <w:pgMar w:left="240" w:top="125" w:right="259" w:bottom="0" w:gutter="0" w:footer="0" w:header="0"/>
        </w:sectPr>
      </w:pPr>
    </w:p>
    <w:bookmarkStart w:id="158" w:name="page159"/>
    <w:bookmarkEnd w:id="158"/>
    <w:p>
      <w:pPr>
        <w:ind w:right="80"/>
        <w:spacing w:after="0" w:line="272" w:lineRule="auto"/>
        <w:rPr>
          <w:sz w:val="20"/>
          <w:szCs w:val="20"/>
          <w:color w:val="auto"/>
        </w:rPr>
      </w:pPr>
      <w:r>
        <w:rPr>
          <w:rFonts w:ascii="Arial" w:cs="Arial" w:eastAsia="Arial" w:hAnsi="Arial"/>
          <w:sz w:val="17"/>
          <w:szCs w:val="17"/>
          <w:color w:val="auto"/>
        </w:rPr>
        <w:t>HEREBY IRREVOCABLY AND UNCONDITIONALLY WAIVES ANY RIGHT SUCH PARTY MAY HAVE TO A TRIAL BY JURY IN RESPECT OF ANY LITIGATION DIRECTLY OR INDIRECTLY ARISING OUT OF OR RELATING TO THIS AGREEMENT OR THE TRANSACTIONS CONTEMPLATED 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SECTION 5.12.</w:t>
      </w:r>
    </w:p>
    <w:p>
      <w:pPr>
        <w:spacing w:after="0" w:line="17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Venue for Resolution of Disputes</w:t>
      </w:r>
      <w:r>
        <w:rPr>
          <w:rFonts w:ascii="Arial" w:cs="Arial" w:eastAsia="Arial" w:hAnsi="Arial"/>
          <w:sz w:val="16"/>
          <w:szCs w:val="16"/>
          <w:color w:val="auto"/>
        </w:rPr>
        <w:t>. Each party hereto agrees that it shall bring any action or proceeding in respect of any claim arising out of or related to this Agreement and the transactions contained hereby, whether in tort or contract or at law or in equity, exclusively, in the Court of Chancery in the State of Delaware (the “</w:t>
      </w:r>
      <w:r>
        <w:rPr>
          <w:rFonts w:ascii="Arial" w:cs="Arial" w:eastAsia="Arial" w:hAnsi="Arial"/>
          <w:sz w:val="16"/>
          <w:szCs w:val="16"/>
          <w:i w:val="1"/>
          <w:iCs w:val="1"/>
          <w:u w:val="single" w:color="auto"/>
          <w:color w:val="auto"/>
        </w:rPr>
        <w:t>Delaware Court of Chancery</w:t>
      </w:r>
      <w:r>
        <w:rPr>
          <w:rFonts w:ascii="Arial" w:cs="Arial" w:eastAsia="Arial" w:hAnsi="Arial"/>
          <w:sz w:val="16"/>
          <w:szCs w:val="16"/>
          <w:color w:val="auto"/>
        </w:rPr>
        <w:t>”) and any state appellate court therefrom within the State of Delaware (or, if the Delaware Court of Chancery declines to accept jurisdiction over a particular matter, any federal court sitting within the State of Delaware), and</w:t>
      </w:r>
    </w:p>
    <w:p>
      <w:pPr>
        <w:spacing w:after="0" w:line="2" w:lineRule="exact"/>
        <w:rPr>
          <w:sz w:val="20"/>
          <w:szCs w:val="20"/>
          <w:color w:val="auto"/>
        </w:rPr>
      </w:pPr>
    </w:p>
    <w:p>
      <w:pPr>
        <w:ind w:left="260" w:hanging="252"/>
        <w:spacing w:after="0"/>
        <w:tabs>
          <w:tab w:leader="none" w:pos="260" w:val="left"/>
        </w:tabs>
        <w:numPr>
          <w:ilvl w:val="0"/>
          <w:numId w:val="471"/>
        </w:numPr>
        <w:rPr>
          <w:rFonts w:ascii="Arial" w:cs="Arial" w:eastAsia="Arial" w:hAnsi="Arial"/>
          <w:sz w:val="16"/>
          <w:szCs w:val="16"/>
          <w:color w:val="auto"/>
        </w:rPr>
      </w:pPr>
      <w:r>
        <w:rPr>
          <w:rFonts w:ascii="Arial" w:cs="Arial" w:eastAsia="Arial" w:hAnsi="Arial"/>
          <w:sz w:val="16"/>
          <w:szCs w:val="16"/>
          <w:color w:val="auto"/>
        </w:rPr>
        <w:t>irrevocably submits to the exclusive jurisdiction of such courts, (b) waives any objection to laying venue in any such action or proceeding in such courts,</w:t>
      </w:r>
    </w:p>
    <w:p>
      <w:pPr>
        <w:spacing w:after="0" w:line="32" w:lineRule="exact"/>
        <w:rPr>
          <w:rFonts w:ascii="Arial" w:cs="Arial" w:eastAsia="Arial" w:hAnsi="Arial"/>
          <w:sz w:val="16"/>
          <w:szCs w:val="16"/>
          <w:color w:val="auto"/>
        </w:rPr>
      </w:pPr>
    </w:p>
    <w:p>
      <w:pPr>
        <w:ind w:right="140" w:firstLine="8"/>
        <w:spacing w:after="0" w:line="252" w:lineRule="auto"/>
        <w:tabs>
          <w:tab w:leader="none" w:pos="24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waives any objection that such courts are an inconvenient forum or do not have jurisdiction over any party hereto, and (d) agrees that service of process upon such party in any such action or proceeding shall be effective if Notice is given in accordance with Section 5.02 of this Agreement. Each party hereto further hereby irrevocably and unconditionally waives any objection to the laying of venue of any action, suit or proceeding arising out of this Agreement or the transactions contemplated hereby in such courts, and hereby irrevocably and unconditionally waives and agrees not to plead or claim in any such court that any such action, suit or proceeding brought in any such court has been brought in an inconvenient forum or that such party is not subject to personal jurisdiction in such court.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Each party agrees that irreparable damage would occur in the event that any of the provisions of this Agreement were not performed by it in accordance with their specific terms or were otherwise breached or threatened to be breached. It is accordingly agreed that, except as expressly set forth in this Agreement to the contrary, each party shall be entitled to an injunction or injunctions to prevent breaches of this Agreement and to enforce specifically the terms and provisions of this Agreement in the Delaware Court of Chancery (or, if the Delaware Court of Chancery declines to accept jurisdiction over a particular matter, any federal court sitting within the State of Delaware), without bond or other security being required, this being in addition to any other right, remedy or cause of action to which any party is entitled under any theory of recovery whatsoever (including, at law or in equity, in tort or any other claims).</w:t>
      </w:r>
    </w:p>
    <w:p>
      <w:pPr>
        <w:spacing w:after="0" w:line="189" w:lineRule="exact"/>
        <w:rPr>
          <w:sz w:val="20"/>
          <w:szCs w:val="20"/>
          <w:color w:val="auto"/>
        </w:rPr>
      </w:pPr>
    </w:p>
    <w:p>
      <w:pPr>
        <w:ind w:right="200" w:firstLine="1297"/>
        <w:spacing w:after="0" w:line="291"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Except as otherwise provided in this Agreement, this Agreement shall terminate upon the first date on which Stockholder and each Investor to whom Shares are transferred in accordance with Section 3.04 ceases to hold any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ind w:right="20" w:firstLine="8"/>
        <w:spacing w:after="0" w:line="281" w:lineRule="auto"/>
        <w:tabs>
          <w:tab w:leader="none" w:pos="245" w:val="left"/>
        </w:tabs>
        <w:numPr>
          <w:ilvl w:val="0"/>
          <w:numId w:val="473"/>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Section 2.08, and the representations and warranties of the Company and Stockholder referred to in Section 4.01 and Section 4.02, shall remain operative and in full force and effect regardless of (i) any termination of this Agreement, (ii) any investigation made by or on behalf of any Indemnified Person or by or on behalf of the Company, and (iii) the consummation of the sale or successive resales of the Registrable Securities; (b) the provisions of Article II shall terminate on the applicable Registration Rights Termination Date; (c) the provisions of</w:t>
      </w:r>
    </w:p>
    <w:p>
      <w:pPr>
        <w:spacing w:after="0" w:line="2" w:lineRule="exact"/>
        <w:rPr>
          <w:rFonts w:ascii="Arial" w:cs="Arial" w:eastAsia="Arial" w:hAnsi="Arial"/>
          <w:sz w:val="16"/>
          <w:szCs w:val="16"/>
          <w:color w:val="auto"/>
        </w:rPr>
      </w:pPr>
    </w:p>
    <w:p>
      <w:pPr>
        <w:ind w:right="180"/>
        <w:spacing w:after="0" w:line="252" w:lineRule="auto"/>
        <w:rPr>
          <w:rFonts w:ascii="Arial" w:cs="Arial" w:eastAsia="Arial" w:hAnsi="Arial"/>
          <w:sz w:val="16"/>
          <w:szCs w:val="16"/>
          <w:color w:val="auto"/>
        </w:rPr>
      </w:pPr>
      <w:r>
        <w:rPr>
          <w:rFonts w:ascii="Arial" w:cs="Arial" w:eastAsia="Arial" w:hAnsi="Arial"/>
          <w:sz w:val="18"/>
          <w:szCs w:val="18"/>
          <w:color w:val="auto"/>
        </w:rPr>
        <w:t>Section 3.01(a) shall automatically terminate at the expiration of the Standstill Period; (d) the provisions of Section 3.02 shall automatically terminate at the Lock-Up End Date; and (e) the provisions of this Article V shall survive any termination of this Agreement or any provision thereof. Notwithstanding anything to the contrary contained herein, this Agreement shall terminate with respect to Stockholder upon the Transfer of all Shares to Investors in accordance with Section 3.04. Nothing in this Agreement shall be deemed to release any party from any liability for any willful and material breach of this Agreement occurring prior to any termination hereof or to impair the right of any party to compel specific performance by any other party of its obligations under this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Next page is a signature page.</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day and year first above written.</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ACTIVISION BLIZZARD,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Dennis Durkin</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Dennis Durkin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ASAC II L.P.</w:t>
      </w:r>
    </w:p>
    <w:p>
      <w:pPr>
        <w:spacing w:after="0" w:line="23"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ASAC II LLC, its general partner</w:t>
      </w:r>
    </w:p>
    <w:p>
      <w:pPr>
        <w:spacing w:after="0" w:line="211"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G. Kelly</w:t>
      </w:r>
    </w:p>
    <w:p>
      <w:pPr>
        <w:spacing w:after="0" w:line="23"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8"/>
          <w:szCs w:val="18"/>
          <w:color w:val="auto"/>
        </w:rPr>
        <w:t>Name:</w:t>
        <w:tab/>
        <w:t>Brian G.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53" w:gutter="0" w:footer="0" w:header="0"/>
        </w:sectPr>
      </w:pPr>
    </w:p>
    <w:bookmarkStart w:id="159" w:name="page160"/>
    <w:bookmarkEnd w:id="159"/>
    <w:p>
      <w:pPr>
        <w:spacing w:after="0" w:line="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BRIAN G. KELLY (for the limited purposes set forth in Section 3.01(c) and</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3.07)</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Brian G.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A. KOTICK (for the limited purposes set forth 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Section 3.01(c) and 3.07)</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Annex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Acknowledgement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California 90405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 Acknowledgement of Restrictions Applicable to Pledged Shares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Reference is made to that certain Stockholders Agreement, dated as of [·], 2013, by and among Activision Blizzard, Inc. (the “</w:t>
      </w:r>
      <w:r>
        <w:rPr>
          <w:rFonts w:ascii="Arial" w:cs="Arial" w:eastAsia="Arial" w:hAnsi="Arial"/>
          <w:sz w:val="16"/>
          <w:szCs w:val="16"/>
          <w:u w:val="single" w:color="auto"/>
          <w:color w:val="auto"/>
        </w:rPr>
        <w:t>Issuer</w:t>
      </w:r>
      <w:r>
        <w:rPr>
          <w:rFonts w:ascii="Arial" w:cs="Arial" w:eastAsia="Arial" w:hAnsi="Arial"/>
          <w:sz w:val="16"/>
          <w:szCs w:val="16"/>
          <w:color w:val="auto"/>
        </w:rPr>
        <w:t>”), ASAC II L.P. (“</w:t>
      </w:r>
      <w:r>
        <w:rPr>
          <w:rFonts w:ascii="Arial" w:cs="Arial" w:eastAsia="Arial" w:hAnsi="Arial"/>
          <w:sz w:val="16"/>
          <w:szCs w:val="16"/>
          <w:u w:val="single" w:color="auto"/>
          <w:color w:val="auto"/>
        </w:rPr>
        <w:t>Borrower</w:t>
      </w:r>
      <w:r>
        <w:rPr>
          <w:rFonts w:ascii="Arial" w:cs="Arial" w:eastAsia="Arial" w:hAnsi="Arial"/>
          <w:sz w:val="16"/>
          <w:szCs w:val="16"/>
          <w:color w:val="auto"/>
        </w:rPr>
        <w:t>”) and, for the limited purposes set forth therein, Robert A. Kotick and Brian G. Kelly (as it may be amended and supplemented from time to time,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Capitalized terms used, but not defined herein, shall have the meanings set forth in the Stockholders Agreement.</w:t>
      </w:r>
    </w:p>
    <w:p>
      <w:pPr>
        <w:spacing w:after="0" w:line="14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undersigned represents and warrants to the Issuer that it or one or more of its Affiliates is the administrative agent under that certain Loan Agreement, dated as of [·], 2013, by and between Borrower, acting through its general partner, the several lenders party thereto from time to time, [Merrill Lynch International] [JPMorgan Chase Bank, N.A., London Branch], as administrative agent and the other parties thereto (the “</w:t>
      </w:r>
      <w:r>
        <w:rPr>
          <w:rFonts w:ascii="Arial" w:cs="Arial" w:eastAsia="Arial" w:hAnsi="Arial"/>
          <w:sz w:val="17"/>
          <w:szCs w:val="17"/>
          <w:u w:val="single" w:color="auto"/>
          <w:color w:val="auto"/>
        </w:rPr>
        <w:t>Loan Agreement</w:t>
      </w:r>
      <w:r>
        <w:rPr>
          <w:rFonts w:ascii="Arial" w:cs="Arial" w:eastAsia="Arial" w:hAnsi="Arial"/>
          <w:sz w:val="17"/>
          <w:szCs w:val="17"/>
          <w:color w:val="auto"/>
        </w:rPr>
        <w:t>”), and that it intends to hold Shares of Common Stock pledged under the Loan Agreement (the “</w:t>
      </w:r>
      <w:r>
        <w:rPr>
          <w:rFonts w:ascii="Arial" w:cs="Arial" w:eastAsia="Arial" w:hAnsi="Arial"/>
          <w:sz w:val="17"/>
          <w:szCs w:val="17"/>
          <w:u w:val="single" w:color="auto"/>
          <w:color w:val="auto"/>
        </w:rPr>
        <w:t>Pledged Shares</w:t>
      </w:r>
      <w:r>
        <w:rPr>
          <w:rFonts w:ascii="Arial" w:cs="Arial" w:eastAsia="Arial" w:hAnsi="Arial"/>
          <w:sz w:val="17"/>
          <w:szCs w:val="17"/>
          <w:color w:val="auto"/>
        </w:rPr>
        <w:t>”) in the manner described in the Loan Agreement. The undersigned acknowledges that the Pledged Shares are subject to the Existing Transfer Restrictions (as defined in the Loan Agreement) and cannot be sold, assigned or otherwise transferred without registration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in accordance with the securities laws of each state of the United States (a “</w:t>
      </w:r>
      <w:r>
        <w:rPr>
          <w:rFonts w:ascii="Arial" w:cs="Arial" w:eastAsia="Arial" w:hAnsi="Arial"/>
          <w:sz w:val="17"/>
          <w:szCs w:val="17"/>
          <w:u w:val="single" w:color="auto"/>
          <w:color w:val="auto"/>
        </w:rPr>
        <w:t>State Act</w:t>
      </w:r>
      <w:r>
        <w:rPr>
          <w:rFonts w:ascii="Arial" w:cs="Arial" w:eastAsia="Arial" w:hAnsi="Arial"/>
          <w:sz w:val="17"/>
          <w:szCs w:val="17"/>
          <w:color w:val="auto"/>
        </w:rPr>
        <w:t>”), unless sold, assigned or transferred in a transaction exempt from the registration requirements of the Securities Act and each applicable State Act.</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hereby acknowledges that Borrower has agreed with the Issuer that any Shares returned to Borrower or any Investor or any of their respective Affiliate, assigns or successors upon release from the pledge over such Shares will be represented by a share certificate bearing a legend in the form set forth in the Stockholders Agreement and agrees to cooperate with the Issuer and Borrower in good faith upon the Issuer’s reasonable request in order to allow Borrower to comply with such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[LENDER/AGENT]</w:t>
      </w:r>
    </w:p>
    <w:p>
      <w:pPr>
        <w:spacing w:after="0" w:line="200" w:lineRule="exact"/>
        <w:rPr>
          <w:sz w:val="20"/>
          <w:szCs w:val="20"/>
          <w:color w:val="auto"/>
        </w:rPr>
      </w:pPr>
    </w:p>
    <w:p>
      <w:pPr>
        <w:spacing w:after="0" w:line="24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-130810</wp:posOffset>
            </wp:positionV>
            <wp:extent cx="30530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ectPr>
          <w:pgSz w:w="11900" w:h="16861" w:orient="portrait"/>
          <w:cols w:equalWidth="0" w:num="1">
            <w:col w:w="11380"/>
          </w:cols>
          <w:pgMar w:left="240" w:top="584" w:right="279" w:bottom="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ASAC II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-130810</wp:posOffset>
            </wp:positionV>
            <wp:extent cx="31470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-130810</wp:posOffset>
            </wp:positionV>
            <wp:extent cx="31470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Annex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List of Holdings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ASAC II LLC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Performance</w:t>
            </w:r>
          </w:p>
        </w:tc>
        <w:tc>
          <w:tcPr>
            <w:tcW w:w="16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Stock</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Restricted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 Units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G. Kelly</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350,754</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1,705,843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262,998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Robert A. Kotick</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360" w:type="dxa"/>
            <w:vAlign w:val="bottom"/>
          </w:tcPr>
          <w:p>
            <w:pPr>
              <w:jc w:val="right"/>
              <w:spacing w:after="0"/>
              <w:rPr>
                <w:sz w:val="20"/>
                <w:szCs w:val="20"/>
                <w:color w:val="auto"/>
              </w:rPr>
            </w:pPr>
            <w:r>
              <w:rPr>
                <w:rFonts w:ascii="Arial" w:cs="Arial" w:eastAsia="Arial" w:hAnsi="Arial"/>
                <w:sz w:val="18"/>
                <w:szCs w:val="18"/>
                <w:color w:val="auto"/>
              </w:rPr>
              <w:t>3,313,246</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1,167,900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Kelly Family 2006 Irrevocable Trust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472,865</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Brian G. Kelly 2012 Annuity Trust</w:t>
            </w:r>
          </w:p>
        </w:tc>
        <w:tc>
          <w:tcPr>
            <w:tcW w:w="1360" w:type="dxa"/>
            <w:vAlign w:val="bottom"/>
          </w:tcPr>
          <w:p>
            <w:pPr>
              <w:jc w:val="right"/>
              <w:spacing w:after="0"/>
              <w:rPr>
                <w:sz w:val="20"/>
                <w:szCs w:val="20"/>
                <w:color w:val="auto"/>
              </w:rPr>
            </w:pPr>
            <w:r>
              <w:rPr>
                <w:rFonts w:ascii="Arial" w:cs="Arial" w:eastAsia="Arial" w:hAnsi="Arial"/>
                <w:sz w:val="18"/>
                <w:szCs w:val="18"/>
                <w:color w:val="auto"/>
              </w:rPr>
              <w:t>203,149</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601,290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&amp; Joelle Kelly Family Foundation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666,884</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Grace Kotick UTMA</w:t>
            </w:r>
          </w:p>
        </w:tc>
        <w:tc>
          <w:tcPr>
            <w:tcW w:w="1360" w:type="dxa"/>
            <w:vAlign w:val="bottom"/>
          </w:tcPr>
          <w:p>
            <w:pPr>
              <w:jc w:val="right"/>
              <w:spacing w:after="0"/>
              <w:rPr>
                <w:sz w:val="20"/>
                <w:szCs w:val="20"/>
                <w:color w:val="auto"/>
              </w:rPr>
            </w:pPr>
            <w:r>
              <w:rPr>
                <w:rFonts w:ascii="Arial" w:cs="Arial" w:eastAsia="Arial" w:hAnsi="Arial"/>
                <w:sz w:val="18"/>
                <w:szCs w:val="18"/>
                <w:color w:val="auto"/>
              </w:rPr>
              <w:t>4,800</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Audrey Kotick UTMA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Eli Sporn UTMA</w:t>
            </w:r>
          </w:p>
        </w:tc>
        <w:tc>
          <w:tcPr>
            <w:tcW w:w="1360" w:type="dxa"/>
            <w:vAlign w:val="bottom"/>
          </w:tcPr>
          <w:p>
            <w:pPr>
              <w:jc w:val="right"/>
              <w:spacing w:after="0"/>
              <w:rPr>
                <w:sz w:val="20"/>
                <w:szCs w:val="20"/>
                <w:color w:val="auto"/>
              </w:rPr>
            </w:pPr>
            <w:r>
              <w:rPr>
                <w:rFonts w:ascii="Arial" w:cs="Arial" w:eastAsia="Arial" w:hAnsi="Arial"/>
                <w:sz w:val="18"/>
                <w:szCs w:val="18"/>
                <w:color w:val="auto"/>
              </w:rPr>
              <w:t>4,800</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10122B Trust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963,305</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3,962,998</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1011 Foundation, Inc.</w:t>
            </w:r>
          </w:p>
        </w:tc>
        <w:tc>
          <w:tcPr>
            <w:tcW w:w="1360" w:type="dxa"/>
            <w:vAlign w:val="bottom"/>
          </w:tcPr>
          <w:p>
            <w:pPr>
              <w:jc w:val="right"/>
              <w:spacing w:after="0"/>
              <w:rPr>
                <w:sz w:val="20"/>
                <w:szCs w:val="20"/>
                <w:color w:val="auto"/>
              </w:rPr>
            </w:pPr>
            <w:r>
              <w:rPr>
                <w:rFonts w:ascii="Arial" w:cs="Arial" w:eastAsia="Arial" w:hAnsi="Arial"/>
                <w:sz w:val="18"/>
                <w:szCs w:val="18"/>
                <w:color w:val="auto"/>
              </w:rPr>
              <w:t>1,076,598</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45121I Trust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860,291</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14,181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8986C Trust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23,531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B-1</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4" w:right="1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MANAGEMENT SERVICES TERMINATION AGREEMENT</w:t>
      </w:r>
    </w:p>
    <w:p>
      <w:pPr>
        <w:spacing w:after="0" w:line="22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This CASH MANAGEMENT SERVICES TERMINATION AGREEMENT, dated as of October 11, 2013 (this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Vivendi, S.A., a société anonyme organized under the laws of France (“</w:t>
      </w:r>
      <w:r>
        <w:rPr>
          <w:rFonts w:ascii="Arial" w:cs="Arial" w:eastAsia="Arial" w:hAnsi="Arial"/>
          <w:sz w:val="17"/>
          <w:szCs w:val="17"/>
          <w:u w:val="single" w:color="auto"/>
          <w:color w:val="auto"/>
        </w:rPr>
        <w:t>Vivendi</w:t>
      </w:r>
      <w:r>
        <w:rPr>
          <w:rFonts w:ascii="Arial" w:cs="Arial" w:eastAsia="Arial" w:hAnsi="Arial"/>
          <w:sz w:val="17"/>
          <w:szCs w:val="17"/>
          <w:color w:val="auto"/>
        </w:rPr>
        <w:t>”), Activision Blizzard, Inc., a Delaware corporation formerly known as Activision, Inc.) (“</w:t>
      </w:r>
      <w:r>
        <w:rPr>
          <w:rFonts w:ascii="Arial" w:cs="Arial" w:eastAsia="Arial" w:hAnsi="Arial"/>
          <w:sz w:val="17"/>
          <w:szCs w:val="17"/>
          <w:u w:val="single" w:color="auto"/>
          <w:color w:val="auto"/>
        </w:rPr>
        <w:t>Activision Blizzard</w:t>
      </w:r>
      <w:r>
        <w:rPr>
          <w:rFonts w:ascii="Arial" w:cs="Arial" w:eastAsia="Arial" w:hAnsi="Arial"/>
          <w:sz w:val="17"/>
          <w:szCs w:val="17"/>
          <w:color w:val="auto"/>
        </w:rPr>
        <w:t>”), and Coöperatie Activision Blizzard International U.A., a cooperative association organized under the laws of the Netherlands (“</w:t>
      </w:r>
      <w:r>
        <w:rPr>
          <w:rFonts w:ascii="Arial" w:cs="Arial" w:eastAsia="Arial" w:hAnsi="Arial"/>
          <w:sz w:val="17"/>
          <w:szCs w:val="17"/>
          <w:u w:val="single" w:color="auto"/>
          <w:color w:val="auto"/>
        </w:rPr>
        <w:t>Coop</w:t>
      </w:r>
      <w:r>
        <w:rPr>
          <w:rFonts w:ascii="Arial" w:cs="Arial" w:eastAsia="Arial" w:hAnsi="Arial"/>
          <w:sz w:val="17"/>
          <w:szCs w:val="17"/>
          <w:color w:val="auto"/>
        </w:rPr>
        <w:t>”), is entered into with respect to that certain Cash Management Services Agreement, dated as of June 19, 2008 (the “</w:t>
      </w:r>
      <w:r>
        <w:rPr>
          <w:rFonts w:ascii="Arial" w:cs="Arial" w:eastAsia="Arial" w:hAnsi="Arial"/>
          <w:sz w:val="17"/>
          <w:szCs w:val="17"/>
          <w:u w:val="single" w:color="auto"/>
          <w:color w:val="auto"/>
        </w:rPr>
        <w:t>Services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Vivendi, Activision Blizzard and Activision Blizzard Treasury SAS, a société anonyme organized under the laws of France formerly known as Vivendi Games Treasury SAS (“</w:t>
      </w:r>
      <w:r>
        <w:rPr>
          <w:rFonts w:ascii="Arial" w:cs="Arial" w:eastAsia="Arial" w:hAnsi="Arial"/>
          <w:sz w:val="17"/>
          <w:szCs w:val="17"/>
          <w:u w:val="single" w:color="auto"/>
          <w:color w:val="auto"/>
        </w:rPr>
        <w:t>ABT</w:t>
      </w:r>
      <w:r>
        <w:rPr>
          <w:rFonts w:ascii="Arial" w:cs="Arial" w:eastAsia="Arial" w:hAnsi="Arial"/>
          <w:sz w:val="17"/>
          <w:szCs w:val="17"/>
          <w:color w:val="auto"/>
        </w:rPr>
        <w:t>”), and that certain Vivendi IP License Agreement, dated as of July 1, 2008 (the “</w:t>
      </w:r>
      <w:r>
        <w:rPr>
          <w:rFonts w:ascii="Arial" w:cs="Arial" w:eastAsia="Arial" w:hAnsi="Arial"/>
          <w:sz w:val="17"/>
          <w:szCs w:val="17"/>
          <w:u w:val="single" w:color="auto"/>
          <w:color w:val="auto"/>
        </w:rPr>
        <w:t>License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Vivendi, Activision Blizzard and ABT, both of which were assigned by ABT to Coop pursuant to that Assignment, Assumption and Amendment, dated as of June 9, 2011, by and among Vivendi, Activision Blizzard, Coop and ABT. Vivendi, Activision Blizzard and Coop are each referred to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referred to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WHEREAS, Vivendi, Activision Blizzard and ASAC II LP, an exempted limited partnership organized under the laws of the Cayman Islands have entered into that certain Stock Purchase Agreement, dated as of July 25, 2013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capitalized terms used but not otherwise defined herein shall have the meanings given to them in the Purchase Agreement); and</w:t>
      </w:r>
    </w:p>
    <w:p>
      <w:pPr>
        <w:spacing w:after="0" w:line="181"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WHEREAS, pursuant to the Purchase Agreement, it is a condition precedent to the obligations of Vivendi under the Purchase Agreement that Activision Blizzard shall have executed and delivered this Agreement to Vivendi, and it is a condition precedent to the obligations of Activision Blizzard under the Purchase Agreement that Vivendi shall have executed and delivered this Agreement to Activision Blizzard, in each case at the Closing.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for good and valuable consideration, the receipt and sufficiency of which is hereby acknowledged, the parties agree as follows:</w:t>
      </w:r>
    </w:p>
    <w:p>
      <w:pPr>
        <w:spacing w:after="0" w:line="170" w:lineRule="exact"/>
        <w:rPr>
          <w:sz w:val="20"/>
          <w:szCs w:val="20"/>
          <w:color w:val="auto"/>
        </w:rPr>
      </w:pPr>
    </w:p>
    <w:p>
      <w:pPr>
        <w:ind w:right="200" w:firstLine="656"/>
        <w:spacing w:after="0" w:line="255" w:lineRule="auto"/>
        <w:tabs>
          <w:tab w:leader="none" w:pos="1296"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Termination of Services Agreement</w:t>
      </w:r>
      <w:r>
        <w:rPr>
          <w:rFonts w:ascii="Arial" w:cs="Arial" w:eastAsia="Arial" w:hAnsi="Arial"/>
          <w:sz w:val="18"/>
          <w:szCs w:val="18"/>
          <w:color w:val="auto"/>
        </w:rPr>
        <w:t>. Notwithstanding anything to the contrary contained therein, the Services Agreement (including, without limitation, any statement of work attached to the Service Agreement or executed by the Parties pursuant to the Agreement and any agreements attached to any of the foregoing, including without limitation the Cash Management Agreement, dated as of February 8, 2010, by and among Vivendi, Activision Blizzard and Coop, and the ISDA Master Agreement (2002 Edition), as modified by the schedule thereto, dated as of February 8, 2010, between Vivendi and Coop) is hereby terminated effective as of the Effective Time (as defined below), and the Parties acknowledge and agree that, notwithstanding any provision of the Services Agreement to the contrary (including any notice requirements or provisions regarding post-termination obligations), from and after the Effective Time,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60"/>
        <w:spacing w:after="0" w:line="312" w:lineRule="auto"/>
        <w:rPr>
          <w:sz w:val="20"/>
          <w:szCs w:val="20"/>
          <w:color w:val="auto"/>
        </w:rPr>
      </w:pPr>
      <w:r>
        <w:rPr>
          <w:rFonts w:ascii="Arial" w:cs="Arial" w:eastAsia="Arial" w:hAnsi="Arial"/>
          <w:sz w:val="16"/>
          <w:szCs w:val="16"/>
          <w:color w:val="auto"/>
        </w:rPr>
        <w:t>Services Agreement shall be void, and there shall be no rights, obligations or liabilities of any Party thereunder, except for any obligation to pay fees, expenses, indemnity or reimbursement to Vivendi with respect the performance of the Services Agreement prior to the Effective Time. The Parties acknowledge and agree that, notwithstanding any provision of the Services Agreement to the contrary, no termination fee shall be payable.</w:t>
      </w:r>
    </w:p>
    <w:p>
      <w:pPr>
        <w:spacing w:after="0" w:line="147" w:lineRule="exact"/>
        <w:rPr>
          <w:sz w:val="20"/>
          <w:szCs w:val="20"/>
          <w:color w:val="auto"/>
        </w:rPr>
      </w:pPr>
    </w:p>
    <w:p>
      <w:pPr>
        <w:jc w:val="both"/>
        <w:ind w:right="60" w:firstLine="656"/>
        <w:spacing w:after="0" w:line="259" w:lineRule="auto"/>
        <w:tabs>
          <w:tab w:leader="none" w:pos="1296"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Termination of License Agreement</w:t>
      </w:r>
      <w:r>
        <w:rPr>
          <w:rFonts w:ascii="Arial" w:cs="Arial" w:eastAsia="Arial" w:hAnsi="Arial"/>
          <w:sz w:val="18"/>
          <w:szCs w:val="18"/>
          <w:color w:val="auto"/>
        </w:rPr>
        <w:t>. The License Agreement is hereby terminated effective as of the Effective Time, and the Parties acknowledge and agree that, notwithstanding any provision of the License Agreement to the contrary (including any notice requirements or provisions regarding post-termination obligations), from and after the Effective Time, the License Agreement (and all licenses and sublicenses thereunder) shall be void, and there shall be no rights, obligations or liabilities of any Party thereunder.</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Effective Time</w:t>
      </w:r>
      <w:r>
        <w:rPr>
          <w:rFonts w:ascii="Arial" w:cs="Arial" w:eastAsia="Arial" w:hAnsi="Arial"/>
          <w:sz w:val="18"/>
          <w:szCs w:val="18"/>
          <w:color w:val="auto"/>
        </w:rPr>
        <w:t>. The “</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be October 31, 2013.</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77" w:lineRule="auto"/>
        <w:tabs>
          <w:tab w:leader="none" w:pos="1942" w:val="left"/>
        </w:tabs>
        <w:numPr>
          <w:ilvl w:val="1"/>
          <w:numId w:val="475"/>
        </w:numPr>
        <w:rPr>
          <w:rFonts w:ascii="Arial" w:cs="Arial" w:eastAsia="Arial" w:hAnsi="Arial"/>
          <w:sz w:val="18"/>
          <w:szCs w:val="18"/>
          <w:color w:val="auto"/>
        </w:rPr>
      </w:pPr>
      <w:r>
        <w:rPr>
          <w:rFonts w:ascii="Arial" w:cs="Arial" w:eastAsia="Arial" w:hAnsi="Arial"/>
          <w:sz w:val="18"/>
          <w:szCs w:val="18"/>
          <w:u w:val="single" w:color="auto"/>
          <w:color w:val="auto"/>
        </w:rPr>
        <w:t>Further Action</w:t>
      </w:r>
      <w:r>
        <w:rPr>
          <w:rFonts w:ascii="Arial" w:cs="Arial" w:eastAsia="Arial" w:hAnsi="Arial"/>
          <w:sz w:val="18"/>
          <w:szCs w:val="18"/>
          <w:color w:val="auto"/>
        </w:rPr>
        <w:t>. Each Party agrees to execute and deliver such additional documents and to take such additional actions as may be necessary or appropriate to effect the provisions of this Agreement and all transactions contemplated hereby.</w:t>
      </w:r>
    </w:p>
    <w:p>
      <w:pPr>
        <w:spacing w:after="0" w:line="170" w:lineRule="exact"/>
        <w:rPr>
          <w:rFonts w:ascii="Arial" w:cs="Arial" w:eastAsia="Arial" w:hAnsi="Arial"/>
          <w:sz w:val="18"/>
          <w:szCs w:val="18"/>
          <w:color w:val="auto"/>
        </w:rPr>
      </w:pPr>
    </w:p>
    <w:p>
      <w:pPr>
        <w:ind w:right="160" w:firstLine="1305"/>
        <w:spacing w:after="0" w:line="264" w:lineRule="auto"/>
        <w:tabs>
          <w:tab w:leader="none" w:pos="1952" w:val="left"/>
        </w:tabs>
        <w:numPr>
          <w:ilvl w:val="1"/>
          <w:numId w:val="47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disputes or controversies arising out of or relating to this Agreement or the transactions contemplated hereby shall be governed by, and construed in accordance with, the internal laws of the State of New York, without regard to the laws of any other jurisdiction that might be applied because of the conflicts of laws principles of the State of New York.</w:t>
      </w:r>
    </w:p>
    <w:p>
      <w:pPr>
        <w:spacing w:after="0" w:line="181" w:lineRule="exact"/>
        <w:rPr>
          <w:rFonts w:ascii="Arial" w:cs="Arial" w:eastAsia="Arial" w:hAnsi="Arial"/>
          <w:sz w:val="18"/>
          <w:szCs w:val="18"/>
          <w:color w:val="auto"/>
        </w:rPr>
      </w:pPr>
    </w:p>
    <w:p>
      <w:pPr>
        <w:jc w:val="both"/>
        <w:ind w:right="180" w:firstLine="1305"/>
        <w:spacing w:after="0" w:line="259" w:lineRule="auto"/>
        <w:tabs>
          <w:tab w:leader="none" w:pos="1955" w:val="left"/>
        </w:tabs>
        <w:numPr>
          <w:ilvl w:val="1"/>
          <w:numId w:val="475"/>
        </w:numPr>
        <w:rPr>
          <w:rFonts w:ascii="Arial" w:cs="Arial" w:eastAsia="Arial" w:hAnsi="Arial"/>
          <w:sz w:val="18"/>
          <w:szCs w:val="18"/>
          <w:color w:val="auto"/>
        </w:rPr>
      </w:pPr>
      <w:r>
        <w:rPr>
          <w:rFonts w:ascii="Arial" w:cs="Arial" w:eastAsia="Arial" w:hAnsi="Arial"/>
          <w:sz w:val="18"/>
          <w:szCs w:val="18"/>
          <w:u w:val="single" w:color="auto"/>
          <w:color w:val="auto"/>
        </w:rPr>
        <w:t>No Prior Assignment of Rights</w:t>
      </w:r>
      <w:r>
        <w:rPr>
          <w:rFonts w:ascii="Arial" w:cs="Arial" w:eastAsia="Arial" w:hAnsi="Arial"/>
          <w:sz w:val="18"/>
          <w:szCs w:val="18"/>
          <w:color w:val="auto"/>
        </w:rPr>
        <w:t>. Each of the Parties represents and warrants that it has not heretofore assigned or transferred, or purported to have assigned or transferred, to any other Person, any right, obligation or liability herein terminated and released and agrees to indemnify and hold harmless the other Parties against any liability or obligation based on, arising out of or in connection with any such transfer or assignment or purported transfer or assignment.</w:t>
      </w:r>
    </w:p>
    <w:p>
      <w:pPr>
        <w:spacing w:after="0" w:line="186" w:lineRule="exact"/>
        <w:rPr>
          <w:rFonts w:ascii="Arial" w:cs="Arial" w:eastAsia="Arial" w:hAnsi="Arial"/>
          <w:sz w:val="18"/>
          <w:szCs w:val="18"/>
          <w:color w:val="auto"/>
        </w:rPr>
      </w:pPr>
    </w:p>
    <w:p>
      <w:pPr>
        <w:jc w:val="both"/>
        <w:ind w:right="280" w:firstLine="1305"/>
        <w:spacing w:after="0" w:line="264" w:lineRule="auto"/>
        <w:tabs>
          <w:tab w:leader="none" w:pos="1952" w:val="left"/>
        </w:tabs>
        <w:numPr>
          <w:ilvl w:val="1"/>
          <w:numId w:val="47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with respect to the subject matter hereof and thereof, and supersedes all prior and contemporaneous written or oral agreements, arrangements, communications and understandings, between the Parties with respect to the subject matter hereof and thereof.</w:t>
      </w:r>
    </w:p>
    <w:p>
      <w:pPr>
        <w:spacing w:after="0" w:line="181" w:lineRule="exact"/>
        <w:rPr>
          <w:rFonts w:ascii="Arial" w:cs="Arial" w:eastAsia="Arial" w:hAnsi="Arial"/>
          <w:sz w:val="18"/>
          <w:szCs w:val="18"/>
          <w:color w:val="auto"/>
        </w:rPr>
      </w:pPr>
    </w:p>
    <w:p>
      <w:pPr>
        <w:ind w:right="260" w:firstLine="1305"/>
        <w:spacing w:after="0" w:line="342" w:lineRule="auto"/>
        <w:tabs>
          <w:tab w:leader="none" w:pos="1955" w:val="left"/>
        </w:tabs>
        <w:numPr>
          <w:ilvl w:val="1"/>
          <w:numId w:val="475"/>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all of which shall be considered one and the same instrument and shall become effective when one or more counterparts have been signed by each of the Parties and delivered to the other Party.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420"/>
          </w:cols>
          <w:pgMar w:left="240" w:top="121" w:right="239" w:bottom="0" w:gutter="0" w:footer="0" w:header="0"/>
        </w:sectPr>
      </w:pPr>
    </w:p>
    <w:bookmarkStart w:id="162" w:name="page163"/>
    <w:bookmarkEnd w:id="162"/>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as of the date first written above by their respective officers or other authorized representatives thereunto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VIVENDI, S.A.</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Philippe Capron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Philippe Capron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Title: Chief Financial Officer and Member of the Management Board</w:t>
      </w: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 to Cash Management Services Termination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ACTIVISION BLIZZARD,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Dennis Durkin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 to Cash Management Services Termination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COÖPERATIE ACTIVISION BLIZZARD INTERNATIONAL, U.A.</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M.M. vander Wilk-Rouhof</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M.M. vander Wilk-Rouhof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 to Cash Management Services Termination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FINANCIAL INFORMATION</w:t>
      </w:r>
    </w:p>
    <w:p>
      <w:pPr>
        <w:spacing w:after="0" w:line="229"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This unaudited pro forma condensed financial information is provided in order to present the continuing impacts from the Stock Purchase Transaction and the incurrence of $4.75 billion of debt, as well as the use of our cash and cash equivalents (“cash”) in connection with the Stock Purchase Transaction, and to show how historical financial statements might have been affected had the Stock Purchase Transaction been consummated at an earlier date. The Company believes that the unaudited pro forma condensed financial information is useful because of the significant changes to the Company’s capital structure expected as a result of the Stock Purchase Transaction, the incurrence of $4.75 billion of debt and use of our cash.</w:t>
      </w:r>
    </w:p>
    <w:p>
      <w:pPr>
        <w:spacing w:after="0" w:line="15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unaudited pro forma condensed statement of operations for the six months ended June 30, 2013 and the year ended December 31, 2012 gives effect to the Stock Purchase Transaction, the incurrence of $4.75 billion of debt, as well as the use of our cash in connection with the Stock Purchase Transaction as if they were consummated on January 1, 2012 and includes all adjustments, which give effect to material events that are directly attributable to the Stock Purchase Transaction, the debt and use of our cash, that are expected to have a continuing impact and are factually supportable. The unaudited pro forma condensed balance sheet as of June 30, 2013 gives effect to the Stock Purchase Transaction, the debt and use of our cash as if they had been consummated on June 30, 2013 and includes all adjustments, which give effect to material events that are directly attributable to the Stock Purchase Transaction, the debt and use of our cash, that are factually supportable. The notes to the pro forma condensed financial information describe the unaudited pro forma amounts and adjustments presented below.</w:t>
      </w:r>
    </w:p>
    <w:p>
      <w:pPr>
        <w:spacing w:after="0" w:line="17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pro forma adjustments reflect the Stock Purchase Transaction as the acquisition of treasury stock in accordance with U.S. GAAP and upon the assumptions set forth in the notes herein. The unaudited pro forma condensed balance sheet has been adjusted to reflect the impact of the incurrence of the debt, the repurchase of our common stock, and the corresponding use of our cash. This unaudited pro forma condensed financial information should be read in conjunction with the historical financial statements of Activision Blizzard incorporated by reference elsewhere in this proxy statement.</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unaudited pro forma condensed financial information is based on financial statements prepared in accordance with U.S. GAAP. In addition, the unaudited pro forma condensed financial information is based upon available information and a number of assumptions that the Company considers to be reasonable, and have been made solely for purposes of developing such unaudited pro forma condensed financial information for illustrative purposes in compliance with the disclosure requirements S-X Article 11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gridSpan w:val="9"/>
          </w:tcPr>
          <w:p>
            <w:pPr>
              <w:jc w:val="right"/>
              <w:ind w:right="1080"/>
              <w:spacing w:after="0"/>
              <w:rPr>
                <w:sz w:val="20"/>
                <w:szCs w:val="20"/>
                <w:color w:val="auto"/>
              </w:rPr>
            </w:pPr>
            <w:r>
              <w:rPr>
                <w:rFonts w:ascii="Arial" w:cs="Arial" w:eastAsia="Arial" w:hAnsi="Arial"/>
                <w:sz w:val="14"/>
                <w:szCs w:val="14"/>
                <w:b w:val="1"/>
                <w:bCs w:val="1"/>
                <w:color w:val="auto"/>
              </w:rPr>
              <w:t>For the six months ended June 30, 2013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80" w:type="dxa"/>
            <w:vAlign w:val="bottom"/>
            <w:gridSpan w:val="9"/>
          </w:tcPr>
          <w:p>
            <w:pPr>
              <w:jc w:val="right"/>
              <w:ind w:right="1240"/>
              <w:spacing w:after="0"/>
              <w:rPr>
                <w:sz w:val="20"/>
                <w:szCs w:val="20"/>
                <w:color w:val="auto"/>
              </w:rPr>
            </w:pPr>
            <w:r>
              <w:rPr>
                <w:rFonts w:ascii="Arial" w:cs="Arial" w:eastAsia="Arial" w:hAnsi="Arial"/>
                <w:sz w:val="14"/>
                <w:szCs w:val="14"/>
                <w:b w:val="1"/>
                <w:bCs w:val="1"/>
                <w:color w:val="auto"/>
              </w:rPr>
              <w:t>For the year ended December 31, 2012</w:t>
            </w: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34"/>
              <w:spacing w:after="0" w:line="119" w:lineRule="exact"/>
              <w:rPr>
                <w:sz w:val="20"/>
                <w:szCs w:val="20"/>
                <w:color w:val="auto"/>
              </w:rPr>
            </w:pPr>
            <w:r>
              <w:rPr>
                <w:rFonts w:ascii="Arial" w:cs="Arial" w:eastAsia="Arial" w:hAnsi="Arial"/>
                <w:sz w:val="13"/>
                <w:szCs w:val="13"/>
                <w:b w:val="1"/>
                <w:bCs w:val="1"/>
                <w:color w:val="auto"/>
              </w:rPr>
              <w:t>Pro</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34"/>
              <w:spacing w:after="0" w:line="119" w:lineRule="exact"/>
              <w:rPr>
                <w:sz w:val="20"/>
                <w:szCs w:val="20"/>
                <w:color w:val="auto"/>
              </w:rPr>
            </w:pPr>
            <w:r>
              <w:rPr>
                <w:rFonts w:ascii="Arial" w:cs="Arial" w:eastAsia="Arial" w:hAnsi="Arial"/>
                <w:sz w:val="13"/>
                <w:szCs w:val="13"/>
                <w:b w:val="1"/>
                <w:bCs w:val="1"/>
                <w:color w:val="auto"/>
              </w:rPr>
              <w:t>Pro</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Activision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Forma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Activision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Activision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Activision</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Blizzard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Adjustments</w:t>
            </w:r>
          </w:p>
        </w:tc>
        <w:tc>
          <w:tcPr>
            <w:tcW w:w="22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Blizzard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Blizzard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Adjustments</w:t>
            </w:r>
          </w:p>
        </w:tc>
        <w:tc>
          <w:tcPr>
            <w:tcW w:w="22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Blizzard</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rPr>
              <w:t>(in millions, except per share data)</w:t>
            </w: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rPr>
              <w:t>(in millions, except per share data)</w:t>
            </w:r>
          </w:p>
        </w:tc>
        <w:tc>
          <w:tcPr>
            <w:tcW w:w="9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3,620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02"/>
        </w:trPr>
        <w:tc>
          <w:tcPr>
            <w:tcW w:w="2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Subscription, licensing and</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revenues</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5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0"/>
        </w:trPr>
        <w:tc>
          <w:tcPr>
            <w:tcW w:w="256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rPr>
              <w:t>Interest and other income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80"/>
              <w:spacing w:after="0"/>
              <w:rPr>
                <w:sz w:val="20"/>
                <w:szCs w:val="20"/>
                <w:color w:val="auto"/>
              </w:rPr>
            </w:pPr>
            <w:r>
              <w:rPr>
                <w:rFonts w:ascii="Arial" w:cs="Arial" w:eastAsia="Arial" w:hAnsi="Arial"/>
                <w:sz w:val="18"/>
                <w:szCs w:val="18"/>
                <w:color w:val="auto"/>
              </w:rPr>
              <w:t>(expenses), net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(113)(a)</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(225)(a)</w:t>
            </w:r>
          </w:p>
        </w:tc>
        <w:tc>
          <w:tcPr>
            <w:tcW w:w="22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82"/>
        </w:trPr>
        <w:tc>
          <w:tcPr>
            <w:tcW w:w="2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w:t>
            </w: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(41)(b)</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(81)(b)</w:t>
            </w:r>
          </w:p>
        </w:tc>
        <w:tc>
          <w:tcPr>
            <w:tcW w:w="2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1.42(c)</w:t>
            </w:r>
          </w:p>
        </w:tc>
        <w:tc>
          <w:tcPr>
            <w:tcW w:w="0" w:type="dxa"/>
            <w:vAlign w:val="bottom"/>
          </w:tcPr>
          <w:p>
            <w:pPr>
              <w:spacing w:after="0"/>
              <w:rPr>
                <w:sz w:val="1"/>
                <w:szCs w:val="1"/>
                <w:color w:val="auto"/>
              </w:rPr>
            </w:pPr>
          </w:p>
        </w:tc>
      </w:tr>
      <w:tr>
        <w:trPr>
          <w:trHeight w:val="216"/>
        </w:trPr>
        <w:tc>
          <w:tcPr>
            <w:tcW w:w="2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0.99(c)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1.41(c)</w:t>
            </w:r>
          </w:p>
        </w:tc>
        <w:tc>
          <w:tcPr>
            <w:tcW w:w="0" w:type="dxa"/>
            <w:vAlign w:val="bottom"/>
          </w:tcPr>
          <w:p>
            <w:pPr>
              <w:spacing w:after="0"/>
              <w:rPr>
                <w:sz w:val="1"/>
                <w:szCs w:val="1"/>
                <w:color w:val="auto"/>
              </w:rPr>
            </w:pPr>
          </w:p>
        </w:tc>
      </w:tr>
      <w:tr>
        <w:trPr>
          <w:trHeight w:val="202"/>
        </w:trPr>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(429)(d)</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(429)(d)</w:t>
            </w:r>
          </w:p>
        </w:tc>
        <w:tc>
          <w:tcPr>
            <w:tcW w:w="2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(429)(d)</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(429)(d)</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condensed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2013</w:t>
      </w:r>
    </w:p>
    <w:p>
      <w:pPr>
        <w:sectPr>
          <w:pgSz w:w="11900" w:h="16838" w:orient="portrait"/>
          <w:cols w:equalWidth="0" w:num="1">
            <w:col w:w="11420"/>
          </w:cols>
          <w:pgMar w:left="240" w:top="121" w:right="239" w:bottom="0" w:gutter="0" w:footer="0" w:header="0"/>
        </w:sectPr>
      </w:pPr>
    </w:p>
    <w:p>
      <w:pPr>
        <w:spacing w:after="0" w:line="221" w:lineRule="exact"/>
        <w:rPr>
          <w:sz w:val="20"/>
          <w:szCs w:val="20"/>
          <w:color w:val="auto"/>
        </w:rPr>
      </w:pPr>
    </w:p>
    <w:p>
      <w:pPr>
        <w:ind w:left="7020"/>
        <w:spacing w:after="0"/>
        <w:tabs>
          <w:tab w:leader="none" w:pos="8580" w:val="left"/>
          <w:tab w:leader="none" w:pos="10500" w:val="left"/>
        </w:tabs>
        <w:rPr>
          <w:sz w:val="20"/>
          <w:szCs w:val="20"/>
          <w:color w:val="auto"/>
        </w:rPr>
      </w:pPr>
      <w:r>
        <w:rPr>
          <w:rFonts w:ascii="Arial" w:cs="Arial" w:eastAsia="Arial" w:hAnsi="Arial"/>
          <w:sz w:val="14"/>
          <w:szCs w:val="14"/>
          <w:b w:val="1"/>
          <w:bCs w:val="1"/>
          <w:color w:val="auto"/>
        </w:rPr>
        <w:t>Activision</w:t>
      </w:r>
      <w:r>
        <w:rPr>
          <w:sz w:val="20"/>
          <w:szCs w:val="20"/>
          <w:color w:val="auto"/>
        </w:rPr>
        <w:tab/>
      </w:r>
      <w:r>
        <w:rPr>
          <w:rFonts w:ascii="Arial" w:cs="Arial" w:eastAsia="Arial" w:hAnsi="Arial"/>
          <w:sz w:val="14"/>
          <w:szCs w:val="14"/>
          <w:b w:val="1"/>
          <w:bCs w:val="1"/>
          <w:color w:val="auto"/>
        </w:rPr>
        <w:t>Pro Forma</w:t>
      </w:r>
      <w:r>
        <w:rPr>
          <w:sz w:val="20"/>
          <w:szCs w:val="20"/>
          <w:color w:val="auto"/>
        </w:rPr>
        <w:tab/>
      </w:r>
      <w:r>
        <w:rPr>
          <w:rFonts w:ascii="Arial" w:cs="Arial" w:eastAsia="Arial" w:hAnsi="Arial"/>
          <w:sz w:val="13"/>
          <w:szCs w:val="13"/>
          <w:b w:val="1"/>
          <w:bCs w:val="1"/>
          <w:color w:val="auto"/>
        </w:rPr>
        <w:t>Pro</w:t>
      </w:r>
    </w:p>
    <w:p>
      <w:pPr>
        <w:spacing w:after="0" w:line="4" w:lineRule="exact"/>
        <w:rPr>
          <w:sz w:val="20"/>
          <w:szCs w:val="20"/>
          <w:color w:val="auto"/>
        </w:rPr>
      </w:pPr>
    </w:p>
    <w:p>
      <w:pPr>
        <w:ind w:left="7060"/>
        <w:spacing w:after="0"/>
        <w:tabs>
          <w:tab w:leader="none" w:pos="8520" w:val="left"/>
          <w:tab w:leader="none" w:pos="10400" w:val="left"/>
        </w:tabs>
        <w:rPr>
          <w:sz w:val="20"/>
          <w:szCs w:val="20"/>
          <w:color w:val="auto"/>
        </w:rPr>
      </w:pPr>
      <w:r>
        <w:rPr>
          <w:rFonts w:ascii="Arial" w:cs="Arial" w:eastAsia="Arial" w:hAnsi="Arial"/>
          <w:sz w:val="14"/>
          <w:szCs w:val="14"/>
          <w:b w:val="1"/>
          <w:bCs w:val="1"/>
          <w:color w:val="auto"/>
        </w:rPr>
        <w:t>Blizzard</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3"/>
          <w:szCs w:val="13"/>
          <w:b w:val="1"/>
          <w:bCs w:val="1"/>
          <w:color w:val="auto"/>
        </w:rPr>
        <w:t>Forma</w:t>
      </w:r>
    </w:p>
    <w:p>
      <w:pPr>
        <w:sectPr>
          <w:pgSz w:w="11900" w:h="16838" w:orient="portrait"/>
          <w:cols w:equalWidth="0" w:num="1">
            <w:col w:w="11420"/>
          </w:cols>
          <w:pgMar w:left="240" w:top="121" w:right="239" w:bottom="0" w:gutter="0" w:footer="0" w:header="0"/>
          <w:type w:val="continuous"/>
        </w:sectPr>
      </w:pPr>
    </w:p>
    <w:bookmarkStart w:id="164" w:name="page165"/>
    <w:bookmarkEnd w:id="164"/>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Activision</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Blizzard</w:t>
            </w: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511"/>
              <w:spacing w:after="0" w:line="119" w:lineRule="exact"/>
              <w:rPr>
                <w:sz w:val="20"/>
                <w:szCs w:val="20"/>
                <w:color w:val="auto"/>
              </w:rPr>
            </w:pPr>
            <w:r>
              <w:rPr>
                <w:rFonts w:ascii="Arial" w:cs="Arial" w:eastAsia="Arial" w:hAnsi="Arial"/>
                <w:sz w:val="13"/>
                <w:szCs w:val="13"/>
                <w:b w:val="1"/>
                <w:bCs w:val="1"/>
                <w:color w:val="auto"/>
              </w:rPr>
              <w:t>(in</w:t>
            </w:r>
          </w:p>
        </w:tc>
        <w:tc>
          <w:tcPr>
            <w:tcW w:w="3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millions)</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4,341</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(1,230)(e)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development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Intellectual property licenses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development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60(f)</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and trade names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433</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7,102</w:t>
            </w:r>
          </w:p>
        </w:tc>
        <w:tc>
          <w:tcPr>
            <w:tcW w:w="4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139</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25(g)</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Long-term debt, net</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4,673(g)</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4,698</w:t>
            </w:r>
          </w:p>
        </w:tc>
        <w:tc>
          <w:tcPr>
            <w:tcW w:w="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9,541</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(5,830)(d)</w:t>
            </w:r>
          </w:p>
        </w:tc>
        <w:tc>
          <w:tcPr>
            <w:tcW w:w="2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2,456</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(38)(h)</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11,935</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13,411</w:t>
            </w: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condensed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unaudited pro forma condensed statements of operations for the six months ended June 30, 2013 and the year ended December 31, 2012 gives effect to the Stock Purchase Transaction, the incurrence of $4.75 billion of debt, as well as the use of our cash in connection with the Stock Purchase Transaction as if they were consummated on January 1, 2012 and includes all adjustments, which give effect to material events that are directly attributable to the Stock Purchase Transaction, the debt and use of our cash, that are expected to have a continuing impact, and are factually supportable. The unaudited pro forma condensed balance sheet as of June 30, 2013 gives effect to the Stock Purchase Transaction, the debt and use of our cash as if they had been consummated on June 30, 2013 and includes all adjustments, which give effect to material events that are directly attributable to the Stock Purchase Transaction, the debt and use of our cash, that are factually supportable. The notes to the unaudited pro forma condensed financial information describe the pro forma amounts and adjustments presented below.</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non-recurring transaction expenses, such as bridge loan financing fees and legal and other professional fees estimated to range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 million to $38 million incurred and to be incurred, were excluded from the unaudited pro forma condensed statements of operations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2013 and the year ended December 31, 2012 because expensing these amounts does not have a continuing impact.</w:t>
      </w:r>
    </w:p>
    <w:p>
      <w:pPr>
        <w:spacing w:after="0" w:line="21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accounting of any derivatives embedded into our borrowings agreements were excluded from the unaudited pro forma condensed statements of operations for the six months ended June 30, 2013 and the year ended December 31, 2012, as well as the unaudited pro forma condensed balance sheet as of June 30, 2013 as the Company does not expect the accounting for these derivatives to be material for pro forma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Accounting for the Stock Purchase Transaction</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July 25, 2013, we entered into the Stock Purchase Agreement with Vivendi and ASAC, an exempted limited partnership established under the laws of the Cayman Islands, and acting by its General Partner. The Stock Purchase Agreement provides for us to, upon the terms and subject to the conditions thereof, acquire from Vivendi, in the Stock Purchase Transaction, all of the capital stock of New VH, a Delaware corporation and wholly owned subsidiary of Vivendi, which, at the time of purchase, will be the direct owner of approximately 429 million shares of Activision Blizzard common stock, for a cash</w:t>
      </w:r>
    </w:p>
    <w:p>
      <w:pPr>
        <w:sectPr>
          <w:pgSz w:w="11900" w:h="16838" w:orient="portrait"/>
          <w:cols w:equalWidth="0" w:num="1">
            <w:col w:w="11420"/>
          </w:cols>
          <w:pgMar w:left="240" w:top="104" w:right="239" w:bottom="0" w:gutter="0" w:footer="0" w:header="0"/>
        </w:sectPr>
      </w:pPr>
    </w:p>
    <w:bookmarkStart w:id="165" w:name="page166"/>
    <w:bookmarkEnd w:id="165"/>
    <w:p>
      <w:pPr>
        <w:ind w:right="20"/>
        <w:spacing w:after="0" w:line="272" w:lineRule="auto"/>
        <w:rPr>
          <w:sz w:val="20"/>
          <w:szCs w:val="20"/>
          <w:color w:val="auto"/>
        </w:rPr>
      </w:pPr>
      <w:r>
        <w:rPr>
          <w:rFonts w:ascii="Arial" w:cs="Arial" w:eastAsia="Arial" w:hAnsi="Arial"/>
          <w:sz w:val="17"/>
          <w:szCs w:val="17"/>
          <w:color w:val="auto"/>
        </w:rPr>
        <w:t>payment of approximately $5.83 billion, or $13.60 per share for the shares of Activision Blizzard common stock being acquired by us. In addition, New VH has certain tax attributes that are expected to benefit the Company in the future. The Stock Purchase Agreement further provides for ASAC to, upon the terms and subject to the conditions thereof, purchase from Vivendi, in the Private Sale, approximately 172 million shares of Activision Blizzard common stock, in conjunction with the Stock Purchase Transaction, for an aggregate cash payment of approximately $2.34 billion, or $13.60 per share, provided that such amounts may be reduced under certain circumstances. Robert A. Kotick, our Chief Executive Officer, and Brian G. Kelly, Co-Chairman of our board of directors, are affiliates of the General Partner of ASAC, and will contribute $100 million combined to the Private Sale. The Private Sale is not reflected in this unaudited pro forma condensed financial information as it will not have an accounting implication for the Company.</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plan to fund the Stock Purchase Transaction with a combination of approximately $1.2 billion of cash on hand and $4.6 billion of net proceeds received by the Company (net of estimated $150 million of fees, expenses and upfront costs) in connection with debt accessed through the capital markets and bank financing. We have completed the syndication of a seven-year secured term loan credit facility totaling $2.5 billion (“Term Loan B”). The Company expects to also secure a five-year revolving credit facility of $250 million. The closing of the Term Loan B and the revolving credit facility are subject to customary closing conditions. In addition, we have closed the private offering of $1,500 million aggregate principal amount of 5.625% senior notes due 2021 (the “2021 Notes”) and $750 million aggregate principal amount of 6.125% senior notes due 2023 (the “2023 Notes” and, together with the 2021 Notes, the “Notes”). The proceeds of the Notes were funded into an escrow account on September 19, 2013 and are being held in such account, subject to the terms of the special mandatory redemption feature as described elsewhere in this proxy statement, pending the closing of the transactions contemplated by the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After giving effect to the Stock Purchase Transaction, our common stock outstanding is expected to be reduced by approximately 429 million shares, which would accordingly increase earnings per common share. The Stock Purchase Transaction will be accounted for as a share repurchase with the consideration recorded as treasury stock in our balance sheet. We expect that following the completion of the Stock Purchase Transaction, our cash will be reduced by approximately $1.2 billion, and our new capital structure is expected to include approximately $4.75 billion of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 Forma Adjustments (in millions, except per share and percentage data)</w:t>
      </w:r>
    </w:p>
    <w:p>
      <w:pPr>
        <w:spacing w:after="0" w:line="229" w:lineRule="exact"/>
        <w:rPr>
          <w:sz w:val="20"/>
          <w:szCs w:val="20"/>
          <w:color w:val="auto"/>
        </w:rPr>
      </w:pPr>
    </w:p>
    <w:p>
      <w:pPr>
        <w:ind w:left="660" w:hanging="652"/>
        <w:spacing w:after="0"/>
        <w:tabs>
          <w:tab w:leader="none" w:pos="6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Represents the following pro forma adjustments to interest and other (income) expenses, net:</w:t>
      </w:r>
    </w:p>
    <w:p>
      <w:pPr>
        <w:spacing w:after="0" w:line="20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100" w:type="dxa"/>
            <w:vAlign w:val="bottom"/>
          </w:tcPr>
          <w:p>
            <w:pPr>
              <w:jc w:val="center"/>
              <w:ind w:left="187"/>
              <w:spacing w:after="0"/>
              <w:rPr>
                <w:sz w:val="20"/>
                <w:szCs w:val="20"/>
                <w:color w:val="auto"/>
              </w:rPr>
            </w:pPr>
            <w:r>
              <w:rPr>
                <w:rFonts w:ascii="Arial" w:cs="Arial" w:eastAsia="Arial" w:hAnsi="Arial"/>
                <w:sz w:val="14"/>
                <w:szCs w:val="14"/>
                <w:b w:val="1"/>
                <w:bCs w:val="1"/>
                <w:color w:val="auto"/>
                <w:w w:val="90"/>
              </w:rPr>
              <w:t>Six months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6220" w:type="dxa"/>
            <w:vAlign w:val="bottom"/>
          </w:tcPr>
          <w:p>
            <w:pPr>
              <w:spacing w:after="0"/>
              <w:rPr>
                <w:sz w:val="12"/>
                <w:szCs w:val="12"/>
                <w:color w:val="auto"/>
              </w:rPr>
            </w:pPr>
          </w:p>
        </w:tc>
        <w:tc>
          <w:tcPr>
            <w:tcW w:w="1100" w:type="dxa"/>
            <w:vAlign w:val="bottom"/>
          </w:tcPr>
          <w:p>
            <w:pPr>
              <w:jc w:val="center"/>
              <w:ind w:left="207"/>
              <w:spacing w:after="0" w:line="149" w:lineRule="exact"/>
              <w:rPr>
                <w:sz w:val="20"/>
                <w:szCs w:val="20"/>
                <w:color w:val="auto"/>
              </w:rPr>
            </w:pPr>
            <w:r>
              <w:rPr>
                <w:rFonts w:ascii="Arial" w:cs="Arial" w:eastAsia="Arial" w:hAnsi="Arial"/>
                <w:sz w:val="14"/>
                <w:szCs w:val="14"/>
                <w:b w:val="1"/>
                <w:bCs w:val="1"/>
                <w:color w:val="auto"/>
                <w:w w:val="92"/>
              </w:rPr>
              <w:t>ended</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2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ind w:left="187"/>
              <w:spacing w:after="0"/>
              <w:rPr>
                <w:sz w:val="20"/>
                <w:szCs w:val="20"/>
                <w:color w:val="auto"/>
              </w:rPr>
            </w:pPr>
            <w:r>
              <w:rPr>
                <w:rFonts w:ascii="Arial" w:cs="Arial" w:eastAsia="Arial" w:hAnsi="Arial"/>
                <w:sz w:val="14"/>
                <w:szCs w:val="14"/>
                <w:b w:val="1"/>
                <w:bCs w:val="1"/>
                <w:color w:val="auto"/>
                <w:w w:val="92"/>
              </w:rPr>
              <w:t>June 30, 2013</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interest expense related to debt financing(1)</w:t>
            </w:r>
          </w:p>
        </w:tc>
        <w:tc>
          <w:tcPr>
            <w:tcW w:w="1100" w:type="dxa"/>
            <w:vAlign w:val="bottom"/>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w w:val="98"/>
              </w:rPr>
              <w:t>Amortization of debt discount, such as original issue discount and gross spread</w:t>
            </w: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Pro forma adjustment to interest and other (income) expenses, net</w:t>
            </w: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760" w:right="20" w:hanging="650"/>
        <w:spacing w:after="0" w:line="286" w:lineRule="auto"/>
        <w:tabs>
          <w:tab w:leader="none" w:pos="1767" w:val="left"/>
        </w:tabs>
        <w:numPr>
          <w:ilvl w:val="1"/>
          <w:numId w:val="477"/>
        </w:numPr>
        <w:rPr>
          <w:rFonts w:ascii="Arial" w:cs="Arial" w:eastAsia="Arial" w:hAnsi="Arial"/>
          <w:sz w:val="16"/>
          <w:szCs w:val="16"/>
          <w:color w:val="auto"/>
        </w:rPr>
      </w:pPr>
      <w:r>
        <w:rPr>
          <w:rFonts w:ascii="Arial" w:cs="Arial" w:eastAsia="Arial" w:hAnsi="Arial"/>
          <w:sz w:val="16"/>
          <w:szCs w:val="16"/>
          <w:color w:val="auto"/>
        </w:rPr>
        <w:t>Pro forma cash interest expense was calculated at an assumed interest rate of 3.25% for Term Loan B and 5.625% and 6.125% for the 2021 Notes and 2023 Notes, respectively. Interest expense on Term Loan B is subject to 3-months LIBOR or 0.75%, whichever is higher, plus a spread of 2.5%. For every one-eighth percentage point (0.125%) percent increase or decrease from our assumed interest rate for the Term Loan B, the estimated annual interest expense on the Term Loan B is expected to change by approximately</w:t>
      </w:r>
    </w:p>
    <w:p>
      <w:pPr>
        <w:spacing w:after="0" w:line="1" w:lineRule="exact"/>
        <w:rPr>
          <w:rFonts w:ascii="Arial" w:cs="Arial" w:eastAsia="Arial" w:hAnsi="Arial"/>
          <w:sz w:val="16"/>
          <w:szCs w:val="16"/>
          <w:color w:val="auto"/>
        </w:rPr>
      </w:pPr>
    </w:p>
    <w:p>
      <w:pPr>
        <w:ind w:left="1760" w:right="120"/>
        <w:spacing w:after="0" w:line="261" w:lineRule="auto"/>
        <w:rPr>
          <w:rFonts w:ascii="Arial" w:cs="Arial" w:eastAsia="Arial" w:hAnsi="Arial"/>
          <w:sz w:val="16"/>
          <w:szCs w:val="16"/>
          <w:color w:val="auto"/>
        </w:rPr>
      </w:pPr>
      <w:r>
        <w:rPr>
          <w:rFonts w:ascii="Arial" w:cs="Arial" w:eastAsia="Arial" w:hAnsi="Arial"/>
          <w:sz w:val="18"/>
          <w:szCs w:val="18"/>
          <w:color w:val="auto"/>
        </w:rPr>
        <w:t>$3 million. No assurance can be given that a similar variable rate of interest will be achieved or that estimated amount will represent the actual interest expense incurred in the future.</w:t>
      </w:r>
    </w:p>
    <w:p>
      <w:pPr>
        <w:spacing w:after="0" w:line="183" w:lineRule="exact"/>
        <w:rPr>
          <w:rFonts w:ascii="Arial" w:cs="Arial" w:eastAsia="Arial" w:hAnsi="Arial"/>
          <w:sz w:val="16"/>
          <w:szCs w:val="16"/>
          <w:color w:val="auto"/>
        </w:rPr>
      </w:pPr>
    </w:p>
    <w:p>
      <w:pPr>
        <w:ind w:left="660" w:hanging="652"/>
        <w:spacing w:after="0"/>
        <w:tabs>
          <w:tab w:leader="none" w:pos="6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Represents the income tax effect of the aggregate pro forma adjustments at the statutory income tax rate of approximately 36%.</w:t>
      </w:r>
    </w:p>
    <w:p>
      <w:pPr>
        <w:spacing w:after="0" w:line="225" w:lineRule="exact"/>
        <w:rPr>
          <w:rFonts w:ascii="Arial" w:cs="Arial" w:eastAsia="Arial" w:hAnsi="Arial"/>
          <w:sz w:val="18"/>
          <w:szCs w:val="18"/>
          <w:color w:val="auto"/>
        </w:rPr>
      </w:pPr>
    </w:p>
    <w:p>
      <w:pPr>
        <w:ind w:left="660" w:right="100" w:hanging="652"/>
        <w:spacing w:after="0" w:line="257" w:lineRule="auto"/>
        <w:tabs>
          <w:tab w:leader="none" w:pos="671" w:val="left"/>
        </w:tabs>
        <w:numPr>
          <w:ilvl w:val="0"/>
          <w:numId w:val="478"/>
        </w:numPr>
        <w:rPr>
          <w:rFonts w:ascii="Arial" w:cs="Arial" w:eastAsia="Arial" w:hAnsi="Arial"/>
          <w:sz w:val="18"/>
          <w:szCs w:val="18"/>
          <w:color w:val="auto"/>
        </w:rPr>
      </w:pPr>
      <w:r>
        <w:rPr>
          <w:rFonts w:ascii="Arial" w:cs="Arial" w:eastAsia="Arial" w:hAnsi="Arial"/>
          <w:sz w:val="18"/>
          <w:szCs w:val="18"/>
          <w:color w:val="auto"/>
        </w:rPr>
        <w:t>Pro forma earnings per share was calculated pursuant to the two-class method which requires the allocation of net income between common shareholders and participating security holders. We had, on a weighted average basis, participating securities of approximately 25 million for the six months ended June 30, 2013 and 24 million for the year ended December 31, 2012. On a pro forma basis, net income attributable to common shareholders used to calculate earnings per share was $687 million for the six months ended June 30, 2013 and $973 million for the year ended December 31, 2012.</w:t>
      </w:r>
    </w:p>
    <w:p>
      <w:pPr>
        <w:spacing w:after="0" w:line="188" w:lineRule="exact"/>
        <w:rPr>
          <w:rFonts w:ascii="Arial" w:cs="Arial" w:eastAsia="Arial" w:hAnsi="Arial"/>
          <w:sz w:val="18"/>
          <w:szCs w:val="18"/>
          <w:color w:val="auto"/>
        </w:rPr>
      </w:pPr>
    </w:p>
    <w:p>
      <w:pPr>
        <w:ind w:left="660" w:right="80" w:hanging="652"/>
        <w:spacing w:after="0" w:line="259" w:lineRule="auto"/>
        <w:tabs>
          <w:tab w:leader="none" w:pos="667" w:val="left"/>
        </w:tabs>
        <w:numPr>
          <w:ilvl w:val="0"/>
          <w:numId w:val="478"/>
        </w:numPr>
        <w:rPr>
          <w:rFonts w:ascii="Arial" w:cs="Arial" w:eastAsia="Arial" w:hAnsi="Arial"/>
          <w:sz w:val="18"/>
          <w:szCs w:val="18"/>
          <w:color w:val="auto"/>
        </w:rPr>
      </w:pPr>
      <w:r>
        <w:rPr>
          <w:rFonts w:ascii="Arial" w:cs="Arial" w:eastAsia="Arial" w:hAnsi="Arial"/>
          <w:sz w:val="18"/>
          <w:szCs w:val="18"/>
          <w:color w:val="auto"/>
        </w:rPr>
        <w:t>Represents the pro forma adjustments to the weighted average number of shares outstanding for the six months ended June 30, 2013 and the year ended December 31, 2012 attributed to the repurchase of approximately 429 million shares of Activision Blizzard common stock. The repurchase of shares of Activision Blizzard common stock in total of approximately $5,830 million or at $13.60 per share is reflected as treasury stock in the unaudited pro forma condensed balance sheet.</w:t>
      </w:r>
    </w:p>
    <w:p>
      <w:pPr>
        <w:spacing w:after="0" w:line="186" w:lineRule="exact"/>
        <w:rPr>
          <w:rFonts w:ascii="Arial" w:cs="Arial" w:eastAsia="Arial" w:hAnsi="Arial"/>
          <w:sz w:val="18"/>
          <w:szCs w:val="18"/>
          <w:color w:val="auto"/>
        </w:rPr>
      </w:pPr>
    </w:p>
    <w:p>
      <w:pPr>
        <w:ind w:left="660" w:right="180" w:hanging="652"/>
        <w:spacing w:after="0" w:line="302" w:lineRule="auto"/>
        <w:tabs>
          <w:tab w:leader="none" w:pos="671" w:val="left"/>
        </w:tabs>
        <w:numPr>
          <w:ilvl w:val="0"/>
          <w:numId w:val="478"/>
        </w:numPr>
        <w:rPr>
          <w:rFonts w:ascii="Arial" w:cs="Arial" w:eastAsia="Arial" w:hAnsi="Arial"/>
          <w:sz w:val="16"/>
          <w:szCs w:val="16"/>
          <w:color w:val="auto"/>
        </w:rPr>
      </w:pPr>
      <w:r>
        <w:rPr>
          <w:rFonts w:ascii="Arial" w:cs="Arial" w:eastAsia="Arial" w:hAnsi="Arial"/>
          <w:sz w:val="16"/>
          <w:szCs w:val="16"/>
          <w:color w:val="auto"/>
        </w:rPr>
        <w:t>Represents the pro forma adjustments to cash and cash equivalents of approximately $1,230 million of cash that we plan to use to fund, in part, the Stock Purchase Transaction. The remainder of the aggregate $5,830 million to be paid by the Company as part of the Stock Purchase Transaction will be funded with the approximately $4,600 million of net proceeds received by the Company (net of estimated $150 million of fees, expenses, issuance discount, and upfront costs) in connection with the issuance of the $2,250 million of the Notes and the $2,500 million Term Loan B.</w:t>
      </w:r>
    </w:p>
    <w:p>
      <w:pPr>
        <w:spacing w:after="0" w:line="154" w:lineRule="exact"/>
        <w:rPr>
          <w:rFonts w:ascii="Arial" w:cs="Arial" w:eastAsia="Arial" w:hAnsi="Arial"/>
          <w:sz w:val="16"/>
          <w:szCs w:val="16"/>
          <w:color w:val="auto"/>
        </w:rPr>
      </w:pPr>
    </w:p>
    <w:p>
      <w:pPr>
        <w:ind w:left="660" w:hanging="652"/>
        <w:spacing w:after="0"/>
        <w:tabs>
          <w:tab w:leader="none" w:pos="6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Represents the fees paid capitalized as deferred financing costs in connection with the debt.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680" w:hanging="672"/>
        <w:spacing w:after="0"/>
        <w:tabs>
          <w:tab w:leader="none" w:pos="6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Represents the following pro forma adjustments for short-term and long-term debt related to the debt financing of $4,750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Term Loan B</w:t>
            </w:r>
          </w:p>
        </w:tc>
        <w:tc>
          <w:tcPr>
            <w:tcW w:w="2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2021 Notes</w:t>
            </w:r>
          </w:p>
        </w:tc>
        <w:tc>
          <w:tcPr>
            <w:tcW w:w="1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2023 Notes</w:t>
            </w:r>
          </w:p>
        </w:tc>
        <w:tc>
          <w:tcPr>
            <w:tcW w:w="1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0"/>
        </w:trPr>
        <w:tc>
          <w:tcPr>
            <w:tcW w:w="506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18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Original issue discount and gross spread cost</w:t>
            </w:r>
          </w:p>
        </w:tc>
        <w:tc>
          <w:tcPr>
            <w:tcW w:w="1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0"/>
        </w:trPr>
        <w:tc>
          <w:tcPr>
            <w:tcW w:w="5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66" w:name="page167"/>
    <w:bookmarkEnd w:id="166"/>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6900" w:type="dxa"/>
            <w:vAlign w:val="bottom"/>
          </w:tcPr>
          <w:p>
            <w:pPr>
              <w:ind w:left="180"/>
              <w:spacing w:after="0"/>
              <w:rPr>
                <w:sz w:val="20"/>
                <w:szCs w:val="20"/>
                <w:color w:val="auto"/>
              </w:rPr>
            </w:pPr>
            <w:r>
              <w:rPr>
                <w:rFonts w:ascii="Arial" w:cs="Arial" w:eastAsia="Arial" w:hAnsi="Arial"/>
                <w:sz w:val="18"/>
                <w:szCs w:val="18"/>
                <w:color w:val="auto"/>
              </w:rPr>
              <w:t>Total carrying value of debt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4,698</w:t>
            </w:r>
          </w:p>
        </w:tc>
        <w:tc>
          <w:tcPr>
            <w:tcW w:w="80" w:type="dxa"/>
            <w:vAlign w:val="bottom"/>
          </w:tcPr>
          <w:p>
            <w:pPr>
              <w:spacing w:after="0"/>
              <w:rPr>
                <w:sz w:val="20"/>
                <w:szCs w:val="20"/>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debt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77" w:lineRule="auto"/>
        <w:tabs>
          <w:tab w:leader="none" w:pos="66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Represents one-time expenses of the Stock Purchase Transaction and non-capitalizable debt-related costs such as bridge loan financing fees and legal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Tax Attributes Assumed</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Pursuant to the Stock Purchase Agreement, in addition to the acquisition of our common stock through the acquisition of New VH, Vivendi’s wholly owned newly formed subsidiary, the New VH entity has certain tax attributes that are expected to benefit the Company in the future. These generally consist of New VH’s net operating loss (“NOL”) carryforwards of approximately $676 million (having a potential future tax benefit of approximately $245 million). Under the same Stock Purchase Agreement, the Company obtains indemnification from Vivendi against losses attributable to the potential nonexistence of such NOLs or the disallowance of claimed utilization of such NOL carryforwards of up to $200 million (unrealized tax benefit) in the aggregate, limited to taxable years ending on or prior to December 31, 2016. The accounting of the NOL carryforwards and indemnification were excluded from the unaudited pro forma condensed statements of operations for the six months ended June 30, 2013 and the year ended December 31, 2012 because of uncertainty in assumptions around the tax attributes and indemnification, and as such, the accounting impact cannot be reliably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34795" cy="4972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5347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and Investor Group Complete Purchase of Company Shares from Vivendi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Newly Independent Company Now Majority Owned by Public Shareholders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SANTA MONICA, Calif.—(BUSINESS WIRE)— Activision Blizzard, Inc. (Nasdaq: ATVI), a global leader in interactive entertainment, announced today that it had successfully completed its previously announced acquisition of approximately 429 million company shares and certain tax attributes from Vivendi (Euronext Paris: VIV) for approximately $5.83 billion, or $13.60 per share in cash. ASAC II LP, an investment vehicle led by Activision Blizzard CEO Bobby Kotick and Chairman Brian Kelly, has also completed its purchase of approximately 172 million company shares from Vivendi for approximately $2.34 billion in cash, or $13.60 per share, in a separate transaction.</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shares Activision Blizzard purchased in the transaction will no longer be treated as outstanding, leaving the majority of the remaining 690 million shares in the hands of public shareholders. With the closing of the transaction, ASAC II LP—the investor group which, in addition to Kotick and Kelly, includes Davis Advisors, Leonard Green &amp; Partners, L.P., Tencent, and one of the world’s largest global institutional investors—now owns approximately 24.7% of the Company. Vivendi has retained 83 million shares, an approximate 12% stake in the Company.</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Activision’s stock purchase was financed with a combination of approximately $1.2 billion of domestic cash on hand and recently issued debt, including $1.5 billion of 5.625% senior notes due 2021, $750 million of 6.125% senior notes due 2024, and a $2.5 billion seven-year term loan facility. The entire $4.75 billion of debt financing has a weighted average annual interest rate of less than 5%.</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“With the completion of this transaction we open a new chapter in the history of Activision Blizzard,” Mr. Kotick said. “We expect immediate shareholder benefits in the form of earnings-per-share accretion and strategic and operational independence. Our audiences and our incredibly talented employees around the world will benefit from a focused commitment to the creation of great games. Our shareholders and debt holders will have the benefit of an energized, invested, deeply committed management team focused on generating long-term, superior returns and effectively managing our capital structure.”</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Activision Blizzard received committed financing for the transaction from Bank of America Merrill Lynch and J.P. Morgan. J.P. Morgan Securities LLC acted as Activision Blizzard’s sole financial advisor for the transaction and Skadden, Arps, Slate, Meagher &amp; Flom LLP provided legal counsel to the Company. A special committee of independent directors formed to represent the Company in negotiating and evaluating the transactions worked with Centerview Partners as its financial advisor and Wachtell, Lipton, Rosen &amp; Katz as its legal counsel. ASAC II LP worked with financial advisor Allen &amp; Company LLC and its legal counsel is Sullivan &amp; Cromwell LLP.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Activision Blizzard</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Activision Blizzard, Inc. is the world’s largest and most profitable independent interactive entertainment publishing company. It develops and publishes some of the most successful and beloved entertainment franchises in any medium, including Call of Duty, World of Warcraft, Skylanders, and Diablo®.</w:t>
      </w:r>
    </w:p>
    <w:p>
      <w:pPr>
        <w:spacing w:after="0" w:line="14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Headquartered in Santa Monica California, it maintains operations throughout the United States, Europe, and Asia. Activision Blizzard develops and publishes games on all leading interactive platforms and its games are available in most countries around the world. More information about Activision Blizzard and its products can be found on the company’s website, www.activisionblizzard.com.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This press release contains forward-looking statements including, but not limited to, those relating to the expected impact of the transactions described herein. The forward-looking statements in this release are based upon information available to the Company as of the date of this release, and the Company assumes no obligation to update any such forward-looking statements. Although these forward-looking statements are believed to be true when made, they may ultimately prove to be incorrect. These statements are not guarantees of the future performance of the Company and are subject to risks, uncertainties and other factors, some of which are beyond its control and may cause actual results to differ materially from current expectations.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Kristin Southey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 IR and Treasurer</w:t>
      </w:r>
    </w:p>
    <w:p>
      <w:pPr>
        <w:spacing w:after="0" w:line="9" w:lineRule="exact"/>
        <w:rPr>
          <w:sz w:val="20"/>
          <w:szCs w:val="20"/>
          <w:color w:val="auto"/>
        </w:rPr>
      </w:pPr>
    </w:p>
    <w:p>
      <w:pPr>
        <w:ind w:right="9540" w:firstLine="8"/>
        <w:spacing w:after="0" w:line="281" w:lineRule="auto"/>
        <w:tabs>
          <w:tab w:leader="none" w:pos="435" w:val="left"/>
        </w:tabs>
        <w:numPr>
          <w:ilvl w:val="0"/>
          <w:numId w:val="480"/>
        </w:numPr>
        <w:rPr>
          <w:rFonts w:ascii="Arial" w:cs="Arial" w:eastAsia="Arial" w:hAnsi="Arial"/>
          <w:sz w:val="16"/>
          <w:szCs w:val="16"/>
          <w:color w:val="auto"/>
        </w:rPr>
      </w:pPr>
      <w:r>
        <w:rPr>
          <w:rFonts w:ascii="Arial" w:cs="Arial" w:eastAsia="Arial" w:hAnsi="Arial"/>
          <w:sz w:val="16"/>
          <w:szCs w:val="16"/>
          <w:color w:val="auto"/>
        </w:rPr>
        <w:t>255-2635 ksouthey@activision.com or</w:t>
      </w:r>
    </w:p>
    <w:p>
      <w:pPr>
        <w:spacing w:after="0" w:line="2" w:lineRule="exact"/>
        <w:rPr>
          <w:rFonts w:ascii="Arial" w:cs="Arial" w:eastAsia="Arial" w:hAnsi="Arial"/>
          <w:sz w:val="16"/>
          <w:szCs w:val="16"/>
          <w:color w:val="auto"/>
        </w:rPr>
      </w:pPr>
    </w:p>
    <w:p>
      <w:pPr>
        <w:ind w:right="9360"/>
        <w:spacing w:after="0" w:line="250" w:lineRule="auto"/>
        <w:rPr>
          <w:rFonts w:ascii="Arial" w:cs="Arial" w:eastAsia="Arial" w:hAnsi="Arial"/>
          <w:sz w:val="16"/>
          <w:szCs w:val="16"/>
          <w:color w:val="auto"/>
        </w:rPr>
      </w:pPr>
      <w:r>
        <w:rPr>
          <w:rFonts w:ascii="Arial" w:cs="Arial" w:eastAsia="Arial" w:hAnsi="Arial"/>
          <w:sz w:val="18"/>
          <w:szCs w:val="18"/>
          <w:b w:val="1"/>
          <w:bCs w:val="1"/>
          <w:color w:val="auto"/>
        </w:rPr>
        <w:t xml:space="preserve">Activision Blizzard Media: </w:t>
      </w:r>
      <w:r>
        <w:rPr>
          <w:rFonts w:ascii="Arial" w:cs="Arial" w:eastAsia="Arial" w:hAnsi="Arial"/>
          <w:sz w:val="18"/>
          <w:szCs w:val="18"/>
          <w:color w:val="auto"/>
        </w:rPr>
        <w:t>Maryanne Lataif</w:t>
      </w:r>
    </w:p>
    <w:p>
      <w:pPr>
        <w:spacing w:after="0"/>
        <w:rPr>
          <w:rFonts w:ascii="Arial" w:cs="Arial" w:eastAsia="Arial" w:hAnsi="Arial"/>
          <w:sz w:val="16"/>
          <w:szCs w:val="16"/>
          <w:color w:val="auto"/>
        </w:rPr>
      </w:pPr>
      <w:r>
        <w:rPr>
          <w:rFonts w:ascii="Arial" w:cs="Arial" w:eastAsia="Arial" w:hAnsi="Arial"/>
          <w:sz w:val="18"/>
          <w:szCs w:val="18"/>
          <w:color w:val="auto"/>
        </w:rPr>
        <w:t>SVP, Corporate Communications</w:t>
      </w:r>
    </w:p>
    <w:p>
      <w:pPr>
        <w:spacing w:after="0" w:line="9" w:lineRule="exact"/>
        <w:rPr>
          <w:rFonts w:ascii="Arial" w:cs="Arial" w:eastAsia="Arial" w:hAnsi="Arial"/>
          <w:sz w:val="16"/>
          <w:szCs w:val="16"/>
          <w:color w:val="auto"/>
        </w:rPr>
      </w:pPr>
    </w:p>
    <w:p>
      <w:pPr>
        <w:ind w:right="9680" w:firstLine="8"/>
        <w:spacing w:after="0" w:line="323" w:lineRule="auto"/>
        <w:tabs>
          <w:tab w:leader="none" w:pos="435" w:val="left"/>
        </w:tabs>
        <w:numPr>
          <w:ilvl w:val="0"/>
          <w:numId w:val="481"/>
        </w:numPr>
        <w:rPr>
          <w:rFonts w:ascii="Arial" w:cs="Arial" w:eastAsia="Arial" w:hAnsi="Arial"/>
          <w:sz w:val="16"/>
          <w:szCs w:val="16"/>
          <w:color w:val="auto"/>
        </w:rPr>
      </w:pPr>
      <w:r>
        <w:rPr>
          <w:rFonts w:ascii="Arial" w:cs="Arial" w:eastAsia="Arial" w:hAnsi="Arial"/>
          <w:sz w:val="16"/>
          <w:szCs w:val="16"/>
          <w:color w:val="auto"/>
        </w:rPr>
        <w:t>255-2704 mlataif@activision.com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Source: Activision Blizzard,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News Provided by Acquire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3A06D4"/>
    <w:multiLevelType w:val="hybridMultilevel"/>
    <w:lvl w:ilvl="0">
      <w:lvlJc w:val="left"/>
      <w:lvlText w:val="o"/>
      <w:numFmt w:val="bullet"/>
      <w:start w:val="1"/>
    </w:lvl>
  </w:abstractNum>
  <w:abstractNum w:abstractNumId="1">
    <w:nsid w:val="59A377B6"/>
    <w:multiLevelType w:val="hybridMultilevel"/>
    <w:lvl w:ilvl="0">
      <w:lvlJc w:val="left"/>
      <w:lvlText w:val="(%1)"/>
      <w:numFmt w:val="lowerRoman"/>
      <w:start w:val="1"/>
    </w:lvl>
  </w:abstractNum>
  <w:abstractNum w:abstractNumId="2">
    <w:nsid w:val="48AEB063"/>
    <w:multiLevelType w:val="hybridMultilevel"/>
    <w:lvl w:ilvl="0">
      <w:lvlJc w:val="left"/>
      <w:lvlText w:val="(%1)"/>
      <w:numFmt w:val="lowerLetter"/>
      <w:start w:val="2"/>
    </w:lvl>
  </w:abstractNum>
  <w:abstractNum w:abstractNumId="3">
    <w:nsid w:val="24E135"/>
    <w:multiLevelType w:val="hybridMultilevel"/>
    <w:lvl w:ilvl="0">
      <w:lvlJc w:val="left"/>
      <w:lvlText w:val="(%1)"/>
      <w:numFmt w:val="lowerLetter"/>
      <w:start w:val="4"/>
    </w:lvl>
  </w:abstractNum>
  <w:abstractNum w:abstractNumId="4">
    <w:nsid w:val="BB13C1"/>
    <w:multiLevelType w:val="hybridMultilevel"/>
    <w:lvl w:ilvl="0">
      <w:lvlJc w:val="left"/>
      <w:lvlText w:val="(%1)"/>
      <w:numFmt w:val="lowerLetter"/>
      <w:start w:val="1"/>
    </w:lvl>
  </w:abstractNum>
  <w:abstractNum w:abstractNumId="5">
    <w:nsid w:val="271210C7"/>
    <w:multiLevelType w:val="hybridMultilevel"/>
    <w:lvl w:ilvl="0">
      <w:lvlJc w:val="left"/>
      <w:lvlText w:val="(%1)"/>
      <w:numFmt w:val="lowerLetter"/>
      <w:start w:val="1"/>
    </w:lvl>
  </w:abstractNum>
  <w:abstractNum w:abstractNumId="6">
    <w:nsid w:val="217B22E4"/>
    <w:multiLevelType w:val="hybridMultilevel"/>
    <w:lvl w:ilvl="0">
      <w:lvlJc w:val="left"/>
      <w:lvlText w:val="(%1)"/>
      <w:numFmt w:val="lowerLetter"/>
      <w:start w:val="4"/>
    </w:lvl>
  </w:abstractNum>
  <w:abstractNum w:abstractNumId="7">
    <w:nsid w:val="53E31A24"/>
    <w:multiLevelType w:val="hybridMultilevel"/>
    <w:lvl w:ilvl="0">
      <w:lvlJc w:val="left"/>
      <w:lvlText w:val="%1"/>
      <w:numFmt w:val="lowerLetter"/>
      <w:start w:val="1"/>
    </w:lvl>
    <w:lvl w:ilvl="1">
      <w:lvlJc w:val="left"/>
      <w:lvlText w:val="(%2)"/>
      <w:numFmt w:val="lowerLetter"/>
      <w:start w:val="1"/>
    </w:lvl>
  </w:abstractNum>
  <w:abstractNum w:abstractNumId="8">
    <w:nsid w:val="6DC45E83"/>
    <w:multiLevelType w:val="hybridMultilevel"/>
    <w:lvl w:ilvl="0">
      <w:lvlJc w:val="left"/>
      <w:lvlText w:val="(%1)"/>
      <w:numFmt w:val="lowerLetter"/>
      <w:start w:val="35"/>
    </w:lvl>
    <w:lvl w:ilvl="1">
      <w:lvlJc w:val="left"/>
      <w:lvlText w:val="(%2)"/>
      <w:numFmt w:val="lowerLetter"/>
      <w:start w:val="2"/>
    </w:lvl>
  </w:abstractNum>
  <w:abstractNum w:abstractNumId="9">
    <w:nsid w:val="17304A67"/>
    <w:multiLevelType w:val="hybridMultilevel"/>
    <w:lvl w:ilvl="0">
      <w:lvlJc w:val="left"/>
      <w:lvlText w:val="(%1)"/>
      <w:numFmt w:val="lowerLetter"/>
      <w:start w:val="61"/>
    </w:lvl>
    <w:lvl w:ilvl="1">
      <w:lvlJc w:val="left"/>
      <w:lvlText w:val="%2"/>
      <w:numFmt w:val="lowerLetter"/>
      <w:start w:val="1"/>
    </w:lvl>
  </w:abstractNum>
  <w:abstractNum w:abstractNumId="10">
    <w:nsid w:val="2BB180D8"/>
    <w:multiLevelType w:val="hybridMultilevel"/>
    <w:lvl w:ilvl="0">
      <w:lvlJc w:val="left"/>
      <w:lvlText w:val="(%1)"/>
      <w:numFmt w:val="lowerLetter"/>
      <w:start w:val="3"/>
    </w:lvl>
  </w:abstractNum>
  <w:abstractNum w:abstractNumId="11">
    <w:nsid w:val="556B69ED"/>
    <w:multiLevelType w:val="hybridMultilevel"/>
    <w:lvl w:ilvl="0">
      <w:lvlJc w:val="left"/>
      <w:lvlText w:val="(%1)"/>
      <w:numFmt w:val="lowerLetter"/>
      <w:start w:val="4"/>
    </w:lvl>
  </w:abstractNum>
  <w:abstractNum w:abstractNumId="12">
    <w:nsid w:val="70836196"/>
    <w:multiLevelType w:val="hybridMultilevel"/>
    <w:lvl w:ilvl="0">
      <w:lvlJc w:val="left"/>
      <w:lvlText w:val="%1"/>
      <w:numFmt w:val="decimal"/>
      <w:start w:val="1"/>
    </w:lvl>
    <w:lvl w:ilvl="1">
      <w:lvlJc w:val="left"/>
      <w:lvlText w:val="(%2)"/>
      <w:numFmt w:val="lowerLetter"/>
      <w:start w:val="1"/>
    </w:lvl>
  </w:abstractNum>
  <w:abstractNum w:abstractNumId="13">
    <w:nsid w:val="539F7F12"/>
    <w:multiLevelType w:val="hybridMultilevel"/>
    <w:lvl w:ilvl="0">
      <w:lvlJc w:val="left"/>
      <w:lvlText w:val="(%1)"/>
      <w:numFmt w:val="decimal"/>
      <w:start w:val="2"/>
    </w:lvl>
    <w:lvl w:ilvl="1">
      <w:lvlJc w:val="left"/>
      <w:lvlText w:val="(%2)"/>
      <w:numFmt w:val="lowerLetter"/>
      <w:start w:val="3"/>
    </w:lvl>
  </w:abstractNum>
  <w:abstractNum w:abstractNumId="14">
    <w:nsid w:val="2817E7EC"/>
    <w:multiLevelType w:val="hybridMultilevel"/>
    <w:lvl w:ilvl="0">
      <w:lvlJc w:val="left"/>
      <w:lvlText w:val="(%1)"/>
      <w:numFmt w:val="lowerLetter"/>
      <w:start w:val="1"/>
    </w:lvl>
  </w:abstractNum>
  <w:abstractNum w:abstractNumId="15">
    <w:nsid w:val="71482545"/>
    <w:multiLevelType w:val="hybridMultilevel"/>
    <w:lvl w:ilvl="0">
      <w:lvlJc w:val="left"/>
      <w:lvlText w:val="(%1)"/>
      <w:numFmt w:val="lowerRoman"/>
      <w:start w:val="2"/>
    </w:lvl>
  </w:abstractNum>
  <w:abstractNum w:abstractNumId="16">
    <w:nsid w:val="17D78639"/>
    <w:multiLevelType w:val="hybridMultilevel"/>
    <w:lvl w:ilvl="0">
      <w:lvlJc w:val="left"/>
      <w:lvlText w:val="(%1)"/>
      <w:numFmt w:val="lowerLetter"/>
      <w:start w:val="2"/>
    </w:lvl>
  </w:abstractNum>
  <w:abstractNum w:abstractNumId="17">
    <w:nsid w:val="141D2302"/>
    <w:multiLevelType w:val="hybridMultilevel"/>
    <w:lvl w:ilvl="0">
      <w:lvlJc w:val="left"/>
      <w:lvlText w:val="(%1)"/>
      <w:numFmt w:val="lowerLetter"/>
      <w:start w:val="1"/>
    </w:lvl>
  </w:abstractNum>
  <w:abstractNum w:abstractNumId="18">
    <w:nsid w:val="407168D8"/>
    <w:multiLevelType w:val="hybridMultilevel"/>
    <w:lvl w:ilvl="0">
      <w:lvlJc w:val="left"/>
      <w:lvlText w:val="%1"/>
      <w:numFmt w:val="lowerRoman"/>
      <w:start w:val="1"/>
    </w:lvl>
    <w:lvl w:ilvl="1">
      <w:lvlJc w:val="left"/>
      <w:lvlText w:val="(%2)"/>
      <w:numFmt w:val="lowerLetter"/>
      <w:start w:val="1"/>
    </w:lvl>
  </w:abstractNum>
  <w:abstractNum w:abstractNumId="19">
    <w:nsid w:val="6A1B45E5"/>
    <w:multiLevelType w:val="hybridMultilevel"/>
    <w:lvl w:ilvl="0">
      <w:lvlJc w:val="left"/>
      <w:lvlText w:val="(%1)"/>
      <w:numFmt w:val="lowerRoman"/>
      <w:start w:val="4"/>
    </w:lvl>
    <w:lvl w:ilvl="1">
      <w:lvlJc w:val="left"/>
      <w:lvlText w:val="%2"/>
      <w:numFmt w:val="lowerLetter"/>
      <w:start w:val="1"/>
    </w:lvl>
  </w:abstractNum>
  <w:abstractNum w:abstractNumId="20">
    <w:nsid w:val="567BD50A"/>
    <w:multiLevelType w:val="hybridMultilevel"/>
    <w:lvl w:ilvl="0">
      <w:lvlJc w:val="left"/>
      <w:lvlText w:val="(%1)"/>
      <w:numFmt w:val="lowerLetter"/>
      <w:start w:val="1"/>
    </w:lvl>
  </w:abstractNum>
  <w:abstractNum w:abstractNumId="21">
    <w:nsid w:val="73BBD7F8"/>
    <w:multiLevelType w:val="hybridMultilevel"/>
    <w:lvl w:ilvl="0">
      <w:lvlJc w:val="left"/>
      <w:lvlText w:val="(%1)"/>
      <w:numFmt w:val="lowerLetter"/>
      <w:start w:val="2"/>
    </w:lvl>
  </w:abstractNum>
  <w:abstractNum w:abstractNumId="22">
    <w:nsid w:val="1876589D"/>
    <w:multiLevelType w:val="hybridMultilevel"/>
    <w:lvl w:ilvl="0">
      <w:lvlJc w:val="left"/>
      <w:lvlText w:val="(%1)"/>
      <w:numFmt w:val="lowerLetter"/>
      <w:start w:val="1"/>
    </w:lvl>
  </w:abstractNum>
  <w:abstractNum w:abstractNumId="23">
    <w:nsid w:val="327FAC77"/>
    <w:multiLevelType w:val="hybridMultilevel"/>
    <w:lvl w:ilvl="0">
      <w:lvlJc w:val="left"/>
      <w:lvlText w:val="%1"/>
      <w:numFmt w:val="lowerLetter"/>
      <w:start w:val="1"/>
    </w:lvl>
    <w:lvl w:ilvl="1">
      <w:lvlJc w:val="left"/>
      <w:lvlText w:val="(%2)"/>
      <w:numFmt w:val="lowerLetter"/>
      <w:start w:val="2"/>
    </w:lvl>
  </w:abstractNum>
  <w:abstractNum w:abstractNumId="24">
    <w:nsid w:val="5A606509"/>
    <w:multiLevelType w:val="hybridMultilevel"/>
    <w:lvl w:ilvl="0">
      <w:lvlJc w:val="left"/>
      <w:lvlText w:val="(%1)"/>
      <w:numFmt w:val="lowerLetter"/>
      <w:start w:val="35"/>
    </w:lvl>
    <w:lvl w:ilvl="1">
      <w:lvlJc w:val="left"/>
      <w:lvlText w:val="(%2)"/>
      <w:numFmt w:val="lowerLetter"/>
      <w:start w:val="3"/>
    </w:lvl>
  </w:abstractNum>
  <w:abstractNum w:abstractNumId="25">
    <w:nsid w:val="6F38E6D1"/>
    <w:multiLevelType w:val="hybridMultilevel"/>
    <w:lvl w:ilvl="0">
      <w:lvlJc w:val="left"/>
      <w:lvlText w:val="(%1)"/>
      <w:numFmt w:val="lowerLetter"/>
      <w:start w:val="5"/>
    </w:lvl>
  </w:abstractNum>
  <w:abstractNum w:abstractNumId="26">
    <w:nsid w:val="46111BA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5E96389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8">
    <w:nsid w:val="775BA7C1"/>
    <w:multiLevelType w:val="hybridMultilevel"/>
    <w:lvl w:ilvl="0">
      <w:lvlJc w:val="left"/>
      <w:lvlText w:val="(%1)"/>
      <w:numFmt w:val="lowerRoman"/>
      <w:start w:val="2"/>
    </w:lvl>
  </w:abstractNum>
  <w:abstractNum w:abstractNumId="29">
    <w:nsid w:val="1DD6D6F4"/>
    <w:multiLevelType w:val="hybridMultilevel"/>
    <w:lvl w:ilvl="0">
      <w:lvlJc w:val="left"/>
      <w:lvlText w:val="(%1)"/>
      <w:numFmt w:val="upperLetter"/>
      <w:start w:val="1"/>
    </w:lvl>
    <w:lvl w:ilvl="1">
      <w:lvlJc w:val="left"/>
      <w:lvlText w:val="(%2)"/>
      <w:numFmt w:val="lowerLetter"/>
      <w:start w:val="2"/>
    </w:lvl>
  </w:abstractNum>
  <w:abstractNum w:abstractNumId="30">
    <w:nsid w:val="769A091F"/>
    <w:multiLevelType w:val="hybridMultilevel"/>
    <w:lvl w:ilvl="0">
      <w:lvlJc w:val="left"/>
      <w:lvlText w:val="%1"/>
      <w:numFmt w:val="lowerLetter"/>
      <w:start w:val="1"/>
    </w:lvl>
    <w:lvl w:ilvl="1">
      <w:lvlJc w:val="left"/>
      <w:lvlText w:val="(%2)"/>
      <w:numFmt w:val="lowerRoman"/>
      <w:start w:val="1"/>
    </w:lvl>
  </w:abstractNum>
  <w:abstractNum w:abstractNumId="31">
    <w:nsid w:val="4695AE95"/>
    <w:multiLevelType w:val="hybridMultilevel"/>
    <w:lvl w:ilvl="0">
      <w:lvlJc w:val="left"/>
      <w:lvlText w:val="(%1)"/>
      <w:numFmt w:val="lowerLetter"/>
      <w:start w:val="3"/>
    </w:lvl>
    <w:lvl w:ilvl="1">
      <w:lvlJc w:val="left"/>
      <w:lvlText w:val="%2"/>
      <w:numFmt w:val="lowerRoman"/>
      <w:start w:val="1"/>
    </w:lvl>
  </w:abstractNum>
  <w:abstractNum w:abstractNumId="32">
    <w:nsid w:val="777A4EAA"/>
    <w:multiLevelType w:val="hybridMultilevel"/>
    <w:lvl w:ilvl="0">
      <w:lvlJc w:val="left"/>
      <w:lvlText w:val="(%1)"/>
      <w:numFmt w:val="lowerLetter"/>
      <w:start w:val="1"/>
    </w:lvl>
  </w:abstractNum>
  <w:abstractNum w:abstractNumId="33">
    <w:nsid w:val="3F48B982"/>
    <w:multiLevelType w:val="hybridMultilevel"/>
    <w:lvl w:ilvl="0">
      <w:lvlJc w:val="left"/>
      <w:lvlText w:val="(%1)"/>
      <w:numFmt w:val="lowerLetter"/>
      <w:start w:val="3"/>
    </w:lvl>
  </w:abstractNum>
  <w:abstractNum w:abstractNumId="34">
    <w:nsid w:val="46BA8FC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5">
    <w:nsid w:val="7835626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36">
    <w:nsid w:val="665ACA49"/>
    <w:multiLevelType w:val="hybridMultilevel"/>
    <w:lvl w:ilvl="0">
      <w:lvlJc w:val="left"/>
      <w:lvlText w:val="%1"/>
      <w:numFmt w:val="lowerLetter"/>
      <w:start w:val="1"/>
    </w:lvl>
    <w:lvl w:ilvl="1">
      <w:lvlJc w:val="left"/>
      <w:lvlText w:val="(%2)"/>
      <w:numFmt w:val="lowerRoman"/>
      <w:start w:val="5"/>
    </w:lvl>
  </w:abstractNum>
  <w:abstractNum w:abstractNumId="37">
    <w:nsid w:val="6835B2AE"/>
    <w:multiLevelType w:val="hybridMultilevel"/>
    <w:lvl w:ilvl="0">
      <w:lvlJc w:val="left"/>
      <w:lvlText w:val="(%1)"/>
      <w:numFmt w:val="lowerLetter"/>
      <w:start w:val="3"/>
    </w:lvl>
    <w:lvl w:ilvl="1">
      <w:lvlJc w:val="left"/>
      <w:lvlText w:val="(%2)"/>
      <w:numFmt w:val="lowerRoman"/>
      <w:start w:val="1"/>
    </w:lvl>
  </w:abstractNum>
  <w:abstractNum w:abstractNumId="38">
    <w:nsid w:val="4C187C90"/>
    <w:multiLevelType w:val="hybridMultilevel"/>
    <w:lvl w:ilvl="0">
      <w:lvlJc w:val="left"/>
      <w:lvlText w:val="(%1)"/>
      <w:numFmt w:val="lowerLetter"/>
      <w:start w:val="1"/>
    </w:lvl>
  </w:abstractNum>
  <w:abstractNum w:abstractNumId="39">
    <w:nsid w:val="541F28CD"/>
    <w:multiLevelType w:val="hybridMultilevel"/>
    <w:lvl w:ilvl="0">
      <w:lvlJc w:val="left"/>
      <w:lvlText w:val="(%1)"/>
      <w:numFmt w:val="lowerLetter"/>
      <w:start w:val="1"/>
    </w:lvl>
  </w:abstractNum>
  <w:abstractNum w:abstractNumId="40">
    <w:nsid w:val="7F65FD16"/>
    <w:multiLevelType w:val="hybridMultilevel"/>
    <w:lvl w:ilvl="0">
      <w:lvlJc w:val="left"/>
      <w:lvlText w:val="(%1)"/>
      <w:numFmt w:val="decimal"/>
      <w:start w:val="1"/>
    </w:lvl>
  </w:abstractNum>
  <w:abstractNum w:abstractNumId="41">
    <w:nsid w:val="77C9FD68"/>
    <w:multiLevelType w:val="hybridMultilevel"/>
    <w:lvl w:ilvl="0">
      <w:lvlJc w:val="left"/>
      <w:lvlText w:val="A"/>
      <w:numFmt w:val="bullet"/>
      <w:start w:val="1"/>
    </w:lvl>
  </w:abstractNum>
  <w:abstractNum w:abstractNumId="42">
    <w:nsid w:val="298A92BA"/>
    <w:multiLevelType w:val="hybridMultilevel"/>
    <w:lvl w:ilvl="0">
      <w:lvlJc w:val="left"/>
      <w:lvlText w:val="B"/>
      <w:numFmt w:val="bullet"/>
      <w:start w:val="1"/>
    </w:lvl>
  </w:abstractNum>
  <w:abstractNum w:abstractNumId="43">
    <w:nsid w:val="6FE95EAC"/>
    <w:multiLevelType w:val="hybridMultilevel"/>
    <w:lvl w:ilvl="0">
      <w:lvlJc w:val="left"/>
      <w:lvlText w:val="D"/>
      <w:numFmt w:val="bullet"/>
      <w:start w:val="1"/>
    </w:lvl>
  </w:abstractNum>
  <w:abstractNum w:abstractNumId="44">
    <w:nsid w:val="4B697C7A"/>
    <w:multiLevelType w:val="hybridMultilevel"/>
    <w:lvl w:ilvl="0">
      <w:lvlJc w:val="left"/>
      <w:lvlText w:val="E"/>
      <w:numFmt w:val="bullet"/>
      <w:start w:val="1"/>
    </w:lvl>
  </w:abstractNum>
  <w:abstractNum w:abstractNumId="45">
    <w:nsid w:val="51A27AA6"/>
    <w:multiLevelType w:val="hybridMultilevel"/>
    <w:lvl w:ilvl="0">
      <w:lvlJc w:val="left"/>
      <w:lvlText w:val="F"/>
      <w:numFmt w:val="bullet"/>
      <w:start w:val="1"/>
    </w:lvl>
  </w:abstractNum>
  <w:abstractNum w:abstractNumId="46">
    <w:nsid w:val="613183F2"/>
    <w:multiLevelType w:val="hybridMultilevel"/>
    <w:lvl w:ilvl="0">
      <w:lvlJc w:val="left"/>
      <w:lvlText w:val="H"/>
      <w:numFmt w:val="bullet"/>
      <w:start w:val="1"/>
    </w:lvl>
  </w:abstractNum>
  <w:abstractNum w:abstractNumId="47">
    <w:nsid w:val="634102B4"/>
    <w:multiLevelType w:val="hybridMultilevel"/>
    <w:lvl w:ilvl="0">
      <w:lvlJc w:val="left"/>
      <w:lvlText w:val="J"/>
      <w:numFmt w:val="bullet"/>
      <w:start w:val="1"/>
    </w:lvl>
  </w:abstractNum>
  <w:abstractNum w:abstractNumId="48">
    <w:nsid w:val="65BF9DA8"/>
    <w:multiLevelType w:val="hybridMultilevel"/>
    <w:lvl w:ilvl="0">
      <w:lvlJc w:val="left"/>
      <w:lvlText w:val="K"/>
      <w:numFmt w:val="bullet"/>
      <w:start w:val="1"/>
    </w:lvl>
  </w:abstractNum>
  <w:abstractNum w:abstractNumId="49">
    <w:nsid w:val="21A2ECCA"/>
    <w:multiLevelType w:val="hybridMultilevel"/>
    <w:lvl w:ilvl="0">
      <w:lvlJc w:val="left"/>
      <w:lvlText w:val="L"/>
      <w:numFmt w:val="bullet"/>
      <w:start w:val="1"/>
    </w:lvl>
  </w:abstractNum>
  <w:abstractNum w:abstractNumId="50">
    <w:nsid w:val="4D5C4899"/>
    <w:multiLevelType w:val="hybridMultilevel"/>
    <w:lvl w:ilvl="0">
      <w:lvlJc w:val="left"/>
      <w:lvlText w:val="(%1)"/>
      <w:numFmt w:val="lowerLetter"/>
      <w:start w:val="1"/>
    </w:lvl>
  </w:abstractNum>
  <w:abstractNum w:abstractNumId="51">
    <w:nsid w:val="3C3B72B2"/>
    <w:multiLevelType w:val="hybridMultilevel"/>
    <w:lvl w:ilvl="0">
      <w:lvlJc w:val="left"/>
      <w:lvlText w:val="(%1)"/>
      <w:numFmt w:val="lowerLetter"/>
      <w:start w:val="1"/>
    </w:lvl>
  </w:abstractNum>
  <w:abstractNum w:abstractNumId="52">
    <w:nsid w:val="155EC4C2"/>
    <w:multiLevelType w:val="hybridMultilevel"/>
    <w:lvl w:ilvl="0">
      <w:lvlJc w:val="left"/>
      <w:lvlText w:val="(%1)"/>
      <w:numFmt w:val="lowerRoman"/>
      <w:start w:val="1"/>
    </w:lvl>
  </w:abstractNum>
  <w:abstractNum w:abstractNumId="53">
    <w:nsid w:val="65D2A137"/>
    <w:multiLevelType w:val="hybridMultilevel"/>
    <w:lvl w:ilvl="0">
      <w:lvlJc w:val="left"/>
      <w:lvlText w:val="(%1)"/>
      <w:numFmt w:val="lowerLetter"/>
      <w:start w:val="1"/>
    </w:lvl>
  </w:abstractNum>
  <w:abstractNum w:abstractNumId="54">
    <w:nsid w:val="6EBB1F2A"/>
    <w:multiLevelType w:val="hybridMultilevel"/>
    <w:lvl w:ilvl="0">
      <w:lvlJc w:val="left"/>
      <w:lvlText w:val="(%1)"/>
      <w:numFmt w:val="lowerLetter"/>
      <w:start w:val="1"/>
    </w:lvl>
    <w:lvl w:ilvl="1">
      <w:lvlJc w:val="left"/>
      <w:lvlText w:val="(%2)"/>
      <w:numFmt w:val="upperLetter"/>
      <w:start w:val="2"/>
    </w:lvl>
  </w:abstractNum>
  <w:abstractNum w:abstractNumId="55">
    <w:nsid w:val="6FBF29CB"/>
    <w:multiLevelType w:val="hybridMultilevel"/>
    <w:lvl w:ilvl="0">
      <w:lvlJc w:val="left"/>
      <w:lvlText w:val="(%1)"/>
      <w:numFmt w:val="lowerLetter"/>
      <w:start w:val="3"/>
    </w:lvl>
  </w:abstractNum>
  <w:abstractNum w:abstractNumId="56">
    <w:nsid w:val="550B8808"/>
    <w:multiLevelType w:val="hybridMultilevel"/>
    <w:lvl w:ilvl="0">
      <w:lvlJc w:val="left"/>
      <w:lvlText w:val="%1"/>
      <w:numFmt w:val="lowerLetter"/>
      <w:start w:val="1"/>
    </w:lvl>
    <w:lvl w:ilvl="1">
      <w:lvlJc w:val="left"/>
      <w:lvlText w:val="(%2)"/>
      <w:numFmt w:val="lowerLetter"/>
      <w:start w:val="4"/>
    </w:lvl>
  </w:abstractNum>
  <w:abstractNum w:abstractNumId="57">
    <w:nsid w:val="34CC3ACF"/>
    <w:multiLevelType w:val="hybridMultilevel"/>
    <w:lvl w:ilvl="0">
      <w:lvlJc w:val="left"/>
      <w:lvlText w:val="(%1)"/>
      <w:numFmt w:val="lowerLetter"/>
      <w:start w:val="11"/>
    </w:lvl>
    <w:lvl w:ilvl="1">
      <w:lvlJc w:val="left"/>
      <w:lvlText w:val="(%2)"/>
      <w:numFmt w:val="lowerLetter"/>
      <w:start w:val="9"/>
    </w:lvl>
  </w:abstractNum>
  <w:abstractNum w:abstractNumId="58">
    <w:nsid w:val="4E556261"/>
    <w:multiLevelType w:val="hybridMultilevel"/>
    <w:lvl w:ilvl="0">
      <w:lvlJc w:val="left"/>
      <w:lvlText w:val="(%1)"/>
      <w:numFmt w:val="lowerLetter"/>
      <w:start w:val="2"/>
    </w:lvl>
  </w:abstractNum>
  <w:abstractNum w:abstractNumId="59">
    <w:nsid w:val="4C672FC9"/>
    <w:multiLevelType w:val="hybridMultilevel"/>
    <w:lvl w:ilvl="0">
      <w:lvlJc w:val="left"/>
      <w:lvlText w:val="(%1)"/>
      <w:numFmt w:val="lowerLetter"/>
      <w:start w:val="1"/>
    </w:lvl>
  </w:abstractNum>
  <w:abstractNum w:abstractNumId="60">
    <w:nsid w:val="52A311C3"/>
    <w:multiLevelType w:val="hybridMultilevel"/>
    <w:lvl w:ilvl="0">
      <w:lvlJc w:val="left"/>
      <w:lvlText w:val="(%1)"/>
      <w:numFmt w:val="lowerLetter"/>
      <w:start w:val="3"/>
    </w:lvl>
  </w:abstractNum>
  <w:abstractNum w:abstractNumId="61">
    <w:nsid w:val="44EF6B80"/>
    <w:multiLevelType w:val="hybridMultilevel"/>
    <w:lvl w:ilvl="0">
      <w:lvlJc w:val="left"/>
      <w:lvlText w:val="(%1)"/>
      <w:numFmt w:val="lowerLetter"/>
      <w:start w:val="4"/>
    </w:lvl>
  </w:abstractNum>
  <w:abstractNum w:abstractNumId="62">
    <w:nsid w:val="12FCDE5E"/>
    <w:multiLevelType w:val="hybridMultilevel"/>
    <w:lvl w:ilvl="0">
      <w:lvlJc w:val="left"/>
      <w:lvlText w:val="(%1)"/>
      <w:numFmt w:val="lowerLetter"/>
      <w:start w:val="1"/>
    </w:lvl>
    <w:lvl w:ilvl="1">
      <w:lvlJc w:val="left"/>
      <w:lvlText w:val="(%2)"/>
      <w:numFmt w:val="upperLetter"/>
      <w:start w:val="1"/>
    </w:lvl>
  </w:abstractNum>
  <w:abstractNum w:abstractNumId="63">
    <w:nsid w:val="4A1D606E"/>
    <w:multiLevelType w:val="hybridMultilevel"/>
    <w:lvl w:ilvl="0">
      <w:lvlJc w:val="left"/>
      <w:lvlText w:val="%1"/>
      <w:numFmt w:val="lowerLetter"/>
      <w:start w:val="1"/>
    </w:lvl>
    <w:lvl w:ilvl="1">
      <w:lvlJc w:val="left"/>
      <w:lvlText w:val="(%2)"/>
      <w:numFmt w:val="upperLetter"/>
      <w:start w:val="7"/>
    </w:lvl>
  </w:abstractNum>
  <w:abstractNum w:abstractNumId="64">
    <w:nsid w:val="4382503"/>
    <w:multiLevelType w:val="hybridMultilevel"/>
    <w:lvl w:ilvl="0">
      <w:lvlJc w:val="left"/>
      <w:lvlText w:val="(%1)"/>
      <w:numFmt w:val="lowerLetter"/>
      <w:start w:val="2"/>
    </w:lvl>
    <w:lvl w:ilvl="1">
      <w:lvlJc w:val="left"/>
      <w:lvlText w:val="(%2)"/>
      <w:numFmt w:val="upperLetter"/>
      <w:start w:val="1"/>
    </w:lvl>
  </w:abstractNum>
  <w:abstractNum w:abstractNumId="65">
    <w:nsid w:val="59B76E28"/>
    <w:multiLevelType w:val="hybridMultilevel"/>
    <w:lvl w:ilvl="0">
      <w:lvlJc w:val="left"/>
      <w:lvlText w:val="%1"/>
      <w:numFmt w:val="upperLetter"/>
      <w:start w:val="1"/>
    </w:lvl>
    <w:lvl w:ilvl="1">
      <w:lvlJc w:val="left"/>
      <w:lvlText w:val="(%2)"/>
      <w:numFmt w:val="lowerLetter"/>
      <w:start w:val="1"/>
    </w:lvl>
  </w:abstractNum>
  <w:abstractNum w:abstractNumId="66">
    <w:nsid w:val="4252C2DA"/>
    <w:multiLevelType w:val="hybridMultilevel"/>
    <w:lvl w:ilvl="0">
      <w:lvlJc w:val="left"/>
      <w:lvlText w:val="(%1)"/>
      <w:numFmt w:val="upperLetter"/>
      <w:start w:val="3"/>
    </w:lvl>
    <w:lvl w:ilvl="1">
      <w:lvlJc w:val="left"/>
      <w:lvlText w:val="(%2)"/>
      <w:numFmt w:val="lowerLetter"/>
      <w:start w:val="2"/>
    </w:lvl>
  </w:abstractNum>
  <w:abstractNum w:abstractNumId="67">
    <w:nsid w:val="6A92EF4C"/>
    <w:multiLevelType w:val="hybridMultilevel"/>
    <w:lvl w:ilvl="0">
      <w:lvlJc w:val="left"/>
      <w:lvlText w:val="(%1)"/>
      <w:numFmt w:val="lowerLetter"/>
      <w:start w:val="1"/>
    </w:lvl>
  </w:abstractNum>
  <w:abstractNum w:abstractNumId="68">
    <w:nsid w:val="41ED20D7"/>
    <w:multiLevelType w:val="hybridMultilevel"/>
    <w:lvl w:ilvl="0">
      <w:lvlJc w:val="left"/>
      <w:lvlText w:val="(%1)"/>
      <w:numFmt w:val="lowerLetter"/>
      <w:start w:val="3"/>
    </w:lvl>
  </w:abstractNum>
  <w:abstractNum w:abstractNumId="69">
    <w:nsid w:val="E6B3F6A"/>
    <w:multiLevelType w:val="hybridMultilevel"/>
    <w:lvl w:ilvl="0">
      <w:lvlJc w:val="left"/>
      <w:lvlText w:val="(%1)"/>
      <w:numFmt w:val="lowerLetter"/>
      <w:start w:val="12"/>
    </w:lvl>
  </w:abstractNum>
  <w:abstractNum w:abstractNumId="70">
    <w:nsid w:val="3EB21819"/>
    <w:multiLevelType w:val="hybridMultilevel"/>
    <w:lvl w:ilvl="0">
      <w:lvlJc w:val="left"/>
      <w:lvlText w:val="(%1)"/>
      <w:numFmt w:val="lowerLetter"/>
      <w:start w:val="1"/>
    </w:lvl>
    <w:lvl w:ilvl="1">
      <w:lvlJc w:val="left"/>
      <w:lvlText w:val="(%2)"/>
      <w:numFmt w:val="upperLetter"/>
      <w:start w:val="1"/>
    </w:lvl>
  </w:abstractNum>
  <w:abstractNum w:abstractNumId="71">
    <w:nsid w:val="41531DED"/>
    <w:multiLevelType w:val="hybridMultilevel"/>
    <w:lvl w:ilvl="0">
      <w:lvlJc w:val="left"/>
      <w:lvlText w:val="(%1)"/>
      <w:numFmt w:val="lowerRoman"/>
      <w:start w:val="2"/>
    </w:lvl>
  </w:abstractNum>
  <w:abstractNum w:abstractNumId="72">
    <w:nsid w:val="6353CD2"/>
    <w:multiLevelType w:val="hybridMultilevel"/>
    <w:lvl w:ilvl="0">
      <w:lvlJc w:val="left"/>
      <w:lvlText w:val="(%1)"/>
      <w:numFmt w:val="lowerLetter"/>
      <w:start w:val="5"/>
    </w:lvl>
  </w:abstractNum>
  <w:abstractNum w:abstractNumId="73">
    <w:nsid w:val="683CAAD3"/>
    <w:multiLevelType w:val="hybridMultilevel"/>
    <w:lvl w:ilvl="0">
      <w:lvlJc w:val="left"/>
      <w:lvlText w:val="(%1)"/>
      <w:numFmt w:val="lowerLetter"/>
      <w:start w:val="1"/>
    </w:lvl>
  </w:abstractNum>
  <w:abstractNum w:abstractNumId="74">
    <w:nsid w:val="313C7C99"/>
    <w:multiLevelType w:val="hybridMultilevel"/>
    <w:lvl w:ilvl="0">
      <w:lvlJc w:val="left"/>
      <w:lvlText w:val="(%1)"/>
      <w:numFmt w:val="lowerLetter"/>
      <w:start w:val="1"/>
    </w:lvl>
  </w:abstractNum>
  <w:abstractNum w:abstractNumId="75">
    <w:nsid w:val="519EB94C"/>
    <w:multiLevelType w:val="hybridMultilevel"/>
    <w:lvl w:ilvl="0">
      <w:lvlJc w:val="left"/>
      <w:lvlText w:val="(%1)"/>
      <w:numFmt w:val="lowerLetter"/>
      <w:start w:val="3"/>
    </w:lvl>
  </w:abstractNum>
  <w:abstractNum w:abstractNumId="76">
    <w:nsid w:val="39DF2579"/>
    <w:multiLevelType w:val="hybridMultilevel"/>
    <w:lvl w:ilvl="0">
      <w:lvlJc w:val="left"/>
      <w:lvlText w:val="(%1)"/>
      <w:numFmt w:val="lowerLetter"/>
      <w:start w:val="7"/>
    </w:lvl>
  </w:abstractNum>
  <w:abstractNum w:abstractNumId="77">
    <w:nsid w:val="126E008B"/>
    <w:multiLevelType w:val="hybridMultilevel"/>
    <w:lvl w:ilvl="0">
      <w:lvlJc w:val="left"/>
      <w:lvlText w:val="(%1)"/>
      <w:numFmt w:val="lowerLetter"/>
      <w:start w:val="2"/>
    </w:lvl>
  </w:abstractNum>
  <w:abstractNum w:abstractNumId="78">
    <w:nsid w:val="34DFBC00"/>
    <w:multiLevelType w:val="hybridMultilevel"/>
    <w:lvl w:ilvl="0">
      <w:lvlJc w:val="left"/>
      <w:lvlText w:val="(%1)"/>
      <w:numFmt w:val="decimal"/>
      <w:start w:val="1"/>
    </w:lvl>
  </w:abstractNum>
  <w:abstractNum w:abstractNumId="79">
    <w:nsid w:val="1F9EC322"/>
    <w:multiLevelType w:val="hybridMultilevel"/>
    <w:lvl w:ilvl="0">
      <w:lvlJc w:val="left"/>
      <w:lvlText w:val="(%1)"/>
      <w:numFmt w:val="lowerLetter"/>
      <w:start w:val="1"/>
    </w:lvl>
    <w:lvl w:ilvl="1">
      <w:lvlJc w:val="left"/>
      <w:lvlText w:val="(%2)"/>
      <w:numFmt w:val="lowerRoman"/>
      <w:start w:val="1"/>
    </w:lvl>
  </w:abstractNum>
  <w:abstractNum w:abstractNumId="80">
    <w:nsid w:val="3410ED56"/>
    <w:multiLevelType w:val="hybridMultilevel"/>
    <w:lvl w:ilvl="0">
      <w:lvlJc w:val="left"/>
      <w:lvlText w:val="(%1)"/>
      <w:numFmt w:val="lowerLetter"/>
      <w:start w:val="2"/>
    </w:lvl>
  </w:abstractNum>
  <w:abstractNum w:abstractNumId="81">
    <w:nsid w:val="23C049A"/>
    <w:multiLevelType w:val="hybridMultilevel"/>
    <w:lvl w:ilvl="0">
      <w:lvlJc w:val="left"/>
      <w:lvlText w:val="(%1)"/>
      <w:numFmt w:val="lowerRoman"/>
      <w:start w:val="1"/>
    </w:lvl>
  </w:abstractNum>
  <w:abstractNum w:abstractNumId="82">
    <w:nsid w:val="5BDA35D4"/>
    <w:multiLevelType w:val="hybridMultilevel"/>
    <w:lvl w:ilvl="0">
      <w:lvlJc w:val="left"/>
      <w:lvlText w:val="(%1)"/>
      <w:numFmt w:val="lowerLetter"/>
      <w:start w:val="1"/>
    </w:lvl>
  </w:abstractNum>
  <w:abstractNum w:abstractNumId="83">
    <w:nsid w:val="496FB218"/>
    <w:multiLevelType w:val="hybridMultilevel"/>
    <w:lvl w:ilvl="0">
      <w:lvlJc w:val="left"/>
      <w:lvlText w:val="(%1)"/>
      <w:numFmt w:val="lowerLetter"/>
      <w:start w:val="1"/>
    </w:lvl>
    <w:lvl w:ilvl="1">
      <w:lvlJc w:val="left"/>
      <w:lvlText w:val="(%2)"/>
      <w:numFmt w:val="upperLetter"/>
      <w:start w:val="1"/>
    </w:lvl>
  </w:abstractNum>
  <w:abstractNum w:abstractNumId="84">
    <w:nsid w:val="680EA5D1"/>
    <w:multiLevelType w:val="hybridMultilevel"/>
    <w:lvl w:ilvl="0">
      <w:lvlJc w:val="left"/>
      <w:lvlText w:val="(%1)"/>
      <w:numFmt w:val="upperLetter"/>
      <w:start w:val="2"/>
    </w:lvl>
  </w:abstractNum>
  <w:abstractNum w:abstractNumId="85">
    <w:nsid w:val="4A9554FE"/>
    <w:multiLevelType w:val="hybridMultilevel"/>
    <w:lvl w:ilvl="0">
      <w:lvlJc w:val="left"/>
      <w:lvlText w:val="(%1)"/>
      <w:numFmt w:val="lowerLetter"/>
      <w:start w:val="2"/>
    </w:lvl>
  </w:abstractNum>
  <w:abstractNum w:abstractNumId="86">
    <w:nsid w:val="392EDBE4"/>
    <w:multiLevelType w:val="hybridMultilevel"/>
    <w:lvl w:ilvl="0">
      <w:lvlJc w:val="left"/>
      <w:lvlText w:val="(%1)"/>
      <w:numFmt w:val="lowerRoman"/>
      <w:start w:val="5"/>
    </w:lvl>
  </w:abstractNum>
  <w:abstractNum w:abstractNumId="87">
    <w:nsid w:val="3D1A2DD9"/>
    <w:multiLevelType w:val="hybridMultilevel"/>
    <w:lvl w:ilvl="0">
      <w:lvlJc w:val="left"/>
      <w:lvlText w:val="%1"/>
      <w:numFmt w:val="lowerLetter"/>
      <w:start w:val="1"/>
    </w:lvl>
    <w:lvl w:ilvl="1">
      <w:lvlJc w:val="left"/>
      <w:lvlText w:val="(%2)"/>
      <w:numFmt w:val="lowerLetter"/>
      <w:start w:val="1"/>
    </w:lvl>
  </w:abstractNum>
  <w:abstractNum w:abstractNumId="88">
    <w:nsid w:val="7F618FCD"/>
    <w:multiLevelType w:val="hybridMultilevel"/>
    <w:lvl w:ilvl="0">
      <w:lvlJc w:val="left"/>
      <w:lvlText w:val="(%1)"/>
      <w:numFmt w:val="lowerLetter"/>
      <w:start w:val="24"/>
    </w:lvl>
    <w:lvl w:ilvl="1">
      <w:lvlJc w:val="left"/>
      <w:lvlText w:val="%2"/>
      <w:numFmt w:val="lowerLetter"/>
      <w:start w:val="1"/>
    </w:lvl>
  </w:abstractNum>
  <w:abstractNum w:abstractNumId="89">
    <w:nsid w:val="7843E45"/>
    <w:multiLevelType w:val="hybridMultilevel"/>
    <w:lvl w:ilvl="0">
      <w:lvlJc w:val="left"/>
      <w:lvlText w:val="(%1)"/>
      <w:numFmt w:val="lowerLetter"/>
      <w:start w:val="2"/>
    </w:lvl>
  </w:abstractNum>
  <w:abstractNum w:abstractNumId="90">
    <w:nsid w:val="9815DA3"/>
    <w:multiLevelType w:val="hybridMultilevel"/>
    <w:lvl w:ilvl="0">
      <w:lvlJc w:val="left"/>
      <w:lvlText w:val="(%1)"/>
      <w:numFmt w:val="lowerLetter"/>
      <w:start w:val="2"/>
    </w:lvl>
  </w:abstractNum>
  <w:abstractNum w:abstractNumId="91">
    <w:nsid w:val="5204A191"/>
    <w:multiLevelType w:val="hybridMultilevel"/>
    <w:lvl w:ilvl="0">
      <w:lvlJc w:val="left"/>
      <w:lvlText w:val="(%1)"/>
      <w:numFmt w:val="decimal"/>
      <w:start w:val="3"/>
    </w:lvl>
  </w:abstractNum>
  <w:abstractNum w:abstractNumId="92">
    <w:nsid w:val="4C73A9C6"/>
    <w:multiLevelType w:val="hybridMultilevel"/>
    <w:lvl w:ilvl="0">
      <w:lvlJc w:val="left"/>
      <w:lvlText w:val="(%1)"/>
      <w:numFmt w:val="lowerLetter"/>
      <w:start w:val="1"/>
    </w:lvl>
  </w:abstractNum>
  <w:abstractNum w:abstractNumId="93">
    <w:nsid w:val="1C7E3C01"/>
    <w:multiLevelType w:val="hybridMultilevel"/>
    <w:lvl w:ilvl="0">
      <w:lvlJc w:val="left"/>
      <w:lvlText w:val="%1"/>
      <w:numFmt w:val="lowerLetter"/>
      <w:start w:val="1"/>
    </w:lvl>
    <w:lvl w:ilvl="1">
      <w:lvlJc w:val="left"/>
      <w:lvlText w:val="(%2)"/>
      <w:numFmt w:val="lowerLetter"/>
      <w:start w:val="9"/>
    </w:lvl>
  </w:abstractNum>
  <w:abstractNum w:abstractNumId="94">
    <w:nsid w:val="1C2201FF"/>
    <w:multiLevelType w:val="hybridMultilevel"/>
    <w:lvl w:ilvl="0">
      <w:lvlJc w:val="left"/>
      <w:lvlText w:val="(%1)"/>
      <w:numFmt w:val="lowerLetter"/>
      <w:start w:val="1"/>
    </w:lvl>
    <w:lvl w:ilvl="1">
      <w:lvlJc w:val="left"/>
      <w:lvlText w:val="%2"/>
      <w:numFmt w:val="lowerLetter"/>
      <w:start w:val="1"/>
    </w:lvl>
  </w:abstractNum>
  <w:abstractNum w:abstractNumId="95">
    <w:nsid w:val="50ABCEC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96">
    <w:nsid w:val="7635AA2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97">
    <w:nsid w:val="5E74C4D9"/>
    <w:multiLevelType w:val="hybridMultilevel"/>
    <w:lvl w:ilvl="0">
      <w:lvlJc w:val="left"/>
      <w:lvlText w:val="(%1)"/>
      <w:numFmt w:val="lowerLetter"/>
      <w:start w:val="25"/>
    </w:lvl>
    <w:lvl w:ilvl="1">
      <w:lvlJc w:val="left"/>
      <w:lvlText w:val="(%2)"/>
      <w:numFmt w:val="lowerLetter"/>
      <w:start w:val="6"/>
    </w:lvl>
    <w:lvl w:ilvl="2">
      <w:lvlJc w:val="left"/>
      <w:lvlText w:val="(%3)"/>
      <w:numFmt w:val="lowerRoman"/>
      <w:start w:val="1"/>
    </w:lvl>
  </w:abstractNum>
  <w:abstractNum w:abstractNumId="98">
    <w:nsid w:val="3B3EBE15"/>
    <w:multiLevelType w:val="hybridMultilevel"/>
    <w:lvl w:ilvl="0">
      <w:lvlJc w:val="left"/>
      <w:lvlText w:val="(%1)"/>
      <w:numFmt w:val="lowerLetter"/>
      <w:start w:val="10"/>
    </w:lvl>
  </w:abstractNum>
  <w:abstractNum w:abstractNumId="99">
    <w:nsid w:val="3822CB01"/>
    <w:multiLevelType w:val="hybridMultilevel"/>
    <w:lvl w:ilvl="0">
      <w:lvlJc w:val="left"/>
      <w:lvlText w:val="(%1)"/>
      <w:numFmt w:val="lowerRoman"/>
      <w:start w:val="1"/>
    </w:lvl>
  </w:abstractNum>
  <w:abstractNum w:abstractNumId="100">
    <w:nsid w:val="6CE00443"/>
    <w:multiLevelType w:val="hybridMultilevel"/>
    <w:lvl w:ilvl="0">
      <w:lvlJc w:val="left"/>
      <w:lvlText w:val="(%1)"/>
      <w:numFmt w:val="lowerRoman"/>
      <w:start w:val="3"/>
    </w:lvl>
  </w:abstractNum>
  <w:abstractNum w:abstractNumId="101">
    <w:nsid w:val="79F0D62F"/>
    <w:multiLevelType w:val="hybridMultilevel"/>
    <w:lvl w:ilvl="0">
      <w:lvlJc w:val="left"/>
      <w:lvlText w:val="(%1)"/>
      <w:numFmt w:val="decimal"/>
      <w:start w:val="5"/>
    </w:lvl>
  </w:abstractNum>
  <w:abstractNum w:abstractNumId="102">
    <w:nsid w:val="7975E8EE"/>
    <w:multiLevelType w:val="hybridMultilevel"/>
    <w:lvl w:ilvl="0">
      <w:lvlJc w:val="left"/>
      <w:lvlText w:val="(%1)"/>
      <w:numFmt w:val="lowerLetter"/>
      <w:start w:val="1"/>
    </w:lvl>
  </w:abstractNum>
  <w:abstractNum w:abstractNumId="103">
    <w:nsid w:val="73154115"/>
    <w:multiLevelType w:val="hybridMultilevel"/>
    <w:lvl w:ilvl="0">
      <w:lvlJc w:val="left"/>
      <w:lvlText w:val="(%1)"/>
      <w:numFmt w:val="lowerLetter"/>
      <w:start w:val="2"/>
    </w:lvl>
  </w:abstractNum>
  <w:abstractNum w:abstractNumId="104">
    <w:nsid w:val="622D8102"/>
    <w:multiLevelType w:val="hybridMultilevel"/>
    <w:lvl w:ilvl="0">
      <w:lvlJc w:val="left"/>
      <w:lvlText w:val="(%1)"/>
      <w:numFmt w:val="upperLetter"/>
      <w:start w:val="1"/>
    </w:lvl>
  </w:abstractNum>
  <w:abstractNum w:abstractNumId="105">
    <w:nsid w:val="2AB26587"/>
    <w:multiLevelType w:val="hybridMultilevel"/>
    <w:lvl w:ilvl="0">
      <w:lvlJc w:val="left"/>
      <w:lvlText w:val="(%1)"/>
      <w:numFmt w:val="lowerLetter"/>
      <w:start w:val="1"/>
    </w:lvl>
  </w:abstractNum>
  <w:abstractNum w:abstractNumId="106">
    <w:nsid w:val="44B3FA61"/>
    <w:multiLevelType w:val="hybridMultilevel"/>
    <w:lvl w:ilvl="0">
      <w:lvlJc w:val="left"/>
      <w:lvlText w:val="(%1)"/>
      <w:numFmt w:val="lowerLetter"/>
      <w:start w:val="1"/>
    </w:lvl>
  </w:abstractNum>
  <w:abstractNum w:abstractNumId="107">
    <w:nsid w:val="1C0CA67C"/>
    <w:multiLevelType w:val="hybridMultilevel"/>
    <w:lvl w:ilvl="0">
      <w:lvlJc w:val="left"/>
      <w:lvlText w:val="(%1)"/>
      <w:numFmt w:val="lowerLetter"/>
      <w:start w:val="2"/>
    </w:lvl>
    <w:lvl w:ilvl="1">
      <w:lvlJc w:val="left"/>
      <w:lvlText w:val="(%2)"/>
      <w:numFmt w:val="upperLetter"/>
      <w:start w:val="1"/>
    </w:lvl>
  </w:abstractNum>
  <w:abstractNum w:abstractNumId="108">
    <w:nsid w:val="3D206613"/>
    <w:multiLevelType w:val="hybridMultilevel"/>
    <w:lvl w:ilvl="0">
      <w:lvlJc w:val="left"/>
      <w:lvlText w:val="(%1)"/>
      <w:numFmt w:val="upperLetter"/>
      <w:start w:val="2"/>
    </w:lvl>
  </w:abstractNum>
  <w:abstractNum w:abstractNumId="109">
    <w:nsid w:val="7993B662"/>
    <w:multiLevelType w:val="hybridMultilevel"/>
    <w:lvl w:ilvl="0">
      <w:lvlJc w:val="left"/>
      <w:lvlText w:val="(%1)"/>
      <w:numFmt w:val="lowerLetter"/>
      <w:start w:val="1"/>
    </w:lvl>
  </w:abstractNum>
  <w:abstractNum w:abstractNumId="110">
    <w:nsid w:val="3BAB699E"/>
    <w:multiLevelType w:val="hybridMultilevel"/>
    <w:lvl w:ilvl="0">
      <w:lvlJc w:val="left"/>
      <w:lvlText w:val="(%1)"/>
      <w:numFmt w:val="lowerLetter"/>
      <w:start w:val="1"/>
    </w:lvl>
  </w:abstractNum>
  <w:abstractNum w:abstractNumId="111">
    <w:nsid w:val="71315369"/>
    <w:multiLevelType w:val="hybridMultilevel"/>
    <w:lvl w:ilvl="0">
      <w:lvlJc w:val="left"/>
      <w:lvlText w:val="(%1)"/>
      <w:numFmt w:val="lowerLetter"/>
      <w:start w:val="5"/>
    </w:lvl>
  </w:abstractNum>
  <w:abstractNum w:abstractNumId="112">
    <w:nsid w:val="7BCFBAFC"/>
    <w:multiLevelType w:val="hybridMultilevel"/>
    <w:lvl w:ilvl="0">
      <w:lvlJc w:val="left"/>
      <w:lvlText w:val="(%1)"/>
      <w:numFmt w:val="lowerLetter"/>
      <w:start w:val="1"/>
    </w:lvl>
  </w:abstractNum>
  <w:abstractNum w:abstractNumId="113">
    <w:nsid w:val="17859F72"/>
    <w:multiLevelType w:val="hybridMultilevel"/>
    <w:lvl w:ilvl="0">
      <w:lvlJc w:val="left"/>
      <w:lvlText w:val="(%1)"/>
      <w:numFmt w:val="lowerLetter"/>
      <w:start w:val="2"/>
    </w:lvl>
  </w:abstractNum>
  <w:abstractNum w:abstractNumId="114">
    <w:nsid w:val="3AA10581"/>
    <w:multiLevelType w:val="hybridMultilevel"/>
    <w:lvl w:ilvl="0">
      <w:lvlJc w:val="left"/>
      <w:lvlText w:val="(%1)"/>
      <w:numFmt w:val="lowerLetter"/>
      <w:start w:val="1"/>
    </w:lvl>
  </w:abstractNum>
  <w:abstractNum w:abstractNumId="115">
    <w:nsid w:val="63DE60CD"/>
    <w:multiLevelType w:val="hybridMultilevel"/>
    <w:lvl w:ilvl="0">
      <w:lvlJc w:val="left"/>
      <w:lvlText w:val="(%1)"/>
      <w:numFmt w:val="lowerLetter"/>
      <w:start w:val="2"/>
    </w:lvl>
  </w:abstractNum>
  <w:abstractNum w:abstractNumId="116">
    <w:nsid w:val="621AF471"/>
    <w:multiLevelType w:val="hybridMultilevel"/>
    <w:lvl w:ilvl="0">
      <w:lvlJc w:val="left"/>
      <w:lvlText w:val="(%1)"/>
      <w:numFmt w:val="lowerLetter"/>
      <w:start w:val="4"/>
    </w:lvl>
  </w:abstractNum>
  <w:abstractNum w:abstractNumId="117">
    <w:nsid w:val="73CFE165"/>
    <w:multiLevelType w:val="hybridMultilevel"/>
    <w:lvl w:ilvl="0">
      <w:lvlJc w:val="left"/>
      <w:lvlText w:val="(%1)"/>
      <w:numFmt w:val="lowerLetter"/>
      <w:start w:val="1"/>
    </w:lvl>
  </w:abstractNum>
  <w:abstractNum w:abstractNumId="118">
    <w:nsid w:val="20F88EA6"/>
    <w:multiLevelType w:val="hybridMultilevel"/>
    <w:lvl w:ilvl="0">
      <w:lvlJc w:val="left"/>
      <w:lvlText w:val="(%1)"/>
      <w:numFmt w:val="lowerLetter"/>
      <w:start w:val="2"/>
    </w:lvl>
  </w:abstractNum>
  <w:abstractNum w:abstractNumId="119">
    <w:nsid w:val="617C843E"/>
    <w:multiLevelType w:val="hybridMultilevel"/>
    <w:lvl w:ilvl="0">
      <w:lvlJc w:val="left"/>
      <w:lvlText w:val="%1"/>
      <w:numFmt w:val="decimal"/>
      <w:start w:val="1"/>
    </w:lvl>
    <w:lvl w:ilvl="1">
      <w:lvlJc w:val="left"/>
      <w:lvlText w:val="(%2)"/>
      <w:numFmt w:val="lowerLetter"/>
      <w:start w:val="1"/>
    </w:lvl>
  </w:abstractNum>
  <w:abstractNum w:abstractNumId="120">
    <w:nsid w:val="7B541FAB"/>
    <w:multiLevelType w:val="hybridMultilevel"/>
    <w:lvl w:ilvl="0">
      <w:lvlJc w:val="left"/>
      <w:lvlText w:val="(%1)"/>
      <w:numFmt w:val="decimal"/>
      <w:start w:val="1"/>
    </w:lvl>
    <w:lvl w:ilvl="1">
      <w:lvlJc w:val="left"/>
      <w:lvlText w:val="%2"/>
      <w:numFmt w:val="lowerLetter"/>
      <w:start w:val="1"/>
    </w:lvl>
  </w:abstractNum>
  <w:abstractNum w:abstractNumId="121">
    <w:nsid w:val="2A79EC49"/>
    <w:multiLevelType w:val="hybridMultilevel"/>
    <w:lvl w:ilvl="0">
      <w:lvlJc w:val="left"/>
      <w:lvlText w:val="(%1)"/>
      <w:numFmt w:val="lowerLetter"/>
      <w:start w:val="35"/>
    </w:lvl>
    <w:lvl w:ilvl="1">
      <w:lvlJc w:val="left"/>
      <w:lvlText w:val="(%2)"/>
      <w:numFmt w:val="lowerLetter"/>
      <w:start w:val="2"/>
    </w:lvl>
  </w:abstractNum>
  <w:abstractNum w:abstractNumId="122">
    <w:nsid w:val="338125CF"/>
    <w:multiLevelType w:val="hybridMultilevel"/>
    <w:lvl w:ilvl="0">
      <w:lvlJc w:val="left"/>
      <w:lvlText w:val="(%1)"/>
      <w:numFmt w:val="lowerLetter"/>
      <w:start w:val="4"/>
    </w:lvl>
  </w:abstractNum>
  <w:abstractNum w:abstractNumId="123">
    <w:nsid w:val="47C7C971"/>
    <w:multiLevelType w:val="hybridMultilevel"/>
    <w:lvl w:ilvl="0">
      <w:lvlJc w:val="left"/>
      <w:lvlText w:val="(%1)"/>
      <w:numFmt w:val="lowerLetter"/>
      <w:start w:val="1"/>
    </w:lvl>
  </w:abstractNum>
  <w:abstractNum w:abstractNumId="124">
    <w:nsid w:val="46F8284B"/>
    <w:multiLevelType w:val="hybridMultilevel"/>
    <w:lvl w:ilvl="0">
      <w:lvlJc w:val="left"/>
      <w:lvlText w:val="%1"/>
      <w:numFmt w:val="upperLetter"/>
      <w:start w:val="1"/>
    </w:lvl>
    <w:lvl w:ilvl="1">
      <w:lvlJc w:val="left"/>
      <w:lvlText w:val="(%2)"/>
      <w:numFmt w:val="lowerRoman"/>
      <w:start w:val="2"/>
    </w:lvl>
  </w:abstractNum>
  <w:abstractNum w:abstractNumId="125">
    <w:nsid w:val="4FA327CE"/>
    <w:multiLevelType w:val="hybridMultilevel"/>
    <w:lvl w:ilvl="0">
      <w:lvlJc w:val="left"/>
      <w:lvlText w:val="(%1)"/>
      <w:numFmt w:val="upperLetter"/>
      <w:start w:val="1"/>
    </w:lvl>
    <w:lvl w:ilvl="1">
      <w:lvlJc w:val="left"/>
      <w:lvlText w:val="%2"/>
      <w:numFmt w:val="lowerRoman"/>
      <w:start w:val="1"/>
    </w:lvl>
  </w:abstractNum>
  <w:abstractNum w:abstractNumId="126">
    <w:nsid w:val="1873983A"/>
    <w:multiLevelType w:val="hybridMultilevel"/>
    <w:lvl w:ilvl="0">
      <w:lvlJc w:val="left"/>
      <w:lvlText w:val="%1"/>
      <w:numFmt w:val="lowerLetter"/>
      <w:start w:val="1"/>
    </w:lvl>
    <w:lvl w:ilvl="1">
      <w:lvlJc w:val="left"/>
      <w:lvlText w:val="(%2)"/>
      <w:numFmt w:val="lowerRoman"/>
      <w:start w:val="3"/>
    </w:lvl>
  </w:abstractNum>
  <w:abstractNum w:abstractNumId="127">
    <w:nsid w:val="3D2DD275"/>
    <w:multiLevelType w:val="hybridMultilevel"/>
    <w:lvl w:ilvl="0">
      <w:lvlJc w:val="left"/>
      <w:lvlText w:val="(%1)"/>
      <w:numFmt w:val="lowerLetter"/>
      <w:start w:val="2"/>
    </w:lvl>
    <w:lvl w:ilvl="1">
      <w:lvlJc w:val="left"/>
      <w:lvlText w:val="%2"/>
      <w:numFmt w:val="lowerRoman"/>
      <w:start w:val="1"/>
    </w:lvl>
  </w:abstractNum>
  <w:abstractNum w:abstractNumId="128">
    <w:nsid w:val="2E17ECA7"/>
    <w:multiLevelType w:val="hybridMultilevel"/>
    <w:lvl w:ilvl="0">
      <w:lvlJc w:val="left"/>
      <w:lvlText w:val="(%1)"/>
      <w:numFmt w:val="lowerRoman"/>
      <w:start w:val="2"/>
    </w:lvl>
  </w:abstractNum>
  <w:abstractNum w:abstractNumId="129">
    <w:nsid w:val="53B2564F"/>
    <w:multiLevelType w:val="hybridMultilevel"/>
    <w:lvl w:ilvl="0">
      <w:lvlJc w:val="left"/>
      <w:lvlText w:val="%1"/>
      <w:numFmt w:val="lowerLetter"/>
      <w:start w:val="1"/>
    </w:lvl>
    <w:lvl w:ilvl="1">
      <w:lvlJc w:val="left"/>
      <w:lvlText w:val="(%2)"/>
      <w:numFmt w:val="lowerRoman"/>
      <w:start w:val="3"/>
    </w:lvl>
  </w:abstractNum>
  <w:abstractNum w:abstractNumId="130">
    <w:nsid w:val="75509D76"/>
    <w:multiLevelType w:val="hybridMultilevel"/>
    <w:lvl w:ilvl="0">
      <w:lvlJc w:val="left"/>
      <w:lvlText w:val="(%1)"/>
      <w:numFmt w:val="lowerLetter"/>
      <w:start w:val="3"/>
    </w:lvl>
    <w:lvl w:ilvl="1">
      <w:lvlJc w:val="left"/>
      <w:lvlText w:val="%2"/>
      <w:numFmt w:val="lowerRoman"/>
      <w:start w:val="1"/>
    </w:lvl>
  </w:abstractNum>
  <w:abstractNum w:abstractNumId="131">
    <w:nsid w:val="1AF7F0EA"/>
    <w:multiLevelType w:val="hybridMultilevel"/>
    <w:lvl w:ilvl="0">
      <w:lvlJc w:val="left"/>
      <w:lvlText w:val="(%1)"/>
      <w:numFmt w:val="lowerRoman"/>
      <w:start w:val="2"/>
    </w:lvl>
  </w:abstractNum>
  <w:abstractNum w:abstractNumId="132">
    <w:nsid w:val="4DA32C7E"/>
    <w:multiLevelType w:val="hybridMultilevel"/>
    <w:lvl w:ilvl="0">
      <w:lvlJc w:val="left"/>
      <w:lvlText w:val="%1"/>
      <w:numFmt w:val="lowerLetter"/>
      <w:start w:val="1"/>
    </w:lvl>
    <w:lvl w:ilvl="1">
      <w:lvlJc w:val="left"/>
      <w:lvlText w:val="(%2)"/>
      <w:numFmt w:val="lowerRoman"/>
      <w:start w:val="6"/>
    </w:lvl>
  </w:abstractNum>
  <w:abstractNum w:abstractNumId="133">
    <w:nsid w:val="6EC68664"/>
    <w:multiLevelType w:val="hybridMultilevel"/>
    <w:lvl w:ilvl="0">
      <w:lvlJc w:val="left"/>
      <w:lvlText w:val="(%1)"/>
      <w:numFmt w:val="lowerLetter"/>
      <w:start w:val="4"/>
    </w:lvl>
    <w:lvl w:ilvl="1">
      <w:lvlJc w:val="left"/>
      <w:lvlText w:val="(%2)"/>
      <w:numFmt w:val="lowerRoman"/>
      <w:start w:val="2"/>
    </w:lvl>
  </w:abstractNum>
  <w:abstractNum w:abstractNumId="134">
    <w:nsid w:val="E0D31FF"/>
    <w:multiLevelType w:val="hybridMultilevel"/>
    <w:lvl w:ilvl="0">
      <w:lvlJc w:val="left"/>
      <w:lvlText w:val="(%1)"/>
      <w:numFmt w:val="lowerRoman"/>
      <w:start w:val="1"/>
    </w:lvl>
  </w:abstractNum>
  <w:abstractNum w:abstractNumId="135">
    <w:nsid w:val="2FD0AD81"/>
    <w:multiLevelType w:val="hybridMultilevel"/>
    <w:lvl w:ilvl="0">
      <w:lvlJc w:val="left"/>
      <w:lvlText w:val="(%1)"/>
      <w:numFmt w:val="lowerRoman"/>
      <w:start w:val="2"/>
    </w:lvl>
  </w:abstractNum>
  <w:abstractNum w:abstractNumId="136">
    <w:nsid w:val="1978EBEB"/>
    <w:multiLevelType w:val="hybridMultilevel"/>
    <w:lvl w:ilvl="0">
      <w:lvlJc w:val="left"/>
      <w:lvlText w:val="(%1)"/>
      <w:numFmt w:val="lowerLetter"/>
      <w:start w:val="6"/>
    </w:lvl>
  </w:abstractNum>
  <w:abstractNum w:abstractNumId="137">
    <w:nsid w:val="52C12C61"/>
    <w:multiLevelType w:val="hybridMultilevel"/>
    <w:lvl w:ilvl="0">
      <w:lvlJc w:val="left"/>
      <w:lvlText w:val="%1"/>
      <w:numFmt w:val="decimal"/>
      <w:start w:val="1"/>
    </w:lvl>
    <w:lvl w:ilvl="1">
      <w:lvlJc w:val="left"/>
      <w:lvlText w:val="(%2)"/>
      <w:numFmt w:val="lowerLetter"/>
      <w:start w:val="7"/>
    </w:lvl>
  </w:abstractNum>
  <w:abstractNum w:abstractNumId="138">
    <w:nsid w:val="4BDD53FD"/>
    <w:multiLevelType w:val="hybridMultilevel"/>
    <w:lvl w:ilvl="0">
      <w:lvlJc w:val="left"/>
      <w:lvlText w:val="(%1)"/>
      <w:numFmt w:val="decimal"/>
      <w:start w:val="1"/>
    </w:lvl>
    <w:lvl w:ilvl="1">
      <w:lvlJc w:val="left"/>
      <w:lvlText w:val="%2"/>
      <w:numFmt w:val="lowerLetter"/>
      <w:start w:val="1"/>
    </w:lvl>
  </w:abstractNum>
  <w:abstractNum w:abstractNumId="139">
    <w:nsid w:val="569951FE"/>
    <w:multiLevelType w:val="hybridMultilevel"/>
    <w:lvl w:ilvl="0">
      <w:lvlJc w:val="left"/>
      <w:lvlText w:val="(%1)"/>
      <w:numFmt w:val="lowerLetter"/>
      <w:start w:val="8"/>
    </w:lvl>
  </w:abstractNum>
  <w:abstractNum w:abstractNumId="140">
    <w:nsid w:val="4C54E2C3"/>
    <w:multiLevelType w:val="hybridMultilevel"/>
    <w:lvl w:ilvl="0">
      <w:lvlJc w:val="left"/>
      <w:lvlText w:val="(%1)"/>
      <w:numFmt w:val="lowerLetter"/>
      <w:start w:val="10"/>
    </w:lvl>
  </w:abstractNum>
  <w:abstractNum w:abstractNumId="141">
    <w:nsid w:val="788BD9B"/>
    <w:multiLevelType w:val="hybridMultilevel"/>
    <w:lvl w:ilvl="0">
      <w:lvlJc w:val="left"/>
      <w:lvlText w:val="(%1)"/>
      <w:numFmt w:val="lowerLetter"/>
      <w:start w:val="1"/>
    </w:lvl>
  </w:abstractNum>
  <w:abstractNum w:abstractNumId="142">
    <w:nsid w:val="47CAA567"/>
    <w:multiLevelType w:val="hybridMultilevel"/>
    <w:lvl w:ilvl="0">
      <w:lvlJc w:val="left"/>
      <w:lvlText w:val="(%1)"/>
      <w:numFmt w:val="lowerLetter"/>
      <w:start w:val="3"/>
    </w:lvl>
  </w:abstractNum>
  <w:abstractNum w:abstractNumId="143">
    <w:nsid w:val="48249DBF"/>
    <w:multiLevelType w:val="hybridMultilevel"/>
    <w:lvl w:ilvl="0">
      <w:lvlJc w:val="left"/>
      <w:lvlText w:val="(%1)"/>
      <w:numFmt w:val="lowerRoman"/>
      <w:start w:val="1"/>
    </w:lvl>
  </w:abstractNum>
  <w:abstractNum w:abstractNumId="144">
    <w:nsid w:val="1F0E5D0D"/>
    <w:multiLevelType w:val="hybridMultilevel"/>
    <w:lvl w:ilvl="0">
      <w:lvlJc w:val="left"/>
      <w:lvlText w:val="(%1)"/>
      <w:numFmt w:val="lowerRoman"/>
      <w:start w:val="3"/>
    </w:lvl>
  </w:abstractNum>
  <w:abstractNum w:abstractNumId="145">
    <w:nsid w:val="26BAAE9"/>
    <w:multiLevelType w:val="hybridMultilevel"/>
    <w:lvl w:ilvl="0">
      <w:lvlJc w:val="left"/>
      <w:lvlText w:val="(%1)"/>
      <w:numFmt w:val="lowerLetter"/>
      <w:start w:val="4"/>
    </w:lvl>
    <w:lvl w:ilvl="1">
      <w:lvlJc w:val="left"/>
      <w:lvlText w:val="(%2)"/>
      <w:numFmt w:val="lowerLetter"/>
      <w:start w:val="35"/>
    </w:lvl>
  </w:abstractNum>
  <w:abstractNum w:abstractNumId="146">
    <w:nsid w:val="2C02FE8C"/>
    <w:multiLevelType w:val="hybridMultilevel"/>
    <w:lvl w:ilvl="0">
      <w:lvlJc w:val="left"/>
      <w:lvlText w:val="(%1)"/>
      <w:numFmt w:val="lowerLetter"/>
      <w:start w:val="6"/>
    </w:lvl>
  </w:abstractNum>
  <w:abstractNum w:abstractNumId="147">
    <w:nsid w:val="129517E"/>
    <w:multiLevelType w:val="hybridMultilevel"/>
    <w:lvl w:ilvl="0">
      <w:lvlJc w:val="left"/>
      <w:lvlText w:val="(%1)"/>
      <w:numFmt w:val="lowerLetter"/>
      <w:start w:val="1"/>
    </w:lvl>
  </w:abstractNum>
  <w:abstractNum w:abstractNumId="148">
    <w:nsid w:val="763B8C4E"/>
    <w:multiLevelType w:val="hybridMultilevel"/>
    <w:lvl w:ilvl="0">
      <w:lvlJc w:val="left"/>
      <w:lvlText w:val="(%1)"/>
      <w:numFmt w:val="lowerRoman"/>
      <w:start w:val="2"/>
    </w:lvl>
  </w:abstractNum>
  <w:abstractNum w:abstractNumId="149">
    <w:nsid w:val="4CFB8D32"/>
    <w:multiLevelType w:val="hybridMultilevel"/>
    <w:lvl w:ilvl="0">
      <w:lvlJc w:val="left"/>
      <w:lvlText w:val="%1"/>
      <w:numFmt w:val="lowerLetter"/>
      <w:start w:val="1"/>
    </w:lvl>
    <w:lvl w:ilvl="1">
      <w:lvlJc w:val="left"/>
      <w:lvlText w:val="(%2)"/>
      <w:numFmt w:val="lowerLetter"/>
      <w:start w:val="61"/>
    </w:lvl>
  </w:abstractNum>
  <w:abstractNum w:abstractNumId="150">
    <w:nsid w:val="62A5D5BD"/>
    <w:multiLevelType w:val="hybridMultilevel"/>
    <w:lvl w:ilvl="0">
      <w:lvlJc w:val="left"/>
      <w:lvlText w:val="(%1)"/>
      <w:numFmt w:val="lowerLetter"/>
      <w:start w:val="2"/>
    </w:lvl>
    <w:lvl w:ilvl="1">
      <w:lvlJc w:val="left"/>
      <w:lvlText w:val="(%2)"/>
      <w:numFmt w:val="lowerLetter"/>
      <w:start w:val="9"/>
    </w:lvl>
  </w:abstractNum>
  <w:abstractNum w:abstractNumId="151">
    <w:nsid w:val="718FABF9"/>
    <w:multiLevelType w:val="hybridMultilevel"/>
    <w:lvl w:ilvl="0">
      <w:lvlJc w:val="left"/>
      <w:lvlText w:val="(%1)"/>
      <w:numFmt w:val="lowerRoman"/>
      <w:start w:val="2"/>
    </w:lvl>
  </w:abstractNum>
  <w:abstractNum w:abstractNumId="152">
    <w:nsid w:val="7775797C"/>
    <w:multiLevelType w:val="hybridMultilevel"/>
    <w:lvl w:ilvl="0">
      <w:lvlJc w:val="left"/>
      <w:lvlText w:val="(%1)"/>
      <w:numFmt w:val="lowerRoman"/>
      <w:start w:val="6"/>
    </w:lvl>
  </w:abstractNum>
  <w:abstractNum w:abstractNumId="153">
    <w:nsid w:val="1626FB8C"/>
    <w:multiLevelType w:val="hybridMultilevel"/>
    <w:lvl w:ilvl="0">
      <w:lvlJc w:val="left"/>
      <w:lvlText w:val="(%1)"/>
      <w:numFmt w:val="lowerLetter"/>
      <w:start w:val="1"/>
    </w:lvl>
  </w:abstractNum>
  <w:abstractNum w:abstractNumId="154">
    <w:nsid w:val="3957756A"/>
    <w:multiLevelType w:val="hybridMultilevel"/>
    <w:lvl w:ilvl="0">
      <w:lvlJc w:val="left"/>
      <w:lvlText w:val="(%1)"/>
      <w:numFmt w:val="lowerLetter"/>
      <w:start w:val="2"/>
    </w:lvl>
  </w:abstractNum>
  <w:abstractNum w:abstractNumId="155">
    <w:nsid w:val="3E6DA1C7"/>
    <w:multiLevelType w:val="hybridMultilevel"/>
    <w:lvl w:ilvl="0">
      <w:lvlJc w:val="left"/>
      <w:lvlText w:val="%1"/>
      <w:numFmt w:val="lowerLetter"/>
      <w:start w:val="1"/>
    </w:lvl>
    <w:lvl w:ilvl="1">
      <w:lvlJc w:val="left"/>
      <w:lvlText w:val="(%2)"/>
      <w:numFmt w:val="lowerLetter"/>
      <w:start w:val="1"/>
    </w:lvl>
  </w:abstractNum>
  <w:abstractNum w:abstractNumId="156">
    <w:nsid w:val="65CA235B"/>
    <w:multiLevelType w:val="hybridMultilevel"/>
    <w:lvl w:ilvl="0">
      <w:lvlJc w:val="left"/>
      <w:lvlText w:val="(%1)"/>
      <w:numFmt w:val="lowerLetter"/>
      <w:start w:val="9"/>
    </w:lvl>
    <w:lvl w:ilvl="1">
      <w:lvlJc w:val="left"/>
      <w:lvlText w:val="%2"/>
      <w:numFmt w:val="lowerLetter"/>
      <w:start w:val="1"/>
    </w:lvl>
  </w:abstractNum>
  <w:abstractNum w:abstractNumId="157">
    <w:nsid w:val="51CB0DA4"/>
    <w:multiLevelType w:val="hybridMultilevel"/>
    <w:lvl w:ilvl="0">
      <w:lvlJc w:val="left"/>
      <w:lvlText w:val="(%1)"/>
      <w:numFmt w:val="lowerLetter"/>
      <w:start w:val="1"/>
    </w:lvl>
  </w:abstractNum>
  <w:abstractNum w:abstractNumId="158">
    <w:nsid w:val="7B9B743C"/>
    <w:multiLevelType w:val="hybridMultilevel"/>
    <w:lvl w:ilvl="0">
      <w:lvlJc w:val="left"/>
      <w:lvlText w:val="(%1)"/>
      <w:numFmt w:val="lowerLetter"/>
      <w:start w:val="2"/>
    </w:lvl>
  </w:abstractNum>
  <w:abstractNum w:abstractNumId="159">
    <w:nsid w:val="13E21002"/>
    <w:multiLevelType w:val="hybridMultilevel"/>
    <w:lvl w:ilvl="0">
      <w:lvlJc w:val="left"/>
      <w:lvlText w:val="(%1)"/>
      <w:numFmt w:val="lowerRoman"/>
      <w:start w:val="2"/>
    </w:lvl>
  </w:abstractNum>
  <w:abstractNum w:abstractNumId="160">
    <w:nsid w:val="257D63F4"/>
    <w:multiLevelType w:val="hybridMultilevel"/>
    <w:lvl w:ilvl="0">
      <w:lvlJc w:val="left"/>
      <w:lvlText w:val="(%1)"/>
      <w:numFmt w:val="lowerLetter"/>
      <w:start w:val="3"/>
    </w:lvl>
  </w:abstractNum>
  <w:abstractNum w:abstractNumId="161">
    <w:nsid w:val="70EC11B2"/>
    <w:multiLevelType w:val="hybridMultilevel"/>
    <w:lvl w:ilvl="0">
      <w:lvlJc w:val="left"/>
      <w:lvlText w:val="(%1)"/>
      <w:numFmt w:val="lowerLetter"/>
      <w:start w:val="1"/>
    </w:lvl>
  </w:abstractNum>
  <w:abstractNum w:abstractNumId="162">
    <w:nsid w:val="2EDA00ED"/>
    <w:multiLevelType w:val="hybridMultilevel"/>
    <w:lvl w:ilvl="0">
      <w:lvlJc w:val="left"/>
      <w:lvlText w:val="(%1)"/>
      <w:numFmt w:val="lowerLetter"/>
      <w:start w:val="2"/>
    </w:lvl>
  </w:abstractNum>
  <w:abstractNum w:abstractNumId="163">
    <w:nsid w:val="73209072"/>
    <w:multiLevelType w:val="hybridMultilevel"/>
    <w:lvl w:ilvl="0">
      <w:lvlJc w:val="left"/>
      <w:lvlText w:val="(%1)"/>
      <w:numFmt w:val="lowerLetter"/>
      <w:start w:val="1"/>
    </w:lvl>
  </w:abstractNum>
  <w:abstractNum w:abstractNumId="164">
    <w:nsid w:val="5FB29816"/>
    <w:multiLevelType w:val="hybridMultilevel"/>
    <w:lvl w:ilvl="0">
      <w:lvlJc w:val="left"/>
      <w:lvlText w:val="(%1)"/>
      <w:numFmt w:val="lowerLetter"/>
      <w:start w:val="2"/>
    </w:lvl>
  </w:abstractNum>
  <w:abstractNum w:abstractNumId="165">
    <w:nsid w:val="3CE732EC"/>
    <w:multiLevelType w:val="hybridMultilevel"/>
    <w:lvl w:ilvl="0">
      <w:lvlJc w:val="left"/>
      <w:lvlText w:val="(%1)"/>
      <w:numFmt w:val="lowerLetter"/>
      <w:start w:val="1"/>
    </w:lvl>
  </w:abstractNum>
  <w:abstractNum w:abstractNumId="166">
    <w:nsid w:val="22F13DF3"/>
    <w:multiLevelType w:val="hybridMultilevel"/>
    <w:lvl w:ilvl="0">
      <w:lvlJc w:val="left"/>
      <w:lvlText w:val="(%1)"/>
      <w:numFmt w:val="lowerRoman"/>
      <w:start w:val="2"/>
    </w:lvl>
  </w:abstractNum>
  <w:abstractNum w:abstractNumId="167">
    <w:nsid w:val="792B8401"/>
    <w:multiLevelType w:val="hybridMultilevel"/>
    <w:lvl w:ilvl="0">
      <w:lvlJc w:val="left"/>
      <w:lvlText w:val="(%1)"/>
      <w:numFmt w:val="lowerLetter"/>
      <w:start w:val="4"/>
    </w:lvl>
  </w:abstractNum>
  <w:abstractNum w:abstractNumId="168">
    <w:nsid w:val="FA85F4D"/>
    <w:multiLevelType w:val="hybridMultilevel"/>
    <w:lvl w:ilvl="0">
      <w:lvlJc w:val="left"/>
      <w:lvlText w:val="(%1)"/>
      <w:numFmt w:val="lowerLetter"/>
      <w:start w:val="6"/>
    </w:lvl>
  </w:abstractNum>
  <w:abstractNum w:abstractNumId="169">
    <w:nsid w:val="6ECE91F0"/>
    <w:multiLevelType w:val="hybridMultilevel"/>
    <w:lvl w:ilvl="0">
      <w:lvlJc w:val="left"/>
      <w:lvlText w:val="(%1)"/>
      <w:numFmt w:val="lowerLetter"/>
      <w:start w:val="7"/>
    </w:lvl>
  </w:abstractNum>
  <w:abstractNum w:abstractNumId="170">
    <w:nsid w:val="4FC4D600"/>
    <w:multiLevelType w:val="hybridMultilevel"/>
    <w:lvl w:ilvl="0">
      <w:lvlJc w:val="left"/>
      <w:lvlText w:val="(%1)"/>
      <w:numFmt w:val="lowerRoman"/>
      <w:start w:val="1"/>
    </w:lvl>
  </w:abstractNum>
  <w:abstractNum w:abstractNumId="171">
    <w:nsid w:val="5BFD4210"/>
    <w:multiLevelType w:val="hybridMultilevel"/>
    <w:lvl w:ilvl="0">
      <w:lvlJc w:val="left"/>
      <w:lvlText w:val="%1"/>
      <w:numFmt w:val="lowerLetter"/>
      <w:start w:val="1"/>
    </w:lvl>
    <w:lvl w:ilvl="1">
      <w:lvlJc w:val="left"/>
      <w:lvlText w:val="(%2)"/>
      <w:numFmt w:val="lowerLetter"/>
      <w:start w:val="1"/>
    </w:lvl>
  </w:abstractNum>
  <w:abstractNum w:abstractNumId="172">
    <w:nsid w:val="76574F8B"/>
    <w:multiLevelType w:val="hybridMultilevel"/>
    <w:lvl w:ilvl="0">
      <w:lvlJc w:val="left"/>
      <w:lvlText w:val="(%1)"/>
      <w:numFmt w:val="lowerLetter"/>
      <w:start w:val="2"/>
    </w:lvl>
    <w:lvl w:ilvl="1">
      <w:lvlJc w:val="left"/>
      <w:lvlText w:val="%2"/>
      <w:numFmt w:val="lowerLetter"/>
      <w:start w:val="1"/>
    </w:lvl>
  </w:abstractNum>
  <w:abstractNum w:abstractNumId="173">
    <w:nsid w:val="178F7B67"/>
    <w:multiLevelType w:val="hybridMultilevel"/>
    <w:lvl w:ilvl="0">
      <w:lvlJc w:val="left"/>
      <w:lvlText w:val="(%1)"/>
      <w:numFmt w:val="lowerLetter"/>
      <w:start w:val="2"/>
    </w:lvl>
  </w:abstractNum>
  <w:abstractNum w:abstractNumId="174">
    <w:nsid w:val="2421DFCF"/>
    <w:multiLevelType w:val="hybridMultilevel"/>
    <w:lvl w:ilvl="0">
      <w:lvlJc w:val="left"/>
      <w:lvlText w:val="%1"/>
      <w:numFmt w:val="decimal"/>
      <w:start w:val="1"/>
    </w:lvl>
    <w:lvl w:ilvl="1">
      <w:lvlJc w:val="left"/>
      <w:lvlText w:val="(%2)"/>
      <w:numFmt w:val="lowerLetter"/>
      <w:start w:val="1"/>
    </w:lvl>
  </w:abstractNum>
  <w:abstractNum w:abstractNumId="175">
    <w:nsid w:val="1565AC99"/>
    <w:multiLevelType w:val="hybridMultilevel"/>
    <w:lvl w:ilvl="0">
      <w:lvlJc w:val="left"/>
      <w:lvlText w:val="(%1)"/>
      <w:numFmt w:val="decimal"/>
      <w:start w:val="1"/>
    </w:lvl>
    <w:lvl w:ilvl="1">
      <w:lvlJc w:val="left"/>
      <w:lvlText w:val="%2"/>
      <w:numFmt w:val="lowerLetter"/>
      <w:start w:val="1"/>
    </w:lvl>
  </w:abstractNum>
  <w:abstractNum w:abstractNumId="176">
    <w:nsid w:val="19FB2650"/>
    <w:multiLevelType w:val="hybridMultilevel"/>
    <w:lvl w:ilvl="0">
      <w:lvlJc w:val="left"/>
      <w:lvlText w:val="(%1)"/>
      <w:numFmt w:val="lowerLetter"/>
      <w:start w:val="2"/>
    </w:lvl>
  </w:abstractNum>
  <w:abstractNum w:abstractNumId="177">
    <w:nsid w:val="5024DE5B"/>
    <w:multiLevelType w:val="hybridMultilevel"/>
    <w:lvl w:ilvl="0">
      <w:lvlJc w:val="left"/>
      <w:lvlText w:val="(%1)"/>
      <w:numFmt w:val="lowerLetter"/>
      <w:start w:val="1"/>
    </w:lvl>
  </w:abstractNum>
  <w:abstractNum w:abstractNumId="178">
    <w:nsid w:val="168EFE17"/>
    <w:multiLevelType w:val="hybridMultilevel"/>
    <w:lvl w:ilvl="0">
      <w:lvlJc w:val="left"/>
      <w:lvlText w:val="(%1)"/>
      <w:numFmt w:val="lowerLetter"/>
      <w:start w:val="2"/>
    </w:lvl>
  </w:abstractNum>
  <w:abstractNum w:abstractNumId="179">
    <w:nsid w:val="1036B29F"/>
    <w:multiLevelType w:val="hybridMultilevel"/>
    <w:lvl w:ilvl="0">
      <w:lvlJc w:val="left"/>
      <w:lvlText w:val="(%1)"/>
      <w:numFmt w:val="lowerLetter"/>
      <w:start w:val="3"/>
    </w:lvl>
  </w:abstractNum>
  <w:abstractNum w:abstractNumId="180">
    <w:nsid w:val="1D206B8E"/>
    <w:multiLevelType w:val="hybridMultilevel"/>
    <w:lvl w:ilvl="0">
      <w:lvlJc w:val="left"/>
      <w:lvlText w:val="(%1)"/>
      <w:numFmt w:val="lowerLetter"/>
      <w:start w:val="4"/>
    </w:lvl>
  </w:abstractNum>
  <w:abstractNum w:abstractNumId="181">
    <w:nsid w:val="7934D3D4"/>
    <w:multiLevelType w:val="hybridMultilevel"/>
    <w:lvl w:ilvl="0">
      <w:lvlJc w:val="left"/>
      <w:lvlText w:val="(%1)"/>
      <w:numFmt w:val="lowerRoman"/>
      <w:start w:val="2"/>
    </w:lvl>
  </w:abstractNum>
  <w:abstractNum w:abstractNumId="182">
    <w:nsid w:val="1C65E98"/>
    <w:multiLevelType w:val="hybridMultilevel"/>
    <w:lvl w:ilvl="0">
      <w:lvlJc w:val="left"/>
      <w:lvlText w:val="(%1)"/>
      <w:numFmt w:val="lowerLetter"/>
      <w:start w:val="1"/>
    </w:lvl>
  </w:abstractNum>
  <w:abstractNum w:abstractNumId="183">
    <w:nsid w:val="1495E50A"/>
    <w:multiLevelType w:val="hybridMultilevel"/>
    <w:lvl w:ilvl="0">
      <w:lvlJc w:val="left"/>
      <w:lvlText w:val="(%1)"/>
      <w:numFmt w:val="lowerLetter"/>
      <w:start w:val="3"/>
    </w:lvl>
  </w:abstractNum>
  <w:abstractNum w:abstractNumId="184">
    <w:nsid w:val="F5BCF61"/>
    <w:multiLevelType w:val="hybridMultilevel"/>
    <w:lvl w:ilvl="0">
      <w:lvlJc w:val="left"/>
      <w:lvlText w:val="(%1)"/>
      <w:numFmt w:val="lowerLetter"/>
      <w:start w:val="1"/>
    </w:lvl>
  </w:abstractNum>
  <w:abstractNum w:abstractNumId="185">
    <w:nsid w:val="3B1DD403"/>
    <w:multiLevelType w:val="hybridMultilevel"/>
    <w:lvl w:ilvl="0">
      <w:lvlJc w:val="left"/>
      <w:lvlText w:val="(%1)"/>
      <w:numFmt w:val="lowerLetter"/>
      <w:start w:val="2"/>
    </w:lvl>
  </w:abstractNum>
  <w:abstractNum w:abstractNumId="186">
    <w:nsid w:val="530386D1"/>
    <w:multiLevelType w:val="hybridMultilevel"/>
    <w:lvl w:ilvl="0">
      <w:lvlJc w:val="left"/>
      <w:lvlText w:val="(%1)"/>
      <w:numFmt w:val="decimal"/>
      <w:start w:val="1"/>
    </w:lvl>
  </w:abstractNum>
  <w:abstractNum w:abstractNumId="187">
    <w:nsid w:val="7525F2BC"/>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4"/>
    </w:lvl>
  </w:abstractNum>
  <w:abstractNum w:abstractNumId="188">
    <w:nsid w:val="CE8E1A7"/>
    <w:multiLevelType w:val="hybridMultilevel"/>
    <w:lvl w:ilvl="0">
      <w:lvlJc w:val="left"/>
      <w:lvlText w:val="%1"/>
      <w:numFmt w:val="decimal"/>
      <w:start w:val="1"/>
    </w:lvl>
    <w:lvl w:ilvl="1">
      <w:lvlJc w:val="left"/>
      <w:lvlText w:val="(%2)"/>
      <w:numFmt w:val="upperLetter"/>
      <w:start w:val="5"/>
    </w:lvl>
  </w:abstractNum>
  <w:abstractNum w:abstractNumId="189">
    <w:nsid w:val="4E9EFB0D"/>
    <w:multiLevelType w:val="hybridMultilevel"/>
    <w:lvl w:ilvl="0">
      <w:lvlJc w:val="left"/>
      <w:lvlText w:val="(%1)"/>
      <w:numFmt w:val="decimal"/>
      <w:start w:val="3"/>
    </w:lvl>
    <w:lvl w:ilvl="1">
      <w:lvlJc w:val="left"/>
      <w:lvlText w:val="%2"/>
      <w:numFmt w:val="upperLetter"/>
      <w:start w:val="1"/>
    </w:lvl>
  </w:abstractNum>
  <w:abstractNum w:abstractNumId="190">
    <w:nsid w:val="90802BE"/>
    <w:multiLevelType w:val="hybridMultilevel"/>
    <w:lvl w:ilvl="0">
      <w:lvlJc w:val="left"/>
      <w:lvlText w:val="(%1)"/>
      <w:numFmt w:val="lowerLetter"/>
      <w:start w:val="5"/>
    </w:lvl>
  </w:abstractNum>
  <w:abstractNum w:abstractNumId="191">
    <w:nsid w:val="3266459B"/>
    <w:multiLevelType w:val="hybridMultilevel"/>
    <w:lvl w:ilvl="0">
      <w:lvlJc w:val="left"/>
      <w:lvlText w:val="(%1)"/>
      <w:numFmt w:val="lowerLetter"/>
      <w:start w:val="1"/>
    </w:lvl>
    <w:lvl w:ilvl="1">
      <w:lvlJc w:val="left"/>
      <w:lvlText w:val="(%2)"/>
      <w:numFmt w:val="lowerRoman"/>
      <w:start w:val="1"/>
    </w:lvl>
  </w:abstractNum>
  <w:abstractNum w:abstractNumId="192">
    <w:nsid w:val="3F8B0CBF"/>
    <w:multiLevelType w:val="hybridMultilevel"/>
    <w:lvl w:ilvl="0">
      <w:lvlJc w:val="left"/>
      <w:lvlText w:val="(%1)"/>
      <w:numFmt w:val="lowerLetter"/>
      <w:start w:val="2"/>
    </w:lvl>
  </w:abstractNum>
  <w:abstractNum w:abstractNumId="193">
    <w:nsid w:val="37E203AB"/>
    <w:multiLevelType w:val="hybridMultilevel"/>
    <w:lvl w:ilvl="0">
      <w:lvlJc w:val="left"/>
      <w:lvlText w:val="(%1)"/>
      <w:numFmt w:val="lowerLetter"/>
      <w:start w:val="4"/>
    </w:lvl>
  </w:abstractNum>
  <w:abstractNum w:abstractNumId="194">
    <w:nsid w:val="2586D60E"/>
    <w:multiLevelType w:val="hybridMultilevel"/>
    <w:lvl w:ilvl="0">
      <w:lvlJc w:val="left"/>
      <w:lvlText w:val="(%1)"/>
      <w:numFmt w:val="lowerLetter"/>
      <w:start w:val="1"/>
    </w:lvl>
  </w:abstractNum>
  <w:abstractNum w:abstractNumId="195">
    <w:nsid w:val="1F3DA4D5"/>
    <w:multiLevelType w:val="hybridMultilevel"/>
    <w:lvl w:ilvl="0">
      <w:lvlJc w:val="left"/>
      <w:lvlText w:val="(%1)"/>
      <w:numFmt w:val="lowerLetter"/>
      <w:start w:val="1"/>
    </w:lvl>
  </w:abstractNum>
  <w:abstractNum w:abstractNumId="196">
    <w:nsid w:val="74C93698"/>
    <w:multiLevelType w:val="hybridMultilevel"/>
    <w:lvl w:ilvl="0">
      <w:lvlJc w:val="left"/>
      <w:lvlText w:val="(%1)"/>
      <w:numFmt w:val="lowerLetter"/>
      <w:start w:val="2"/>
    </w:lvl>
  </w:abstractNum>
  <w:abstractNum w:abstractNumId="197">
    <w:nsid w:val="48781401"/>
    <w:multiLevelType w:val="hybridMultilevel"/>
    <w:lvl w:ilvl="0">
      <w:lvlJc w:val="left"/>
      <w:lvlText w:val="(%1)"/>
      <w:numFmt w:val="lowerRoman"/>
      <w:start w:val="1"/>
    </w:lvl>
  </w:abstractNum>
  <w:abstractNum w:abstractNumId="198">
    <w:nsid w:val="186928D6"/>
    <w:multiLevelType w:val="hybridMultilevel"/>
    <w:lvl w:ilvl="0">
      <w:lvlJc w:val="left"/>
      <w:lvlText w:val="(%1)"/>
      <w:numFmt w:val="lowerLetter"/>
      <w:start w:val="4"/>
    </w:lvl>
  </w:abstractNum>
  <w:abstractNum w:abstractNumId="199">
    <w:nsid w:val="47195E5"/>
    <w:multiLevelType w:val="hybridMultilevel"/>
    <w:lvl w:ilvl="0">
      <w:lvlJc w:val="left"/>
      <w:lvlText w:val="(%1)"/>
      <w:numFmt w:val="lowerLetter"/>
      <w:start w:val="1"/>
    </w:lvl>
  </w:abstractNum>
  <w:abstractNum w:abstractNumId="200">
    <w:nsid w:val="3746A5F2"/>
    <w:multiLevelType w:val="hybridMultilevel"/>
    <w:lvl w:ilvl="0">
      <w:lvlJc w:val="left"/>
      <w:lvlText w:val="(%1)"/>
      <w:numFmt w:val="lowerLetter"/>
      <w:start w:val="1"/>
    </w:lvl>
  </w:abstractNum>
  <w:abstractNum w:abstractNumId="201">
    <w:nsid w:val="682DFED6"/>
    <w:multiLevelType w:val="hybridMultilevel"/>
    <w:lvl w:ilvl="0">
      <w:lvlJc w:val="left"/>
      <w:lvlText w:val="(%1)"/>
      <w:numFmt w:val="lowerRoman"/>
      <w:start w:val="1"/>
    </w:lvl>
    <w:lvl w:ilvl="1">
      <w:lvlJc w:val="left"/>
      <w:lvlText w:val="(%2)"/>
      <w:numFmt w:val="upperLetter"/>
      <w:start w:val="1"/>
    </w:lvl>
  </w:abstractNum>
  <w:abstractNum w:abstractNumId="202">
    <w:nsid w:val="606ED7F6"/>
    <w:multiLevelType w:val="hybridMultilevel"/>
    <w:lvl w:ilvl="0">
      <w:lvlJc w:val="left"/>
      <w:lvlText w:val="(%1)"/>
      <w:numFmt w:val="decimal"/>
      <w:start w:val="3"/>
    </w:lvl>
    <w:lvl w:ilvl="1">
      <w:lvlJc w:val="left"/>
      <w:lvlText w:val="(%2)"/>
      <w:numFmt w:val="lowerRoman"/>
      <w:start w:val="4"/>
    </w:lvl>
  </w:abstractNum>
  <w:abstractNum w:abstractNumId="203">
    <w:nsid w:val="2D9DF57D"/>
    <w:multiLevelType w:val="hybridMultilevel"/>
    <w:lvl w:ilvl="0">
      <w:lvlJc w:val="left"/>
      <w:lvlText w:val="(%1)"/>
      <w:numFmt w:val="lowerRoman"/>
      <w:start w:val="9"/>
    </w:lvl>
  </w:abstractNum>
  <w:abstractNum w:abstractNumId="204">
    <w:nsid w:val="7FBD7A3E"/>
    <w:multiLevelType w:val="hybridMultilevel"/>
    <w:lvl w:ilvl="0">
      <w:lvlJc w:val="left"/>
      <w:lvlText w:val="(%1)"/>
      <w:numFmt w:val="lowerRoman"/>
      <w:start w:val="10"/>
    </w:lvl>
  </w:abstractNum>
  <w:abstractNum w:abstractNumId="205">
    <w:nsid w:val="490B7C5"/>
    <w:multiLevelType w:val="hybridMultilevel"/>
    <w:lvl w:ilvl="0">
      <w:lvlJc w:val="left"/>
      <w:lvlText w:val="%1"/>
      <w:numFmt w:val="lowerLetter"/>
      <w:start w:val="1"/>
    </w:lvl>
    <w:lvl w:ilvl="1">
      <w:lvlJc w:val="left"/>
      <w:lvlText w:val="(%2)"/>
      <w:numFmt w:val="lowerRoman"/>
      <w:start w:val="12"/>
    </w:lvl>
  </w:abstractNum>
  <w:abstractNum w:abstractNumId="206">
    <w:nsid w:val="4303A216"/>
    <w:multiLevelType w:val="hybridMultilevel"/>
    <w:lvl w:ilvl="0">
      <w:lvlJc w:val="left"/>
      <w:lvlText w:val="(%1)"/>
      <w:numFmt w:val="lowerLetter"/>
      <w:start w:val="2"/>
    </w:lvl>
    <w:lvl w:ilvl="1">
      <w:lvlJc w:val="left"/>
      <w:lvlText w:val="%2"/>
      <w:numFmt w:val="lowerRoman"/>
      <w:start w:val="1"/>
    </w:lvl>
  </w:abstractNum>
  <w:abstractNum w:abstractNumId="207">
    <w:nsid w:val="19B8A08E"/>
    <w:multiLevelType w:val="hybridMultilevel"/>
    <w:lvl w:ilvl="0">
      <w:lvlJc w:val="left"/>
      <w:lvlText w:val="(%1)"/>
      <w:numFmt w:val="lowerLetter"/>
      <w:start w:val="6"/>
    </w:lvl>
  </w:abstractNum>
  <w:abstractNum w:abstractNumId="208">
    <w:nsid w:val="54B59621"/>
    <w:multiLevelType w:val="hybridMultilevel"/>
    <w:lvl w:ilvl="0">
      <w:lvlJc w:val="left"/>
      <w:lvlText w:val="%1"/>
      <w:numFmt w:val="decimal"/>
      <w:start w:val="1"/>
    </w:lvl>
    <w:lvl w:ilvl="1">
      <w:lvlJc w:val="left"/>
      <w:lvlText w:val="(%2)"/>
      <w:numFmt w:val="lowerRoman"/>
      <w:start w:val="1"/>
    </w:lvl>
  </w:abstractNum>
  <w:abstractNum w:abstractNumId="209">
    <w:nsid w:val="5992A02E"/>
    <w:multiLevelType w:val="hybridMultilevel"/>
    <w:lvl w:ilvl="0">
      <w:lvlJc w:val="left"/>
      <w:lvlText w:val="(%1)"/>
      <w:numFmt w:val="decimal"/>
      <w:start w:val="1"/>
    </w:lvl>
    <w:lvl w:ilvl="1">
      <w:lvlJc w:val="left"/>
      <w:lvlText w:val="%2"/>
      <w:numFmt w:val="lowerRoman"/>
      <w:start w:val="1"/>
    </w:lvl>
  </w:abstractNum>
  <w:abstractNum w:abstractNumId="210">
    <w:nsid w:val="29EF532D"/>
    <w:multiLevelType w:val="hybridMultilevel"/>
    <w:lvl w:ilvl="0">
      <w:lvlJc w:val="left"/>
      <w:lvlText w:val="(%1)"/>
      <w:numFmt w:val="lowerRoman"/>
      <w:start w:val="2"/>
    </w:lvl>
  </w:abstractNum>
  <w:abstractNum w:abstractNumId="211">
    <w:nsid w:val="71D601AF"/>
    <w:multiLevelType w:val="hybridMultilevel"/>
    <w:lvl w:ilvl="0">
      <w:lvlJc w:val="left"/>
      <w:lvlText w:val="(%1)"/>
      <w:numFmt w:val="lowerLetter"/>
      <w:start w:val="1"/>
    </w:lvl>
  </w:abstractNum>
  <w:abstractNum w:abstractNumId="212">
    <w:nsid w:val="52C77402"/>
    <w:multiLevelType w:val="hybridMultilevel"/>
    <w:lvl w:ilvl="0">
      <w:lvlJc w:val="left"/>
      <w:lvlText w:val="(%1)"/>
      <w:numFmt w:val="lowerLetter"/>
      <w:start w:val="1"/>
    </w:lvl>
  </w:abstractNum>
  <w:abstractNum w:abstractNumId="213">
    <w:nsid w:val="2BB5B1C6"/>
    <w:multiLevelType w:val="hybridMultilevel"/>
    <w:lvl w:ilvl="0">
      <w:lvlJc w:val="left"/>
      <w:lvlText w:val="(%1)"/>
      <w:numFmt w:val="lowerLetter"/>
      <w:start w:val="4"/>
    </w:lvl>
  </w:abstractNum>
  <w:abstractNum w:abstractNumId="214">
    <w:nsid w:val="66BE6B9"/>
    <w:multiLevelType w:val="hybridMultilevel"/>
    <w:lvl w:ilvl="0">
      <w:lvlJc w:val="left"/>
      <w:lvlText w:val="%1"/>
      <w:numFmt w:val="lowerLetter"/>
      <w:start w:val="1"/>
    </w:lvl>
    <w:lvl w:ilvl="1">
      <w:lvlJc w:val="left"/>
      <w:lvlText w:val="(%2)"/>
      <w:numFmt w:val="lowerLetter"/>
      <w:start w:val="1"/>
    </w:lvl>
  </w:abstractNum>
  <w:abstractNum w:abstractNumId="215">
    <w:nsid w:val="62234363"/>
    <w:multiLevelType w:val="hybridMultilevel"/>
    <w:lvl w:ilvl="0">
      <w:lvlJc w:val="left"/>
      <w:lvlText w:val="(%1)"/>
      <w:numFmt w:val="lowerLetter"/>
      <w:start w:val="35"/>
    </w:lvl>
    <w:lvl w:ilvl="1">
      <w:lvlJc w:val="left"/>
      <w:lvlText w:val="%2"/>
      <w:numFmt w:val="lowerLetter"/>
      <w:start w:val="1"/>
    </w:lvl>
  </w:abstractNum>
  <w:abstractNum w:abstractNumId="216">
    <w:nsid w:val="66D385C9"/>
    <w:multiLevelType w:val="hybridMultilevel"/>
    <w:lvl w:ilvl="0">
      <w:lvlJc w:val="left"/>
      <w:lvlText w:val="(%1)"/>
      <w:numFmt w:val="lowerLetter"/>
      <w:start w:val="3"/>
    </w:lvl>
  </w:abstractNum>
  <w:abstractNum w:abstractNumId="217">
    <w:nsid w:val="596F6D8A"/>
    <w:multiLevelType w:val="hybridMultilevel"/>
    <w:lvl w:ilvl="0">
      <w:lvlJc w:val="left"/>
      <w:lvlText w:val="(%1)"/>
      <w:numFmt w:val="lowerLetter"/>
      <w:start w:val="2"/>
    </w:lvl>
    <w:lvl w:ilvl="1">
      <w:lvlJc w:val="left"/>
      <w:lvlText w:val="(%2)"/>
      <w:numFmt w:val="lowerLetter"/>
      <w:start w:val="1"/>
    </w:lvl>
  </w:abstractNum>
  <w:abstractNum w:abstractNumId="218">
    <w:nsid w:val="5749361F"/>
    <w:multiLevelType w:val="hybridMultilevel"/>
    <w:lvl w:ilvl="0">
      <w:lvlJc w:val="left"/>
      <w:lvlText w:val="(%1)"/>
      <w:numFmt w:val="lowerLetter"/>
      <w:start w:val="1"/>
    </w:lvl>
  </w:abstractNum>
  <w:abstractNum w:abstractNumId="219">
    <w:nsid w:val="73BC6770"/>
    <w:multiLevelType w:val="hybridMultilevel"/>
    <w:lvl w:ilvl="0">
      <w:lvlJc w:val="left"/>
      <w:lvlText w:val="(%1)"/>
      <w:numFmt w:val="lowerRoman"/>
      <w:start w:val="1"/>
    </w:lvl>
  </w:abstractNum>
  <w:abstractNum w:abstractNumId="220">
    <w:nsid w:val="280E6897"/>
    <w:multiLevelType w:val="hybridMultilevel"/>
    <w:lvl w:ilvl="0">
      <w:lvlJc w:val="left"/>
      <w:lvlText w:val="%1"/>
      <w:numFmt w:val="lowerLetter"/>
      <w:start w:val="1"/>
    </w:lvl>
    <w:lvl w:ilvl="1">
      <w:lvlJc w:val="left"/>
      <w:lvlText w:val="(%2)"/>
      <w:numFmt w:val="lowerLetter"/>
      <w:start w:val="3"/>
    </w:lvl>
  </w:abstractNum>
  <w:abstractNum w:abstractNumId="221">
    <w:nsid w:val="605138DE"/>
    <w:multiLevelType w:val="hybridMultilevel"/>
    <w:lvl w:ilvl="0">
      <w:lvlJc w:val="left"/>
      <w:lvlText w:val="(%1)"/>
      <w:numFmt w:val="lowerLetter"/>
      <w:start w:val="61"/>
    </w:lvl>
    <w:lvl w:ilvl="1">
      <w:lvlJc w:val="left"/>
      <w:lvlText w:val="%2"/>
      <w:numFmt w:val="lowerLetter"/>
      <w:start w:val="1"/>
    </w:lvl>
  </w:abstractNum>
  <w:abstractNum w:abstractNumId="222">
    <w:nsid w:val="2622AD0C"/>
    <w:multiLevelType w:val="hybridMultilevel"/>
    <w:lvl w:ilvl="0">
      <w:lvlJc w:val="left"/>
      <w:lvlText w:val="(%1)"/>
      <w:numFmt w:val="lowerLetter"/>
      <w:start w:val="4"/>
    </w:lvl>
  </w:abstractNum>
  <w:abstractNum w:abstractNumId="223">
    <w:nsid w:val="67997556"/>
    <w:multiLevelType w:val="hybridMultilevel"/>
    <w:lvl w:ilvl="0">
      <w:lvlJc w:val="left"/>
      <w:lvlText w:val="(%1)"/>
      <w:numFmt w:val="lowerLetter"/>
      <w:start w:val="5"/>
    </w:lvl>
  </w:abstractNum>
  <w:abstractNum w:abstractNumId="224">
    <w:nsid w:val="18333C89"/>
    <w:multiLevelType w:val="hybridMultilevel"/>
    <w:lvl w:ilvl="0">
      <w:lvlJc w:val="left"/>
      <w:lvlText w:val="%1"/>
      <w:numFmt w:val="lowerLetter"/>
      <w:start w:val="1"/>
    </w:lvl>
    <w:lvl w:ilvl="1">
      <w:lvlJc w:val="left"/>
      <w:lvlText w:val="(%2)"/>
      <w:numFmt w:val="lowerLetter"/>
      <w:start w:val="1"/>
    </w:lvl>
  </w:abstractNum>
  <w:abstractNum w:abstractNumId="225">
    <w:nsid w:val="4BA9831A"/>
    <w:multiLevelType w:val="hybridMultilevel"/>
    <w:lvl w:ilvl="0">
      <w:lvlJc w:val="left"/>
      <w:lvlText w:val="(%1)"/>
      <w:numFmt w:val="lowerLetter"/>
      <w:start w:val="35"/>
    </w:lvl>
    <w:lvl w:ilvl="1">
      <w:lvlJc w:val="left"/>
      <w:lvlText w:val="(%2)"/>
      <w:numFmt w:val="lowerLetter"/>
      <w:start w:val="2"/>
    </w:lvl>
  </w:abstractNum>
  <w:abstractNum w:abstractNumId="226">
    <w:nsid w:val="6D71A2B"/>
    <w:multiLevelType w:val="hybridMultilevel"/>
    <w:lvl w:ilvl="0">
      <w:lvlJc w:val="left"/>
      <w:lvlText w:val="(%1)"/>
      <w:numFmt w:val="lowerLetter"/>
      <w:start w:val="3"/>
    </w:lvl>
  </w:abstractNum>
  <w:abstractNum w:abstractNumId="227">
    <w:nsid w:val="CFC7321"/>
    <w:multiLevelType w:val="hybridMultilevel"/>
    <w:lvl w:ilvl="0">
      <w:lvlJc w:val="left"/>
      <w:lvlText w:val="(%1)"/>
      <w:numFmt w:val="lowerLetter"/>
      <w:start w:val="1"/>
    </w:lvl>
  </w:abstractNum>
  <w:abstractNum w:abstractNumId="228">
    <w:nsid w:val="1421971B"/>
    <w:multiLevelType w:val="hybridMultilevel"/>
    <w:lvl w:ilvl="0">
      <w:lvlJc w:val="left"/>
      <w:lvlText w:val="%1"/>
      <w:numFmt w:val="lowerLetter"/>
      <w:start w:val="1"/>
    </w:lvl>
    <w:lvl w:ilvl="1">
      <w:lvlJc w:val="left"/>
      <w:lvlText w:val="(%2)"/>
      <w:numFmt w:val="lowerLetter"/>
      <w:start w:val="2"/>
    </w:lvl>
  </w:abstractNum>
  <w:abstractNum w:abstractNumId="229">
    <w:nsid w:val="1F404301"/>
    <w:multiLevelType w:val="hybridMultilevel"/>
    <w:lvl w:ilvl="0">
      <w:lvlJc w:val="left"/>
      <w:lvlText w:val="(%1)"/>
      <w:numFmt w:val="lowerLetter"/>
      <w:start w:val="35"/>
    </w:lvl>
    <w:lvl w:ilvl="1">
      <w:lvlJc w:val="left"/>
      <w:lvlText w:val="%2"/>
      <w:numFmt w:val="lowerLetter"/>
      <w:start w:val="1"/>
    </w:lvl>
  </w:abstractNum>
  <w:abstractNum w:abstractNumId="230">
    <w:nsid w:val="116E0907"/>
    <w:multiLevelType w:val="hybridMultilevel"/>
    <w:lvl w:ilvl="0">
      <w:lvlJc w:val="left"/>
      <w:lvlText w:val="(%1)"/>
      <w:numFmt w:val="lowerLetter"/>
      <w:start w:val="1"/>
    </w:lvl>
  </w:abstractNum>
  <w:abstractNum w:abstractNumId="231">
    <w:nsid w:val="4B683D0D"/>
    <w:multiLevelType w:val="hybridMultilevel"/>
    <w:lvl w:ilvl="0">
      <w:lvlJc w:val="left"/>
      <w:lvlText w:val="(%1)"/>
      <w:numFmt w:val="lowerLetter"/>
      <w:start w:val="3"/>
    </w:lvl>
  </w:abstractNum>
  <w:abstractNum w:abstractNumId="232">
    <w:nsid w:val="76E41D8"/>
    <w:multiLevelType w:val="hybridMultilevel"/>
    <w:lvl w:ilvl="0">
      <w:lvlJc w:val="left"/>
      <w:lvlText w:val="(%1)"/>
      <w:numFmt w:val="lowerLetter"/>
      <w:start w:val="25"/>
    </w:lvl>
  </w:abstractNum>
  <w:abstractNum w:abstractNumId="233">
    <w:nsid w:val="71DCE0FD"/>
    <w:multiLevelType w:val="hybridMultilevel"/>
    <w:lvl w:ilvl="0">
      <w:lvlJc w:val="left"/>
      <w:lvlText w:val="(%1)"/>
      <w:numFmt w:val="lowerLetter"/>
      <w:start w:val="1"/>
    </w:lvl>
  </w:abstractNum>
  <w:abstractNum w:abstractNumId="234">
    <w:nsid w:val="7906328B"/>
    <w:multiLevelType w:val="hybridMultilevel"/>
    <w:lvl w:ilvl="0">
      <w:lvlJc w:val="left"/>
      <w:lvlText w:val="%1"/>
      <w:numFmt w:val="lowerLetter"/>
      <w:start w:val="1"/>
    </w:lvl>
    <w:lvl w:ilvl="1">
      <w:lvlJc w:val="left"/>
      <w:lvlText w:val="(%2)"/>
      <w:numFmt w:val="lowerLetter"/>
      <w:start w:val="1"/>
    </w:lvl>
  </w:abstractNum>
  <w:abstractNum w:abstractNumId="235">
    <w:nsid w:val="72BBC16"/>
    <w:multiLevelType w:val="hybridMultilevel"/>
    <w:lvl w:ilvl="0">
      <w:lvlJc w:val="left"/>
      <w:lvlText w:val="(%1)"/>
      <w:numFmt w:val="lowerLetter"/>
      <w:start w:val="24"/>
    </w:lvl>
    <w:lvl w:ilvl="1">
      <w:lvlJc w:val="left"/>
      <w:lvlText w:val="%2"/>
      <w:numFmt w:val="lowerLetter"/>
      <w:start w:val="1"/>
    </w:lvl>
  </w:abstractNum>
  <w:abstractNum w:abstractNumId="236">
    <w:nsid w:val="766D98C2"/>
    <w:multiLevelType w:val="hybridMultilevel"/>
    <w:lvl w:ilvl="0">
      <w:lvlJc w:val="left"/>
      <w:lvlText w:val="(%1)"/>
      <w:numFmt w:val="lowerLetter"/>
      <w:start w:val="2"/>
    </w:lvl>
    <w:lvl w:ilvl="1">
      <w:lvlJc w:val="left"/>
      <w:lvlText w:val="%2"/>
      <w:numFmt w:val="lowerLetter"/>
      <w:start w:val="1"/>
    </w:lvl>
  </w:abstractNum>
  <w:abstractNum w:abstractNumId="237">
    <w:nsid w:val="3C09D4A1"/>
    <w:multiLevelType w:val="hybridMultilevel"/>
    <w:lvl w:ilvl="0">
      <w:lvlJc w:val="left"/>
      <w:lvlText w:val="(%1)"/>
      <w:numFmt w:val="lowerLetter"/>
      <w:start w:val="25"/>
    </w:lvl>
  </w:abstractNum>
  <w:abstractNum w:abstractNumId="238">
    <w:nsid w:val="20E45CA4"/>
    <w:multiLevelType w:val="hybridMultilevel"/>
    <w:lvl w:ilvl="0">
      <w:lvlJc w:val="left"/>
      <w:lvlText w:val="%1"/>
      <w:numFmt w:val="lowerLetter"/>
      <w:start w:val="1"/>
    </w:lvl>
    <w:lvl w:ilvl="1">
      <w:lvlJc w:val="left"/>
      <w:lvlText w:val="(%2)"/>
      <w:numFmt w:val="lowerLetter"/>
      <w:start w:val="1"/>
    </w:lvl>
  </w:abstractNum>
  <w:abstractNum w:abstractNumId="239">
    <w:nsid w:val="4B232EE3"/>
    <w:multiLevelType w:val="hybridMultilevel"/>
    <w:lvl w:ilvl="0">
      <w:lvlJc w:val="left"/>
      <w:lvlText w:val="(%1)"/>
      <w:numFmt w:val="lowerLetter"/>
      <w:start w:val="9"/>
    </w:lvl>
    <w:lvl w:ilvl="1">
      <w:lvlJc w:val="left"/>
      <w:lvlText w:val="(%2)"/>
      <w:numFmt w:val="lowerLetter"/>
      <w:start w:val="2"/>
    </w:lvl>
  </w:abstractNum>
  <w:abstractNum w:abstractNumId="240">
    <w:nsid w:val="159C74CF"/>
    <w:multiLevelType w:val="hybridMultilevel"/>
    <w:lvl w:ilvl="0">
      <w:lvlJc w:val="left"/>
      <w:lvlText w:val="(%1)"/>
      <w:numFmt w:val="lowerLetter"/>
      <w:start w:val="3"/>
    </w:lvl>
  </w:abstractNum>
  <w:abstractNum w:abstractNumId="241">
    <w:nsid w:val="4AD3AFD2"/>
    <w:multiLevelType w:val="hybridMultilevel"/>
    <w:lvl w:ilvl="0">
      <w:lvlJc w:val="left"/>
      <w:lvlText w:val="(%1)"/>
      <w:numFmt w:val="lowerLetter"/>
      <w:start w:val="4"/>
    </w:lvl>
  </w:abstractNum>
  <w:abstractNum w:abstractNumId="242">
    <w:nsid w:val="3CF93092"/>
    <w:multiLevelType w:val="hybridMultilevel"/>
    <w:lvl w:ilvl="0">
      <w:lvlJc w:val="left"/>
      <w:lvlText w:val="(%1)"/>
      <w:numFmt w:val="lowerLetter"/>
      <w:start w:val="1"/>
    </w:lvl>
  </w:abstractNum>
  <w:abstractNum w:abstractNumId="243">
    <w:nsid w:val="6863E8D2"/>
    <w:multiLevelType w:val="hybridMultilevel"/>
    <w:lvl w:ilvl="0">
      <w:lvlJc w:val="left"/>
      <w:lvlText w:val="(%1)"/>
      <w:numFmt w:val="lowerLetter"/>
      <w:start w:val="2"/>
    </w:lvl>
  </w:abstractNum>
  <w:abstractNum w:abstractNumId="244">
    <w:nsid w:val="76896198"/>
    <w:multiLevelType w:val="hybridMultilevel"/>
    <w:lvl w:ilvl="0">
      <w:lvlJc w:val="left"/>
      <w:lvlText w:val="(%1)"/>
      <w:numFmt w:val="lowerLetter"/>
      <w:start w:val="1"/>
    </w:lvl>
    <w:lvl w:ilvl="1">
      <w:lvlJc w:val="left"/>
      <w:lvlText w:val="(%2)"/>
      <w:numFmt w:val="lowerRoman"/>
      <w:start w:val="1"/>
    </w:lvl>
  </w:abstractNum>
  <w:abstractNum w:abstractNumId="245">
    <w:nsid w:val="4365174B"/>
    <w:multiLevelType w:val="hybridMultilevel"/>
    <w:lvl w:ilvl="0">
      <w:lvlJc w:val="left"/>
      <w:lvlText w:val="(%1)"/>
      <w:numFmt w:val="lowerLetter"/>
      <w:start w:val="1"/>
    </w:lvl>
  </w:abstractNum>
  <w:abstractNum w:abstractNumId="246">
    <w:nsid w:val="4A872C35"/>
    <w:multiLevelType w:val="hybridMultilevel"/>
    <w:lvl w:ilvl="0">
      <w:lvlJc w:val="left"/>
      <w:lvlText w:val="(%1)"/>
      <w:numFmt w:val="lowerLetter"/>
      <w:start w:val="2"/>
    </w:lvl>
  </w:abstractNum>
  <w:abstractNum w:abstractNumId="247">
    <w:nsid w:val="5D5CE761"/>
    <w:multiLevelType w:val="hybridMultilevel"/>
    <w:lvl w:ilvl="0">
      <w:lvlJc w:val="left"/>
      <w:lvlText w:val="(%1)"/>
      <w:numFmt w:val="lowerLetter"/>
      <w:start w:val="1"/>
    </w:lvl>
  </w:abstractNum>
  <w:abstractNum w:abstractNumId="248">
    <w:nsid w:val="1CD484D5"/>
    <w:multiLevelType w:val="hybridMultilevel"/>
    <w:lvl w:ilvl="0">
      <w:lvlJc w:val="left"/>
      <w:lvlText w:val="(%1)"/>
      <w:numFmt w:val="decimal"/>
      <w:start w:val="1"/>
    </w:lvl>
  </w:abstractNum>
  <w:abstractNum w:abstractNumId="249">
    <w:nsid w:val="21D06255"/>
    <w:multiLevelType w:val="hybridMultilevel"/>
    <w:lvl w:ilvl="0">
      <w:lvlJc w:val="left"/>
      <w:lvlText w:val="(%1)"/>
      <w:numFmt w:val="decimal"/>
      <w:start w:val="2"/>
    </w:lvl>
  </w:abstractNum>
  <w:abstractNum w:abstractNumId="250">
    <w:nsid w:val="51194ED1"/>
    <w:multiLevelType w:val="hybridMultilevel"/>
    <w:lvl w:ilvl="0">
      <w:lvlJc w:val="left"/>
      <w:lvlText w:val="(%1)"/>
      <w:numFmt w:val="decimal"/>
      <w:start w:val="9"/>
    </w:lvl>
  </w:abstractNum>
  <w:abstractNum w:abstractNumId="251">
    <w:nsid w:val="44E2ED6C"/>
    <w:multiLevelType w:val="hybridMultilevel"/>
    <w:lvl w:ilvl="0">
      <w:lvlJc w:val="left"/>
      <w:lvlText w:val="(%1)"/>
      <w:numFmt w:val="decimal"/>
      <w:start w:val="9"/>
    </w:lvl>
    <w:lvl w:ilvl="1">
      <w:lvlJc w:val="left"/>
      <w:lvlText w:val="(%2)"/>
      <w:numFmt w:val="decimal"/>
      <w:start w:val="19"/>
    </w:lvl>
  </w:abstractNum>
  <w:abstractNum w:abstractNumId="252">
    <w:nsid w:val="2219B33"/>
    <w:multiLevelType w:val="hybridMultilevel"/>
    <w:lvl w:ilvl="0">
      <w:lvlJc w:val="left"/>
      <w:lvlText w:val="(%1)"/>
      <w:numFmt w:val="decimal"/>
      <w:start w:val="28"/>
    </w:lvl>
  </w:abstractNum>
  <w:abstractNum w:abstractNumId="253">
    <w:nsid w:val="773BFBDD"/>
    <w:multiLevelType w:val="hybridMultilevel"/>
    <w:lvl w:ilvl="0">
      <w:lvlJc w:val="left"/>
      <w:lvlText w:val="(%1)"/>
      <w:numFmt w:val="lowerLetter"/>
      <w:start w:val="1"/>
    </w:lvl>
  </w:abstractNum>
  <w:abstractNum w:abstractNumId="254">
    <w:nsid w:val="2C7C62C2"/>
    <w:multiLevelType w:val="hybridMultilevel"/>
    <w:lvl w:ilvl="0">
      <w:lvlJc w:val="left"/>
      <w:lvlText w:val="(%1)"/>
      <w:numFmt w:val="lowerLetter"/>
      <w:start w:val="2"/>
    </w:lvl>
  </w:abstractNum>
  <w:abstractNum w:abstractNumId="255">
    <w:nsid w:val="1A54D7BC"/>
    <w:multiLevelType w:val="hybridMultilevel"/>
    <w:lvl w:ilvl="0">
      <w:lvlJc w:val="left"/>
      <w:lvlText w:val="%1"/>
      <w:numFmt w:val="lowerRoman"/>
      <w:start w:val="1"/>
    </w:lvl>
    <w:lvl w:ilvl="1">
      <w:lvlJc w:val="left"/>
      <w:lvlText w:val="(%2)"/>
      <w:numFmt w:val="decimal"/>
      <w:start w:val="1"/>
    </w:lvl>
  </w:abstractNum>
  <w:abstractNum w:abstractNumId="256">
    <w:nsid w:val="42E57EF7"/>
    <w:multiLevelType w:val="hybridMultilevel"/>
    <w:lvl w:ilvl="0">
      <w:lvlJc w:val="left"/>
      <w:lvlText w:val="(%1)"/>
      <w:numFmt w:val="lowerRoman"/>
      <w:start w:val="10"/>
    </w:lvl>
    <w:lvl w:ilvl="1">
      <w:lvlJc w:val="left"/>
      <w:lvlText w:val="(%2)"/>
      <w:numFmt w:val="decimal"/>
      <w:start w:val="5"/>
    </w:lvl>
  </w:abstractNum>
  <w:abstractNum w:abstractNumId="257">
    <w:nsid w:val="33537CED"/>
    <w:multiLevelType w:val="hybridMultilevel"/>
    <w:lvl w:ilvl="0">
      <w:lvlJc w:val="left"/>
      <w:lvlText w:val="(%1)"/>
      <w:numFmt w:val="decimal"/>
      <w:start w:val="7"/>
    </w:lvl>
  </w:abstractNum>
  <w:abstractNum w:abstractNumId="258">
    <w:nsid w:val="27514ADE"/>
    <w:multiLevelType w:val="hybridMultilevel"/>
    <w:lvl w:ilvl="0">
      <w:lvlJc w:val="left"/>
      <w:lvlText w:val="(%1)"/>
      <w:numFmt w:val="decimal"/>
      <w:start w:val="8"/>
    </w:lvl>
  </w:abstractNum>
  <w:abstractNum w:abstractNumId="259">
    <w:nsid w:val="57071613"/>
    <w:multiLevelType w:val="hybridMultilevel"/>
    <w:lvl w:ilvl="0">
      <w:lvlJc w:val="left"/>
      <w:lvlText w:val="%1"/>
      <w:numFmt w:val="decimal"/>
      <w:start w:val="1"/>
    </w:lvl>
    <w:lvl w:ilvl="1">
      <w:lvlJc w:val="left"/>
      <w:lvlText w:val="(%2)"/>
      <w:numFmt w:val="lowerLetter"/>
      <w:start w:val="1"/>
    </w:lvl>
  </w:abstractNum>
  <w:abstractNum w:abstractNumId="260">
    <w:nsid w:val="5293BFEF"/>
    <w:multiLevelType w:val="hybridMultilevel"/>
    <w:lvl w:ilvl="0">
      <w:lvlJc w:val="left"/>
      <w:lvlText w:val="(%1)"/>
      <w:numFmt w:val="decimal"/>
      <w:start w:val="2"/>
    </w:lvl>
    <w:lvl w:ilvl="1">
      <w:lvlJc w:val="left"/>
      <w:lvlText w:val="(%2)"/>
      <w:numFmt w:val="lowerLetter"/>
      <w:start w:val="2"/>
    </w:lvl>
  </w:abstractNum>
  <w:abstractNum w:abstractNumId="261">
    <w:nsid w:val="38BF53E5"/>
    <w:multiLevelType w:val="hybridMultilevel"/>
    <w:lvl w:ilvl="0">
      <w:lvlJc w:val="left"/>
      <w:lvlText w:val="(%1)"/>
      <w:numFmt w:val="upperLetter"/>
      <w:start w:val="1"/>
    </w:lvl>
    <w:lvl w:ilvl="1">
      <w:lvlJc w:val="left"/>
      <w:lvlText w:val="(%2)"/>
      <w:numFmt w:val="lowerRoman"/>
      <w:start w:val="1"/>
    </w:lvl>
  </w:abstractNum>
  <w:abstractNum w:abstractNumId="262">
    <w:nsid w:val="226F5320"/>
    <w:multiLevelType w:val="hybridMultilevel"/>
    <w:lvl w:ilvl="0">
      <w:lvlJc w:val="left"/>
      <w:lvlText w:val="%1"/>
      <w:numFmt w:val="decimal"/>
      <w:start w:val="1"/>
    </w:lvl>
    <w:lvl w:ilvl="1">
      <w:lvlJc w:val="left"/>
      <w:lvlText w:val="(%2)"/>
      <w:numFmt w:val="lowerRoman"/>
      <w:start w:val="2"/>
    </w:lvl>
  </w:abstractNum>
  <w:abstractNum w:abstractNumId="263">
    <w:nsid w:val="5A0201C7"/>
    <w:multiLevelType w:val="hybridMultilevel"/>
    <w:lvl w:ilvl="0">
      <w:lvlJc w:val="left"/>
      <w:lvlText w:val="(%1)"/>
      <w:numFmt w:val="decimal"/>
      <w:start w:val="13"/>
    </w:lvl>
    <w:lvl w:ilvl="1">
      <w:lvlJc w:val="left"/>
      <w:lvlText w:val="%2"/>
      <w:numFmt w:val="lowerRoman"/>
      <w:start w:val="1"/>
    </w:lvl>
  </w:abstractNum>
  <w:abstractNum w:abstractNumId="264">
    <w:nsid w:val="2A9C34E2"/>
    <w:multiLevelType w:val="hybridMultilevel"/>
    <w:lvl w:ilvl="0">
      <w:lvlJc w:val="left"/>
      <w:lvlText w:val="(%1)"/>
      <w:numFmt w:val="lowerLetter"/>
      <w:start w:val="1"/>
    </w:lvl>
  </w:abstractNum>
  <w:abstractNum w:abstractNumId="265">
    <w:nsid w:val="1B7585AB"/>
    <w:multiLevelType w:val="hybridMultilevel"/>
    <w:lvl w:ilvl="0">
      <w:lvlJc w:val="left"/>
      <w:lvlText w:val="(%1)"/>
      <w:numFmt w:val="decimal"/>
      <w:start w:val="14"/>
    </w:lvl>
    <w:lvl w:ilvl="1">
      <w:lvlJc w:val="left"/>
      <w:lvlText w:val="(%2)"/>
      <w:numFmt w:val="decimal"/>
      <w:start w:val="15"/>
    </w:lvl>
    <w:lvl w:ilvl="2">
      <w:lvlJc w:val="left"/>
      <w:lvlText w:val="(%3)"/>
      <w:numFmt w:val="lowerLetter"/>
      <w:start w:val="2"/>
    </w:lvl>
  </w:abstractNum>
  <w:abstractNum w:abstractNumId="266">
    <w:nsid w:val="612DBDDD"/>
    <w:multiLevelType w:val="hybridMultilevel"/>
    <w:lvl w:ilvl="0">
      <w:lvlJc w:val="left"/>
      <w:lvlText w:val="%1"/>
      <w:numFmt w:val="lowerRoman"/>
      <w:start w:val="1"/>
    </w:lvl>
    <w:lvl w:ilvl="1">
      <w:lvlJc w:val="left"/>
      <w:lvlText w:val="(%2)"/>
      <w:numFmt w:val="decimal"/>
      <w:start w:val="16"/>
    </w:lvl>
  </w:abstractNum>
  <w:abstractNum w:abstractNumId="267">
    <w:nsid w:val="2109CDA4"/>
    <w:multiLevelType w:val="hybridMultilevel"/>
    <w:lvl w:ilvl="0">
      <w:lvlJc w:val="left"/>
      <w:lvlText w:val="(%1)"/>
      <w:numFmt w:val="lowerRoman"/>
      <w:start w:val="2"/>
    </w:lvl>
    <w:lvl w:ilvl="1">
      <w:lvlJc w:val="left"/>
      <w:lvlText w:val="(%2)"/>
      <w:numFmt w:val="decimal"/>
      <w:start w:val="18"/>
    </w:lvl>
  </w:abstractNum>
  <w:abstractNum w:abstractNumId="268">
    <w:nsid w:val="577F5A4D"/>
    <w:multiLevelType w:val="hybridMultilevel"/>
    <w:lvl w:ilvl="0">
      <w:lvlJc w:val="left"/>
      <w:lvlText w:val="(%1)"/>
      <w:numFmt w:val="decimal"/>
      <w:start w:val="21"/>
    </w:lvl>
  </w:abstractNum>
  <w:abstractNum w:abstractNumId="269">
    <w:nsid w:val="2121A81"/>
    <w:multiLevelType w:val="hybridMultilevel"/>
    <w:lvl w:ilvl="0">
      <w:lvlJc w:val="left"/>
      <w:lvlText w:val="(%1)"/>
      <w:numFmt w:val="lowerLetter"/>
      <w:start w:val="3"/>
    </w:lvl>
  </w:abstractNum>
  <w:abstractNum w:abstractNumId="270">
    <w:nsid w:val="6C2CFC88"/>
    <w:multiLevelType w:val="hybridMultilevel"/>
    <w:lvl w:ilvl="0">
      <w:lvlJc w:val="left"/>
      <w:lvlText w:val="(%1)"/>
      <w:numFmt w:val="decimal"/>
      <w:start w:val="1"/>
    </w:lvl>
  </w:abstractNum>
  <w:abstractNum w:abstractNumId="271">
    <w:nsid w:val="6D1BCF1C"/>
    <w:multiLevelType w:val="hybridMultilevel"/>
    <w:lvl w:ilvl="0">
      <w:lvlJc w:val="left"/>
      <w:lvlText w:val="%1"/>
      <w:numFmt w:val="lowerLetter"/>
      <w:start w:val="1"/>
    </w:lvl>
    <w:lvl w:ilvl="1">
      <w:lvlJc w:val="left"/>
      <w:lvlText w:val="(%2)"/>
      <w:numFmt w:val="lowerLetter"/>
      <w:start w:val="1"/>
    </w:lvl>
  </w:abstractNum>
  <w:abstractNum w:abstractNumId="272">
    <w:nsid w:val="4CE5CA53"/>
    <w:multiLevelType w:val="hybridMultilevel"/>
    <w:lvl w:ilvl="0">
      <w:lvlJc w:val="left"/>
      <w:lvlText w:val="(%1)"/>
      <w:numFmt w:val="lowerLetter"/>
      <w:start w:val="35"/>
    </w:lvl>
    <w:lvl w:ilvl="1">
      <w:lvlJc w:val="left"/>
      <w:lvlText w:val="(%2)"/>
      <w:numFmt w:val="lowerLetter"/>
      <w:start w:val="3"/>
    </w:lvl>
  </w:abstractNum>
  <w:abstractNum w:abstractNumId="273">
    <w:nsid w:val="29262D1A"/>
    <w:multiLevelType w:val="hybridMultilevel"/>
    <w:lvl w:ilvl="0">
      <w:lvlJc w:val="left"/>
      <w:lvlText w:val="(%1)"/>
      <w:numFmt w:val="upperLetter"/>
      <w:start w:val="5"/>
    </w:lvl>
    <w:lvl w:ilvl="1">
      <w:lvlJc w:val="left"/>
      <w:lvlText w:val="(%2)"/>
      <w:numFmt w:val="lowerLetter"/>
      <w:start w:val="5"/>
    </w:lvl>
  </w:abstractNum>
  <w:abstractNum w:abstractNumId="274">
    <w:nsid w:val="557FB7EE"/>
    <w:multiLevelType w:val="hybridMultilevel"/>
    <w:lvl w:ilvl="0">
      <w:lvlJc w:val="left"/>
      <w:lvlText w:val="(%1)"/>
      <w:numFmt w:val="lowerLetter"/>
      <w:start w:val="6"/>
    </w:lvl>
  </w:abstractNum>
  <w:abstractNum w:abstractNumId="275">
    <w:nsid w:val="436F2BEB"/>
    <w:multiLevelType w:val="hybridMultilevel"/>
    <w:lvl w:ilvl="0">
      <w:lvlJc w:val="left"/>
      <w:lvlText w:val="(%1)"/>
      <w:numFmt w:val="lowerLetter"/>
      <w:start w:val="1"/>
    </w:lvl>
  </w:abstractNum>
  <w:abstractNum w:abstractNumId="276">
    <w:nsid w:val="6C8B4466"/>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77">
    <w:nsid w:val="2006E42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8">
    <w:nsid w:val="20CC134C"/>
    <w:multiLevelType w:val="hybridMultilevel"/>
    <w:lvl w:ilvl="0">
      <w:lvlJc w:val="left"/>
      <w:lvlText w:val="%1"/>
      <w:numFmt w:val="lowerLetter"/>
      <w:start w:val="1"/>
    </w:lvl>
    <w:lvl w:ilvl="1">
      <w:lvlJc w:val="left"/>
      <w:lvlText w:val="(%2)"/>
      <w:numFmt w:val="lowerLetter"/>
      <w:start w:val="61"/>
    </w:lvl>
  </w:abstractNum>
  <w:abstractNum w:abstractNumId="279">
    <w:nsid w:val="95FC93B"/>
    <w:multiLevelType w:val="hybridMultilevel"/>
    <w:lvl w:ilvl="0">
      <w:lvlJc w:val="left"/>
      <w:lvlText w:val="(%1)"/>
      <w:numFmt w:val="lowerLetter"/>
      <w:start w:val="25"/>
    </w:lvl>
    <w:lvl w:ilvl="1">
      <w:lvlJc w:val="left"/>
      <w:lvlText w:val="%2"/>
      <w:numFmt w:val="lowerLetter"/>
      <w:start w:val="1"/>
    </w:lvl>
  </w:abstractNum>
  <w:abstractNum w:abstractNumId="280">
    <w:nsid w:val="41D74679"/>
    <w:multiLevelType w:val="hybridMultilevel"/>
    <w:lvl w:ilvl="0">
      <w:lvlJc w:val="left"/>
      <w:lvlText w:val="(%1)"/>
      <w:numFmt w:val="lowerLetter"/>
      <w:start w:val="16"/>
    </w:lvl>
  </w:abstractNum>
  <w:abstractNum w:abstractNumId="281">
    <w:nsid w:val="71E5621E"/>
    <w:multiLevelType w:val="hybridMultilevel"/>
    <w:lvl w:ilvl="0">
      <w:lvlJc w:val="left"/>
      <w:lvlText w:val="%1"/>
      <w:numFmt w:val="lowerLetter"/>
      <w:start w:val="1"/>
    </w:lvl>
    <w:lvl w:ilvl="1">
      <w:lvlJc w:val="left"/>
      <w:lvlText w:val="(%2)"/>
      <w:numFmt w:val="lowerLetter"/>
      <w:start w:val="1"/>
    </w:lvl>
  </w:abstractNum>
  <w:abstractNum w:abstractNumId="282">
    <w:nsid w:val="4E42B6A8"/>
    <w:multiLevelType w:val="hybridMultilevel"/>
    <w:lvl w:ilvl="0">
      <w:lvlJc w:val="left"/>
      <w:lvlText w:val="(%1)"/>
      <w:numFmt w:val="lowerLetter"/>
      <w:start w:val="25"/>
    </w:lvl>
    <w:lvl w:ilvl="1">
      <w:lvlJc w:val="left"/>
      <w:lvlText w:val="%2"/>
      <w:numFmt w:val="lowerLetter"/>
      <w:start w:val="1"/>
    </w:lvl>
  </w:abstractNum>
  <w:abstractNum w:abstractNumId="283">
    <w:nsid w:val="43F8E1AC"/>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9"/>
    </w:lvl>
    <w:lvl w:ilvl="3">
      <w:lvlJc w:val="left"/>
      <w:lvlText w:val="(%4)"/>
      <w:numFmt w:val="lowerLetter"/>
      <w:start w:val="24"/>
    </w:lvl>
  </w:abstractNum>
  <w:abstractNum w:abstractNumId="284">
    <w:nsid w:val="69215DFB"/>
    <w:multiLevelType w:val="hybridMultilevel"/>
    <w:lvl w:ilvl="0">
      <w:lvlJc w:val="left"/>
      <w:lvlText w:val="(%1)"/>
      <w:numFmt w:val="lowerRoman"/>
      <w:start w:val="2"/>
    </w:lvl>
  </w:abstractNum>
  <w:abstractNum w:abstractNumId="285">
    <w:nsid w:val="7ABF196A"/>
    <w:multiLevelType w:val="hybridMultilevel"/>
    <w:lvl w:ilvl="0">
      <w:lvlJc w:val="left"/>
      <w:lvlText w:val="(%1)"/>
      <w:numFmt w:val="upperLetter"/>
      <w:start w:val="3"/>
    </w:lvl>
  </w:abstractNum>
  <w:abstractNum w:abstractNumId="286">
    <w:nsid w:val="5E4DB968"/>
    <w:multiLevelType w:val="hybridMultilevel"/>
    <w:lvl w:ilvl="0">
      <w:lvlJc w:val="left"/>
      <w:lvlText w:val="(%1)"/>
      <w:numFmt w:val="upperLetter"/>
      <w:start w:val="4"/>
    </w:lvl>
    <w:lvl w:ilvl="1">
      <w:lvlJc w:val="left"/>
      <w:lvlText w:val="(%2)"/>
      <w:numFmt w:val="lowerRoman"/>
      <w:start w:val="1"/>
    </w:lvl>
  </w:abstractNum>
  <w:abstractNum w:abstractNumId="287">
    <w:nsid w:val="2C06DCF3"/>
    <w:multiLevelType w:val="hybridMultilevel"/>
    <w:lvl w:ilvl="0">
      <w:lvlJc w:val="left"/>
      <w:lvlText w:val="(%1)"/>
      <w:numFmt w:val="lowerLetter"/>
      <w:start w:val="2"/>
    </w:lvl>
  </w:abstractNum>
  <w:abstractNum w:abstractNumId="288">
    <w:nsid w:val="2E129658"/>
    <w:multiLevelType w:val="hybridMultilevel"/>
    <w:lvl w:ilvl="0">
      <w:lvlJc w:val="left"/>
      <w:lvlText w:val="%1"/>
      <w:numFmt w:val="lowerLetter"/>
      <w:start w:val="1"/>
    </w:lvl>
    <w:lvl w:ilvl="1">
      <w:lvlJc w:val="left"/>
      <w:lvlText w:val="(%2)"/>
      <w:numFmt w:val="decimal"/>
      <w:start w:val="1"/>
    </w:lvl>
  </w:abstractNum>
  <w:abstractNum w:abstractNumId="289">
    <w:nsid w:val="59F0446"/>
    <w:multiLevelType w:val="hybridMultilevel"/>
    <w:lvl w:ilvl="0">
      <w:lvlJc w:val="left"/>
      <w:lvlText w:val="(%1)"/>
      <w:numFmt w:val="lowerLetter"/>
      <w:start w:val="3"/>
    </w:lvl>
    <w:lvl w:ilvl="1">
      <w:lvlJc w:val="left"/>
      <w:lvlText w:val="%2"/>
      <w:numFmt w:val="decimal"/>
      <w:start w:val="1"/>
    </w:lvl>
  </w:abstractNum>
  <w:abstractNum w:abstractNumId="290">
    <w:nsid w:val="30DF306"/>
    <w:multiLevelType w:val="hybridMultilevel"/>
    <w:lvl w:ilvl="0">
      <w:lvlJc w:val="left"/>
      <w:lvlText w:val="(%1)"/>
      <w:numFmt w:val="decimal"/>
      <w:start w:val="3"/>
    </w:lvl>
    <w:lvl w:ilvl="1">
      <w:lvlJc w:val="left"/>
      <w:lvlText w:val="(%2)"/>
      <w:numFmt w:val="lowerLetter"/>
      <w:start w:val="1"/>
    </w:lvl>
  </w:abstractNum>
  <w:abstractNum w:abstractNumId="291">
    <w:nsid w:val="A65647"/>
    <w:multiLevelType w:val="hybridMultilevel"/>
    <w:lvl w:ilvl="0">
      <w:lvlJc w:val="left"/>
      <w:lvlText w:val="(%1)"/>
      <w:numFmt w:val="lowerLetter"/>
      <w:start w:val="2"/>
    </w:lvl>
  </w:abstractNum>
  <w:abstractNum w:abstractNumId="292">
    <w:nsid w:val="3E5E582B"/>
    <w:multiLevelType w:val="hybridMultilevel"/>
    <w:lvl w:ilvl="0">
      <w:lvlJc w:val="left"/>
      <w:lvlText w:val="(%1)"/>
      <w:numFmt w:val="decimal"/>
      <w:start w:val="5"/>
    </w:lvl>
  </w:abstractNum>
  <w:abstractNum w:abstractNumId="293">
    <w:nsid w:val="257D4626"/>
    <w:multiLevelType w:val="hybridMultilevel"/>
    <w:lvl w:ilvl="0">
      <w:lvlJc w:val="left"/>
      <w:lvlText w:val="(%1)"/>
      <w:numFmt w:val="lowerLetter"/>
      <w:start w:val="2"/>
    </w:lvl>
  </w:abstractNum>
  <w:abstractNum w:abstractNumId="294">
    <w:nsid w:val="5AA8580E"/>
    <w:multiLevelType w:val="hybridMultilevel"/>
    <w:lvl w:ilvl="0">
      <w:lvlJc w:val="left"/>
      <w:lvlText w:val="(%1)"/>
      <w:numFmt w:val="decimal"/>
      <w:start w:val="7"/>
    </w:lvl>
  </w:abstractNum>
  <w:abstractNum w:abstractNumId="295">
    <w:nsid w:val="68FA8D0D"/>
    <w:multiLevelType w:val="hybridMultilevel"/>
    <w:lvl w:ilvl="0">
      <w:lvlJc w:val="left"/>
      <w:lvlText w:val="(%1)"/>
      <w:numFmt w:val="decimal"/>
      <w:start w:val="9"/>
    </w:lvl>
    <w:lvl w:ilvl="1">
      <w:lvlJc w:val="left"/>
      <w:lvlText w:val="(%2)"/>
      <w:numFmt w:val="decimal"/>
      <w:start w:val="12"/>
    </w:lvl>
  </w:abstractNum>
  <w:abstractNum w:abstractNumId="296">
    <w:nsid w:val="40F2CBD2"/>
    <w:multiLevelType w:val="hybridMultilevel"/>
    <w:lvl w:ilvl="0">
      <w:lvlJc w:val="left"/>
      <w:lvlText w:val="(%1)"/>
      <w:numFmt w:val="decimal"/>
      <w:start w:val="13"/>
    </w:lvl>
  </w:abstractNum>
  <w:abstractNum w:abstractNumId="297">
    <w:nsid w:val="3BD615EB"/>
    <w:multiLevelType w:val="hybridMultilevel"/>
    <w:lvl w:ilvl="0">
      <w:lvlJc w:val="left"/>
      <w:lvlText w:val="(%1)"/>
      <w:numFmt w:val="lowerLetter"/>
      <w:start w:val="3"/>
    </w:lvl>
  </w:abstractNum>
  <w:abstractNum w:abstractNumId="298">
    <w:nsid w:val="A045AB2"/>
    <w:multiLevelType w:val="hybridMultilevel"/>
    <w:lvl w:ilvl="0">
      <w:lvlJc w:val="left"/>
      <w:lvlText w:val="%1"/>
      <w:numFmt w:val="lowerLetter"/>
      <w:start w:val="1"/>
    </w:lvl>
    <w:lvl w:ilvl="1">
      <w:lvlJc w:val="left"/>
      <w:lvlText w:val="(%2)"/>
      <w:numFmt w:val="lowerLetter"/>
      <w:start w:val="1"/>
    </w:lvl>
  </w:abstractNum>
  <w:abstractNum w:abstractNumId="299">
    <w:nsid w:val="1872261F"/>
    <w:multiLevelType w:val="hybridMultilevel"/>
    <w:lvl w:ilvl="0">
      <w:lvlJc w:val="left"/>
      <w:lvlText w:val="(%1)"/>
      <w:numFmt w:val="lowerLetter"/>
      <w:start w:val="2"/>
    </w:lvl>
    <w:lvl w:ilvl="1">
      <w:lvlJc w:val="left"/>
      <w:lvlText w:val="%2"/>
      <w:numFmt w:val="lowerLetter"/>
      <w:start w:val="1"/>
    </w:lvl>
  </w:abstractNum>
  <w:abstractNum w:abstractNumId="300">
    <w:nsid w:val="3DE8306C"/>
    <w:multiLevelType w:val="hybridMultilevel"/>
    <w:lvl w:ilvl="0">
      <w:lvlJc w:val="left"/>
      <w:lvlText w:val="(%1)"/>
      <w:numFmt w:val="decimal"/>
      <w:start w:val="1"/>
    </w:lvl>
  </w:abstractNum>
  <w:abstractNum w:abstractNumId="301">
    <w:nsid w:val="7631573A"/>
    <w:multiLevelType w:val="hybridMultilevel"/>
    <w:lvl w:ilvl="0">
      <w:lvlJc w:val="left"/>
      <w:lvlText w:val="%1"/>
      <w:numFmt w:val="lowerLetter"/>
      <w:start w:val="1"/>
    </w:lvl>
    <w:lvl w:ilvl="1">
      <w:lvlJc w:val="left"/>
      <w:lvlText w:val="(%2)"/>
      <w:numFmt w:val="decimal"/>
      <w:start w:val="4"/>
    </w:lvl>
  </w:abstractNum>
  <w:abstractNum w:abstractNumId="302">
    <w:nsid w:val="58DF53B"/>
    <w:multiLevelType w:val="hybridMultilevel"/>
    <w:lvl w:ilvl="0">
      <w:lvlJc w:val="left"/>
      <w:lvlText w:val="(%1)"/>
      <w:numFmt w:val="lowerLetter"/>
      <w:start w:val="1"/>
    </w:lvl>
    <w:lvl w:ilvl="1">
      <w:lvlJc w:val="left"/>
      <w:lvlText w:val="%2"/>
      <w:numFmt w:val="decimal"/>
      <w:start w:val="1"/>
    </w:lvl>
  </w:abstractNum>
  <w:abstractNum w:abstractNumId="303">
    <w:nsid w:val="ACDFAC0"/>
    <w:multiLevelType w:val="hybridMultilevel"/>
    <w:lvl w:ilvl="0">
      <w:lvlJc w:val="left"/>
      <w:lvlText w:val="(%1)"/>
      <w:numFmt w:val="decimal"/>
      <w:start w:val="7"/>
    </w:lvl>
  </w:abstractNum>
  <w:abstractNum w:abstractNumId="304">
    <w:nsid w:val="1F578454"/>
    <w:multiLevelType w:val="hybridMultilevel"/>
    <w:lvl w:ilvl="0">
      <w:lvlJc w:val="left"/>
      <w:lvlText w:val="(%1)"/>
      <w:numFmt w:val="decimal"/>
      <w:start w:val="13"/>
    </w:lvl>
  </w:abstractNum>
  <w:abstractNum w:abstractNumId="305">
    <w:nsid w:val="5B0DAD2A"/>
    <w:multiLevelType w:val="hybridMultilevel"/>
    <w:lvl w:ilvl="0">
      <w:lvlJc w:val="left"/>
      <w:lvlText w:val="(%1)"/>
      <w:numFmt w:val="decimal"/>
      <w:start w:val="1"/>
    </w:lvl>
  </w:abstractNum>
  <w:abstractNum w:abstractNumId="306">
    <w:nsid w:val="4E3D26AB"/>
    <w:multiLevelType w:val="hybridMultilevel"/>
    <w:lvl w:ilvl="0">
      <w:lvlJc w:val="left"/>
      <w:lvlText w:val="(%1)"/>
      <w:numFmt w:val="lowerLetter"/>
      <w:start w:val="2"/>
    </w:lvl>
  </w:abstractNum>
  <w:abstractNum w:abstractNumId="307">
    <w:nsid w:val="BE2C8BA"/>
    <w:multiLevelType w:val="hybridMultilevel"/>
    <w:lvl w:ilvl="0">
      <w:lvlJc w:val="left"/>
      <w:lvlText w:val="(%1)"/>
      <w:numFmt w:val="decimal"/>
      <w:start w:val="2"/>
    </w:lvl>
  </w:abstractNum>
  <w:abstractNum w:abstractNumId="308">
    <w:nsid w:val="7B14914E"/>
    <w:multiLevelType w:val="hybridMultilevel"/>
    <w:lvl w:ilvl="0">
      <w:lvlJc w:val="left"/>
      <w:lvlText w:val="(%1)"/>
      <w:numFmt w:val="lowerLetter"/>
      <w:start w:val="1"/>
    </w:lvl>
  </w:abstractNum>
  <w:abstractNum w:abstractNumId="309">
    <w:nsid w:val="6F0939F8"/>
    <w:multiLevelType w:val="hybridMultilevel"/>
    <w:lvl w:ilvl="0">
      <w:lvlJc w:val="left"/>
      <w:lvlText w:val="(%1)"/>
      <w:numFmt w:val="lowerLetter"/>
      <w:start w:val="6"/>
    </w:lvl>
  </w:abstractNum>
  <w:abstractNum w:abstractNumId="310">
    <w:nsid w:val="154291F6"/>
    <w:multiLevelType w:val="hybridMultilevel"/>
    <w:lvl w:ilvl="0">
      <w:lvlJc w:val="left"/>
      <w:lvlText w:val="(%1)"/>
      <w:numFmt w:val="lowerLetter"/>
      <w:start w:val="11"/>
    </w:lvl>
  </w:abstractNum>
  <w:abstractNum w:abstractNumId="311">
    <w:nsid w:val="3CEBD7C7"/>
    <w:multiLevelType w:val="hybridMultilevel"/>
    <w:lvl w:ilvl="0">
      <w:lvlJc w:val="left"/>
      <w:lvlText w:val="%1"/>
      <w:numFmt w:val="lowerLetter"/>
      <w:start w:val="1"/>
    </w:lvl>
    <w:lvl w:ilvl="1">
      <w:lvlJc w:val="left"/>
      <w:lvlText w:val="(%2)"/>
      <w:numFmt w:val="lowerLetter"/>
      <w:start w:val="1"/>
    </w:lvl>
  </w:abstractNum>
  <w:abstractNum w:abstractNumId="312">
    <w:nsid w:val="60EE9C16"/>
    <w:multiLevelType w:val="hybridMultilevel"/>
    <w:lvl w:ilvl="0">
      <w:lvlJc w:val="left"/>
      <w:lvlText w:val="(%1)"/>
      <w:numFmt w:val="lowerLetter"/>
      <w:start w:val="35"/>
    </w:lvl>
    <w:lvl w:ilvl="1">
      <w:lvlJc w:val="left"/>
      <w:lvlText w:val="(%2)"/>
      <w:numFmt w:val="lowerLetter"/>
      <w:start w:val="2"/>
    </w:lvl>
  </w:abstractNum>
  <w:abstractNum w:abstractNumId="313">
    <w:nsid w:val="6385489E"/>
    <w:multiLevelType w:val="hybridMultilevel"/>
    <w:lvl w:ilvl="0">
      <w:lvlJc w:val="left"/>
      <w:lvlText w:val="%1"/>
      <w:numFmt w:val="lowerLetter"/>
      <w:start w:val="1"/>
    </w:lvl>
    <w:lvl w:ilvl="1">
      <w:lvlJc w:val="left"/>
      <w:lvlText w:val="(%2)"/>
      <w:numFmt w:val="lowerLetter"/>
      <w:start w:val="3"/>
    </w:lvl>
  </w:abstractNum>
  <w:abstractNum w:abstractNumId="314">
    <w:nsid w:val="E4B973"/>
    <w:multiLevelType w:val="hybridMultilevel"/>
    <w:lvl w:ilvl="0">
      <w:lvlJc w:val="left"/>
      <w:lvlText w:val="(%1)"/>
      <w:numFmt w:val="lowerLetter"/>
      <w:start w:val="2"/>
    </w:lvl>
    <w:lvl w:ilvl="1">
      <w:lvlJc w:val="left"/>
      <w:lvlText w:val="(%2)"/>
      <w:numFmt w:val="lowerLetter"/>
      <w:start w:val="4"/>
    </w:lvl>
  </w:abstractNum>
  <w:abstractNum w:abstractNumId="315">
    <w:nsid w:val="4A0FFA11"/>
    <w:multiLevelType w:val="hybridMultilevel"/>
    <w:lvl w:ilvl="0">
      <w:lvlJc w:val="left"/>
      <w:lvlText w:val="(%1)"/>
      <w:numFmt w:val="lowerLetter"/>
      <w:start w:val="6"/>
    </w:lvl>
  </w:abstractNum>
  <w:abstractNum w:abstractNumId="316">
    <w:nsid w:val="5E446208"/>
    <w:multiLevelType w:val="hybridMultilevel"/>
    <w:lvl w:ilvl="0">
      <w:lvlJc w:val="left"/>
      <w:lvlText w:val="(%1)"/>
      <w:numFmt w:val="lowerLetter"/>
      <w:start w:val="9"/>
    </w:lvl>
  </w:abstractNum>
  <w:abstractNum w:abstractNumId="317">
    <w:nsid w:val="5F3272DB"/>
    <w:multiLevelType w:val="hybridMultilevel"/>
    <w:lvl w:ilvl="0">
      <w:lvlJc w:val="left"/>
      <w:lvlText w:val="(%1)"/>
      <w:numFmt w:val="lowerLetter"/>
      <w:start w:val="12"/>
    </w:lvl>
  </w:abstractNum>
  <w:abstractNum w:abstractNumId="318">
    <w:nsid w:val="7616D704"/>
    <w:multiLevelType w:val="hybridMultilevel"/>
    <w:lvl w:ilvl="0">
      <w:lvlJc w:val="left"/>
      <w:lvlText w:val="(%1)"/>
      <w:numFmt w:val="lowerRoman"/>
      <w:start w:val="1"/>
    </w:lvl>
  </w:abstractNum>
  <w:abstractNum w:abstractNumId="319">
    <w:nsid w:val="C56F860"/>
    <w:multiLevelType w:val="hybridMultilevel"/>
    <w:lvl w:ilvl="0">
      <w:lvlJc w:val="left"/>
      <w:lvlText w:val="(%1)"/>
      <w:numFmt w:val="lowerLetter"/>
      <w:start w:val="1"/>
    </w:lvl>
  </w:abstractNum>
  <w:abstractNum w:abstractNumId="320">
    <w:nsid w:val="64D17722"/>
    <w:multiLevelType w:val="hybridMultilevel"/>
    <w:lvl w:ilvl="0">
      <w:lvlJc w:val="left"/>
      <w:lvlText w:val="(%1)"/>
      <w:numFmt w:val="lowerLetter"/>
      <w:start w:val="1"/>
    </w:lvl>
  </w:abstractNum>
  <w:abstractNum w:abstractNumId="321">
    <w:nsid w:val="7924CA0A"/>
    <w:multiLevelType w:val="hybridMultilevel"/>
    <w:lvl w:ilvl="0">
      <w:lvlJc w:val="left"/>
      <w:lvlText w:val="(%1)"/>
      <w:numFmt w:val="lowerLetter"/>
      <w:start w:val="1"/>
    </w:lvl>
  </w:abstractNum>
  <w:abstractNum w:abstractNumId="322">
    <w:nsid w:val="CFD4EA7"/>
    <w:multiLevelType w:val="hybridMultilevel"/>
    <w:lvl w:ilvl="0">
      <w:lvlJc w:val="left"/>
      <w:lvlText w:val="(%1)"/>
      <w:numFmt w:val="lowerLetter"/>
      <w:start w:val="2"/>
    </w:lvl>
  </w:abstractNum>
  <w:abstractNum w:abstractNumId="323">
    <w:nsid w:val="232FCF4D"/>
    <w:multiLevelType w:val="hybridMultilevel"/>
    <w:lvl w:ilvl="0">
      <w:lvlJc w:val="left"/>
      <w:lvlText w:val="%1"/>
      <w:numFmt w:val="lowerRoman"/>
      <w:start w:val="1"/>
    </w:lvl>
    <w:lvl w:ilvl="1">
      <w:lvlJc w:val="left"/>
      <w:lvlText w:val="(%2)"/>
      <w:numFmt w:val="lowerLetter"/>
      <w:start w:val="1"/>
    </w:lvl>
  </w:abstractNum>
  <w:abstractNum w:abstractNumId="324">
    <w:nsid w:val="1EA21031"/>
    <w:multiLevelType w:val="hybridMultilevel"/>
    <w:lvl w:ilvl="0">
      <w:lvlJc w:val="left"/>
      <w:lvlText w:val="(%1)"/>
      <w:numFmt w:val="lowerRoman"/>
      <w:start w:val="6"/>
    </w:lvl>
    <w:lvl w:ilvl="1">
      <w:lvlJc w:val="left"/>
      <w:lvlText w:val="%2"/>
      <w:numFmt w:val="lowerLetter"/>
      <w:start w:val="1"/>
    </w:lvl>
  </w:abstractNum>
  <w:abstractNum w:abstractNumId="325">
    <w:nsid w:val="67A5A6B5"/>
    <w:multiLevelType w:val="hybridMultilevel"/>
    <w:lvl w:ilvl="0">
      <w:lvlJc w:val="left"/>
      <w:lvlText w:val="(%1)"/>
      <w:numFmt w:val="lowerLetter"/>
      <w:start w:val="2"/>
    </w:lvl>
  </w:abstractNum>
  <w:abstractNum w:abstractNumId="326">
    <w:nsid w:val="C2A5C5B"/>
    <w:multiLevelType w:val="hybridMultilevel"/>
    <w:lvl w:ilvl="0">
      <w:lvlJc w:val="left"/>
      <w:lvlText w:val="(%1)"/>
      <w:numFmt w:val="lowerLetter"/>
      <w:start w:val="1"/>
    </w:lvl>
  </w:abstractNum>
  <w:abstractNum w:abstractNumId="327">
    <w:nsid w:val="5F94DC03"/>
    <w:multiLevelType w:val="hybridMultilevel"/>
    <w:lvl w:ilvl="0">
      <w:lvlJc w:val="left"/>
      <w:lvlText w:val="%1"/>
      <w:numFmt w:val="lowerLetter"/>
      <w:start w:val="1"/>
    </w:lvl>
    <w:lvl w:ilvl="1">
      <w:lvlJc w:val="left"/>
      <w:lvlText w:val="(%2)"/>
      <w:numFmt w:val="lowerLetter"/>
      <w:start w:val="3"/>
    </w:lvl>
  </w:abstractNum>
  <w:abstractNum w:abstractNumId="328">
    <w:nsid w:val="237BBCA0"/>
    <w:multiLevelType w:val="hybridMultilevel"/>
    <w:lvl w:ilvl="0">
      <w:lvlJc w:val="left"/>
      <w:lvlText w:val="(%1)"/>
      <w:numFmt w:val="lowerLetter"/>
      <w:start w:val="61"/>
    </w:lvl>
    <w:lvl w:ilvl="1">
      <w:lvlJc w:val="left"/>
      <w:lvlText w:val="(%2)"/>
      <w:numFmt w:val="lowerLetter"/>
      <w:start w:val="4"/>
    </w:lvl>
  </w:abstractNum>
  <w:abstractNum w:abstractNumId="329">
    <w:nsid w:val="162EB70D"/>
    <w:multiLevelType w:val="hybridMultilevel"/>
    <w:lvl w:ilvl="0">
      <w:lvlJc w:val="left"/>
      <w:lvlText w:val="(%1)"/>
      <w:numFmt w:val="lowerRoman"/>
      <w:start w:val="4"/>
    </w:lvl>
  </w:abstractNum>
  <w:abstractNum w:abstractNumId="330">
    <w:nsid w:val="78070222"/>
    <w:multiLevelType w:val="hybridMultilevel"/>
    <w:lvl w:ilvl="0">
      <w:lvlJc w:val="left"/>
      <w:lvlText w:val="(%1)"/>
      <w:numFmt w:val="lowerLetter"/>
      <w:start w:val="1"/>
    </w:lvl>
    <w:lvl w:ilvl="1">
      <w:lvlJc w:val="left"/>
      <w:lvlText w:val="(%2)"/>
      <w:numFmt w:val="lowerLetter"/>
      <w:start w:val="9"/>
    </w:lvl>
  </w:abstractNum>
  <w:abstractNum w:abstractNumId="331">
    <w:nsid w:val="6163ED0D"/>
    <w:multiLevelType w:val="hybridMultilevel"/>
    <w:lvl w:ilvl="0">
      <w:lvlJc w:val="left"/>
      <w:lvlText w:val="(%1)"/>
      <w:numFmt w:val="lowerRoman"/>
      <w:start w:val="2"/>
    </w:lvl>
  </w:abstractNum>
  <w:abstractNum w:abstractNumId="332">
    <w:nsid w:val="C600E47"/>
    <w:multiLevelType w:val="hybridMultilevel"/>
    <w:lvl w:ilvl="0">
      <w:lvlJc w:val="left"/>
      <w:lvlText w:val="(%1)"/>
      <w:numFmt w:val="lowerLetter"/>
      <w:start w:val="2"/>
    </w:lvl>
  </w:abstractNum>
  <w:abstractNum w:abstractNumId="333">
    <w:nsid w:val="7D94F75D"/>
    <w:multiLevelType w:val="hybridMultilevel"/>
    <w:lvl w:ilvl="0">
      <w:lvlJc w:val="left"/>
      <w:lvlText w:val="(%1)"/>
      <w:numFmt w:val="lowerLetter"/>
      <w:start w:val="3"/>
    </w:lvl>
  </w:abstractNum>
  <w:abstractNum w:abstractNumId="334">
    <w:nsid w:val="6C31E7CD"/>
    <w:multiLevelType w:val="hybridMultilevel"/>
    <w:lvl w:ilvl="0">
      <w:lvlJc w:val="left"/>
      <w:lvlText w:val="(%1)"/>
      <w:numFmt w:val="lowerLetter"/>
      <w:start w:val="4"/>
    </w:lvl>
  </w:abstractNum>
  <w:abstractNum w:abstractNumId="335">
    <w:nsid w:val="2BB7929B"/>
    <w:multiLevelType w:val="hybridMultilevel"/>
    <w:lvl w:ilvl="0">
      <w:lvlJc w:val="left"/>
      <w:lvlText w:val="(%1)"/>
      <w:numFmt w:val="lowerLetter"/>
      <w:start w:val="1"/>
    </w:lvl>
  </w:abstractNum>
  <w:abstractNum w:abstractNumId="336">
    <w:nsid w:val="58A2A487"/>
    <w:multiLevelType w:val="hybridMultilevel"/>
    <w:lvl w:ilvl="0">
      <w:lvlJc w:val="left"/>
      <w:lvlText w:val="(%1)"/>
      <w:numFmt w:val="lowerLetter"/>
      <w:start w:val="2"/>
    </w:lvl>
  </w:abstractNum>
  <w:abstractNum w:abstractNumId="337">
    <w:nsid w:val="3A6F0E78"/>
    <w:multiLevelType w:val="hybridMultilevel"/>
    <w:lvl w:ilvl="0">
      <w:lvlJc w:val="left"/>
      <w:lvlText w:val="(%1)"/>
      <w:numFmt w:val="lowerLetter"/>
      <w:start w:val="4"/>
    </w:lvl>
  </w:abstractNum>
  <w:abstractNum w:abstractNumId="338">
    <w:nsid w:val="379A5B56"/>
    <w:multiLevelType w:val="hybridMultilevel"/>
    <w:lvl w:ilvl="0">
      <w:lvlJc w:val="left"/>
      <w:lvlText w:val="(%1)"/>
      <w:numFmt w:val="lowerLetter"/>
      <w:start w:val="1"/>
    </w:lvl>
  </w:abstractNum>
  <w:abstractNum w:abstractNumId="339">
    <w:nsid w:val="53B735D5"/>
    <w:multiLevelType w:val="hybridMultilevel"/>
    <w:lvl w:ilvl="0">
      <w:lvlJc w:val="left"/>
      <w:lvlText w:val="(%1)"/>
      <w:numFmt w:val="lowerLetter"/>
      <w:start w:val="2"/>
    </w:lvl>
    <w:lvl w:ilvl="1">
      <w:lvlJc w:val="left"/>
      <w:lvlText w:val="(%2)"/>
      <w:numFmt w:val="lowerLetter"/>
      <w:start w:val="9"/>
    </w:lvl>
  </w:abstractNum>
  <w:abstractNum w:abstractNumId="340">
    <w:nsid w:val="29784870"/>
    <w:multiLevelType w:val="hybridMultilevel"/>
    <w:lvl w:ilvl="0">
      <w:lvlJc w:val="left"/>
      <w:lvlText w:val="(%1)"/>
      <w:numFmt w:val="upperLetter"/>
      <w:start w:val="1"/>
    </w:lvl>
  </w:abstractNum>
  <w:abstractNum w:abstractNumId="341">
    <w:nsid w:val="4CDCED4C"/>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342">
    <w:nsid w:val="10A30D9C"/>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343">
    <w:nsid w:val="A66E486"/>
    <w:multiLevelType w:val="hybridMultilevel"/>
    <w:lvl w:ilvl="0">
      <w:lvlJc w:val="left"/>
      <w:lvlText w:val="(%1)"/>
      <w:numFmt w:val="lowerRoman"/>
      <w:start w:val="5"/>
    </w:lvl>
  </w:abstractNum>
  <w:abstractNum w:abstractNumId="344">
    <w:nsid w:val="306235EA"/>
    <w:multiLevelType w:val="hybridMultilevel"/>
    <w:lvl w:ilvl="0">
      <w:lvlJc w:val="left"/>
      <w:lvlText w:val="(%1)"/>
      <w:numFmt w:val="lowerRoman"/>
      <w:start w:val="6"/>
    </w:lvl>
  </w:abstractNum>
  <w:abstractNum w:abstractNumId="345">
    <w:nsid w:val="1187C70F"/>
    <w:multiLevelType w:val="hybridMultilevel"/>
    <w:lvl w:ilvl="0">
      <w:lvlJc w:val="left"/>
      <w:lvlText w:val="(%1)"/>
      <w:numFmt w:val="lowerLetter"/>
      <w:start w:val="3"/>
    </w:lvl>
  </w:abstractNum>
  <w:abstractNum w:abstractNumId="346">
    <w:nsid w:val="5476DE98"/>
    <w:multiLevelType w:val="hybridMultilevel"/>
    <w:lvl w:ilvl="0">
      <w:lvlJc w:val="left"/>
      <w:lvlText w:val="(%1)"/>
      <w:numFmt w:val="lowerLetter"/>
      <w:start w:val="4"/>
    </w:lvl>
  </w:abstractNum>
  <w:abstractNum w:abstractNumId="347">
    <w:nsid w:val="EA697F2"/>
    <w:multiLevelType w:val="hybridMultilevel"/>
    <w:lvl w:ilvl="0">
      <w:lvlJc w:val="left"/>
      <w:lvlText w:val="(%1)"/>
      <w:numFmt w:val="lowerLetter"/>
      <w:start w:val="5"/>
    </w:lvl>
  </w:abstractNum>
  <w:abstractNum w:abstractNumId="348">
    <w:nsid w:val="70BA39EB"/>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lvl w:ilvl="3">
      <w:lvlJc w:val="left"/>
      <w:lvlText w:val="%4"/>
      <w:numFmt w:val="lowerRoman"/>
      <w:start w:val="1"/>
    </w:lvl>
  </w:abstractNum>
  <w:abstractNum w:abstractNumId="349">
    <w:nsid w:val="4A8DB59C"/>
    <w:multiLevelType w:val="hybridMultilevel"/>
    <w:lvl w:ilvl="0">
      <w:lvlJc w:val="left"/>
      <w:lvlText w:val="(%1)"/>
      <w:numFmt w:val="lowerRoman"/>
      <w:start w:val="1"/>
    </w:lvl>
    <w:lvl w:ilvl="1">
      <w:lvlJc w:val="left"/>
      <w:lvlText w:val="(%2)"/>
      <w:numFmt w:val="lowerLetter"/>
      <w:start w:val="9"/>
    </w:lvl>
    <w:lvl w:ilvl="2">
      <w:lvlJc w:val="left"/>
      <w:lvlText w:val="(%3)"/>
      <w:numFmt w:val="lowerRoman"/>
      <w:start w:val="1"/>
    </w:lvl>
    <w:lvl w:ilvl="3">
      <w:lvlJc w:val="left"/>
      <w:lvlText w:val="(%4)"/>
      <w:numFmt w:val="lowerRoman"/>
      <w:start w:val="1"/>
    </w:lvl>
  </w:abstractNum>
  <w:abstractNum w:abstractNumId="350">
    <w:nsid w:val="1AFD9053"/>
    <w:multiLevelType w:val="hybridMultilevel"/>
    <w:lvl w:ilvl="0">
      <w:lvlJc w:val="left"/>
      <w:lvlText w:val="(%1)"/>
      <w:numFmt w:val="lowerRoman"/>
      <w:start w:val="4"/>
    </w:lvl>
  </w:abstractNum>
  <w:abstractNum w:abstractNumId="351">
    <w:nsid w:val="558BB10D"/>
    <w:multiLevelType w:val="hybridMultilevel"/>
    <w:lvl w:ilvl="0">
      <w:lvlJc w:val="left"/>
      <w:lvlText w:val="(%1)"/>
      <w:numFmt w:val="lowerLetter"/>
      <w:start w:val="2"/>
    </w:lvl>
  </w:abstractNum>
  <w:abstractNum w:abstractNumId="352">
    <w:nsid w:val="43B27FA7"/>
    <w:multiLevelType w:val="hybridMultilevel"/>
    <w:lvl w:ilvl="0">
      <w:lvlJc w:val="left"/>
      <w:lvlText w:val="(%1)"/>
      <w:numFmt w:val="lowerLetter"/>
      <w:start w:val="1"/>
    </w:lvl>
    <w:lvl w:ilvl="1">
      <w:lvlJc w:val="left"/>
      <w:lvlText w:val="(%2)"/>
      <w:numFmt w:val="lowerLetter"/>
      <w:start w:val="2"/>
    </w:lvl>
  </w:abstractNum>
  <w:abstractNum w:abstractNumId="353">
    <w:nsid w:val="27FADEFA"/>
    <w:multiLevelType w:val="hybridMultilevel"/>
    <w:lvl w:ilvl="0">
      <w:lvlJc w:val="left"/>
      <w:lvlText w:val="(%1)"/>
      <w:numFmt w:val="lowerLetter"/>
      <w:start w:val="3"/>
    </w:lvl>
  </w:abstractNum>
  <w:abstractNum w:abstractNumId="354">
    <w:nsid w:val="78BB805A"/>
    <w:multiLevelType w:val="hybridMultilevel"/>
    <w:lvl w:ilvl="0">
      <w:lvlJc w:val="left"/>
      <w:lvlText w:val="(%1)"/>
      <w:numFmt w:val="lowerLetter"/>
      <w:start w:val="1"/>
    </w:lvl>
  </w:abstractNum>
  <w:abstractNum w:abstractNumId="355">
    <w:nsid w:val="62548FD8"/>
    <w:multiLevelType w:val="hybridMultilevel"/>
    <w:lvl w:ilvl="0">
      <w:lvlJc w:val="left"/>
      <w:lvlText w:val="(%1)"/>
      <w:numFmt w:val="lowerRoman"/>
      <w:start w:val="1"/>
    </w:lvl>
  </w:abstractNum>
  <w:abstractNum w:abstractNumId="356">
    <w:nsid w:val="FA085B0"/>
    <w:multiLevelType w:val="hybridMultilevel"/>
    <w:lvl w:ilvl="0">
      <w:lvlJc w:val="left"/>
      <w:lvlText w:val="(%1)"/>
      <w:numFmt w:val="lowerRoman"/>
      <w:start w:val="4"/>
    </w:lvl>
  </w:abstractNum>
  <w:abstractNum w:abstractNumId="357">
    <w:nsid w:val="4E5DCB5"/>
    <w:multiLevelType w:val="hybridMultilevel"/>
    <w:lvl w:ilvl="0">
      <w:lvlJc w:val="left"/>
      <w:lvlText w:val="(%1)"/>
      <w:numFmt w:val="lowerLetter"/>
      <w:start w:val="1"/>
    </w:lvl>
  </w:abstractNum>
  <w:abstractNum w:abstractNumId="358">
    <w:nsid w:val="41E96BDB"/>
    <w:multiLevelType w:val="hybridMultilevel"/>
    <w:lvl w:ilvl="0">
      <w:lvlJc w:val="left"/>
      <w:lvlText w:val="(%1)"/>
      <w:numFmt w:val="lowerRoman"/>
      <w:start w:val="2"/>
    </w:lvl>
  </w:abstractNum>
  <w:abstractNum w:abstractNumId="359">
    <w:nsid w:val="331C4250"/>
    <w:multiLevelType w:val="hybridMultilevel"/>
    <w:lvl w:ilvl="0">
      <w:lvlJc w:val="left"/>
      <w:lvlText w:val="(%1)"/>
      <w:numFmt w:val="lowerRoman"/>
      <w:start w:val="6"/>
    </w:lvl>
  </w:abstractNum>
  <w:abstractNum w:abstractNumId="360">
    <w:nsid w:val="1B1493C2"/>
    <w:multiLevelType w:val="hybridMultilevel"/>
    <w:lvl w:ilvl="0">
      <w:lvlJc w:val="left"/>
      <w:lvlText w:val="(%1)"/>
      <w:numFmt w:val="lowerLetter"/>
      <w:start w:val="1"/>
    </w:lvl>
  </w:abstractNum>
  <w:abstractNum w:abstractNumId="361">
    <w:nsid w:val="39F06DFD"/>
    <w:multiLevelType w:val="hybridMultilevel"/>
    <w:lvl w:ilvl="0">
      <w:lvlJc w:val="left"/>
      <w:lvlText w:val="(%1)"/>
      <w:numFmt w:val="lowerLetter"/>
      <w:start w:val="1"/>
    </w:lvl>
  </w:abstractNum>
  <w:abstractNum w:abstractNumId="362">
    <w:nsid w:val="14802F5D"/>
    <w:multiLevelType w:val="hybridMultilevel"/>
    <w:lvl w:ilvl="0">
      <w:lvlJc w:val="left"/>
      <w:lvlText w:val="(%1)"/>
      <w:numFmt w:val="lowerLetter"/>
      <w:start w:val="4"/>
    </w:lvl>
  </w:abstractNum>
  <w:abstractNum w:abstractNumId="363">
    <w:nsid w:val="2774A209"/>
    <w:multiLevelType w:val="hybridMultilevel"/>
    <w:lvl w:ilvl="0">
      <w:lvlJc w:val="left"/>
      <w:lvlText w:val="(%1)"/>
      <w:numFmt w:val="lowerLetter"/>
      <w:start w:val="6"/>
    </w:lvl>
  </w:abstractNum>
  <w:abstractNum w:abstractNumId="364">
    <w:nsid w:val="3785655A"/>
    <w:multiLevelType w:val="hybridMultilevel"/>
    <w:lvl w:ilvl="0">
      <w:lvlJc w:val="left"/>
      <w:lvlText w:val="(%1)"/>
      <w:numFmt w:val="lowerLetter"/>
      <w:start w:val="1"/>
    </w:lvl>
  </w:abstractNum>
  <w:abstractNum w:abstractNumId="365">
    <w:nsid w:val="B2172A"/>
    <w:multiLevelType w:val="hybridMultilevel"/>
    <w:lvl w:ilvl="0">
      <w:lvlJc w:val="left"/>
      <w:lvlText w:val="(%1)"/>
      <w:numFmt w:val="lowerRoman"/>
      <w:start w:val="1"/>
    </w:lvl>
  </w:abstractNum>
  <w:abstractNum w:abstractNumId="366">
    <w:nsid w:val="532C34A5"/>
    <w:multiLevelType w:val="hybridMultilevel"/>
    <w:lvl w:ilvl="0">
      <w:lvlJc w:val="left"/>
      <w:lvlText w:val="(%1)"/>
      <w:numFmt w:val="lowerRoman"/>
      <w:start w:val="2"/>
    </w:lvl>
  </w:abstractNum>
  <w:abstractNum w:abstractNumId="367">
    <w:nsid w:val="102809E2"/>
    <w:multiLevelType w:val="hybridMultilevel"/>
    <w:lvl w:ilvl="0">
      <w:lvlJc w:val="left"/>
      <w:lvlText w:val="(%1)"/>
      <w:numFmt w:val="lowerLetter"/>
      <w:start w:val="2"/>
    </w:lvl>
  </w:abstractNum>
  <w:abstractNum w:abstractNumId="368">
    <w:nsid w:val="3B2125A3"/>
    <w:multiLevelType w:val="hybridMultilevel"/>
    <w:lvl w:ilvl="0">
      <w:lvlJc w:val="left"/>
      <w:lvlText w:val="(%1)"/>
      <w:numFmt w:val="lowerLetter"/>
      <w:start w:val="3"/>
    </w:lvl>
  </w:abstractNum>
  <w:abstractNum w:abstractNumId="369">
    <w:nsid w:val="AC68FFB"/>
    <w:multiLevelType w:val="hybridMultilevel"/>
    <w:lvl w:ilvl="0">
      <w:lvlJc w:val="left"/>
      <w:lvlText w:val="(%1)"/>
      <w:numFmt w:val="lowerLetter"/>
      <w:start w:val="1"/>
    </w:lvl>
  </w:abstractNum>
  <w:abstractNum w:abstractNumId="370">
    <w:nsid w:val="63DF3FB7"/>
    <w:multiLevelType w:val="hybridMultilevel"/>
    <w:lvl w:ilvl="0">
      <w:lvlJc w:val="left"/>
      <w:lvlText w:val="(%1)"/>
      <w:numFmt w:val="lowerRoman"/>
      <w:start w:val="1"/>
    </w:lvl>
  </w:abstractNum>
  <w:abstractNum w:abstractNumId="371">
    <w:nsid w:val="64996E13"/>
    <w:multiLevelType w:val="hybridMultilevel"/>
    <w:lvl w:ilvl="0">
      <w:lvlJc w:val="left"/>
      <w:lvlText w:val="(%1)"/>
      <w:numFmt w:val="lowerRoman"/>
      <w:start w:val="8"/>
    </w:lvl>
  </w:abstractNum>
  <w:abstractNum w:abstractNumId="372">
    <w:nsid w:val="57A37D47"/>
    <w:multiLevelType w:val="hybridMultilevel"/>
    <w:lvl w:ilvl="0">
      <w:lvlJc w:val="left"/>
      <w:lvlText w:val="(%1)"/>
      <w:numFmt w:val="lowerRoman"/>
      <w:start w:val="13"/>
    </w:lvl>
  </w:abstractNum>
  <w:abstractNum w:abstractNumId="373">
    <w:nsid w:val="74824D54"/>
    <w:multiLevelType w:val="hybridMultilevel"/>
    <w:lvl w:ilvl="0">
      <w:lvlJc w:val="left"/>
      <w:lvlText w:val="(%1)"/>
      <w:numFmt w:val="lowerLetter"/>
      <w:start w:val="2"/>
    </w:lvl>
  </w:abstractNum>
  <w:abstractNum w:abstractNumId="374">
    <w:nsid w:val="6F00529A"/>
    <w:multiLevelType w:val="hybridMultilevel"/>
    <w:lvl w:ilvl="0">
      <w:lvlJc w:val="left"/>
      <w:lvlText w:val="(%1)"/>
      <w:numFmt w:val="upperLetter"/>
      <w:start w:val="2"/>
    </w:lvl>
  </w:abstractNum>
  <w:abstractNum w:abstractNumId="375">
    <w:nsid w:val="805B331"/>
    <w:multiLevelType w:val="hybridMultilevel"/>
    <w:lvl w:ilvl="0">
      <w:lvlJc w:val="left"/>
      <w:lvlText w:val="(%1)"/>
      <w:numFmt w:val="lowerLetter"/>
      <w:start w:val="1"/>
    </w:lvl>
  </w:abstractNum>
  <w:abstractNum w:abstractNumId="376">
    <w:nsid w:val="60A1463"/>
    <w:multiLevelType w:val="hybridMultilevel"/>
    <w:lvl w:ilvl="0">
      <w:lvlJc w:val="left"/>
      <w:lvlText w:val="%1"/>
      <w:numFmt w:val="lowerLetter"/>
      <w:start w:val="1"/>
    </w:lvl>
    <w:lvl w:ilvl="1">
      <w:lvlJc w:val="left"/>
      <w:lvlText w:val="(%2)"/>
      <w:numFmt w:val="lowerLetter"/>
      <w:start w:val="4"/>
    </w:lvl>
  </w:abstractNum>
  <w:abstractNum w:abstractNumId="377">
    <w:nsid w:val="43773132"/>
    <w:multiLevelType w:val="hybridMultilevel"/>
    <w:lvl w:ilvl="0">
      <w:lvlJc w:val="left"/>
      <w:lvlText w:val="(%1)"/>
      <w:numFmt w:val="lowerLetter"/>
      <w:start w:val="61"/>
    </w:lvl>
    <w:lvl w:ilvl="1">
      <w:lvlJc w:val="left"/>
      <w:lvlText w:val="%2"/>
      <w:numFmt w:val="lowerLetter"/>
      <w:start w:val="1"/>
    </w:lvl>
  </w:abstractNum>
  <w:abstractNum w:abstractNumId="378">
    <w:nsid w:val="16AC4B23"/>
    <w:multiLevelType w:val="hybridMultilevel"/>
    <w:lvl w:ilvl="0">
      <w:lvlJc w:val="left"/>
      <w:lvlText w:val="(%1)"/>
      <w:numFmt w:val="lowerLetter"/>
      <w:start w:val="1"/>
    </w:lvl>
  </w:abstractNum>
  <w:abstractNum w:abstractNumId="379">
    <w:nsid w:val="76C44E4E"/>
    <w:multiLevelType w:val="hybridMultilevel"/>
    <w:lvl w:ilvl="0">
      <w:lvlJc w:val="left"/>
      <w:lvlText w:val="(%1)"/>
      <w:numFmt w:val="lowerLetter"/>
      <w:start w:val="4"/>
    </w:lvl>
  </w:abstractNum>
  <w:abstractNum w:abstractNumId="380">
    <w:nsid w:val="E04E6CE"/>
    <w:multiLevelType w:val="hybridMultilevel"/>
    <w:lvl w:ilvl="0">
      <w:lvlJc w:val="left"/>
      <w:lvlText w:val="(%1)"/>
      <w:numFmt w:val="lowerRoman"/>
      <w:start w:val="1"/>
    </w:lvl>
  </w:abstractNum>
  <w:abstractNum w:abstractNumId="381">
    <w:nsid w:val="31A9DB76"/>
    <w:multiLevelType w:val="hybridMultilevel"/>
    <w:lvl w:ilvl="0">
      <w:lvlJc w:val="left"/>
      <w:lvlText w:val="(%1)"/>
      <w:numFmt w:val="lowerRoman"/>
      <w:start w:val="2"/>
    </w:lvl>
  </w:abstractNum>
  <w:abstractNum w:abstractNumId="382">
    <w:nsid w:val="4C4FFF5B"/>
    <w:multiLevelType w:val="hybridMultilevel"/>
    <w:lvl w:ilvl="0">
      <w:lvlJc w:val="left"/>
      <w:lvlText w:val="(%1)"/>
      <w:numFmt w:val="lowerRoman"/>
      <w:start w:val="4"/>
    </w:lvl>
  </w:abstractNum>
  <w:abstractNum w:abstractNumId="383">
    <w:nsid w:val="51B76675"/>
    <w:multiLevelType w:val="hybridMultilevel"/>
    <w:lvl w:ilvl="0">
      <w:lvlJc w:val="left"/>
      <w:lvlText w:val="(%1)"/>
      <w:numFmt w:val="lowerLetter"/>
      <w:start w:val="7"/>
    </w:lvl>
  </w:abstractNum>
  <w:abstractNum w:abstractNumId="384">
    <w:nsid w:val="59A4BA71"/>
    <w:multiLevelType w:val="hybridMultilevel"/>
    <w:lvl w:ilvl="0">
      <w:lvlJc w:val="left"/>
      <w:lvlText w:val="(%1)"/>
      <w:numFmt w:val="lowerLetter"/>
      <w:start w:val="8"/>
    </w:lvl>
  </w:abstractNum>
  <w:abstractNum w:abstractNumId="385">
    <w:nsid w:val="450B7FB6"/>
    <w:multiLevelType w:val="hybridMultilevel"/>
    <w:lvl w:ilvl="0">
      <w:lvlJc w:val="left"/>
      <w:lvlText w:val="(%1)"/>
      <w:numFmt w:val="lowerLetter"/>
      <w:start w:val="1"/>
    </w:lvl>
  </w:abstractNum>
  <w:abstractNum w:abstractNumId="386">
    <w:nsid w:val="340BF64D"/>
    <w:multiLevelType w:val="hybridMultilevel"/>
    <w:lvl w:ilvl="0">
      <w:lvlJc w:val="left"/>
      <w:lvlText w:val="(%1)"/>
      <w:numFmt w:val="lowerLetter"/>
      <w:start w:val="1"/>
    </w:lvl>
  </w:abstractNum>
  <w:abstractNum w:abstractNumId="387">
    <w:nsid w:val="69454021"/>
    <w:multiLevelType w:val="hybridMultilevel"/>
    <w:lvl w:ilvl="0">
      <w:lvlJc w:val="left"/>
      <w:lvlText w:val="(%1)"/>
      <w:numFmt w:val="lowerLetter"/>
      <w:start w:val="1"/>
    </w:lvl>
  </w:abstractNum>
  <w:abstractNum w:abstractNumId="388">
    <w:nsid w:val="49F15C6B"/>
    <w:multiLevelType w:val="hybridMultilevel"/>
    <w:lvl w:ilvl="0">
      <w:lvlJc w:val="left"/>
      <w:lvlText w:val="(%1)"/>
      <w:numFmt w:val="lowerLetter"/>
      <w:start w:val="1"/>
    </w:lvl>
  </w:abstractNum>
  <w:abstractNum w:abstractNumId="389">
    <w:nsid w:val="75F56228"/>
    <w:multiLevelType w:val="hybridMultilevel"/>
    <w:lvl w:ilvl="0">
      <w:lvlJc w:val="left"/>
      <w:lvlText w:val="(%1)"/>
      <w:numFmt w:val="lowerLetter"/>
      <w:start w:val="1"/>
    </w:lvl>
  </w:abstractNum>
  <w:abstractNum w:abstractNumId="390">
    <w:nsid w:val="1C618271"/>
    <w:multiLevelType w:val="hybridMultilevel"/>
    <w:lvl w:ilvl="0">
      <w:lvlJc w:val="left"/>
      <w:lvlText w:val="%1"/>
      <w:numFmt w:val="lowerLetter"/>
      <w:start w:val="1"/>
    </w:lvl>
    <w:lvl w:ilvl="1">
      <w:lvlJc w:val="left"/>
      <w:lvlText w:val="(%2)"/>
      <w:numFmt w:val="lowerLetter"/>
      <w:start w:val="3"/>
    </w:lvl>
  </w:abstractNum>
  <w:abstractNum w:abstractNumId="391">
    <w:nsid w:val="6505F02E"/>
    <w:multiLevelType w:val="hybridMultilevel"/>
    <w:lvl w:ilvl="0">
      <w:lvlJc w:val="left"/>
      <w:lvlText w:val="(%1)"/>
      <w:numFmt w:val="lowerLetter"/>
      <w:start w:val="35"/>
    </w:lvl>
    <w:lvl w:ilvl="1">
      <w:lvlJc w:val="left"/>
      <w:lvlText w:val="%2"/>
      <w:numFmt w:val="lowerLetter"/>
      <w:start w:val="1"/>
    </w:lvl>
  </w:abstractNum>
  <w:abstractNum w:abstractNumId="392">
    <w:nsid w:val="2FE5D025"/>
    <w:multiLevelType w:val="hybridMultilevel"/>
    <w:lvl w:ilvl="0">
      <w:lvlJc w:val="left"/>
      <w:lvlText w:val="(%1)"/>
      <w:numFmt w:val="lowerLetter"/>
      <w:start w:val="1"/>
    </w:lvl>
  </w:abstractNum>
  <w:abstractNum w:abstractNumId="393">
    <w:nsid w:val="30E1B1CF"/>
    <w:multiLevelType w:val="hybridMultilevel"/>
    <w:lvl w:ilvl="0">
      <w:lvlJc w:val="left"/>
      <w:lvlText w:val="%1."/>
      <w:numFmt w:val="decimal"/>
      <w:start w:val="1"/>
    </w:lvl>
  </w:abstractNum>
  <w:abstractNum w:abstractNumId="394">
    <w:nsid w:val="C7A9237"/>
    <w:multiLevelType w:val="hybridMultilevel"/>
    <w:lvl w:ilvl="0">
      <w:lvlJc w:val="left"/>
      <w:lvlText w:val="(%1)"/>
      <w:numFmt w:val="lowerLetter"/>
      <w:start w:val="1"/>
    </w:lvl>
  </w:abstractNum>
  <w:abstractNum w:abstractNumId="395">
    <w:nsid w:val="676B3580"/>
    <w:multiLevelType w:val="hybridMultilevel"/>
    <w:lvl w:ilvl="0">
      <w:lvlJc w:val="left"/>
      <w:lvlText w:val="(%1)"/>
      <w:numFmt w:val="lowerLetter"/>
      <w:start w:val="2"/>
    </w:lvl>
  </w:abstractNum>
  <w:abstractNum w:abstractNumId="396">
    <w:nsid w:val="3193C8F9"/>
    <w:multiLevelType w:val="hybridMultilevel"/>
    <w:lvl w:ilvl="0">
      <w:lvlJc w:val="left"/>
      <w:lvlText w:val="%1."/>
      <w:numFmt w:val="decimal"/>
      <w:start w:val="2"/>
    </w:lvl>
  </w:abstractNum>
  <w:abstractNum w:abstractNumId="397">
    <w:nsid w:val="5FA6C6DC"/>
    <w:multiLevelType w:val="hybridMultilevel"/>
    <w:lvl w:ilvl="0">
      <w:lvlJc w:val="left"/>
      <w:lvlText w:val="(%1)"/>
      <w:numFmt w:val="lowerLetter"/>
      <w:start w:val="1"/>
    </w:lvl>
  </w:abstractNum>
  <w:abstractNum w:abstractNumId="398">
    <w:nsid w:val="77933F62"/>
    <w:multiLevelType w:val="hybridMultilevel"/>
    <w:lvl w:ilvl="0">
      <w:lvlJc w:val="left"/>
      <w:lvlText w:val="%1."/>
      <w:numFmt w:val="decimal"/>
      <w:start w:val="3"/>
    </w:lvl>
  </w:abstractNum>
  <w:abstractNum w:abstractNumId="399">
    <w:nsid w:val="6CB4EE9C"/>
    <w:multiLevelType w:val="hybridMultilevel"/>
    <w:lvl w:ilvl="0">
      <w:lvlJc w:val="left"/>
      <w:lvlText w:val="(%1)"/>
      <w:numFmt w:val="lowerLetter"/>
      <w:start w:val="6"/>
    </w:lvl>
  </w:abstractNum>
  <w:abstractNum w:abstractNumId="400">
    <w:nsid w:val="6A6D56D7"/>
    <w:multiLevelType w:val="hybridMultilevel"/>
    <w:lvl w:ilvl="0">
      <w:lvlJc w:val="left"/>
      <w:lvlText w:val="%1."/>
      <w:numFmt w:val="decimal"/>
      <w:start w:val="4"/>
    </w:lvl>
  </w:abstractNum>
  <w:abstractNum w:abstractNumId="401">
    <w:nsid w:val="5B727F19"/>
    <w:multiLevelType w:val="hybridMultilevel"/>
    <w:lvl w:ilvl="0">
      <w:lvlJc w:val="left"/>
      <w:lvlText w:val="4.%1."/>
      <w:numFmt w:val="decimal"/>
      <w:start w:val="1"/>
    </w:lvl>
  </w:abstractNum>
  <w:abstractNum w:abstractNumId="402">
    <w:nsid w:val="514E5CB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3">
    <w:nsid w:val="4210D41E"/>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4">
    <w:nsid w:val="4FF4CC6D"/>
    <w:multiLevelType w:val="hybridMultilevel"/>
    <w:lvl w:ilvl="0">
      <w:lvlJc w:val="left"/>
      <w:lvlText w:val="(%1)"/>
      <w:numFmt w:val="lowerLetter"/>
      <w:start w:val="5"/>
    </w:lvl>
  </w:abstractNum>
  <w:abstractNum w:abstractNumId="405">
    <w:nsid w:val="404EAF4A"/>
    <w:multiLevelType w:val="hybridMultilevel"/>
    <w:lvl w:ilvl="0">
      <w:lvlJc w:val="left"/>
      <w:lvlText w:val="%1."/>
      <w:numFmt w:val="decimal"/>
      <w:start w:val="5"/>
    </w:lvl>
  </w:abstractNum>
  <w:abstractNum w:abstractNumId="406">
    <w:nsid w:val="4A16874F"/>
    <w:multiLevelType w:val="hybridMultilevel"/>
    <w:lvl w:ilvl="0">
      <w:lvlJc w:val="left"/>
      <w:lvlText w:val="%1"/>
      <w:numFmt w:val="lowerLetter"/>
      <w:start w:val="1"/>
    </w:lvl>
    <w:lvl w:ilvl="1">
      <w:lvlJc w:val="left"/>
      <w:lvlText w:val="(%2)"/>
      <w:numFmt w:val="lowerLetter"/>
      <w:start w:val="1"/>
    </w:lvl>
  </w:abstractNum>
  <w:abstractNum w:abstractNumId="407">
    <w:nsid w:val="55FEE0D1"/>
    <w:multiLevelType w:val="hybridMultilevel"/>
    <w:lvl w:ilvl="0">
      <w:lvlJc w:val="left"/>
      <w:lvlText w:val="(%1)"/>
      <w:numFmt w:val="lowerLetter"/>
      <w:start w:val="35"/>
    </w:lvl>
    <w:lvl w:ilvl="1">
      <w:lvlJc w:val="left"/>
      <w:lvlText w:val="%2"/>
      <w:numFmt w:val="lowerLetter"/>
      <w:start w:val="1"/>
    </w:lvl>
  </w:abstractNum>
  <w:abstractNum w:abstractNumId="408">
    <w:nsid w:val="3C5E07C"/>
    <w:multiLevelType w:val="hybridMultilevel"/>
    <w:lvl w:ilvl="0">
      <w:lvlJc w:val="left"/>
      <w:lvlText w:val="(%1)"/>
      <w:numFmt w:val="lowerLetter"/>
      <w:start w:val="9"/>
    </w:lvl>
    <w:lvl w:ilvl="1">
      <w:lvlJc w:val="left"/>
      <w:lvlText w:val="(%2)"/>
      <w:numFmt w:val="lowerLetter"/>
      <w:start w:val="2"/>
    </w:lvl>
  </w:abstractNum>
  <w:abstractNum w:abstractNumId="409">
    <w:nsid w:val="60C2D27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10">
    <w:nsid w:val="4CC32F1F"/>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411">
    <w:nsid w:val="11CAC74A"/>
    <w:multiLevelType w:val="hybridMultilevel"/>
    <w:lvl w:ilvl="0">
      <w:lvlJc w:val="left"/>
      <w:lvlText w:val="(%1)"/>
      <w:numFmt w:val="lowerLetter"/>
      <w:start w:val="6"/>
    </w:lvl>
  </w:abstractNum>
  <w:abstractNum w:abstractNumId="412">
    <w:nsid w:val="126CADE9"/>
    <w:multiLevelType w:val="hybridMultilevel"/>
    <w:lvl w:ilvl="0">
      <w:lvlJc w:val="left"/>
      <w:lvlText w:val="(%1)"/>
      <w:numFmt w:val="lowerLetter"/>
      <w:start w:val="1"/>
    </w:lvl>
  </w:abstractNum>
  <w:abstractNum w:abstractNumId="413">
    <w:nsid w:val="19132E7B"/>
    <w:multiLevelType w:val="hybridMultilevel"/>
    <w:lvl w:ilvl="0">
      <w:lvlJc w:val="left"/>
      <w:lvlText w:val="(%1)"/>
      <w:numFmt w:val="lowerLetter"/>
      <w:start w:val="2"/>
    </w:lvl>
  </w:abstractNum>
  <w:abstractNum w:abstractNumId="414">
    <w:nsid w:val="63822DC0"/>
    <w:multiLevelType w:val="hybridMultilevel"/>
    <w:lvl w:ilvl="0">
      <w:lvlJc w:val="left"/>
      <w:lvlText w:val="(%1)"/>
      <w:numFmt w:val="lowerLetter"/>
      <w:start w:val="3"/>
    </w:lvl>
  </w:abstractNum>
  <w:abstractNum w:abstractNumId="415">
    <w:nsid w:val="6C11685A"/>
    <w:multiLevelType w:val="hybridMultilevel"/>
    <w:lvl w:ilvl="0">
      <w:lvlJc w:val="left"/>
      <w:lvlText w:val="(%1)"/>
      <w:numFmt w:val="lowerLetter"/>
      <w:start w:val="1"/>
    </w:lvl>
  </w:abstractNum>
  <w:abstractNum w:abstractNumId="416">
    <w:nsid w:val="5E1EAE31"/>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417">
    <w:nsid w:val="178E240D"/>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418">
    <w:nsid w:val="5556A87B"/>
    <w:multiLevelType w:val="hybridMultilevel"/>
    <w:lvl w:ilvl="0">
      <w:lvlJc w:val="left"/>
      <w:lvlText w:val="(%1)"/>
      <w:numFmt w:val="lowerLetter"/>
      <w:start w:val="7"/>
    </w:lvl>
  </w:abstractNum>
  <w:abstractNum w:abstractNumId="419">
    <w:nsid w:val="28100A9C"/>
    <w:multiLevelType w:val="hybridMultilevel"/>
    <w:lvl w:ilvl="0">
      <w:lvlJc w:val="left"/>
      <w:lvlText w:val="%1"/>
      <w:numFmt w:val="lowerLetter"/>
      <w:start w:val="1"/>
    </w:lvl>
    <w:lvl w:ilvl="1">
      <w:lvlJc w:val="left"/>
      <w:lvlText w:val="(%2)"/>
      <w:numFmt w:val="lowerLetter"/>
      <w:start w:val="8"/>
    </w:lvl>
  </w:abstractNum>
  <w:abstractNum w:abstractNumId="420">
    <w:nsid w:val="D838636"/>
    <w:multiLevelType w:val="hybridMultilevel"/>
    <w:lvl w:ilvl="0">
      <w:lvlJc w:val="left"/>
      <w:lvlText w:val="(%1)"/>
      <w:numFmt w:val="lowerLetter"/>
      <w:start w:val="35"/>
    </w:lvl>
    <w:lvl w:ilvl="1">
      <w:lvlJc w:val="left"/>
      <w:lvlText w:val="(%2)"/>
      <w:numFmt w:val="lowerLetter"/>
      <w:start w:val="9"/>
    </w:lvl>
  </w:abstractNum>
  <w:abstractNum w:abstractNumId="421">
    <w:nsid w:val="71B82AED"/>
    <w:multiLevelType w:val="hybridMultilevel"/>
    <w:lvl w:ilvl="0">
      <w:lvlJc w:val="left"/>
      <w:lvlText w:val="(%1)"/>
      <w:numFmt w:val="lowerLetter"/>
      <w:start w:val="22"/>
    </w:lvl>
    <w:lvl w:ilvl="1">
      <w:lvlJc w:val="left"/>
      <w:lvlText w:val="(%2)"/>
      <w:numFmt w:val="lowerLetter"/>
      <w:start w:val="12"/>
    </w:lvl>
  </w:abstractNum>
  <w:abstractNum w:abstractNumId="422">
    <w:nsid w:val="D15FACA"/>
    <w:multiLevelType w:val="hybridMultilevel"/>
    <w:lvl w:ilvl="0">
      <w:lvlJc w:val="left"/>
      <w:lvlText w:val="(%1)"/>
      <w:numFmt w:val="lowerRoman"/>
      <w:start w:val="1"/>
    </w:lvl>
  </w:abstractNum>
  <w:abstractNum w:abstractNumId="423">
    <w:nsid w:val="3D69565B"/>
    <w:multiLevelType w:val="hybridMultilevel"/>
    <w:lvl w:ilvl="0">
      <w:lvlJc w:val="left"/>
      <w:lvlText w:val="(%1)"/>
      <w:numFmt w:val="lowerRoman"/>
      <w:start w:val="2"/>
    </w:lvl>
  </w:abstractNum>
  <w:abstractNum w:abstractNumId="424">
    <w:nsid w:val="2299DCBC"/>
    <w:multiLevelType w:val="hybridMultilevel"/>
    <w:lvl w:ilvl="0">
      <w:lvlJc w:val="left"/>
      <w:lvlText w:val="(%1)"/>
      <w:numFmt w:val="lowerLetter"/>
      <w:start w:val="15"/>
    </w:lvl>
  </w:abstractNum>
  <w:abstractNum w:abstractNumId="425">
    <w:nsid w:val="19908D02"/>
    <w:multiLevelType w:val="hybridMultilevel"/>
    <w:lvl w:ilvl="0">
      <w:lvlJc w:val="left"/>
      <w:lvlText w:val="(%1)"/>
      <w:numFmt w:val="lowerLetter"/>
      <w:start w:val="1"/>
    </w:lvl>
  </w:abstractNum>
  <w:abstractNum w:abstractNumId="426">
    <w:nsid w:val="24D48BDB"/>
    <w:multiLevelType w:val="hybridMultilevel"/>
    <w:lvl w:ilvl="0">
      <w:lvlJc w:val="left"/>
      <w:lvlText w:val="(%1)"/>
      <w:numFmt w:val="lowerLetter"/>
      <w:start w:val="2"/>
    </w:lvl>
  </w:abstractNum>
  <w:abstractNum w:abstractNumId="427">
    <w:nsid w:val="542DA5B5"/>
    <w:multiLevelType w:val="hybridMultilevel"/>
    <w:lvl w:ilvl="0">
      <w:lvlJc w:val="left"/>
      <w:lvlText w:val="(%1)"/>
      <w:numFmt w:val="lowerLetter"/>
      <w:start w:val="4"/>
    </w:lvl>
  </w:abstractNum>
  <w:abstractNum w:abstractNumId="428">
    <w:nsid w:val="793753DE"/>
    <w:multiLevelType w:val="hybridMultilevel"/>
    <w:lvl w:ilvl="0">
      <w:lvlJc w:val="left"/>
      <w:lvlText w:val="%1."/>
      <w:numFmt w:val="decimal"/>
      <w:start w:val="6"/>
    </w:lvl>
  </w:abstractNum>
  <w:abstractNum w:abstractNumId="429">
    <w:nsid w:val="1C67CB3D"/>
    <w:multiLevelType w:val="hybridMultilevel"/>
    <w:lvl w:ilvl="0">
      <w:lvlJc w:val="left"/>
      <w:lvlText w:val="%1."/>
      <w:numFmt w:val="decimal"/>
      <w:start w:val="9"/>
    </w:lvl>
  </w:abstractNum>
  <w:abstractNum w:abstractNumId="430">
    <w:nsid w:val="40E29452"/>
    <w:multiLevelType w:val="hybridMultilevel"/>
    <w:lvl w:ilvl="0">
      <w:lvlJc w:val="left"/>
      <w:lvlText w:val="%1."/>
      <w:numFmt w:val="decimal"/>
      <w:start w:val="11"/>
    </w:lvl>
  </w:abstractNum>
  <w:abstractNum w:abstractNumId="431">
    <w:nsid w:val="63A4AAB6"/>
    <w:multiLevelType w:val="hybridMultilevel"/>
    <w:lvl w:ilvl="0">
      <w:lvlJc w:val="left"/>
      <w:lvlText w:val="(%1)"/>
      <w:numFmt w:val="lowerLetter"/>
      <w:start w:val="1"/>
    </w:lvl>
  </w:abstractNum>
  <w:abstractNum w:abstractNumId="432">
    <w:nsid w:val="77DA4A57"/>
    <w:multiLevelType w:val="hybridMultilevel"/>
    <w:lvl w:ilvl="0">
      <w:lvlJc w:val="left"/>
      <w:lvlText w:val="(%1)"/>
      <w:numFmt w:val="lowerLetter"/>
      <w:start w:val="2"/>
    </w:lvl>
  </w:abstractNum>
  <w:abstractNum w:abstractNumId="433">
    <w:nsid w:val="1230F102"/>
    <w:multiLevelType w:val="hybridMultilevel"/>
    <w:lvl w:ilvl="0">
      <w:lvlJc w:val="left"/>
      <w:lvlText w:val="%1."/>
      <w:numFmt w:val="decimal"/>
      <w:start w:val="15"/>
    </w:lvl>
  </w:abstractNum>
  <w:abstractNum w:abstractNumId="434">
    <w:nsid w:val="25B57ED4"/>
    <w:multiLevelType w:val="hybridMultilevel"/>
    <w:lvl w:ilvl="0">
      <w:lvlJc w:val="left"/>
      <w:lvlText w:val="%1"/>
      <w:numFmt w:val="lowerLetter"/>
      <w:start w:val="1"/>
    </w:lvl>
    <w:lvl w:ilvl="1">
      <w:lvlJc w:val="left"/>
      <w:lvlText w:val="(%2)"/>
      <w:numFmt w:val="lowerLetter"/>
      <w:start w:val="1"/>
    </w:lvl>
  </w:abstractNum>
  <w:abstractNum w:abstractNumId="435">
    <w:nsid w:val="47CF16C4"/>
    <w:multiLevelType w:val="hybridMultilevel"/>
    <w:lvl w:ilvl="0">
      <w:lvlJc w:val="left"/>
      <w:lvlText w:val="(%1)"/>
      <w:numFmt w:val="lowerLetter"/>
      <w:start w:val="9"/>
    </w:lvl>
    <w:lvl w:ilvl="1">
      <w:lvlJc w:val="left"/>
      <w:lvlText w:val="%2"/>
      <w:numFmt w:val="lowerLetter"/>
      <w:start w:val="1"/>
    </w:lvl>
  </w:abstractNum>
  <w:abstractNum w:abstractNumId="436">
    <w:nsid w:val="527FA04C"/>
    <w:multiLevelType w:val="hybridMultilevel"/>
    <w:lvl w:ilvl="0">
      <w:lvlJc w:val="left"/>
      <w:lvlText w:val="%1"/>
      <w:numFmt w:val="lowerLetter"/>
      <w:start w:val="1"/>
    </w:lvl>
    <w:lvl w:ilvl="1">
      <w:lvlJc w:val="left"/>
      <w:lvlText w:val="(%2)"/>
      <w:numFmt w:val="lowerRoman"/>
      <w:start w:val="2"/>
    </w:lvl>
  </w:abstractNum>
  <w:abstractNum w:abstractNumId="437">
    <w:nsid w:val="6FCC0624"/>
    <w:multiLevelType w:val="hybridMultilevel"/>
    <w:lvl w:ilvl="0">
      <w:lvlJc w:val="left"/>
      <w:lvlText w:val="(%1)"/>
      <w:numFmt w:val="lowerLetter"/>
      <w:start w:val="2"/>
    </w:lvl>
    <w:lvl w:ilvl="1">
      <w:lvlJc w:val="left"/>
      <w:lvlText w:val="%2"/>
      <w:numFmt w:val="lowerRoman"/>
      <w:start w:val="1"/>
    </w:lvl>
  </w:abstractNum>
  <w:abstractNum w:abstractNumId="438">
    <w:nsid w:val="1DCDF795"/>
    <w:multiLevelType w:val="hybridMultilevel"/>
    <w:lvl w:ilvl="0">
      <w:lvlJc w:val="left"/>
      <w:lvlText w:val="%1"/>
      <w:numFmt w:val="lowerLetter"/>
      <w:start w:val="1"/>
    </w:lvl>
    <w:lvl w:ilvl="1">
      <w:lvlJc w:val="left"/>
      <w:lvlText w:val="(%2)"/>
      <w:numFmt w:val="lowerLetter"/>
      <w:start w:val="35"/>
    </w:lvl>
  </w:abstractNum>
  <w:abstractNum w:abstractNumId="439">
    <w:nsid w:val="564580C8"/>
    <w:multiLevelType w:val="hybridMultilevel"/>
    <w:lvl w:ilvl="0">
      <w:lvlJc w:val="left"/>
      <w:lvlText w:val="(%1)"/>
      <w:numFmt w:val="lowerLetter"/>
      <w:start w:val="3"/>
    </w:lvl>
    <w:lvl w:ilvl="1">
      <w:lvlJc w:val="left"/>
      <w:lvlText w:val="%2"/>
      <w:numFmt w:val="lowerLetter"/>
      <w:start w:val="1"/>
    </w:lvl>
  </w:abstractNum>
  <w:abstractNum w:abstractNumId="440">
    <w:nsid w:val="508ED897"/>
    <w:multiLevelType w:val="hybridMultilevel"/>
    <w:lvl w:ilvl="0">
      <w:lvlJc w:val="left"/>
      <w:lvlText w:val="(%1)"/>
      <w:numFmt w:val="lowerLetter"/>
      <w:start w:val="2"/>
    </w:lvl>
  </w:abstractNum>
  <w:abstractNum w:abstractNumId="441">
    <w:nsid w:val="6A9126B5"/>
    <w:multiLevelType w:val="hybridMultilevel"/>
    <w:lvl w:ilvl="0">
      <w:lvlJc w:val="left"/>
      <w:lvlText w:val="(%1)"/>
      <w:numFmt w:val="lowerLetter"/>
      <w:start w:val="1"/>
    </w:lvl>
  </w:abstractNum>
  <w:abstractNum w:abstractNumId="442">
    <w:nsid w:val="68104812"/>
    <w:multiLevelType w:val="hybridMultilevel"/>
    <w:lvl w:ilvl="0">
      <w:lvlJc w:val="left"/>
      <w:lvlText w:val="(%1)"/>
      <w:numFmt w:val="lowerLetter"/>
      <w:start w:val="2"/>
    </w:lvl>
  </w:abstractNum>
  <w:abstractNum w:abstractNumId="443">
    <w:nsid w:val="62FB8680"/>
    <w:multiLevelType w:val="hybridMultilevel"/>
    <w:lvl w:ilvl="0">
      <w:lvlJc w:val="left"/>
      <w:lvlText w:val="(%1)"/>
      <w:numFmt w:val="lowerRoman"/>
      <w:start w:val="1"/>
    </w:lvl>
  </w:abstractNum>
  <w:abstractNum w:abstractNumId="444">
    <w:nsid w:val="3A45530"/>
    <w:multiLevelType w:val="hybridMultilevel"/>
    <w:lvl w:ilvl="0">
      <w:lvlJc w:val="left"/>
      <w:lvlText w:val="(%1)"/>
      <w:numFmt w:val="lowerRoman"/>
      <w:start w:val="2"/>
    </w:lvl>
  </w:abstractNum>
  <w:abstractNum w:abstractNumId="445">
    <w:nsid w:val="4B9275D2"/>
    <w:multiLevelType w:val="hybridMultilevel"/>
    <w:lvl w:ilvl="0">
      <w:lvlJc w:val="left"/>
      <w:lvlText w:val="(%1)"/>
      <w:numFmt w:val="lowerRoman"/>
      <w:start w:val="6"/>
    </w:lvl>
  </w:abstractNum>
  <w:abstractNum w:abstractNumId="446">
    <w:nsid w:val="4F0CEEDB"/>
    <w:multiLevelType w:val="hybridMultilevel"/>
    <w:lvl w:ilvl="0">
      <w:lvlJc w:val="left"/>
      <w:lvlText w:val="(%1)"/>
      <w:numFmt w:val="lowerRoman"/>
      <w:start w:val="10"/>
    </w:lvl>
  </w:abstractNum>
  <w:abstractNum w:abstractNumId="447">
    <w:nsid w:val="61C30361"/>
    <w:multiLevelType w:val="hybridMultilevel"/>
    <w:lvl w:ilvl="0">
      <w:lvlJc w:val="left"/>
      <w:lvlText w:val="(%1)"/>
      <w:numFmt w:val="lowerRoman"/>
      <w:start w:val="15"/>
    </w:lvl>
  </w:abstractNum>
  <w:abstractNum w:abstractNumId="448">
    <w:nsid w:val="632099E0"/>
    <w:multiLevelType w:val="hybridMultilevel"/>
    <w:lvl w:ilvl="0">
      <w:lvlJc w:val="left"/>
      <w:lvlText w:val="%1"/>
      <w:numFmt w:val="lowerLetter"/>
      <w:start w:val="1"/>
    </w:lvl>
    <w:lvl w:ilvl="1">
      <w:lvlJc w:val="left"/>
      <w:lvlText w:val="(%2)"/>
      <w:numFmt w:val="lowerRoman"/>
      <w:start w:val="16"/>
    </w:lvl>
  </w:abstractNum>
  <w:abstractNum w:abstractNumId="449">
    <w:nsid w:val="24639756"/>
    <w:multiLevelType w:val="hybridMultilevel"/>
    <w:lvl w:ilvl="0">
      <w:lvlJc w:val="left"/>
      <w:lvlText w:val="(%1)"/>
      <w:numFmt w:val="lowerLetter"/>
      <w:start w:val="2"/>
    </w:lvl>
    <w:lvl w:ilvl="1">
      <w:lvlJc w:val="left"/>
      <w:lvlText w:val="%2"/>
      <w:numFmt w:val="lowerRoman"/>
      <w:start w:val="1"/>
    </w:lvl>
  </w:abstractNum>
  <w:abstractNum w:abstractNumId="450">
    <w:nsid w:val="9D30DFD"/>
    <w:multiLevelType w:val="hybridMultilevel"/>
    <w:lvl w:ilvl="0">
      <w:lvlJc w:val="left"/>
      <w:lvlText w:val="(%1)"/>
      <w:numFmt w:val="lowerRoman"/>
      <w:start w:val="1"/>
    </w:lvl>
  </w:abstractNum>
  <w:abstractNum w:abstractNumId="451">
    <w:nsid w:val="70A42016"/>
    <w:multiLevelType w:val="hybridMultilevel"/>
    <w:lvl w:ilvl="0">
      <w:lvlJc w:val="left"/>
      <w:lvlText w:val="(%1)"/>
      <w:numFmt w:val="lowerLetter"/>
      <w:start w:val="2"/>
    </w:lvl>
  </w:abstractNum>
  <w:abstractNum w:abstractNumId="452">
    <w:nsid w:val="161BC243"/>
    <w:multiLevelType w:val="hybridMultilevel"/>
    <w:lvl w:ilvl="0">
      <w:lvlJc w:val="left"/>
      <w:lvlText w:val="(%1)"/>
      <w:numFmt w:val="lowerLetter"/>
      <w:start w:val="1"/>
    </w:lvl>
  </w:abstractNum>
  <w:abstractNum w:abstractNumId="453">
    <w:nsid w:val="16E908C8"/>
    <w:multiLevelType w:val="hybridMultilevel"/>
    <w:lvl w:ilvl="0">
      <w:lvlJc w:val="left"/>
      <w:lvlText w:val="(%1)"/>
      <w:numFmt w:val="lowerLetter"/>
      <w:start w:val="2"/>
    </w:lvl>
  </w:abstractNum>
  <w:abstractNum w:abstractNumId="454">
    <w:nsid w:val="2E0D7671"/>
    <w:multiLevelType w:val="hybridMultilevel"/>
    <w:lvl w:ilvl="0">
      <w:lvlJc w:val="left"/>
      <w:lvlText w:val="(%1)"/>
      <w:numFmt w:val="lowerLetter"/>
      <w:start w:val="2"/>
    </w:lvl>
  </w:abstractNum>
  <w:abstractNum w:abstractNumId="455">
    <w:nsid w:val="38B59EFF"/>
    <w:multiLevelType w:val="hybridMultilevel"/>
    <w:lvl w:ilvl="0">
      <w:lvlJc w:val="left"/>
      <w:lvlText w:val="(%1)"/>
      <w:numFmt w:val="lowerLetter"/>
      <w:start w:val="3"/>
    </w:lvl>
  </w:abstractNum>
  <w:abstractNum w:abstractNumId="456">
    <w:nsid w:val="307995CA"/>
    <w:multiLevelType w:val="hybridMultilevel"/>
    <w:lvl w:ilvl="0">
      <w:lvlJc w:val="left"/>
      <w:lvlText w:val="(%1)"/>
      <w:numFmt w:val="lowerLetter"/>
      <w:start w:val="4"/>
    </w:lvl>
  </w:abstractNum>
  <w:abstractNum w:abstractNumId="457">
    <w:nsid w:val="52E2024D"/>
    <w:multiLevelType w:val="hybridMultilevel"/>
    <w:lvl w:ilvl="0">
      <w:lvlJc w:val="left"/>
      <w:lvlText w:val="(%1)"/>
      <w:numFmt w:val="lowerLetter"/>
      <w:start w:val="5"/>
    </w:lvl>
  </w:abstractNum>
  <w:abstractNum w:abstractNumId="458">
    <w:nsid w:val="CE344B5"/>
    <w:multiLevelType w:val="hybridMultilevel"/>
    <w:lvl w:ilvl="0">
      <w:lvlJc w:val="left"/>
      <w:lvlText w:val="(%1)"/>
      <w:numFmt w:val="lowerLetter"/>
      <w:start w:val="1"/>
    </w:lvl>
  </w:abstractNum>
  <w:abstractNum w:abstractNumId="459">
    <w:nsid w:val="29B0E9A8"/>
    <w:multiLevelType w:val="hybridMultilevel"/>
    <w:lvl w:ilvl="0">
      <w:lvlJc w:val="left"/>
      <w:lvlText w:val="(%1)"/>
      <w:numFmt w:val="upperLetter"/>
      <w:start w:val="1"/>
    </w:lvl>
  </w:abstractNum>
  <w:abstractNum w:abstractNumId="460">
    <w:nsid w:val="6F49CD8A"/>
    <w:multiLevelType w:val="hybridMultilevel"/>
    <w:lvl w:ilvl="0">
      <w:lvlJc w:val="left"/>
      <w:lvlText w:val="(%1)"/>
      <w:numFmt w:val="lowerLetter"/>
      <w:start w:val="24"/>
    </w:lvl>
    <w:lvl w:ilvl="1">
      <w:lvlJc w:val="left"/>
      <w:lvlText w:val="(%2)"/>
      <w:numFmt w:val="lowerLetter"/>
      <w:start w:val="2"/>
    </w:lvl>
  </w:abstractNum>
  <w:abstractNum w:abstractNumId="461">
    <w:nsid w:val="4DC5D907"/>
    <w:multiLevelType w:val="hybridMultilevel"/>
    <w:lvl w:ilvl="0">
      <w:lvlJc w:val="left"/>
      <w:lvlText w:val="(%1)"/>
      <w:numFmt w:val="lowerLetter"/>
      <w:start w:val="5"/>
    </w:lvl>
  </w:abstractNum>
  <w:abstractNum w:abstractNumId="462">
    <w:nsid w:val="D55945E"/>
    <w:multiLevelType w:val="hybridMultilevel"/>
    <w:lvl w:ilvl="0">
      <w:lvlJc w:val="left"/>
      <w:lvlText w:val="(%1)"/>
      <w:numFmt w:val="lowerRoman"/>
      <w:start w:val="1"/>
    </w:lvl>
  </w:abstractNum>
  <w:abstractNum w:abstractNumId="463">
    <w:nsid w:val="672417E1"/>
    <w:multiLevelType w:val="hybridMultilevel"/>
    <w:lvl w:ilvl="0">
      <w:lvlJc w:val="left"/>
      <w:lvlText w:val="(%1)"/>
      <w:numFmt w:val="lowerLetter"/>
      <w:start w:val="1"/>
    </w:lvl>
  </w:abstractNum>
  <w:abstractNum w:abstractNumId="464">
    <w:nsid w:val="5FF6CA09"/>
    <w:multiLevelType w:val="hybridMultilevel"/>
    <w:lvl w:ilvl="0">
      <w:lvlJc w:val="left"/>
      <w:lvlText w:val="(%1)"/>
      <w:numFmt w:val="lowerLetter"/>
      <w:start w:val="2"/>
    </w:lvl>
  </w:abstractNum>
  <w:abstractNum w:abstractNumId="465">
    <w:nsid w:val="330B1333"/>
    <w:multiLevelType w:val="hybridMultilevel"/>
    <w:lvl w:ilvl="0">
      <w:lvlJc w:val="left"/>
      <w:lvlText w:val="(%1)"/>
      <w:numFmt w:val="lowerLetter"/>
      <w:start w:val="1"/>
    </w:lvl>
  </w:abstractNum>
  <w:abstractNum w:abstractNumId="466">
    <w:nsid w:val="2EF32EA6"/>
    <w:multiLevelType w:val="hybridMultilevel"/>
    <w:lvl w:ilvl="0">
      <w:lvlJc w:val="left"/>
      <w:lvlText w:val="(%1)"/>
      <w:numFmt w:val="lowerLetter"/>
      <w:start w:val="1"/>
    </w:lvl>
  </w:abstractNum>
  <w:abstractNum w:abstractNumId="467">
    <w:nsid w:val="32766A55"/>
    <w:multiLevelType w:val="hybridMultilevel"/>
    <w:lvl w:ilvl="0">
      <w:lvlJc w:val="left"/>
      <w:lvlText w:val="(%1)"/>
      <w:numFmt w:val="lowerLetter"/>
      <w:start w:val="2"/>
    </w:lvl>
  </w:abstractNum>
  <w:abstractNum w:abstractNumId="468">
    <w:nsid w:val="22D71957"/>
    <w:multiLevelType w:val="hybridMultilevel"/>
    <w:lvl w:ilvl="0">
      <w:lvlJc w:val="left"/>
      <w:lvlText w:val="(%1)"/>
      <w:numFmt w:val="lowerLetter"/>
      <w:start w:val="1"/>
    </w:lvl>
  </w:abstractNum>
  <w:abstractNum w:abstractNumId="469">
    <w:nsid w:val="4CC1263B"/>
    <w:multiLevelType w:val="hybridMultilevel"/>
    <w:lvl w:ilvl="0">
      <w:lvlJc w:val="left"/>
      <w:lvlText w:val="(%1)"/>
      <w:numFmt w:val="lowerLetter"/>
      <w:start w:val="8"/>
    </w:lvl>
  </w:abstractNum>
  <w:abstractNum w:abstractNumId="470">
    <w:nsid w:val="8BBEB1D"/>
    <w:multiLevelType w:val="hybridMultilevel"/>
    <w:lvl w:ilvl="0">
      <w:lvlJc w:val="left"/>
      <w:lvlText w:val="(%1)"/>
      <w:numFmt w:val="lowerLetter"/>
      <w:start w:val="1"/>
    </w:lvl>
  </w:abstractNum>
  <w:abstractNum w:abstractNumId="471">
    <w:nsid w:val="7365F1EE"/>
    <w:multiLevelType w:val="hybridMultilevel"/>
    <w:lvl w:ilvl="0">
      <w:lvlJc w:val="left"/>
      <w:lvlText w:val="(%1)"/>
      <w:numFmt w:val="lowerLetter"/>
      <w:start w:val="3"/>
    </w:lvl>
  </w:abstractNum>
  <w:abstractNum w:abstractNumId="472">
    <w:nsid w:val="37524CF0"/>
    <w:multiLevelType w:val="hybridMultilevel"/>
    <w:lvl w:ilvl="0">
      <w:lvlJc w:val="left"/>
      <w:lvlText w:val="(%1)"/>
      <w:numFmt w:val="lowerLetter"/>
      <w:start w:val="1"/>
    </w:lvl>
  </w:abstractNum>
  <w:abstractNum w:abstractNumId="473">
    <w:nsid w:val="70CC332F"/>
    <w:multiLevelType w:val="hybridMultilevel"/>
    <w:lvl w:ilvl="0">
      <w:lvlJc w:val="left"/>
      <w:lvlText w:val="%1."/>
      <w:numFmt w:val="decimal"/>
      <w:start w:val="1"/>
    </w:lvl>
  </w:abstractNum>
  <w:abstractNum w:abstractNumId="474">
    <w:nsid w:val="5661786E"/>
    <w:multiLevelType w:val="hybridMultilevel"/>
    <w:lvl w:ilvl="0">
      <w:lvlJc w:val="left"/>
      <w:lvlText w:val="%1."/>
      <w:numFmt w:val="decimal"/>
      <w:start w:val="2"/>
    </w:lvl>
    <w:lvl w:ilvl="1">
      <w:lvlJc w:val="left"/>
      <w:lvlText w:val="(%2)"/>
      <w:numFmt w:val="lowerLetter"/>
      <w:start w:val="1"/>
    </w:lvl>
  </w:abstractNum>
  <w:abstractNum w:abstractNumId="475">
    <w:nsid w:val="3AF6A220"/>
    <w:multiLevelType w:val="hybridMultilevel"/>
    <w:lvl w:ilvl="0">
      <w:lvlJc w:val="left"/>
      <w:lvlText w:val="(%1)"/>
      <w:numFmt w:val="lowerLetter"/>
      <w:start w:val="1"/>
    </w:lvl>
  </w:abstractNum>
  <w:abstractNum w:abstractNumId="476">
    <w:nsid w:val="3C5EA902"/>
    <w:multiLevelType w:val="hybridMultilevel"/>
    <w:lvl w:ilvl="0">
      <w:lvlJc w:val="left"/>
      <w:lvlText w:val="%1"/>
      <w:numFmt w:val="lowerLetter"/>
      <w:start w:val="1"/>
    </w:lvl>
    <w:lvl w:ilvl="1">
      <w:lvlJc w:val="left"/>
      <w:lvlText w:val="(%2)"/>
      <w:numFmt w:val="decimal"/>
      <w:start w:val="1"/>
    </w:lvl>
  </w:abstractNum>
  <w:abstractNum w:abstractNumId="477">
    <w:nsid w:val="256E6749"/>
    <w:multiLevelType w:val="hybridMultilevel"/>
    <w:lvl w:ilvl="0">
      <w:lvlJc w:val="left"/>
      <w:lvlText w:val="(%1)"/>
      <w:numFmt w:val="lowerLetter"/>
      <w:start w:val="2"/>
    </w:lvl>
    <w:lvl w:ilvl="1">
      <w:lvlJc w:val="left"/>
      <w:lvlText w:val="%2"/>
      <w:numFmt w:val="decimal"/>
      <w:start w:val="1"/>
    </w:lvl>
  </w:abstractNum>
  <w:abstractNum w:abstractNumId="478">
    <w:nsid w:val="1CB9A581"/>
    <w:multiLevelType w:val="hybridMultilevel"/>
    <w:lvl w:ilvl="0">
      <w:lvlJc w:val="left"/>
      <w:lvlText w:val="(%1)"/>
      <w:numFmt w:val="lowerLetter"/>
      <w:start w:val="8"/>
    </w:lvl>
  </w:abstractNum>
  <w:abstractNum w:abstractNumId="479">
    <w:nsid w:val="1F7F42E2"/>
    <w:multiLevelType w:val="hybridMultilevel"/>
    <w:lvl w:ilvl="0">
      <w:lvlJc w:val="left"/>
      <w:lvlText w:val="(%1)"/>
      <w:numFmt w:val="decimal"/>
      <w:start w:val="310"/>
    </w:lvl>
  </w:abstractNum>
  <w:abstractNum w:abstractNumId="480">
    <w:nsid w:val="49D1FEA0"/>
    <w:multiLevelType w:val="hybridMultilevel"/>
    <w:lvl w:ilvl="0">
      <w:lvlJc w:val="left"/>
      <w:lvlText w:val="(%1)"/>
      <w:numFmt w:val="decimal"/>
      <w:start w:val="3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2019-12-05T20:31:06Z</dcterms:created>
  <dcterms:modified xsi:type="dcterms:W3CDTF">2019-12-05T20:31:06Z</dcterms:modified>
</cp:coreProperties>
</file>