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7279640" cy="12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1270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-151130</wp:posOffset>
            </wp:positionV>
            <wp:extent cx="727964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9640" cy="635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jc w:val="center"/>
        <w:spacing w:after="0"/>
        <w:rPr>
          <w:sz w:val="20"/>
          <w:szCs w:val="20"/>
          <w:color w:val="auto"/>
        </w:rPr>
      </w:pPr>
      <w:r>
        <w:rPr>
          <w:rFonts w:ascii="Arial" w:cs="Arial" w:eastAsia="Arial" w:hAnsi="Arial"/>
          <w:sz w:val="22"/>
          <w:szCs w:val="22"/>
          <w:b w:val="1"/>
          <w:bCs w:val="1"/>
          <w:color w:val="auto"/>
        </w:rPr>
        <w:t>FORM 10-Q</w:t>
      </w:r>
    </w:p>
    <w:p>
      <w:pPr>
        <w:spacing w:after="0" w:line="131" w:lineRule="exact"/>
        <w:rPr>
          <w:sz w:val="24"/>
          <w:szCs w:val="24"/>
          <w:color w:val="auto"/>
        </w:rPr>
      </w:pPr>
    </w:p>
    <w:p>
      <w:pPr>
        <w:ind w:left="17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2019</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 w:lineRule="exact"/>
        <w:rPr>
          <w:sz w:val="24"/>
          <w:szCs w:val="24"/>
          <w:color w:val="auto"/>
        </w:rPr>
      </w:pPr>
    </w:p>
    <w:p>
      <w:pPr>
        <w:ind w:left="17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162" w:lineRule="exact"/>
        <w:rPr>
          <w:sz w:val="24"/>
          <w:szCs w:val="24"/>
          <w:color w:val="auto"/>
        </w:rPr>
      </w:pPr>
    </w:p>
    <w:p>
      <w:pPr>
        <w:ind w:left="4060"/>
        <w:spacing w:after="0"/>
        <w:tabs>
          <w:tab w:leader="none" w:pos="65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2787015</wp:posOffset>
            </wp:positionH>
            <wp:positionV relativeFrom="paragraph">
              <wp:posOffset>9525</wp:posOffset>
            </wp:positionV>
            <wp:extent cx="1714500" cy="532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532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ACTIVISION BLIZZARD,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jc w:val="center"/>
              <w:ind w:left="1912"/>
              <w:spacing w:after="0"/>
              <w:rPr>
                <w:sz w:val="20"/>
                <w:szCs w:val="20"/>
                <w:color w:val="auto"/>
              </w:rPr>
            </w:pPr>
            <w:r>
              <w:rPr>
                <w:rFonts w:ascii="Arial" w:cs="Arial" w:eastAsia="Arial" w:hAnsi="Arial"/>
                <w:sz w:val="14"/>
                <w:szCs w:val="14"/>
                <w:b w:val="1"/>
                <w:bCs w:val="1"/>
                <w:color w:val="auto"/>
                <w:w w:val="91"/>
              </w:rPr>
              <w:t>Delaware</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Pr>
          <w:p>
            <w:pPr>
              <w:jc w:val="right"/>
              <w:ind w:right="2352"/>
              <w:spacing w:after="0"/>
              <w:rPr>
                <w:sz w:val="20"/>
                <w:szCs w:val="20"/>
                <w:color w:val="auto"/>
              </w:rPr>
            </w:pPr>
            <w:r>
              <w:rPr>
                <w:rFonts w:ascii="Arial" w:cs="Arial" w:eastAsia="Arial" w:hAnsi="Arial"/>
                <w:sz w:val="14"/>
                <w:szCs w:val="14"/>
                <w:b w:val="1"/>
                <w:bCs w:val="1"/>
                <w:color w:val="auto"/>
              </w:rPr>
              <w:t>95-4803544</w:t>
            </w:r>
          </w:p>
        </w:tc>
      </w:tr>
      <w:tr>
        <w:trPr>
          <w:trHeight w:val="21"/>
        </w:trPr>
        <w:tc>
          <w:tcPr>
            <w:tcW w:w="4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3"/>
        </w:trPr>
        <w:tc>
          <w:tcPr>
            <w:tcW w:w="4740" w:type="dxa"/>
            <w:vAlign w:val="bottom"/>
            <w:gridSpan w:val="4"/>
          </w:tcPr>
          <w:p>
            <w:pPr>
              <w:jc w:val="center"/>
              <w:ind w:left="692"/>
              <w:spacing w:after="0"/>
              <w:rPr>
                <w:sz w:val="20"/>
                <w:szCs w:val="20"/>
                <w:color w:val="auto"/>
              </w:rPr>
            </w:pPr>
            <w:r>
              <w:rPr>
                <w:rFonts w:ascii="Arial" w:cs="Arial" w:eastAsia="Arial" w:hAnsi="Arial"/>
                <w:sz w:val="14"/>
                <w:szCs w:val="14"/>
                <w:color w:val="auto"/>
                <w:w w:val="90"/>
              </w:rPr>
              <w:t>(State or other jurisdiction of incorporation or organization)</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Pr>
          <w:p>
            <w:pPr>
              <w:jc w:val="center"/>
              <w:ind w:right="1432"/>
              <w:spacing w:after="0"/>
              <w:rPr>
                <w:sz w:val="20"/>
                <w:szCs w:val="20"/>
                <w:color w:val="auto"/>
              </w:rPr>
            </w:pPr>
            <w:r>
              <w:rPr>
                <w:rFonts w:ascii="Arial" w:cs="Arial" w:eastAsia="Arial" w:hAnsi="Arial"/>
                <w:sz w:val="14"/>
                <w:szCs w:val="14"/>
                <w:color w:val="auto"/>
                <w:w w:val="91"/>
              </w:rPr>
              <w:t>(I.R.S. Employer Identification No.)</w:t>
            </w:r>
          </w:p>
        </w:tc>
      </w:tr>
      <w:tr>
        <w:trPr>
          <w:trHeight w:val="297"/>
        </w:trPr>
        <w:tc>
          <w:tcPr>
            <w:tcW w:w="3540" w:type="dxa"/>
            <w:vAlign w:val="bottom"/>
          </w:tcPr>
          <w:p>
            <w:pPr>
              <w:ind w:left="780"/>
              <w:spacing w:after="0"/>
              <w:rPr>
                <w:sz w:val="20"/>
                <w:szCs w:val="20"/>
                <w:color w:val="auto"/>
              </w:rPr>
            </w:pPr>
            <w:r>
              <w:rPr>
                <w:rFonts w:ascii="Arial" w:cs="Arial" w:eastAsia="Arial" w:hAnsi="Arial"/>
                <w:sz w:val="14"/>
                <w:szCs w:val="14"/>
                <w:b w:val="1"/>
                <w:bCs w:val="1"/>
                <w:color w:val="auto"/>
              </w:rPr>
              <w:t>3100 Ocean Park Boulevard</w:t>
            </w: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Santa Monica,</w:t>
            </w: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CA</w:t>
            </w:r>
          </w:p>
        </w:tc>
        <w:tc>
          <w:tcPr>
            <w:tcW w:w="4000" w:type="dxa"/>
            <w:vAlign w:val="bottom"/>
          </w:tcPr>
          <w:p>
            <w:pPr>
              <w:jc w:val="right"/>
              <w:ind w:right="2512"/>
              <w:spacing w:after="0"/>
              <w:rPr>
                <w:sz w:val="20"/>
                <w:szCs w:val="20"/>
                <w:color w:val="auto"/>
              </w:rPr>
            </w:pPr>
            <w:r>
              <w:rPr>
                <w:rFonts w:ascii="Arial" w:cs="Arial" w:eastAsia="Arial" w:hAnsi="Arial"/>
                <w:sz w:val="14"/>
                <w:szCs w:val="14"/>
                <w:b w:val="1"/>
                <w:bCs w:val="1"/>
                <w:color w:val="auto"/>
              </w:rPr>
              <w:t>90405</w:t>
            </w:r>
          </w:p>
        </w:tc>
      </w:tr>
      <w:tr>
        <w:trPr>
          <w:trHeight w:val="21"/>
        </w:trPr>
        <w:tc>
          <w:tcPr>
            <w:tcW w:w="4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3"/>
        </w:trPr>
        <w:tc>
          <w:tcPr>
            <w:tcW w:w="4740" w:type="dxa"/>
            <w:vAlign w:val="bottom"/>
            <w:gridSpan w:val="4"/>
          </w:tcPr>
          <w:p>
            <w:pPr>
              <w:jc w:val="center"/>
              <w:ind w:left="712"/>
              <w:spacing w:after="0"/>
              <w:rPr>
                <w:sz w:val="20"/>
                <w:szCs w:val="20"/>
                <w:color w:val="auto"/>
              </w:rPr>
            </w:pPr>
            <w:r>
              <w:rPr>
                <w:rFonts w:ascii="Arial" w:cs="Arial" w:eastAsia="Arial" w:hAnsi="Arial"/>
                <w:sz w:val="14"/>
                <w:szCs w:val="14"/>
                <w:color w:val="auto"/>
                <w:w w:val="90"/>
              </w:rPr>
              <w:t>(Address of principal executive offices)</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Pr>
          <w:p>
            <w:pPr>
              <w:jc w:val="center"/>
              <w:ind w:right="1412"/>
              <w:spacing w:after="0"/>
              <w:rPr>
                <w:sz w:val="20"/>
                <w:szCs w:val="20"/>
                <w:color w:val="auto"/>
              </w:rPr>
            </w:pPr>
            <w:r>
              <w:rPr>
                <w:rFonts w:ascii="Arial" w:cs="Arial" w:eastAsia="Arial" w:hAnsi="Arial"/>
                <w:sz w:val="14"/>
                <w:szCs w:val="14"/>
                <w:color w:val="auto"/>
                <w:w w:val="90"/>
              </w:rPr>
              <w:t>(Zip Code)</w:t>
            </w:r>
          </w:p>
        </w:tc>
      </w:tr>
      <w:tr>
        <w:trPr>
          <w:trHeight w:val="338"/>
        </w:trPr>
        <w:tc>
          <w:tcPr>
            <w:tcW w:w="3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gridSpan w:val="3"/>
          </w:tcPr>
          <w:p>
            <w:pPr>
              <w:ind w:left="560"/>
              <w:spacing w:after="0"/>
              <w:rPr>
                <w:sz w:val="20"/>
                <w:szCs w:val="20"/>
                <w:color w:val="auto"/>
              </w:rPr>
            </w:pPr>
            <w:r>
              <w:rPr>
                <w:rFonts w:ascii="Arial" w:cs="Arial" w:eastAsia="Arial" w:hAnsi="Arial"/>
                <w:sz w:val="14"/>
                <w:szCs w:val="14"/>
                <w:b w:val="1"/>
                <w:bCs w:val="1"/>
                <w:color w:val="auto"/>
              </w:rPr>
              <w:t>(310) 255-2000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73"/>
        </w:trPr>
        <w:tc>
          <w:tcPr>
            <w:tcW w:w="3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320" w:type="dxa"/>
            <w:vAlign w:val="bottom"/>
            <w:gridSpan w:val="7"/>
          </w:tcPr>
          <w:p>
            <w:pPr>
              <w:ind w:left="160"/>
              <w:spacing w:after="0"/>
              <w:rPr>
                <w:sz w:val="20"/>
                <w:szCs w:val="20"/>
                <w:color w:val="auto"/>
              </w:rPr>
            </w:pPr>
            <w:r>
              <w:rPr>
                <w:rFonts w:ascii="Arial" w:cs="Arial" w:eastAsia="Arial" w:hAnsi="Arial"/>
                <w:sz w:val="14"/>
                <w:szCs w:val="14"/>
                <w:color w:val="auto"/>
                <w:w w:val="95"/>
              </w:rPr>
              <w:t>(Registrant’s telephone number, including area code)</w:t>
            </w:r>
          </w:p>
        </w:tc>
        <w:tc>
          <w:tcPr>
            <w:tcW w:w="4000" w:type="dxa"/>
            <w:vAlign w:val="bottom"/>
          </w:tcPr>
          <w:p>
            <w:pPr>
              <w:spacing w:after="0"/>
              <w:rPr>
                <w:sz w:val="15"/>
                <w:szCs w:val="15"/>
                <w:color w:val="auto"/>
              </w:rPr>
            </w:pPr>
          </w:p>
        </w:tc>
      </w:tr>
      <w:tr>
        <w:trPr>
          <w:trHeight w:val="327"/>
        </w:trPr>
        <w:tc>
          <w:tcPr>
            <w:tcW w:w="3540" w:type="dxa"/>
            <w:vAlign w:val="bottom"/>
          </w:tcPr>
          <w:p>
            <w:pPr>
              <w:spacing w:after="0"/>
              <w:rPr>
                <w:sz w:val="20"/>
                <w:szCs w:val="20"/>
                <w:color w:val="auto"/>
              </w:rPr>
            </w:pPr>
            <w:r>
              <w:rPr>
                <w:rFonts w:ascii="Arial" w:cs="Arial" w:eastAsia="Arial" w:hAnsi="Arial"/>
                <w:sz w:val="14"/>
                <w:szCs w:val="14"/>
                <w:color w:val="auto"/>
                <w:w w:val="98"/>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86"/>
        </w:trPr>
        <w:tc>
          <w:tcPr>
            <w:tcW w:w="3540" w:type="dxa"/>
            <w:vAlign w:val="bottom"/>
          </w:tcPr>
          <w:p>
            <w:pPr>
              <w:ind w:left="1560"/>
              <w:spacing w:after="0"/>
              <w:rPr>
                <w:sz w:val="20"/>
                <w:szCs w:val="20"/>
                <w:color w:val="auto"/>
              </w:rPr>
            </w:pPr>
            <w:r>
              <w:rPr>
                <w:rFonts w:ascii="Arial" w:cs="Arial" w:eastAsia="Arial" w:hAnsi="Arial"/>
                <w:sz w:val="14"/>
                <w:szCs w:val="14"/>
                <w:b w:val="1"/>
                <w:bCs w:val="1"/>
                <w:color w:val="auto"/>
              </w:rPr>
              <w:t>Title of each class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20" w:type="dxa"/>
            <w:vAlign w:val="bottom"/>
            <w:gridSpan w:val="5"/>
          </w:tcPr>
          <w:p>
            <w:pPr>
              <w:ind w:left="180"/>
              <w:spacing w:after="0"/>
              <w:rPr>
                <w:sz w:val="20"/>
                <w:szCs w:val="20"/>
                <w:color w:val="auto"/>
              </w:rPr>
            </w:pPr>
            <w:r>
              <w:rPr>
                <w:rFonts w:ascii="Arial" w:cs="Arial" w:eastAsia="Arial" w:hAnsi="Arial"/>
                <w:sz w:val="14"/>
                <w:szCs w:val="14"/>
                <w:b w:val="1"/>
                <w:bCs w:val="1"/>
                <w:color w:val="auto"/>
              </w:rPr>
              <w:t>Trading Symbol(s)</w:t>
            </w:r>
          </w:p>
        </w:tc>
        <w:tc>
          <w:tcPr>
            <w:tcW w:w="4000" w:type="dxa"/>
            <w:vAlign w:val="bottom"/>
          </w:tcPr>
          <w:p>
            <w:pPr>
              <w:jc w:val="center"/>
              <w:ind w:right="612"/>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73"/>
        </w:trPr>
        <w:tc>
          <w:tcPr>
            <w:tcW w:w="3540" w:type="dxa"/>
            <w:vAlign w:val="bottom"/>
          </w:tcPr>
          <w:p>
            <w:pPr>
              <w:ind w:left="780"/>
              <w:spacing w:after="0"/>
              <w:rPr>
                <w:sz w:val="20"/>
                <w:szCs w:val="20"/>
                <w:color w:val="auto"/>
              </w:rPr>
            </w:pPr>
            <w:r>
              <w:rPr>
                <w:rFonts w:ascii="Arial" w:cs="Arial" w:eastAsia="Arial" w:hAnsi="Arial"/>
                <w:sz w:val="14"/>
                <w:szCs w:val="14"/>
                <w:color w:val="auto"/>
                <w:w w:val="93"/>
              </w:rPr>
              <w:t>Common Stock, par value $0.000001 per share</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20" w:type="dxa"/>
            <w:vAlign w:val="bottom"/>
            <w:gridSpan w:val="5"/>
          </w:tcPr>
          <w:p>
            <w:pPr>
              <w:ind w:left="560"/>
              <w:spacing w:after="0"/>
              <w:rPr>
                <w:sz w:val="20"/>
                <w:szCs w:val="20"/>
                <w:color w:val="auto"/>
              </w:rPr>
            </w:pPr>
            <w:r>
              <w:rPr>
                <w:rFonts w:ascii="Arial" w:cs="Arial" w:eastAsia="Arial" w:hAnsi="Arial"/>
                <w:sz w:val="14"/>
                <w:szCs w:val="14"/>
                <w:color w:val="auto"/>
              </w:rPr>
              <w:t>ATVI</w:t>
            </w:r>
          </w:p>
        </w:tc>
        <w:tc>
          <w:tcPr>
            <w:tcW w:w="4000" w:type="dxa"/>
            <w:vAlign w:val="bottom"/>
          </w:tcPr>
          <w:p>
            <w:pPr>
              <w:jc w:val="center"/>
              <w:ind w:right="612"/>
              <w:spacing w:after="0"/>
              <w:rPr>
                <w:sz w:val="20"/>
                <w:szCs w:val="20"/>
                <w:color w:val="auto"/>
              </w:rPr>
            </w:pPr>
            <w:r>
              <w:rPr>
                <w:rFonts w:ascii="Arial" w:cs="Arial" w:eastAsia="Arial" w:hAnsi="Arial"/>
                <w:sz w:val="14"/>
                <w:szCs w:val="14"/>
                <w:color w:val="auto"/>
                <w:w w:val="87"/>
              </w:rPr>
              <w:t>The Nasdaq Global Select Market</w:t>
            </w:r>
          </w:p>
        </w:tc>
      </w:tr>
    </w:tbl>
    <w:p>
      <w:pPr>
        <w:spacing w:after="0" w:line="92" w:lineRule="exact"/>
        <w:rPr>
          <w:sz w:val="24"/>
          <w:szCs w:val="24"/>
          <w:color w:val="auto"/>
        </w:rPr>
      </w:pPr>
    </w:p>
    <w:p>
      <w:pPr>
        <w:jc w:val="both"/>
        <w:ind w:firstLine="245"/>
        <w:spacing w:after="0" w:line="17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60" w:firstLine="245"/>
        <w:spacing w:after="0" w:line="17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6" w:lineRule="exact"/>
        <w:rPr>
          <w:sz w:val="24"/>
          <w:szCs w:val="24"/>
          <w:color w:val="auto"/>
        </w:rPr>
      </w:pPr>
    </w:p>
    <w:p>
      <w:pPr>
        <w:ind w:right="320" w:firstLine="245"/>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60"/>
          </w:cols>
          <w:pgMar w:left="220" w:top="211" w:right="219" w:bottom="1440" w:gutter="0" w:footer="0" w:header="0"/>
        </w:sectPr>
      </w:pPr>
    </w:p>
    <w:p>
      <w:pPr>
        <w:spacing w:after="0" w:line="98" w:lineRule="exact"/>
        <w:rPr>
          <w:sz w:val="24"/>
          <w:szCs w:val="24"/>
          <w:color w:val="auto"/>
        </w:rPr>
      </w:pPr>
    </w:p>
    <w:p>
      <w:pPr>
        <w:ind w:left="7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77" w:lineRule="exact"/>
        <w:rPr>
          <w:sz w:val="24"/>
          <w:szCs w:val="24"/>
          <w:color w:val="auto"/>
        </w:rPr>
      </w:pPr>
    </w:p>
    <w:p>
      <w:pPr>
        <w:sectPr>
          <w:pgSz w:w="11900" w:h="16838" w:orient="portrait"/>
          <w:cols w:equalWidth="0" w:num="6">
            <w:col w:w="2280" w:space="720"/>
            <w:col w:w="960" w:space="720"/>
            <w:col w:w="1480" w:space="720"/>
            <w:col w:w="1080" w:space="720"/>
            <w:col w:w="1340" w:space="720"/>
            <w:col w:w="720"/>
          </w:cols>
          <w:pgMar w:left="220" w:top="211" w:right="219" w:bottom="1440" w:gutter="0" w:footer="0" w:header="0"/>
          <w:type w:val="continuous"/>
        </w:sectPr>
      </w:pPr>
    </w:p>
    <w:p>
      <w:pPr>
        <w:spacing w:after="0" w:line="35" w:lineRule="exact"/>
        <w:rPr>
          <w:sz w:val="24"/>
          <w:szCs w:val="24"/>
          <w:color w:val="auto"/>
        </w:rPr>
      </w:pPr>
    </w:p>
    <w:p>
      <w:pPr>
        <w:ind w:left="840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95" w:lineRule="exact"/>
        <w:rPr>
          <w:sz w:val="24"/>
          <w:szCs w:val="24"/>
          <w:color w:val="auto"/>
        </w:rPr>
      </w:pPr>
    </w:p>
    <w:p>
      <w:pPr>
        <w:sectPr>
          <w:pgSz w:w="11900" w:h="16838" w:orient="portrait"/>
          <w:cols w:equalWidth="0" w:num="2">
            <w:col w:w="10040" w:space="720"/>
            <w:col w:w="700"/>
          </w:cols>
          <w:pgMar w:left="220" w:top="211" w:right="219" w:bottom="1440" w:gutter="0" w:footer="0" w:header="0"/>
          <w:type w:val="continuous"/>
        </w:sectPr>
      </w:pPr>
    </w:p>
    <w:p>
      <w:pPr>
        <w:spacing w:after="0" w:line="35" w:lineRule="exact"/>
        <w:rPr>
          <w:sz w:val="24"/>
          <w:szCs w:val="24"/>
          <w:color w:val="auto"/>
        </w:rPr>
      </w:pPr>
    </w:p>
    <w:p>
      <w:pPr>
        <w:ind w:left="840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81" w:lineRule="exact"/>
        <w:rPr>
          <w:sz w:val="24"/>
          <w:szCs w:val="24"/>
          <w:color w:val="auto"/>
        </w:rPr>
      </w:pPr>
    </w:p>
    <w:p>
      <w:pPr>
        <w:sectPr>
          <w:pgSz w:w="11900" w:h="16838" w:orient="portrait"/>
          <w:cols w:equalWidth="0" w:num="2">
            <w:col w:w="10040" w:space="720"/>
            <w:col w:w="700"/>
          </w:cols>
          <w:pgMar w:left="220" w:top="211" w:right="219" w:bottom="1440" w:gutter="0" w:footer="0" w:header="0"/>
          <w:type w:val="continuous"/>
        </w:sectPr>
      </w:pPr>
    </w:p>
    <w:p>
      <w:pPr>
        <w:ind w:right="40" w:firstLine="245"/>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1" w:lineRule="exact"/>
        <w:rPr>
          <w:sz w:val="24"/>
          <w:szCs w:val="24"/>
          <w:color w:val="auto"/>
        </w:rPr>
      </w:pPr>
    </w:p>
    <w:p>
      <w:pPr>
        <w:ind w:left="240" w:right="4240"/>
        <w:spacing w:after="0" w:line="222"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The number of shares of the registrant’s Common Stock outstanding at October 31, 2019 was 768,260,070.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92075</wp:posOffset>
            </wp:positionH>
            <wp:positionV relativeFrom="paragraph">
              <wp:posOffset>130810</wp:posOffset>
            </wp:positionV>
            <wp:extent cx="710438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4380" cy="1270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65405</wp:posOffset>
            </wp:positionV>
            <wp:extent cx="71043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4380" cy="6350"/>
                    </a:xfrm>
                    <a:prstGeom prst="rect">
                      <a:avLst/>
                    </a:prstGeom>
                    <a:noFill/>
                  </pic:spPr>
                </pic:pic>
              </a:graphicData>
            </a:graphic>
          </wp:anchor>
        </w:drawing>
      </w:r>
    </w:p>
    <w:p>
      <w:pPr>
        <w:sectPr>
          <w:pgSz w:w="11900" w:h="16838" w:orient="portrait"/>
          <w:cols w:equalWidth="0" w:num="1">
            <w:col w:w="11460"/>
          </w:cols>
          <w:pgMar w:left="220" w:top="211"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860" w:type="dxa"/>
            <w:vAlign w:val="bottom"/>
            <w:gridSpan w:val="7"/>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57"/>
        </w:trPr>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80" w:type="dxa"/>
            <w:vAlign w:val="bottom"/>
            <w:gridSpan w:val="9"/>
          </w:tcPr>
          <w:p>
            <w:pPr>
              <w:jc w:val="center"/>
              <w:ind w:right="3020"/>
              <w:spacing w:after="0"/>
              <w:rPr>
                <w:sz w:val="20"/>
                <w:szCs w:val="20"/>
                <w:color w:val="auto"/>
              </w:rPr>
            </w:pPr>
            <w:r>
              <w:rPr>
                <w:rFonts w:ascii="Arial" w:cs="Arial" w:eastAsia="Arial" w:hAnsi="Arial"/>
                <w:sz w:val="14"/>
                <w:szCs w:val="14"/>
                <w:b w:val="1"/>
                <w:bCs w:val="1"/>
                <w:color w:val="auto"/>
                <w:w w:val="99"/>
              </w:rPr>
              <w:t>ACTIVISION BLIZZARD, INC. AND SUBSIDIARIES</w:t>
            </w:r>
          </w:p>
        </w:tc>
        <w:tc>
          <w:tcPr>
            <w:tcW w:w="660" w:type="dxa"/>
            <w:vAlign w:val="bottom"/>
          </w:tcPr>
          <w:p>
            <w:pPr>
              <w:spacing w:after="0"/>
              <w:rPr>
                <w:sz w:val="24"/>
                <w:szCs w:val="24"/>
                <w:color w:val="auto"/>
              </w:rPr>
            </w:pPr>
          </w:p>
        </w:tc>
      </w:tr>
      <w:tr>
        <w:trPr>
          <w:trHeight w:val="32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20" w:type="dxa"/>
            <w:vAlign w:val="bottom"/>
            <w:gridSpan w:val="7"/>
          </w:tcPr>
          <w:p>
            <w:pPr>
              <w:jc w:val="center"/>
              <w:ind w:right="4480"/>
              <w:spacing w:after="0"/>
              <w:rPr>
                <w:sz w:val="20"/>
                <w:szCs w:val="20"/>
                <w:color w:val="auto"/>
              </w:rPr>
            </w:pPr>
            <w:r>
              <w:rPr>
                <w:rFonts w:ascii="Arial" w:cs="Arial" w:eastAsia="Arial" w:hAnsi="Arial"/>
                <w:sz w:val="14"/>
                <w:szCs w:val="14"/>
                <w:b w:val="1"/>
                <w:bCs w:val="1"/>
                <w:color w:val="auto"/>
                <w:w w:val="86"/>
              </w:rPr>
              <w:t>Table of Contents</w:t>
            </w:r>
          </w:p>
        </w:tc>
        <w:tc>
          <w:tcPr>
            <w:tcW w:w="660" w:type="dxa"/>
            <w:vAlign w:val="bottom"/>
          </w:tcPr>
          <w:p>
            <w:pPr>
              <w:spacing w:after="0"/>
              <w:rPr>
                <w:sz w:val="24"/>
                <w:szCs w:val="24"/>
                <w:color w:val="auto"/>
              </w:rPr>
            </w:pPr>
          </w:p>
        </w:tc>
      </w:tr>
      <w:tr>
        <w:trPr>
          <w:trHeight w:val="42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920" w:type="dxa"/>
            <w:vAlign w:val="bottom"/>
            <w:gridSpan w:val="17"/>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Cautionary Statement</w:t>
              </w:r>
            </w:hyperlink>
          </w:p>
        </w:tc>
        <w:tc>
          <w:tcPr>
            <w:tcW w:w="660" w:type="dxa"/>
            <w:vAlign w:val="bottom"/>
          </w:tcPr>
          <w:p>
            <w:pPr>
              <w:jc w:val="right"/>
              <w:spacing w:after="0"/>
              <w:rPr>
                <w:rFonts w:ascii="Arial" w:cs="Arial" w:eastAsia="Arial" w:hAnsi="Arial"/>
                <w:sz w:val="14"/>
                <w:szCs w:val="14"/>
                <w:color w:val="auto"/>
              </w:rPr>
            </w:pPr>
            <w:hyperlink w:anchor="page3">
              <w:r>
                <w:rPr>
                  <w:rFonts w:ascii="Arial" w:cs="Arial" w:eastAsia="Arial" w:hAnsi="Arial"/>
                  <w:sz w:val="14"/>
                  <w:szCs w:val="14"/>
                  <w:color w:val="auto"/>
                </w:rPr>
                <w:t>3</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PART I.</w:t>
              </w:r>
            </w:hyperlink>
          </w:p>
        </w:tc>
        <w:tc>
          <w:tcPr>
            <w:tcW w:w="8920" w:type="dxa"/>
            <w:vAlign w:val="bottom"/>
            <w:gridSpan w:val="17"/>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FINANCIAL INFORMATION</w:t>
              </w:r>
            </w:hyperlink>
          </w:p>
        </w:tc>
        <w:tc>
          <w:tcPr>
            <w:tcW w:w="6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rFonts w:ascii="Arial" w:cs="Arial" w:eastAsia="Arial" w:hAnsi="Arial"/>
                <w:sz w:val="14"/>
                <w:szCs w:val="14"/>
                <w:color w:val="0000EE"/>
                <w:w w:val="79"/>
              </w:rPr>
            </w:pPr>
            <w:hyperlink w:anchor="page4">
              <w:r>
                <w:rPr>
                  <w:rFonts w:ascii="Arial" w:cs="Arial" w:eastAsia="Arial" w:hAnsi="Arial"/>
                  <w:sz w:val="14"/>
                  <w:szCs w:val="14"/>
                  <w:color w:val="0000EE"/>
                  <w:w w:val="79"/>
                </w:rPr>
                <w:t>Item 1.</w:t>
              </w:r>
            </w:hyperlink>
          </w:p>
        </w:tc>
        <w:tc>
          <w:tcPr>
            <w:tcW w:w="1460" w:type="dxa"/>
            <w:vAlign w:val="bottom"/>
            <w:gridSpan w:val="5"/>
          </w:tcPr>
          <w:p>
            <w:pPr>
              <w:spacing w:after="0"/>
              <w:rPr>
                <w:sz w:val="24"/>
                <w:szCs w:val="24"/>
                <w:color w:val="auto"/>
              </w:rPr>
            </w:pPr>
          </w:p>
        </w:tc>
        <w:tc>
          <w:tcPr>
            <w:tcW w:w="8920" w:type="dxa"/>
            <w:vAlign w:val="bottom"/>
            <w:gridSpan w:val="17"/>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Financial Statements (Unaudited)</w:t>
              </w:r>
            </w:hyperlink>
          </w:p>
        </w:tc>
        <w:tc>
          <w:tcPr>
            <w:tcW w:w="6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920" w:type="dxa"/>
            <w:vAlign w:val="bottom"/>
            <w:gridSpan w:val="17"/>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Condensed Consolidated Balance Sheets at September 30, 2019 and December 31, 2018</w:t>
              </w:r>
            </w:hyperlink>
          </w:p>
        </w:tc>
        <w:tc>
          <w:tcPr>
            <w:tcW w:w="660" w:type="dxa"/>
            <w:vAlign w:val="bottom"/>
          </w:tcPr>
          <w:p>
            <w:pPr>
              <w:jc w:val="right"/>
              <w:spacing w:after="0"/>
              <w:rPr>
                <w:rFonts w:ascii="Arial" w:cs="Arial" w:eastAsia="Arial" w:hAnsi="Arial"/>
                <w:sz w:val="14"/>
                <w:szCs w:val="14"/>
                <w:color w:val="auto"/>
              </w:rPr>
            </w:pPr>
            <w:hyperlink w:anchor="page4">
              <w:r>
                <w:rPr>
                  <w:rFonts w:ascii="Arial" w:cs="Arial" w:eastAsia="Arial" w:hAnsi="Arial"/>
                  <w:sz w:val="14"/>
                  <w:szCs w:val="14"/>
                  <w:color w:val="auto"/>
                </w:rPr>
                <w:t>4</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Borders>
              <w:bottom w:val="single" w:sz="8" w:color="0000EE"/>
            </w:tcBorders>
            <w:gridSpan w:val="14"/>
          </w:tcPr>
          <w:p>
            <w:pPr>
              <w:spacing w:after="0"/>
              <w:rPr>
                <w:rFonts w:ascii="Arial" w:cs="Arial" w:eastAsia="Arial" w:hAnsi="Arial"/>
                <w:sz w:val="14"/>
                <w:szCs w:val="14"/>
                <w:color w:val="0000EE"/>
                <w:w w:val="86"/>
              </w:rPr>
            </w:pPr>
            <w:hyperlink w:anchor="page5">
              <w:r>
                <w:rPr>
                  <w:rFonts w:ascii="Arial" w:cs="Arial" w:eastAsia="Arial" w:hAnsi="Arial"/>
                  <w:sz w:val="14"/>
                  <w:szCs w:val="14"/>
                  <w:color w:val="0000EE"/>
                  <w:w w:val="86"/>
                </w:rPr>
                <w:t>Condensed Consolidated Statements of Operations for the three and nine months ended September 30, 2019 and September 30, 2018</w:t>
              </w:r>
            </w:hyperlink>
          </w:p>
        </w:tc>
        <w:tc>
          <w:tcPr>
            <w:tcW w:w="1660" w:type="dxa"/>
            <w:vAlign w:val="bottom"/>
            <w:gridSpan w:val="3"/>
          </w:tcPr>
          <w:p>
            <w:pPr>
              <w:spacing w:after="0"/>
              <w:rPr>
                <w:sz w:val="24"/>
                <w:szCs w:val="24"/>
                <w:color w:val="auto"/>
              </w:rPr>
            </w:pPr>
          </w:p>
        </w:tc>
        <w:tc>
          <w:tcPr>
            <w:tcW w:w="660" w:type="dxa"/>
            <w:vAlign w:val="bottom"/>
          </w:tcPr>
          <w:p>
            <w:pPr>
              <w:jc w:val="right"/>
              <w:spacing w:after="0"/>
              <w:rPr>
                <w:rFonts w:ascii="Arial" w:cs="Arial" w:eastAsia="Arial" w:hAnsi="Arial"/>
                <w:sz w:val="14"/>
                <w:szCs w:val="14"/>
                <w:color w:val="auto"/>
              </w:rPr>
            </w:pPr>
            <w:hyperlink w:anchor="page5">
              <w:r>
                <w:rPr>
                  <w:rFonts w:ascii="Arial" w:cs="Arial" w:eastAsia="Arial" w:hAnsi="Arial"/>
                  <w:sz w:val="14"/>
                  <w:szCs w:val="14"/>
                  <w:color w:val="auto"/>
                </w:rPr>
                <w:t>5</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60" w:type="dxa"/>
            <w:vAlign w:val="bottom"/>
            <w:tcBorders>
              <w:bottom w:val="single" w:sz="8" w:color="0000EE"/>
            </w:tcBorders>
            <w:gridSpan w:val="15"/>
          </w:tcPr>
          <w:p>
            <w:pPr>
              <w:spacing w:after="0"/>
              <w:rPr>
                <w:rFonts w:ascii="Arial" w:cs="Arial" w:eastAsia="Arial" w:hAnsi="Arial"/>
                <w:sz w:val="14"/>
                <w:szCs w:val="14"/>
                <w:color w:val="0000EE"/>
                <w:w w:val="86"/>
              </w:rPr>
            </w:pPr>
            <w:hyperlink w:anchor="page6">
              <w:r>
                <w:rPr>
                  <w:rFonts w:ascii="Arial" w:cs="Arial" w:eastAsia="Arial" w:hAnsi="Arial"/>
                  <w:sz w:val="14"/>
                  <w:szCs w:val="14"/>
                  <w:color w:val="0000EE"/>
                  <w:w w:val="86"/>
                </w:rPr>
                <w:t>Condensed Consolidated Statements of Comprehensive Income for the three and nine months ended September 30, 2019 and September 30, 2018</w:t>
              </w:r>
            </w:hyperlink>
          </w:p>
        </w:tc>
        <w:tc>
          <w:tcPr>
            <w:tcW w:w="960" w:type="dxa"/>
            <w:vAlign w:val="bottom"/>
            <w:gridSpan w:val="2"/>
          </w:tcPr>
          <w:p>
            <w:pPr>
              <w:spacing w:after="0"/>
              <w:rPr>
                <w:sz w:val="24"/>
                <w:szCs w:val="24"/>
                <w:color w:val="auto"/>
              </w:rPr>
            </w:pPr>
          </w:p>
        </w:tc>
        <w:tc>
          <w:tcPr>
            <w:tcW w:w="660" w:type="dxa"/>
            <w:vAlign w:val="bottom"/>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6</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920" w:type="dxa"/>
            <w:vAlign w:val="bottom"/>
            <w:gridSpan w:val="17"/>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Statements of Cash Flows for the nine months ended September 30, 2019 and September 30, 2018</w:t>
              </w:r>
            </w:hyperlink>
          </w:p>
        </w:tc>
        <w:tc>
          <w:tcPr>
            <w:tcW w:w="660" w:type="dxa"/>
            <w:vAlign w:val="bottom"/>
          </w:tcPr>
          <w:p>
            <w:pPr>
              <w:jc w:val="right"/>
              <w:spacing w:after="0"/>
              <w:rPr>
                <w:rFonts w:ascii="Arial" w:cs="Arial" w:eastAsia="Arial" w:hAnsi="Arial"/>
                <w:sz w:val="14"/>
                <w:szCs w:val="14"/>
                <w:color w:val="auto"/>
              </w:rPr>
            </w:pPr>
            <w:hyperlink w:anchor="page7">
              <w:r>
                <w:rPr>
                  <w:rFonts w:ascii="Arial" w:cs="Arial" w:eastAsia="Arial" w:hAnsi="Arial"/>
                  <w:sz w:val="14"/>
                  <w:szCs w:val="14"/>
                  <w:color w:val="auto"/>
                </w:rPr>
                <w:t>7</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920" w:type="dxa"/>
            <w:vAlign w:val="bottom"/>
            <w:gridSpan w:val="17"/>
          </w:tcPr>
          <w:p>
            <w:pPr>
              <w:spacing w:after="0"/>
              <w:rPr>
                <w:rFonts w:ascii="Arial" w:cs="Arial" w:eastAsia="Arial" w:hAnsi="Arial"/>
                <w:sz w:val="14"/>
                <w:szCs w:val="14"/>
                <w:color w:val="0000EE"/>
                <w:w w:val="92"/>
              </w:rPr>
            </w:pPr>
            <w:hyperlink w:anchor="page8">
              <w:r>
                <w:rPr>
                  <w:rFonts w:ascii="Arial" w:cs="Arial" w:eastAsia="Arial" w:hAnsi="Arial"/>
                  <w:sz w:val="14"/>
                  <w:szCs w:val="14"/>
                  <w:color w:val="0000EE"/>
                  <w:w w:val="92"/>
                </w:rPr>
                <w:t>Condensed Consolidated Statement of Changes in Shareholders’ Equity for the three and nine months ended September 30, 2019 and September 30, 2018</w:t>
              </w:r>
            </w:hyperlink>
          </w:p>
        </w:tc>
        <w:tc>
          <w:tcPr>
            <w:tcW w:w="660" w:type="dxa"/>
            <w:vAlign w:val="bottom"/>
          </w:tcPr>
          <w:p>
            <w:pPr>
              <w:jc w:val="right"/>
              <w:spacing w:after="0"/>
              <w:rPr>
                <w:rFonts w:ascii="Arial" w:cs="Arial" w:eastAsia="Arial" w:hAnsi="Arial"/>
                <w:sz w:val="14"/>
                <w:szCs w:val="14"/>
                <w:color w:val="auto"/>
              </w:rPr>
            </w:pPr>
            <w:hyperlink w:anchor="page8">
              <w:r>
                <w:rPr>
                  <w:rFonts w:ascii="Arial" w:cs="Arial" w:eastAsia="Arial" w:hAnsi="Arial"/>
                  <w:sz w:val="14"/>
                  <w:szCs w:val="14"/>
                  <w:color w:val="auto"/>
                </w:rPr>
                <w:t>8</w:t>
              </w:r>
            </w:hyperlink>
          </w:p>
        </w:tc>
      </w:tr>
      <w:tr>
        <w:trPr>
          <w:trHeight w:val="3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0" w:type="dxa"/>
            <w:vAlign w:val="bottom"/>
            <w:tcBorders>
              <w:top w:val="single" w:sz="8" w:color="0000EE"/>
            </w:tcBorders>
            <w:gridSpan w:val="16"/>
          </w:tcPr>
          <w:p>
            <w:pPr>
              <w:spacing w:after="0"/>
              <w:rPr>
                <w:rFonts w:ascii="Arial" w:cs="Arial" w:eastAsia="Arial" w:hAnsi="Arial"/>
                <w:sz w:val="14"/>
                <w:szCs w:val="14"/>
                <w:color w:val="0000EE"/>
              </w:rPr>
            </w:pPr>
            <w:hyperlink w:anchor="page10">
              <w:r>
                <w:rPr>
                  <w:rFonts w:ascii="Arial" w:cs="Arial" w:eastAsia="Arial" w:hAnsi="Arial"/>
                  <w:sz w:val="14"/>
                  <w:szCs w:val="14"/>
                  <w:color w:val="0000EE"/>
                </w:rPr>
                <w:t>Notes to Condensed Consolidated Financial Statements</w:t>
              </w:r>
            </w:hyperlink>
          </w:p>
        </w:tc>
        <w:tc>
          <w:tcPr>
            <w:tcW w:w="52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4"/>
                <w:szCs w:val="14"/>
                <w:color w:val="auto"/>
              </w:rPr>
            </w:pPr>
            <w:hyperlink w:anchor="page10">
              <w:r>
                <w:rPr>
                  <w:rFonts w:ascii="Arial" w:cs="Arial" w:eastAsia="Arial" w:hAnsi="Arial"/>
                  <w:sz w:val="14"/>
                  <w:szCs w:val="14"/>
                  <w:color w:val="auto"/>
                </w:rPr>
                <w:t>10</w:t>
              </w:r>
            </w:hyperlink>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Item 2.</w:t>
              </w:r>
            </w:hyperlink>
          </w:p>
        </w:tc>
        <w:tc>
          <w:tcPr>
            <w:tcW w:w="8920" w:type="dxa"/>
            <w:vAlign w:val="bottom"/>
            <w:gridSpan w:val="17"/>
          </w:tcPr>
          <w:p>
            <w:pPr>
              <w:spacing w:after="0"/>
              <w:rPr>
                <w:rFonts w:ascii="Arial" w:cs="Arial" w:eastAsia="Arial" w:hAnsi="Arial"/>
                <w:sz w:val="14"/>
                <w:szCs w:val="14"/>
                <w:color w:val="0000EE"/>
              </w:rPr>
            </w:pPr>
            <w:hyperlink w:anchor="page39">
              <w:r>
                <w:rPr>
                  <w:rFonts w:ascii="Arial" w:cs="Arial" w:eastAsia="Arial" w:hAnsi="Arial"/>
                  <w:sz w:val="14"/>
                  <w:szCs w:val="14"/>
                  <w:color w:val="0000EE"/>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4"/>
                <w:szCs w:val="14"/>
                <w:color w:val="auto"/>
              </w:rPr>
            </w:pPr>
            <w:hyperlink w:anchor="page39">
              <w:r>
                <w:rPr>
                  <w:rFonts w:ascii="Arial" w:cs="Arial" w:eastAsia="Arial" w:hAnsi="Arial"/>
                  <w:sz w:val="14"/>
                  <w:szCs w:val="14"/>
                  <w:color w:val="auto"/>
                </w:rPr>
                <w:t>39</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Item 3.</w:t>
              </w:r>
            </w:hyperlink>
          </w:p>
        </w:tc>
        <w:tc>
          <w:tcPr>
            <w:tcW w:w="8920" w:type="dxa"/>
            <w:vAlign w:val="bottom"/>
            <w:gridSpan w:val="17"/>
          </w:tcPr>
          <w:p>
            <w:pPr>
              <w:spacing w:after="0"/>
              <w:rPr>
                <w:rFonts w:ascii="Arial" w:cs="Arial" w:eastAsia="Arial" w:hAnsi="Arial"/>
                <w:sz w:val="14"/>
                <w:szCs w:val="14"/>
                <w:color w:val="0000EE"/>
              </w:rPr>
            </w:pPr>
            <w:hyperlink w:anchor="page66">
              <w:r>
                <w:rPr>
                  <w:rFonts w:ascii="Arial" w:cs="Arial" w:eastAsia="Arial" w:hAnsi="Arial"/>
                  <w:sz w:val="14"/>
                  <w:szCs w:val="14"/>
                  <w:color w:val="0000EE"/>
                </w:rPr>
                <w:t>Quantitative and Qualitative Disclosures About Market Risk</w:t>
              </w:r>
            </w:hyperlink>
          </w:p>
        </w:tc>
        <w:tc>
          <w:tcPr>
            <w:tcW w:w="660" w:type="dxa"/>
            <w:vAlign w:val="bottom"/>
          </w:tcPr>
          <w:p>
            <w:pPr>
              <w:jc w:val="right"/>
              <w:spacing w:after="0"/>
              <w:rPr>
                <w:rFonts w:ascii="Arial" w:cs="Arial" w:eastAsia="Arial" w:hAnsi="Arial"/>
                <w:sz w:val="14"/>
                <w:szCs w:val="14"/>
                <w:color w:val="auto"/>
              </w:rPr>
            </w:pPr>
            <w:hyperlink w:anchor="page66">
              <w:r>
                <w:rPr>
                  <w:rFonts w:ascii="Arial" w:cs="Arial" w:eastAsia="Arial" w:hAnsi="Arial"/>
                  <w:sz w:val="14"/>
                  <w:szCs w:val="14"/>
                  <w:color w:val="auto"/>
                </w:rPr>
                <w:t>66</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56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Item 4.</w:t>
              </w:r>
            </w:hyperlink>
          </w:p>
        </w:tc>
        <w:tc>
          <w:tcPr>
            <w:tcW w:w="8920" w:type="dxa"/>
            <w:vAlign w:val="bottom"/>
            <w:gridSpan w:val="17"/>
          </w:tcPr>
          <w:p>
            <w:pPr>
              <w:spacing w:after="0"/>
              <w:rPr>
                <w:rFonts w:ascii="Arial" w:cs="Arial" w:eastAsia="Arial" w:hAnsi="Arial"/>
                <w:sz w:val="14"/>
                <w:szCs w:val="14"/>
                <w:color w:val="0000EE"/>
              </w:rPr>
            </w:pPr>
            <w:hyperlink w:anchor="page68">
              <w:r>
                <w:rPr>
                  <w:rFonts w:ascii="Arial" w:cs="Arial" w:eastAsia="Arial" w:hAnsi="Arial"/>
                  <w:sz w:val="14"/>
                  <w:szCs w:val="14"/>
                  <w:color w:val="0000EE"/>
                </w:rPr>
                <w:t>Controls and Procedures</w:t>
              </w:r>
            </w:hyperlink>
          </w:p>
        </w:tc>
        <w:tc>
          <w:tcPr>
            <w:tcW w:w="660" w:type="dxa"/>
            <w:vAlign w:val="bottom"/>
          </w:tcPr>
          <w:p>
            <w:pPr>
              <w:jc w:val="right"/>
              <w:spacing w:after="0"/>
              <w:rPr>
                <w:rFonts w:ascii="Arial" w:cs="Arial" w:eastAsia="Arial" w:hAnsi="Arial"/>
                <w:sz w:val="14"/>
                <w:szCs w:val="14"/>
                <w:color w:val="auto"/>
              </w:rPr>
            </w:pPr>
            <w:hyperlink w:anchor="page68">
              <w:r>
                <w:rPr>
                  <w:rFonts w:ascii="Arial" w:cs="Arial" w:eastAsia="Arial" w:hAnsi="Arial"/>
                  <w:sz w:val="14"/>
                  <w:szCs w:val="14"/>
                  <w:color w:val="auto"/>
                </w:rPr>
                <w:t>68</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8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PART II.</w:t>
              </w:r>
            </w:hyperlink>
          </w:p>
        </w:tc>
        <w:tc>
          <w:tcPr>
            <w:tcW w:w="8920" w:type="dxa"/>
            <w:vAlign w:val="bottom"/>
            <w:gridSpan w:val="17"/>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OTHER INFORMATION</w:t>
              </w:r>
            </w:hyperlink>
          </w:p>
        </w:tc>
        <w:tc>
          <w:tcPr>
            <w:tcW w:w="66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69</w:t>
              </w:r>
            </w:hyperlink>
          </w:p>
        </w:tc>
      </w:tr>
      <w:tr>
        <w:trPr>
          <w:trHeight w:val="389"/>
        </w:trPr>
        <w:tc>
          <w:tcPr>
            <w:tcW w:w="20" w:type="dxa"/>
            <w:vAlign w:val="bottom"/>
          </w:tcPr>
          <w:p>
            <w:pPr>
              <w:spacing w:after="0"/>
              <w:rPr>
                <w:sz w:val="24"/>
                <w:szCs w:val="24"/>
                <w:color w:val="auto"/>
              </w:rPr>
            </w:pPr>
          </w:p>
        </w:tc>
        <w:tc>
          <w:tcPr>
            <w:tcW w:w="480" w:type="dxa"/>
            <w:vAlign w:val="bottom"/>
            <w:tcBorders>
              <w:top w:val="single" w:sz="8" w:color="0000EE"/>
            </w:tcBorders>
            <w:gridSpan w:val="2"/>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Item 1.</w:t>
              </w:r>
            </w:hyperlink>
          </w:p>
        </w:tc>
        <w:tc>
          <w:tcPr>
            <w:tcW w:w="1360" w:type="dxa"/>
            <w:vAlign w:val="bottom"/>
            <w:gridSpan w:val="4"/>
          </w:tcPr>
          <w:p>
            <w:pPr>
              <w:spacing w:after="0"/>
              <w:rPr>
                <w:sz w:val="24"/>
                <w:szCs w:val="24"/>
                <w:color w:val="auto"/>
              </w:rPr>
            </w:pPr>
          </w:p>
        </w:tc>
        <w:tc>
          <w:tcPr>
            <w:tcW w:w="1440" w:type="dxa"/>
            <w:vAlign w:val="bottom"/>
            <w:tcBorders>
              <w:top w:val="single" w:sz="8" w:color="0000EE"/>
            </w:tcBorders>
            <w:gridSpan w:val="6"/>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Legal Proceedings</w:t>
              </w:r>
            </w:hyperlink>
          </w:p>
        </w:tc>
        <w:tc>
          <w:tcPr>
            <w:tcW w:w="7480" w:type="dxa"/>
            <w:vAlign w:val="bottom"/>
            <w:gridSpan w:val="11"/>
          </w:tcPr>
          <w:p>
            <w:pPr>
              <w:spacing w:after="0"/>
              <w:rPr>
                <w:sz w:val="24"/>
                <w:szCs w:val="24"/>
                <w:color w:val="auto"/>
              </w:rPr>
            </w:pPr>
          </w:p>
        </w:tc>
        <w:tc>
          <w:tcPr>
            <w:tcW w:w="66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69</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Item 1A.</w:t>
              </w:r>
            </w:hyperlink>
          </w:p>
        </w:tc>
        <w:tc>
          <w:tcPr>
            <w:tcW w:w="8920" w:type="dxa"/>
            <w:vAlign w:val="bottom"/>
            <w:gridSpan w:val="17"/>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Risk Factors</w:t>
              </w:r>
            </w:hyperlink>
          </w:p>
        </w:tc>
        <w:tc>
          <w:tcPr>
            <w:tcW w:w="66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69</w:t>
              </w:r>
            </w:hyperlink>
          </w:p>
        </w:tc>
      </w:tr>
      <w:tr>
        <w:trPr>
          <w:trHeight w:val="389"/>
        </w:trPr>
        <w:tc>
          <w:tcPr>
            <w:tcW w:w="20" w:type="dxa"/>
            <w:vAlign w:val="bottom"/>
          </w:tcPr>
          <w:p>
            <w:pPr>
              <w:spacing w:after="0"/>
              <w:rPr>
                <w:sz w:val="24"/>
                <w:szCs w:val="24"/>
                <w:color w:val="auto"/>
              </w:rPr>
            </w:pPr>
          </w:p>
        </w:tc>
        <w:tc>
          <w:tcPr>
            <w:tcW w:w="480" w:type="dxa"/>
            <w:vAlign w:val="bottom"/>
            <w:tcBorders>
              <w:top w:val="single" w:sz="8" w:color="0000EE"/>
            </w:tcBorders>
            <w:gridSpan w:val="2"/>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Item 6.</w:t>
              </w:r>
            </w:hyperlink>
          </w:p>
        </w:tc>
        <w:tc>
          <w:tcPr>
            <w:tcW w:w="1360" w:type="dxa"/>
            <w:vAlign w:val="bottom"/>
            <w:gridSpan w:val="4"/>
          </w:tcPr>
          <w:p>
            <w:pPr>
              <w:spacing w:after="0"/>
              <w:rPr>
                <w:sz w:val="24"/>
                <w:szCs w:val="24"/>
                <w:color w:val="auto"/>
              </w:rPr>
            </w:pPr>
          </w:p>
        </w:tc>
        <w:tc>
          <w:tcPr>
            <w:tcW w:w="680" w:type="dxa"/>
            <w:vAlign w:val="bottom"/>
            <w:tcBorders>
              <w:top w:val="single" w:sz="8" w:color="0000EE"/>
            </w:tcBorders>
            <w:gridSpan w:val="2"/>
          </w:tcPr>
          <w:p>
            <w:pPr>
              <w:spacing w:after="0"/>
              <w:rPr>
                <w:rFonts w:ascii="Arial" w:cs="Arial" w:eastAsia="Arial" w:hAnsi="Arial"/>
                <w:sz w:val="14"/>
                <w:szCs w:val="14"/>
                <w:color w:val="0000EE"/>
              </w:rPr>
            </w:pPr>
            <w:hyperlink w:anchor="page69">
              <w:r>
                <w:rPr>
                  <w:rFonts w:ascii="Arial" w:cs="Arial" w:eastAsia="Arial" w:hAnsi="Arial"/>
                  <w:sz w:val="14"/>
                  <w:szCs w:val="14"/>
                  <w:color w:val="0000EE"/>
                </w:rPr>
                <w:t>Exhibits</w:t>
              </w:r>
            </w:hyperlink>
          </w:p>
        </w:tc>
        <w:tc>
          <w:tcPr>
            <w:tcW w:w="8240" w:type="dxa"/>
            <w:vAlign w:val="bottom"/>
            <w:gridSpan w:val="15"/>
          </w:tcPr>
          <w:p>
            <w:pPr>
              <w:spacing w:after="0"/>
              <w:rPr>
                <w:sz w:val="24"/>
                <w:szCs w:val="24"/>
                <w:color w:val="auto"/>
              </w:rPr>
            </w:pPr>
          </w:p>
        </w:tc>
        <w:tc>
          <w:tcPr>
            <w:tcW w:w="660" w:type="dxa"/>
            <w:vAlign w:val="bottom"/>
          </w:tcPr>
          <w:p>
            <w:pPr>
              <w:jc w:val="right"/>
              <w:spacing w:after="0"/>
              <w:rPr>
                <w:rFonts w:ascii="Arial" w:cs="Arial" w:eastAsia="Arial" w:hAnsi="Arial"/>
                <w:sz w:val="14"/>
                <w:szCs w:val="14"/>
                <w:color w:val="auto"/>
              </w:rPr>
            </w:pPr>
            <w:hyperlink w:anchor="page69">
              <w:r>
                <w:rPr>
                  <w:rFonts w:ascii="Arial" w:cs="Arial" w:eastAsia="Arial" w:hAnsi="Arial"/>
                  <w:sz w:val="14"/>
                  <w:szCs w:val="14"/>
                  <w:color w:val="auto"/>
                </w:rPr>
                <w:t>69</w:t>
              </w:r>
            </w:hyperlink>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1840" w:type="dxa"/>
            <w:vAlign w:val="bottom"/>
            <w:gridSpan w:val="6"/>
          </w:tcPr>
          <w:p>
            <w:pPr>
              <w:spacing w:after="0"/>
              <w:rPr>
                <w:rFonts w:ascii="Arial" w:cs="Arial" w:eastAsia="Arial" w:hAnsi="Arial"/>
                <w:sz w:val="14"/>
                <w:szCs w:val="14"/>
                <w:color w:val="0000EE"/>
              </w:rPr>
            </w:pPr>
            <w:hyperlink w:anchor="page70">
              <w:r>
                <w:rPr>
                  <w:rFonts w:ascii="Arial" w:cs="Arial" w:eastAsia="Arial" w:hAnsi="Arial"/>
                  <w:sz w:val="14"/>
                  <w:szCs w:val="14"/>
                  <w:color w:val="0000EE"/>
                </w:rPr>
                <w:t>EXHIBIT INDEX</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4"/>
                <w:szCs w:val="14"/>
                <w:color w:val="auto"/>
              </w:rPr>
            </w:pPr>
            <w:hyperlink w:anchor="page70">
              <w:r>
                <w:rPr>
                  <w:rFonts w:ascii="Arial" w:cs="Arial" w:eastAsia="Arial" w:hAnsi="Arial"/>
                  <w:sz w:val="14"/>
                  <w:szCs w:val="14"/>
                  <w:color w:val="auto"/>
                </w:rPr>
                <w:t>70</w:t>
              </w:r>
            </w:hyperlink>
          </w:p>
        </w:tc>
      </w:tr>
      <w:tr>
        <w:trPr>
          <w:trHeight w:val="399"/>
        </w:trPr>
        <w:tc>
          <w:tcPr>
            <w:tcW w:w="20" w:type="dxa"/>
            <w:vAlign w:val="bottom"/>
          </w:tcPr>
          <w:p>
            <w:pPr>
              <w:spacing w:after="0"/>
              <w:rPr>
                <w:sz w:val="24"/>
                <w:szCs w:val="24"/>
                <w:color w:val="auto"/>
              </w:rPr>
            </w:pPr>
          </w:p>
        </w:tc>
        <w:tc>
          <w:tcPr>
            <w:tcW w:w="1000" w:type="dxa"/>
            <w:vAlign w:val="bottom"/>
            <w:tcBorders>
              <w:top w:val="single" w:sz="8" w:color="0000EE"/>
            </w:tcBorders>
            <w:gridSpan w:val="5"/>
          </w:tcPr>
          <w:p>
            <w:pPr>
              <w:spacing w:after="0"/>
              <w:rPr>
                <w:rFonts w:ascii="Arial" w:cs="Arial" w:eastAsia="Arial" w:hAnsi="Arial"/>
                <w:sz w:val="14"/>
                <w:szCs w:val="14"/>
                <w:color w:val="0000EE"/>
              </w:rPr>
            </w:pPr>
            <w:hyperlink w:anchor="page71">
              <w:r>
                <w:rPr>
                  <w:rFonts w:ascii="Arial" w:cs="Arial" w:eastAsia="Arial" w:hAnsi="Arial"/>
                  <w:sz w:val="14"/>
                  <w:szCs w:val="14"/>
                  <w:color w:val="0000EE"/>
                </w:rPr>
                <w:t>SIGNATURE</w:t>
              </w:r>
            </w:hyperlink>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jc w:val="right"/>
              <w:spacing w:after="0"/>
              <w:rPr>
                <w:rFonts w:ascii="Arial" w:cs="Arial" w:eastAsia="Arial" w:hAnsi="Arial"/>
                <w:sz w:val="14"/>
                <w:szCs w:val="14"/>
                <w:color w:val="auto"/>
              </w:rPr>
            </w:pPr>
            <w:hyperlink w:anchor="page71">
              <w:r>
                <w:rPr>
                  <w:rFonts w:ascii="Arial" w:cs="Arial" w:eastAsia="Arial" w:hAnsi="Arial"/>
                  <w:sz w:val="14"/>
                  <w:szCs w:val="14"/>
                  <w:color w:val="auto"/>
                </w:rPr>
                <w:t>71</w:t>
              </w:r>
            </w:hyperlink>
          </w:p>
        </w:tc>
      </w:tr>
      <w:tr>
        <w:trPr>
          <w:trHeight w:val="542"/>
        </w:trPr>
        <w:tc>
          <w:tcPr>
            <w:tcW w:w="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20" w:type="dxa"/>
            <w:vAlign w:val="bottom"/>
            <w:gridSpan w:val="11"/>
          </w:tcPr>
          <w:p>
            <w:pPr>
              <w:jc w:val="center"/>
              <w:ind w:left="2852"/>
              <w:spacing w:after="0"/>
              <w:rPr>
                <w:sz w:val="20"/>
                <w:szCs w:val="20"/>
                <w:color w:val="auto"/>
              </w:rPr>
            </w:pPr>
            <w:r>
              <w:rPr>
                <w:rFonts w:ascii="Arial" w:cs="Arial" w:eastAsia="Arial" w:hAnsi="Arial"/>
                <w:sz w:val="14"/>
                <w:szCs w:val="14"/>
                <w:color w:val="auto"/>
                <w:w w:val="76"/>
              </w:rPr>
              <w:t>2</w:t>
            </w: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40"/>
          </w:cols>
          <w:pgMar w:left="220" w:top="11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CAUTIONARY STATEMENT</w:t>
      </w:r>
    </w:p>
    <w:p>
      <w:pPr>
        <w:spacing w:after="0" w:line="168" w:lineRule="exact"/>
        <w:rPr>
          <w:sz w:val="20"/>
          <w:szCs w:val="20"/>
          <w:color w:val="auto"/>
        </w:rPr>
      </w:pPr>
    </w:p>
    <w:p>
      <w:pPr>
        <w:ind w:right="20" w:firstLine="245"/>
        <w:spacing w:after="0" w:line="294" w:lineRule="auto"/>
        <w:rPr>
          <w:sz w:val="20"/>
          <w:szCs w:val="20"/>
          <w:color w:val="auto"/>
        </w:rPr>
      </w:pPr>
      <w:r>
        <w:rPr>
          <w:rFonts w:ascii="Arial" w:cs="Arial" w:eastAsia="Arial" w:hAnsi="Arial"/>
          <w:sz w:val="12"/>
          <w:szCs w:val="12"/>
          <w:i w:val="1"/>
          <w:iCs w:val="1"/>
          <w:color w:val="auto"/>
        </w:rPr>
        <w:t>This Quarterly Report on Form 10-Q contains, or incorporates by reference, certain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and (4) statements of assumptions underlying such statements. Activision Blizzard, Inc. generally uses words such as “outlook,” “forecast,” “will,” “could,” “should,” “would,” “to be,” “plan,” “plans,” “believes,” “may,” “might,” “expects,” “intends,” “intends as,” “anticipates,” “estimate,” “future,” “positioned,” “potential,” “project,” “remain,” “scheduled,” “set to,” “subject to,” “upcoming,” and other similar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26" w:lineRule="exact"/>
        <w:rPr>
          <w:sz w:val="20"/>
          <w:szCs w:val="20"/>
          <w:color w:val="auto"/>
        </w:rPr>
      </w:pPr>
    </w:p>
    <w:p>
      <w:pPr>
        <w:ind w:firstLine="245"/>
        <w:spacing w:after="0" w:line="289" w:lineRule="auto"/>
        <w:rPr>
          <w:sz w:val="20"/>
          <w:szCs w:val="20"/>
          <w:color w:val="auto"/>
        </w:rPr>
      </w:pPr>
      <w:r>
        <w:rPr>
          <w:rFonts w:ascii="Arial" w:cs="Arial" w:eastAsia="Arial" w:hAnsi="Arial"/>
          <w:sz w:val="12"/>
          <w:szCs w:val="12"/>
          <w:i w:val="1"/>
          <w:iCs w:val="1"/>
          <w:color w:val="auto"/>
        </w:rPr>
        <w:t>We caution that a number of important factors could cause our actual future results and other future circumstances to differ materially from those expressed in any forward-looking statements. Such factors include, but are not limited to: our ability to consistently deliver popular, high-quality titles in a timely manner; our ability to satisfy the expectations of consumers with respect to our brands, games, services, and/or business practices; concentration of revenue among a small number of titles; the continued growth in the scope and complexity of our business, including the diversion of management time and attention to issues relating to the operations of our newly acquired or started businesses and the potential impact of our expansion into new businesses on our existing businesses; our ability to realize the expected financial and operational benefits of, and effectively manage, our recently announced restructuring plans; increasing importance of revenues derived from digital distribution channels; risks associated with the retail sales business model; substantial influence of third-party platform providers over our products and costs; success and availability of video game consoles manufactured by third parties; risks associated with the free-to-play business model, including dependence on a relatively small number of consumers for a significant portion of revenues and profits from any given game; risks and costs associated with legal proceedings; changes in tax rates or exposure to additional tax liabilities, as well as the outcome of current or future tax disputes; rapid changes in technology and industry standards; competition, including from other forms of entertainment; our ability to sell products at assumed pricing levels; our ability to attract, retain, and motivate skilled personnel; reliance on external developers for development of some of our software products; the amount of our debt and the limitations imposed by the covenants in the agreements governing our debt; counterparty risks relating to customers, licensees, licensors, and manufacturers; intellectual property claims; piracy and unauthorized copying of our products; risks and uncertainties of conducting business outside the United States (“U.S.”); fluctuations in currency exchange rates; increasing regulation of our business, products, and distribution in key territories; compliance with continually evolving laws and regulations concerning data privacy; potential data breaches and other cybersecurity risks; and the other factors identified in “Risk Factors” included in Part I, Item 1A of our Annual Report on Form 10-K for the year ended December 31, 2018.</w:t>
      </w:r>
    </w:p>
    <w:p>
      <w:pPr>
        <w:spacing w:after="0" w:line="131" w:lineRule="exact"/>
        <w:rPr>
          <w:sz w:val="20"/>
          <w:szCs w:val="20"/>
          <w:color w:val="auto"/>
        </w:rPr>
      </w:pPr>
    </w:p>
    <w:p>
      <w:pPr>
        <w:ind w:right="20" w:firstLine="245"/>
        <w:spacing w:after="0" w:line="315" w:lineRule="auto"/>
        <w:rPr>
          <w:sz w:val="20"/>
          <w:szCs w:val="20"/>
          <w:color w:val="auto"/>
        </w:rPr>
      </w:pPr>
      <w:r>
        <w:rPr>
          <w:rFonts w:ascii="Arial" w:cs="Arial" w:eastAsia="Arial" w:hAnsi="Arial"/>
          <w:sz w:val="12"/>
          <w:szCs w:val="12"/>
          <w:i w:val="1"/>
          <w:iCs w:val="1"/>
          <w:color w:val="auto"/>
        </w:rPr>
        <w:t>The forward-looking statements contained herein are based on information available to Activision Blizzard, Inc. as of the date of this filing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11" w:lineRule="exact"/>
        <w:rPr>
          <w:sz w:val="20"/>
          <w:szCs w:val="20"/>
          <w:color w:val="auto"/>
        </w:rPr>
      </w:pPr>
    </w:p>
    <w:p>
      <w:pPr>
        <w:jc w:val="both"/>
        <w:ind w:right="200" w:firstLine="245"/>
        <w:spacing w:after="0" w:line="253" w:lineRule="auto"/>
        <w:rPr>
          <w:sz w:val="20"/>
          <w:szCs w:val="20"/>
          <w:color w:val="auto"/>
        </w:rPr>
      </w:pPr>
      <w:r>
        <w:rPr>
          <w:rFonts w:ascii="Arial" w:cs="Arial" w:eastAsia="Arial" w:hAnsi="Arial"/>
          <w:sz w:val="14"/>
          <w:szCs w:val="14"/>
          <w:i w:val="1"/>
          <w:iCs w:val="1"/>
          <w:color w:val="auto"/>
        </w:rPr>
        <w:t>Activision Blizzard, Inc.’s names, abbreviations thereof, logos, and product and service designators are all either the registered or unregistered trademarks or trade names of Activision Blizzard, Inc. All other product or service names are the property of their respective owners. All dollar amounts referred to in, or contemplated by, this Quarterly Report on Form 10-Q refer to U.S. dollars, unless otherwise explicitly stated to the contrary.</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40"/>
          </w:cols>
          <w:pgMar w:left="220" w:top="12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37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57"/>
        </w:trPr>
        <w:tc>
          <w:tcPr>
            <w:tcW w:w="96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4800" w:type="dxa"/>
            <w:vAlign w:val="bottom"/>
            <w:gridSpan w:val="2"/>
          </w:tcPr>
          <w:p>
            <w:pPr>
              <w:jc w:val="center"/>
              <w:ind w:right="772"/>
              <w:spacing w:after="0"/>
              <w:rPr>
                <w:sz w:val="20"/>
                <w:szCs w:val="20"/>
                <w:color w:val="auto"/>
              </w:rPr>
            </w:pPr>
            <w:r>
              <w:rPr>
                <w:rFonts w:ascii="Arial" w:cs="Arial" w:eastAsia="Arial" w:hAnsi="Arial"/>
                <w:sz w:val="14"/>
                <w:szCs w:val="14"/>
                <w:b w:val="1"/>
                <w:bCs w:val="1"/>
                <w:color w:val="auto"/>
              </w:rPr>
              <w:t>PART I. FINANCIAL INFORMATION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7"/>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Item 1. Financial Statements</w:t>
            </w:r>
          </w:p>
        </w:tc>
        <w:tc>
          <w:tcPr>
            <w:tcW w:w="2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15"/>
        </w:trPr>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00" w:type="dxa"/>
            <w:vAlign w:val="bottom"/>
            <w:gridSpan w:val="2"/>
          </w:tcPr>
          <w:p>
            <w:pPr>
              <w:jc w:val="center"/>
              <w:ind w:right="792"/>
              <w:spacing w:after="0"/>
              <w:rPr>
                <w:sz w:val="20"/>
                <w:szCs w:val="20"/>
                <w:color w:val="auto"/>
              </w:rPr>
            </w:pPr>
            <w:r>
              <w:rPr>
                <w:rFonts w:ascii="Arial" w:cs="Arial" w:eastAsia="Arial" w:hAnsi="Arial"/>
                <w:sz w:val="14"/>
                <w:szCs w:val="14"/>
                <w:b w:val="1"/>
                <w:bCs w:val="1"/>
                <w:color w:val="auto"/>
                <w:w w:val="99"/>
              </w:rPr>
              <w:t>ACTIVISION BLIZZARD, INC. AND SUBSIDIARIES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800" w:type="dxa"/>
            <w:vAlign w:val="bottom"/>
            <w:gridSpan w:val="2"/>
          </w:tcPr>
          <w:p>
            <w:pPr>
              <w:jc w:val="center"/>
              <w:ind w:right="792"/>
              <w:spacing w:after="0"/>
              <w:rPr>
                <w:sz w:val="20"/>
                <w:szCs w:val="20"/>
                <w:color w:val="auto"/>
              </w:rPr>
            </w:pPr>
            <w:r>
              <w:rPr>
                <w:rFonts w:ascii="Arial" w:cs="Arial" w:eastAsia="Arial" w:hAnsi="Arial"/>
                <w:sz w:val="14"/>
                <w:szCs w:val="14"/>
                <w:b w:val="1"/>
                <w:bCs w:val="1"/>
                <w:color w:val="auto"/>
                <w:w w:val="96"/>
              </w:rPr>
              <w:t>CONDENSED CONSOLIDATED BALANCE SHEETS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4"/>
        </w:trPr>
        <w:tc>
          <w:tcPr>
            <w:tcW w:w="9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800" w:type="dxa"/>
            <w:vAlign w:val="bottom"/>
            <w:gridSpan w:val="2"/>
          </w:tcPr>
          <w:p>
            <w:pPr>
              <w:jc w:val="center"/>
              <w:ind w:right="792"/>
              <w:spacing w:after="0"/>
              <w:rPr>
                <w:sz w:val="20"/>
                <w:szCs w:val="20"/>
                <w:color w:val="auto"/>
              </w:rPr>
            </w:pPr>
            <w:r>
              <w:rPr>
                <w:rFonts w:ascii="Arial" w:cs="Arial" w:eastAsia="Arial" w:hAnsi="Arial"/>
                <w:sz w:val="14"/>
                <w:szCs w:val="14"/>
                <w:color w:val="auto"/>
                <w:w w:val="90"/>
              </w:rPr>
              <w:t>(Unaudited)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3"/>
        </w:trPr>
        <w:tc>
          <w:tcPr>
            <w:tcW w:w="9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4800" w:type="dxa"/>
            <w:vAlign w:val="bottom"/>
            <w:gridSpan w:val="2"/>
          </w:tcPr>
          <w:p>
            <w:pPr>
              <w:jc w:val="center"/>
              <w:ind w:right="792"/>
              <w:spacing w:after="0"/>
              <w:rPr>
                <w:sz w:val="20"/>
                <w:szCs w:val="20"/>
                <w:color w:val="auto"/>
              </w:rPr>
            </w:pPr>
            <w:r>
              <w:rPr>
                <w:rFonts w:ascii="Arial" w:cs="Arial" w:eastAsia="Arial" w:hAnsi="Arial"/>
                <w:sz w:val="14"/>
                <w:szCs w:val="14"/>
                <w:color w:val="auto"/>
                <w:w w:val="89"/>
              </w:rPr>
              <w:t>(Amounts in millions, except share data)</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86"/>
        </w:trPr>
        <w:tc>
          <w:tcPr>
            <w:tcW w:w="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At September 30, 2019</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right"/>
              <w:ind w:right="432"/>
              <w:spacing w:after="0"/>
              <w:rPr>
                <w:sz w:val="20"/>
                <w:szCs w:val="20"/>
                <w:color w:val="auto"/>
              </w:rPr>
            </w:pPr>
            <w:r>
              <w:rPr>
                <w:rFonts w:ascii="Arial" w:cs="Arial" w:eastAsia="Arial" w:hAnsi="Arial"/>
                <w:sz w:val="14"/>
                <w:szCs w:val="14"/>
                <w:b w:val="1"/>
                <w:bCs w:val="1"/>
                <w:color w:val="auto"/>
              </w:rPr>
              <w:t>At December 31, 2018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65"/>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90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r>
      <w:tr>
        <w:trPr>
          <w:trHeight w:val="183"/>
        </w:trPr>
        <w:tc>
          <w:tcPr>
            <w:tcW w:w="3760" w:type="dxa"/>
            <w:vAlign w:val="bottom"/>
            <w:gridSpan w:val="2"/>
          </w:tcPr>
          <w:p>
            <w:pPr>
              <w:ind w:left="120"/>
              <w:spacing w:after="0"/>
              <w:rPr>
                <w:sz w:val="20"/>
                <w:szCs w:val="20"/>
                <w:color w:val="auto"/>
              </w:rPr>
            </w:pPr>
            <w:r>
              <w:rPr>
                <w:rFonts w:ascii="Arial" w:cs="Arial" w:eastAsia="Arial" w:hAnsi="Arial"/>
                <w:sz w:val="14"/>
                <w:szCs w:val="14"/>
                <w:color w:val="auto"/>
              </w:rPr>
              <w:t>Current assets:</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5"/>
        </w:trPr>
        <w:tc>
          <w:tcPr>
            <w:tcW w:w="3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Cash and cash equivalents</w:t>
            </w:r>
          </w:p>
        </w:tc>
        <w:tc>
          <w:tcPr>
            <w:tcW w:w="4800" w:type="dxa"/>
            <w:vAlign w:val="bottom"/>
            <w:tcBorders>
              <w:bottom w:val="single" w:sz="8" w:color="CCEEFF"/>
            </w:tcBorders>
            <w:gridSpan w:val="2"/>
            <w:shd w:val="clear" w:color="auto" w:fill="CCEEFF"/>
          </w:tcPr>
          <w:p>
            <w:pPr>
              <w:jc w:val="right"/>
              <w:ind w:right="175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4,939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4,225</w:t>
            </w:r>
          </w:p>
        </w:tc>
      </w:tr>
      <w:tr>
        <w:trPr>
          <w:trHeight w:val="183"/>
        </w:trPr>
        <w:tc>
          <w:tcPr>
            <w:tcW w:w="8560" w:type="dxa"/>
            <w:vAlign w:val="bottom"/>
            <w:gridSpan w:val="4"/>
          </w:tcPr>
          <w:p>
            <w:pPr>
              <w:ind w:left="200"/>
              <w:spacing w:after="0"/>
              <w:rPr>
                <w:sz w:val="20"/>
                <w:szCs w:val="20"/>
                <w:color w:val="auto"/>
              </w:rPr>
            </w:pPr>
            <w:r>
              <w:rPr>
                <w:rFonts w:ascii="Arial" w:cs="Arial" w:eastAsia="Arial" w:hAnsi="Arial"/>
                <w:sz w:val="14"/>
                <w:szCs w:val="14"/>
                <w:color w:val="auto"/>
              </w:rPr>
              <w:t>Accounts receivable, net of allowances of $81 and $190, at September 30, 2019 and December 31, 2018, respectively</w:t>
            </w: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1,035</w:t>
            </w: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5"/>
        </w:trPr>
        <w:tc>
          <w:tcPr>
            <w:tcW w:w="3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Inventories, net</w:t>
            </w:r>
          </w:p>
        </w:tc>
        <w:tc>
          <w:tcPr>
            <w:tcW w:w="29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43</w:t>
            </w:r>
          </w:p>
        </w:tc>
      </w:tr>
      <w:tr>
        <w:trPr>
          <w:trHeight w:val="183"/>
        </w:trPr>
        <w:tc>
          <w:tcPr>
            <w:tcW w:w="3760" w:type="dxa"/>
            <w:vAlign w:val="bottom"/>
            <w:gridSpan w:val="2"/>
          </w:tcPr>
          <w:p>
            <w:pPr>
              <w:ind w:left="200"/>
              <w:spacing w:after="0"/>
              <w:rPr>
                <w:sz w:val="20"/>
                <w:szCs w:val="20"/>
                <w:color w:val="auto"/>
              </w:rPr>
            </w:pPr>
            <w:r>
              <w:rPr>
                <w:rFonts w:ascii="Arial" w:cs="Arial" w:eastAsia="Arial" w:hAnsi="Arial"/>
                <w:sz w:val="14"/>
                <w:szCs w:val="14"/>
                <w:color w:val="auto"/>
              </w:rPr>
              <w:t>Software development</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264</w:t>
            </w: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5"/>
        </w:trPr>
        <w:tc>
          <w:tcPr>
            <w:tcW w:w="3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Other current assets</w:t>
            </w:r>
          </w:p>
        </w:tc>
        <w:tc>
          <w:tcPr>
            <w:tcW w:w="29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345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539</w:t>
            </w:r>
          </w:p>
        </w:tc>
      </w:tr>
      <w:tr>
        <w:trPr>
          <w:trHeight w:val="173"/>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 current assets</w:t>
            </w:r>
          </w:p>
        </w:tc>
        <w:tc>
          <w:tcPr>
            <w:tcW w:w="290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6,012</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6,106</w:t>
            </w: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5"/>
        </w:trPr>
        <w:tc>
          <w:tcPr>
            <w:tcW w:w="3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Software development</w:t>
            </w:r>
          </w:p>
        </w:tc>
        <w:tc>
          <w:tcPr>
            <w:tcW w:w="29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65</w:t>
            </w:r>
          </w:p>
        </w:tc>
      </w:tr>
      <w:tr>
        <w:trPr>
          <w:trHeight w:val="183"/>
        </w:trPr>
        <w:tc>
          <w:tcPr>
            <w:tcW w:w="3760" w:type="dxa"/>
            <w:vAlign w:val="bottom"/>
            <w:gridSpan w:val="2"/>
          </w:tcPr>
          <w:p>
            <w:pPr>
              <w:ind w:left="120"/>
              <w:spacing w:after="0"/>
              <w:rPr>
                <w:sz w:val="20"/>
                <w:szCs w:val="20"/>
                <w:color w:val="auto"/>
              </w:rPr>
            </w:pPr>
            <w:r>
              <w:rPr>
                <w:rFonts w:ascii="Arial" w:cs="Arial" w:eastAsia="Arial" w:hAnsi="Arial"/>
                <w:sz w:val="14"/>
                <w:szCs w:val="14"/>
                <w:color w:val="auto"/>
              </w:rPr>
              <w:t>Property and equipment, net</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282</w:t>
            </w: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5"/>
        </w:trPr>
        <w:tc>
          <w:tcPr>
            <w:tcW w:w="3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Deferred income taxes, net</w:t>
            </w:r>
          </w:p>
        </w:tc>
        <w:tc>
          <w:tcPr>
            <w:tcW w:w="29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458</w:t>
            </w:r>
          </w:p>
        </w:tc>
      </w:tr>
      <w:tr>
        <w:trPr>
          <w:trHeight w:val="183"/>
        </w:trPr>
        <w:tc>
          <w:tcPr>
            <w:tcW w:w="3760" w:type="dxa"/>
            <w:vAlign w:val="bottom"/>
            <w:gridSpan w:val="2"/>
          </w:tcPr>
          <w:p>
            <w:pPr>
              <w:ind w:left="120"/>
              <w:spacing w:after="0"/>
              <w:rPr>
                <w:sz w:val="20"/>
                <w:szCs w:val="20"/>
                <w:color w:val="auto"/>
              </w:rPr>
            </w:pPr>
            <w:r>
              <w:rPr>
                <w:rFonts w:ascii="Arial" w:cs="Arial" w:eastAsia="Arial" w:hAnsi="Arial"/>
                <w:sz w:val="14"/>
                <w:szCs w:val="14"/>
                <w:color w:val="auto"/>
              </w:rPr>
              <w:t>Other assets</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482</w:t>
            </w: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5"/>
        </w:trPr>
        <w:tc>
          <w:tcPr>
            <w:tcW w:w="3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Intangible assets, net</w:t>
            </w:r>
          </w:p>
        </w:tc>
        <w:tc>
          <w:tcPr>
            <w:tcW w:w="29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583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735</w:t>
            </w:r>
          </w:p>
        </w:tc>
      </w:tr>
      <w:tr>
        <w:trPr>
          <w:trHeight w:val="183"/>
        </w:trPr>
        <w:tc>
          <w:tcPr>
            <w:tcW w:w="3760" w:type="dxa"/>
            <w:vAlign w:val="bottom"/>
            <w:gridSpan w:val="2"/>
          </w:tcPr>
          <w:p>
            <w:pPr>
              <w:ind w:left="120"/>
              <w:spacing w:after="0"/>
              <w:rPr>
                <w:sz w:val="20"/>
                <w:szCs w:val="20"/>
                <w:color w:val="auto"/>
              </w:rPr>
            </w:pPr>
            <w:r>
              <w:rPr>
                <w:rFonts w:ascii="Arial" w:cs="Arial" w:eastAsia="Arial" w:hAnsi="Arial"/>
                <w:sz w:val="14"/>
                <w:szCs w:val="14"/>
                <w:color w:val="auto"/>
              </w:rPr>
              <w:t>Goodwill</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9,764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9,762</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3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assets</w:t>
            </w:r>
          </w:p>
        </w:tc>
        <w:tc>
          <w:tcPr>
            <w:tcW w:w="4800" w:type="dxa"/>
            <w:vAlign w:val="bottom"/>
            <w:gridSpan w:val="2"/>
            <w:shd w:val="clear" w:color="auto" w:fill="CCEEFF"/>
          </w:tcPr>
          <w:p>
            <w:pPr>
              <w:jc w:val="right"/>
              <w:ind w:right="1752"/>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8"/>
              </w:rPr>
              <w:t>17,805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17,890</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r>
        <w:trPr>
          <w:trHeight w:val="191"/>
        </w:trPr>
        <w:tc>
          <w:tcPr>
            <w:tcW w:w="9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spacing w:after="0"/>
              <w:rPr>
                <w:sz w:val="16"/>
                <w:szCs w:val="16"/>
                <w:color w:val="auto"/>
              </w:rPr>
            </w:pPr>
          </w:p>
        </w:tc>
      </w:tr>
      <w:tr>
        <w:trPr>
          <w:trHeight w:val="185"/>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9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r>
      <w:tr>
        <w:trPr>
          <w:trHeight w:val="183"/>
        </w:trPr>
        <w:tc>
          <w:tcPr>
            <w:tcW w:w="3760" w:type="dxa"/>
            <w:vAlign w:val="bottom"/>
            <w:gridSpan w:val="2"/>
          </w:tcPr>
          <w:p>
            <w:pPr>
              <w:ind w:left="120"/>
              <w:spacing w:after="0"/>
              <w:rPr>
                <w:sz w:val="20"/>
                <w:szCs w:val="20"/>
                <w:color w:val="auto"/>
              </w:rPr>
            </w:pPr>
            <w:r>
              <w:rPr>
                <w:rFonts w:ascii="Arial" w:cs="Arial" w:eastAsia="Arial" w:hAnsi="Arial"/>
                <w:sz w:val="14"/>
                <w:szCs w:val="14"/>
                <w:color w:val="auto"/>
              </w:rPr>
              <w:t>Current liabilities:</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5"/>
        </w:trPr>
        <w:tc>
          <w:tcPr>
            <w:tcW w:w="3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Accounts payable</w:t>
            </w:r>
          </w:p>
        </w:tc>
        <w:tc>
          <w:tcPr>
            <w:tcW w:w="4800" w:type="dxa"/>
            <w:vAlign w:val="bottom"/>
            <w:tcBorders>
              <w:bottom w:val="single" w:sz="8" w:color="CCEEFF"/>
            </w:tcBorders>
            <w:gridSpan w:val="2"/>
            <w:shd w:val="clear" w:color="auto" w:fill="CCEEFF"/>
          </w:tcPr>
          <w:p>
            <w:pPr>
              <w:jc w:val="right"/>
              <w:ind w:right="175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253</w:t>
            </w:r>
          </w:p>
        </w:tc>
      </w:tr>
      <w:tr>
        <w:trPr>
          <w:trHeight w:val="183"/>
        </w:trPr>
        <w:tc>
          <w:tcPr>
            <w:tcW w:w="3760" w:type="dxa"/>
            <w:vAlign w:val="bottom"/>
            <w:gridSpan w:val="2"/>
          </w:tcPr>
          <w:p>
            <w:pPr>
              <w:ind w:left="200"/>
              <w:spacing w:after="0"/>
              <w:rPr>
                <w:sz w:val="20"/>
                <w:szCs w:val="20"/>
                <w:color w:val="auto"/>
              </w:rPr>
            </w:pPr>
            <w:r>
              <w:rPr>
                <w:rFonts w:ascii="Arial" w:cs="Arial" w:eastAsia="Arial" w:hAnsi="Arial"/>
                <w:sz w:val="14"/>
                <w:szCs w:val="14"/>
                <w:color w:val="auto"/>
              </w:rPr>
              <w:t>Deferred revenues</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1,493</w:t>
            </w: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5"/>
        </w:trPr>
        <w:tc>
          <w:tcPr>
            <w:tcW w:w="37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29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896</w:t>
            </w:r>
          </w:p>
        </w:tc>
      </w:tr>
      <w:tr>
        <w:trPr>
          <w:trHeight w:val="173"/>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 current liabilities</w:t>
            </w:r>
          </w:p>
        </w:tc>
        <w:tc>
          <w:tcPr>
            <w:tcW w:w="290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1,751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2,642</w:t>
            </w: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5"/>
        </w:trPr>
        <w:tc>
          <w:tcPr>
            <w:tcW w:w="3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Long-term debt, net</w:t>
            </w:r>
          </w:p>
        </w:tc>
        <w:tc>
          <w:tcPr>
            <w:tcW w:w="290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2,674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2,671</w:t>
            </w:r>
          </w:p>
        </w:tc>
      </w:tr>
      <w:tr>
        <w:trPr>
          <w:trHeight w:val="183"/>
        </w:trPr>
        <w:tc>
          <w:tcPr>
            <w:tcW w:w="3760" w:type="dxa"/>
            <w:vAlign w:val="bottom"/>
            <w:gridSpan w:val="2"/>
          </w:tcPr>
          <w:p>
            <w:pPr>
              <w:ind w:left="120"/>
              <w:spacing w:after="0"/>
              <w:rPr>
                <w:sz w:val="20"/>
                <w:szCs w:val="20"/>
                <w:color w:val="auto"/>
              </w:rPr>
            </w:pPr>
            <w:r>
              <w:rPr>
                <w:rFonts w:ascii="Arial" w:cs="Arial" w:eastAsia="Arial" w:hAnsi="Arial"/>
                <w:sz w:val="14"/>
                <w:szCs w:val="14"/>
                <w:color w:val="auto"/>
              </w:rPr>
              <w:t>Deferred income taxes, net</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18</w:t>
            </w: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5"/>
        </w:trPr>
        <w:tc>
          <w:tcPr>
            <w:tcW w:w="3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Other liabilities</w:t>
            </w:r>
          </w:p>
        </w:tc>
        <w:tc>
          <w:tcPr>
            <w:tcW w:w="29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1,122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1,167</w:t>
            </w:r>
          </w:p>
        </w:tc>
      </w:tr>
      <w:tr>
        <w:trPr>
          <w:trHeight w:val="173"/>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 liabilities</w:t>
            </w:r>
          </w:p>
        </w:tc>
        <w:tc>
          <w:tcPr>
            <w:tcW w:w="290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5,570</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6,498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65"/>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19)</w:t>
            </w:r>
          </w:p>
        </w:tc>
        <w:tc>
          <w:tcPr>
            <w:tcW w:w="2900" w:type="dxa"/>
            <w:vAlign w:val="bottom"/>
            <w:tcBorders>
              <w:bottom w:val="single" w:sz="8" w:color="CCEEFF"/>
            </w:tcBorders>
            <w:shd w:val="clear" w:color="auto" w:fill="CCEEFF"/>
          </w:tcPr>
          <w:p>
            <w:pPr>
              <w:spacing w:after="0"/>
              <w:rPr>
                <w:sz w:val="14"/>
                <w:szCs w:val="14"/>
                <w:color w:val="auto"/>
              </w:rPr>
            </w:pPr>
          </w:p>
        </w:tc>
        <w:tc>
          <w:tcPr>
            <w:tcW w:w="19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Shareholders’ equity:</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73"/>
        </w:trPr>
        <w:tc>
          <w:tcPr>
            <w:tcW w:w="85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Common stock, $0.000001 par value, 2,400,000,000 shares authorized, 1,196,802,874 and 1,192,093,991 shares issued</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75"/>
        </w:trPr>
        <w:tc>
          <w:tcPr>
            <w:tcW w:w="3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w w:val="95"/>
              </w:rPr>
              <w:t>at September 30, 2019 and December 31, 2018, respectively</w:t>
            </w:r>
          </w:p>
        </w:tc>
        <w:tc>
          <w:tcPr>
            <w:tcW w:w="2900" w:type="dxa"/>
            <w:vAlign w:val="bottom"/>
            <w:tcBorders>
              <w:bottom w:val="single" w:sz="8" w:color="CCEEFF"/>
            </w:tcBorders>
            <w:shd w:val="clear" w:color="auto" w:fill="CCEEFF"/>
          </w:tcPr>
          <w:p>
            <w:pPr>
              <w:spacing w:after="0"/>
              <w:rPr>
                <w:sz w:val="15"/>
                <w:szCs w:val="15"/>
                <w:color w:val="auto"/>
              </w:rPr>
            </w:pPr>
          </w:p>
        </w:tc>
        <w:tc>
          <w:tcPr>
            <w:tcW w:w="19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3"/>
        </w:trPr>
        <w:tc>
          <w:tcPr>
            <w:tcW w:w="3760" w:type="dxa"/>
            <w:vAlign w:val="bottom"/>
            <w:gridSpan w:val="2"/>
          </w:tcPr>
          <w:p>
            <w:pPr>
              <w:ind w:left="120"/>
              <w:spacing w:after="0"/>
              <w:rPr>
                <w:sz w:val="20"/>
                <w:szCs w:val="20"/>
                <w:color w:val="auto"/>
              </w:rPr>
            </w:pPr>
            <w:r>
              <w:rPr>
                <w:rFonts w:ascii="Arial" w:cs="Arial" w:eastAsia="Arial" w:hAnsi="Arial"/>
                <w:sz w:val="14"/>
                <w:szCs w:val="14"/>
                <w:color w:val="auto"/>
              </w:rPr>
              <w:t>Additional paid-in capital</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w w:val="88"/>
              </w:rPr>
              <w:t>11,116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10,963</w:t>
            </w:r>
          </w:p>
        </w:tc>
      </w:tr>
      <w:tr>
        <w:trPr>
          <w:trHeight w:val="21"/>
        </w:trPr>
        <w:tc>
          <w:tcPr>
            <w:tcW w:w="96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5"/>
        </w:trPr>
        <w:tc>
          <w:tcPr>
            <w:tcW w:w="856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Less: Treasury stock, at cost, 428,676,471 shares at September 30, 2019 and December 31, 2018</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94"/>
              </w:rPr>
              <w:t>(5,563)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(5,563)</w:t>
            </w:r>
          </w:p>
        </w:tc>
      </w:tr>
      <w:tr>
        <w:trPr>
          <w:trHeight w:val="183"/>
        </w:trPr>
        <w:tc>
          <w:tcPr>
            <w:tcW w:w="3760" w:type="dxa"/>
            <w:vAlign w:val="bottom"/>
            <w:gridSpan w:val="2"/>
          </w:tcPr>
          <w:p>
            <w:pPr>
              <w:ind w:left="120"/>
              <w:spacing w:after="0"/>
              <w:rPr>
                <w:sz w:val="20"/>
                <w:szCs w:val="20"/>
                <w:color w:val="auto"/>
              </w:rPr>
            </w:pPr>
            <w:r>
              <w:rPr>
                <w:rFonts w:ascii="Arial" w:cs="Arial" w:eastAsia="Arial" w:hAnsi="Arial"/>
                <w:sz w:val="14"/>
                <w:szCs w:val="14"/>
                <w:color w:val="auto"/>
              </w:rPr>
              <w:t>Retained earnings</w:t>
            </w:r>
          </w:p>
        </w:tc>
        <w:tc>
          <w:tcPr>
            <w:tcW w:w="2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7,289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6,593</w:t>
            </w:r>
          </w:p>
        </w:tc>
      </w:tr>
      <w:tr>
        <w:trPr>
          <w:trHeight w:val="21"/>
        </w:trPr>
        <w:tc>
          <w:tcPr>
            <w:tcW w:w="9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05"/>
        </w:trPr>
        <w:tc>
          <w:tcPr>
            <w:tcW w:w="37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290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(607)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w:t>
            </w:r>
          </w:p>
        </w:tc>
      </w:tr>
      <w:tr>
        <w:trPr>
          <w:trHeight w:val="173"/>
        </w:trPr>
        <w:tc>
          <w:tcPr>
            <w:tcW w:w="3760" w:type="dxa"/>
            <w:vAlign w:val="bottom"/>
            <w:gridSpan w:val="2"/>
          </w:tcPr>
          <w:p>
            <w:pPr>
              <w:ind w:left="280"/>
              <w:spacing w:after="0"/>
              <w:rPr>
                <w:sz w:val="20"/>
                <w:szCs w:val="20"/>
                <w:color w:val="auto"/>
              </w:rPr>
            </w:pPr>
            <w:r>
              <w:rPr>
                <w:rFonts w:ascii="Arial" w:cs="Arial" w:eastAsia="Arial" w:hAnsi="Arial"/>
                <w:sz w:val="14"/>
                <w:szCs w:val="14"/>
                <w:color w:val="auto"/>
              </w:rPr>
              <w:t>Total shareholders’ equity</w:t>
            </w:r>
          </w:p>
        </w:tc>
        <w:tc>
          <w:tcPr>
            <w:tcW w:w="290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w w:val="88"/>
              </w:rPr>
              <w:t>12,235</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11,392</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37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shareholders’ equity</w:t>
            </w:r>
          </w:p>
        </w:tc>
        <w:tc>
          <w:tcPr>
            <w:tcW w:w="4800" w:type="dxa"/>
            <w:vAlign w:val="bottom"/>
            <w:gridSpan w:val="2"/>
            <w:shd w:val="clear" w:color="auto" w:fill="CCEEFF"/>
          </w:tcPr>
          <w:p>
            <w:pPr>
              <w:jc w:val="right"/>
              <w:ind w:right="1752"/>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88"/>
              </w:rPr>
              <w:t>17,805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17,890</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111" w:right="2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millions, except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33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For the Three Months Ended September 30,</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40" w:type="dxa"/>
            <w:vAlign w:val="bottom"/>
            <w:gridSpan w:val="4"/>
          </w:tcPr>
          <w:p>
            <w:pPr>
              <w:jc w:val="center"/>
              <w:ind w:right="132"/>
              <w:spacing w:after="0"/>
              <w:rPr>
                <w:sz w:val="20"/>
                <w:szCs w:val="20"/>
                <w:color w:val="auto"/>
              </w:rPr>
            </w:pPr>
            <w:r>
              <w:rPr>
                <w:rFonts w:ascii="Arial" w:cs="Arial" w:eastAsia="Arial" w:hAnsi="Arial"/>
                <w:sz w:val="14"/>
                <w:szCs w:val="14"/>
                <w:b w:val="1"/>
                <w:bCs w:val="1"/>
                <w:color w:val="auto"/>
                <w:w w:val="88"/>
              </w:rPr>
              <w:t>For the Nine Months Ended September 30,</w:t>
            </w:r>
          </w:p>
        </w:tc>
      </w:tr>
      <w:tr>
        <w:trPr>
          <w:trHeight w:val="21"/>
        </w:trPr>
        <w:tc>
          <w:tcPr>
            <w:tcW w:w="3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3"/>
        </w:trPr>
        <w:tc>
          <w:tcPr>
            <w:tcW w:w="37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7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2018</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w:t>
            </w:r>
          </w:p>
        </w:tc>
        <w:tc>
          <w:tcPr>
            <w:tcW w:w="1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120"/>
              <w:spacing w:after="0"/>
              <w:rPr>
                <w:sz w:val="20"/>
                <w:szCs w:val="20"/>
                <w:color w:val="auto"/>
              </w:rPr>
            </w:pPr>
            <w:r>
              <w:rPr>
                <w:rFonts w:ascii="Arial" w:cs="Arial" w:eastAsia="Arial" w:hAnsi="Arial"/>
                <w:sz w:val="14"/>
                <w:szCs w:val="14"/>
                <w:color w:val="auto"/>
              </w:rPr>
              <w:t>Product sales</w:t>
            </w:r>
          </w:p>
        </w:tc>
        <w:tc>
          <w:tcPr>
            <w:tcW w:w="1240" w:type="dxa"/>
            <w:vAlign w:val="bottom"/>
          </w:tcPr>
          <w:p>
            <w:pPr>
              <w:jc w:val="right"/>
              <w:ind w:right="107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5"/>
                <w:szCs w:val="15"/>
                <w:color w:val="auto"/>
              </w:rPr>
            </w:pPr>
          </w:p>
        </w:tc>
        <w:tc>
          <w:tcPr>
            <w:tcW w:w="1320" w:type="dxa"/>
            <w:vAlign w:val="bottom"/>
          </w:tcPr>
          <w:p>
            <w:pPr>
              <w:jc w:val="right"/>
              <w:ind w:right="1172"/>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5"/>
                <w:szCs w:val="15"/>
                <w:color w:val="auto"/>
              </w:rPr>
            </w:pP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1,276</w:t>
            </w:r>
          </w:p>
        </w:tc>
        <w:tc>
          <w:tcPr>
            <w:tcW w:w="100" w:type="dxa"/>
            <w:vAlign w:val="bottom"/>
          </w:tcPr>
          <w:p>
            <w:pPr>
              <w:spacing w:after="0"/>
              <w:rPr>
                <w:sz w:val="15"/>
                <w:szCs w:val="15"/>
                <w:color w:val="auto"/>
              </w:rPr>
            </w:pPr>
          </w:p>
        </w:tc>
        <w:tc>
          <w:tcPr>
            <w:tcW w:w="440" w:type="dxa"/>
            <w:vAlign w:val="bottom"/>
          </w:tcPr>
          <w:p>
            <w:pPr>
              <w:jc w:val="center"/>
              <w:ind w:right="252"/>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1,447</w:t>
            </w: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Subscription, licensing, and other revenues</w:t>
            </w:r>
          </w:p>
        </w:tc>
        <w:tc>
          <w:tcPr>
            <w:tcW w:w="1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1,022</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1,249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3,227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3,672</w:t>
            </w:r>
          </w:p>
        </w:tc>
      </w:tr>
      <w:tr>
        <w:trPr>
          <w:trHeight w:val="173"/>
        </w:trPr>
        <w:tc>
          <w:tcPr>
            <w:tcW w:w="3780" w:type="dxa"/>
            <w:vAlign w:val="bottom"/>
          </w:tcPr>
          <w:p>
            <w:pPr>
              <w:ind w:left="20"/>
              <w:spacing w:after="0"/>
              <w:rPr>
                <w:sz w:val="20"/>
                <w:szCs w:val="20"/>
                <w:color w:val="auto"/>
              </w:rPr>
            </w:pPr>
            <w:r>
              <w:rPr>
                <w:rFonts w:ascii="Arial" w:cs="Arial" w:eastAsia="Arial" w:hAnsi="Arial"/>
                <w:sz w:val="14"/>
                <w:szCs w:val="14"/>
                <w:color w:val="auto"/>
              </w:rPr>
              <w:t>Total net revenues</w:t>
            </w:r>
          </w:p>
        </w:tc>
        <w:tc>
          <w:tcPr>
            <w:tcW w:w="1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1,282</w:t>
            </w: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1,512</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4,503</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5,119</w:t>
            </w: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5"/>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Cost of revenues—product sales:</w:t>
            </w:r>
          </w:p>
        </w:tc>
        <w:tc>
          <w:tcPr>
            <w:tcW w:w="1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0"/>
              <w:spacing w:after="0"/>
              <w:rPr>
                <w:sz w:val="20"/>
                <w:szCs w:val="20"/>
                <w:color w:val="auto"/>
              </w:rPr>
            </w:pPr>
            <w:r>
              <w:rPr>
                <w:rFonts w:ascii="Arial" w:cs="Arial" w:eastAsia="Arial" w:hAnsi="Arial"/>
                <w:sz w:val="14"/>
                <w:szCs w:val="14"/>
                <w:color w:val="auto"/>
              </w:rPr>
              <w:t>Product costs</w:t>
            </w:r>
          </w:p>
        </w:tc>
        <w:tc>
          <w:tcPr>
            <w:tcW w:w="124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416</w:t>
            </w: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3"/>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Software royalties, amortization, and intellectual property</w:t>
            </w:r>
          </w:p>
        </w:tc>
        <w:tc>
          <w:tcPr>
            <w:tcW w:w="1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5"/>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licenses</w:t>
            </w:r>
          </w:p>
        </w:tc>
        <w:tc>
          <w:tcPr>
            <w:tcW w:w="12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214</w:t>
            </w:r>
          </w:p>
        </w:tc>
      </w:tr>
      <w:tr>
        <w:trPr>
          <w:trHeight w:val="183"/>
        </w:trPr>
        <w:tc>
          <w:tcPr>
            <w:tcW w:w="3780" w:type="dxa"/>
            <w:vAlign w:val="bottom"/>
          </w:tcPr>
          <w:p>
            <w:pPr>
              <w:ind w:left="120"/>
              <w:spacing w:after="0"/>
              <w:rPr>
                <w:sz w:val="20"/>
                <w:szCs w:val="20"/>
                <w:color w:val="auto"/>
              </w:rPr>
            </w:pPr>
            <w:r>
              <w:rPr>
                <w:rFonts w:ascii="Arial" w:cs="Arial" w:eastAsia="Arial" w:hAnsi="Arial"/>
                <w:sz w:val="14"/>
                <w:szCs w:val="14"/>
                <w:color w:val="auto"/>
                <w:w w:val="93"/>
              </w:rPr>
              <w:t>Cost of revenues—subscription, licensing, and other revenues:</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Game operations and distribution costs</w:t>
            </w:r>
          </w:p>
        </w:tc>
        <w:tc>
          <w:tcPr>
            <w:tcW w:w="1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246</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714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777</w:t>
            </w:r>
          </w:p>
        </w:tc>
      </w:tr>
      <w:tr>
        <w:trPr>
          <w:trHeight w:val="173"/>
        </w:trPr>
        <w:tc>
          <w:tcPr>
            <w:tcW w:w="3780" w:type="dxa"/>
            <w:vAlign w:val="bottom"/>
          </w:tcPr>
          <w:p>
            <w:pPr>
              <w:ind w:left="200"/>
              <w:spacing w:after="0"/>
              <w:rPr>
                <w:sz w:val="20"/>
                <w:szCs w:val="20"/>
                <w:color w:val="auto"/>
              </w:rPr>
            </w:pPr>
            <w:r>
              <w:rPr>
                <w:rFonts w:ascii="Arial" w:cs="Arial" w:eastAsia="Arial" w:hAnsi="Arial"/>
                <w:sz w:val="14"/>
                <w:szCs w:val="14"/>
                <w:color w:val="auto"/>
              </w:rPr>
              <w:t>Software royalties, amortization, and intellectual property</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780" w:type="dxa"/>
            <w:vAlign w:val="bottom"/>
          </w:tcPr>
          <w:p>
            <w:pPr>
              <w:ind w:left="200"/>
              <w:spacing w:after="0"/>
              <w:rPr>
                <w:sz w:val="20"/>
                <w:szCs w:val="20"/>
                <w:color w:val="auto"/>
              </w:rPr>
            </w:pPr>
            <w:r>
              <w:rPr>
                <w:rFonts w:ascii="Arial" w:cs="Arial" w:eastAsia="Arial" w:hAnsi="Arial"/>
                <w:sz w:val="14"/>
                <w:szCs w:val="14"/>
                <w:color w:val="auto"/>
              </w:rPr>
              <w:t>licenses</w:t>
            </w:r>
          </w:p>
        </w:tc>
        <w:tc>
          <w:tcPr>
            <w:tcW w:w="124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278</w:t>
            </w: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Product development</w:t>
            </w:r>
          </w:p>
        </w:tc>
        <w:tc>
          <w:tcPr>
            <w:tcW w:w="1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702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776</w:t>
            </w:r>
          </w:p>
        </w:tc>
      </w:tr>
      <w:tr>
        <w:trPr>
          <w:trHeight w:val="183"/>
        </w:trPr>
        <w:tc>
          <w:tcPr>
            <w:tcW w:w="378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124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741</w:t>
            </w: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1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527</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623</w:t>
            </w:r>
          </w:p>
        </w:tc>
      </w:tr>
      <w:tr>
        <w:trPr>
          <w:trHeight w:val="183"/>
        </w:trPr>
        <w:tc>
          <w:tcPr>
            <w:tcW w:w="3780" w:type="dxa"/>
            <w:vAlign w:val="bottom"/>
          </w:tcPr>
          <w:p>
            <w:pPr>
              <w:ind w:left="120"/>
              <w:spacing w:after="0"/>
              <w:rPr>
                <w:sz w:val="20"/>
                <w:szCs w:val="20"/>
                <w:color w:val="auto"/>
              </w:rPr>
            </w:pPr>
            <w:r>
              <w:rPr>
                <w:rFonts w:ascii="Arial" w:cs="Arial" w:eastAsia="Arial" w:hAnsi="Arial"/>
                <w:sz w:val="14"/>
                <w:szCs w:val="14"/>
                <w:color w:val="auto"/>
              </w:rPr>
              <w:t>Restructuring and related costs</w:t>
            </w:r>
          </w:p>
        </w:tc>
        <w:tc>
          <w:tcPr>
            <w:tcW w:w="124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1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1,035</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1,247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3,350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3,825</w:t>
            </w:r>
          </w:p>
        </w:tc>
      </w:tr>
      <w:tr>
        <w:trPr>
          <w:trHeight w:val="205"/>
        </w:trPr>
        <w:tc>
          <w:tcPr>
            <w:tcW w:w="37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1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1,153</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1,294</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Interest and other expense (income), net (Note 15)</w:t>
            </w:r>
          </w:p>
        </w:tc>
        <w:tc>
          <w:tcPr>
            <w:tcW w:w="1240" w:type="dxa"/>
            <w:vAlign w:val="bottom"/>
          </w:tcPr>
          <w:p>
            <w:pPr>
              <w:spacing w:after="0"/>
              <w:rPr>
                <w:sz w:val="15"/>
                <w:szCs w:val="15"/>
                <w:color w:val="auto"/>
              </w:rPr>
            </w:pP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12"/>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67</w:t>
            </w: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40</w:t>
            </w:r>
          </w:p>
        </w:tc>
      </w:tr>
      <w:tr>
        <w:trPr>
          <w:trHeight w:val="173"/>
        </w:trPr>
        <w:tc>
          <w:tcPr>
            <w:tcW w:w="3780" w:type="dxa"/>
            <w:vAlign w:val="bottom"/>
          </w:tcPr>
          <w:p>
            <w:pPr>
              <w:ind w:left="20"/>
              <w:spacing w:after="0"/>
              <w:rPr>
                <w:sz w:val="20"/>
                <w:szCs w:val="20"/>
                <w:color w:val="auto"/>
              </w:rPr>
            </w:pPr>
            <w:r>
              <w:rPr>
                <w:rFonts w:ascii="Arial" w:cs="Arial" w:eastAsia="Arial" w:hAnsi="Arial"/>
                <w:sz w:val="14"/>
                <w:szCs w:val="14"/>
                <w:color w:val="auto"/>
              </w:rPr>
              <w:t>Income before income tax expense (benefit)</w:t>
            </w:r>
          </w:p>
        </w:tc>
        <w:tc>
          <w:tcPr>
            <w:tcW w:w="1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1,187</w:t>
            </w: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w:t>
            </w:r>
          </w:p>
        </w:tc>
      </w:tr>
      <w:tr>
        <w:trPr>
          <w:trHeight w:val="22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1240" w:type="dxa"/>
            <w:vAlign w:val="bottom"/>
            <w:tcBorders>
              <w:top w:val="single" w:sz="8" w:color="auto"/>
              <w:bottom w:val="single" w:sz="8" w:color="auto"/>
            </w:tcBorders>
          </w:tcPr>
          <w:p>
            <w:pPr>
              <w:jc w:val="right"/>
              <w:ind w:right="1072"/>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172"/>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978</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center"/>
              <w:ind w:right="252"/>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1,162</w:t>
            </w:r>
          </w:p>
        </w:tc>
      </w:tr>
      <w:tr>
        <w:trPr>
          <w:trHeight w:val="191"/>
        </w:trPr>
        <w:tc>
          <w:tcPr>
            <w:tcW w:w="37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Earnings per common share</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240" w:type="dxa"/>
            <w:vAlign w:val="bottom"/>
            <w:tcBorders>
              <w:bottom w:val="single" w:sz="8" w:color="CCEEFF"/>
            </w:tcBorders>
            <w:shd w:val="clear" w:color="auto" w:fill="CCEEFF"/>
          </w:tcPr>
          <w:p>
            <w:pPr>
              <w:jc w:val="right"/>
              <w:ind w:right="107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0.27</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1172"/>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center"/>
              <w:ind w:right="252"/>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1.53</w:t>
            </w:r>
          </w:p>
        </w:tc>
      </w:tr>
      <w:tr>
        <w:trPr>
          <w:trHeight w:val="183"/>
        </w:trPr>
        <w:tc>
          <w:tcPr>
            <w:tcW w:w="3780" w:type="dxa"/>
            <w:vAlign w:val="bottom"/>
          </w:tcPr>
          <w:p>
            <w:pPr>
              <w:ind w:left="120"/>
              <w:spacing w:after="0"/>
              <w:rPr>
                <w:sz w:val="20"/>
                <w:szCs w:val="20"/>
                <w:color w:val="auto"/>
              </w:rPr>
            </w:pPr>
            <w:r>
              <w:rPr>
                <w:rFonts w:ascii="Arial" w:cs="Arial" w:eastAsia="Arial" w:hAnsi="Arial"/>
                <w:sz w:val="14"/>
                <w:szCs w:val="14"/>
                <w:color w:val="auto"/>
              </w:rPr>
              <w:t>Diluted</w:t>
            </w:r>
          </w:p>
        </w:tc>
        <w:tc>
          <w:tcPr>
            <w:tcW w:w="1240" w:type="dxa"/>
            <w:vAlign w:val="bottom"/>
          </w:tcPr>
          <w:p>
            <w:pPr>
              <w:jc w:val="right"/>
              <w:ind w:right="1072"/>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5"/>
                <w:szCs w:val="15"/>
                <w:color w:val="auto"/>
              </w:rPr>
            </w:pPr>
          </w:p>
        </w:tc>
        <w:tc>
          <w:tcPr>
            <w:tcW w:w="1320" w:type="dxa"/>
            <w:vAlign w:val="bottom"/>
          </w:tcPr>
          <w:p>
            <w:pPr>
              <w:jc w:val="right"/>
              <w:ind w:right="1172"/>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5"/>
                <w:szCs w:val="15"/>
                <w:color w:val="auto"/>
              </w:rPr>
            </w:pP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440" w:type="dxa"/>
            <w:vAlign w:val="bottom"/>
          </w:tcPr>
          <w:p>
            <w:pPr>
              <w:jc w:val="center"/>
              <w:ind w:right="252"/>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1.51</w:t>
            </w: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15"/>
        </w:trPr>
        <w:tc>
          <w:tcPr>
            <w:tcW w:w="37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Weighted-average number of shares outstanding</w:t>
            </w: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1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767</w:t>
            </w:r>
          </w:p>
        </w:tc>
        <w:tc>
          <w:tcPr>
            <w:tcW w:w="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763</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766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761</w:t>
            </w:r>
          </w:p>
        </w:tc>
      </w:tr>
      <w:tr>
        <w:trPr>
          <w:trHeight w:val="183"/>
        </w:trPr>
        <w:tc>
          <w:tcPr>
            <w:tcW w:w="3780" w:type="dxa"/>
            <w:vAlign w:val="bottom"/>
          </w:tcPr>
          <w:p>
            <w:pPr>
              <w:ind w:left="120"/>
              <w:spacing w:after="0"/>
              <w:rPr>
                <w:sz w:val="20"/>
                <w:szCs w:val="20"/>
                <w:color w:val="auto"/>
              </w:rPr>
            </w:pPr>
            <w:r>
              <w:rPr>
                <w:rFonts w:ascii="Arial" w:cs="Arial" w:eastAsia="Arial" w:hAnsi="Arial"/>
                <w:sz w:val="14"/>
                <w:szCs w:val="14"/>
                <w:color w:val="auto"/>
              </w:rPr>
              <w:t>Diluted</w:t>
            </w:r>
          </w:p>
        </w:tc>
        <w:tc>
          <w:tcPr>
            <w:tcW w:w="124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jc w:val="right"/>
              <w:ind w:right="52"/>
              <w:spacing w:after="0"/>
              <w:rPr>
                <w:sz w:val="20"/>
                <w:szCs w:val="20"/>
                <w:color w:val="auto"/>
              </w:rPr>
            </w:pPr>
            <w:r>
              <w:rPr>
                <w:rFonts w:ascii="Arial" w:cs="Arial" w:eastAsia="Arial" w:hAnsi="Arial"/>
                <w:sz w:val="14"/>
                <w:szCs w:val="14"/>
                <w:color w:val="auto"/>
              </w:rPr>
              <w:t>770</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771</w:t>
            </w: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60"/>
          </w:cols>
          <w:pgMar w:left="220" w:top="129" w:right="21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COMPREHENSIVE INCOME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3360" w:type="dxa"/>
            <w:vAlign w:val="bottom"/>
            <w:gridSpan w:val="4"/>
          </w:tcPr>
          <w:p>
            <w:pPr>
              <w:jc w:val="right"/>
              <w:ind w:right="92"/>
              <w:spacing w:after="0"/>
              <w:rPr>
                <w:sz w:val="20"/>
                <w:szCs w:val="20"/>
                <w:color w:val="auto"/>
              </w:rPr>
            </w:pPr>
            <w:r>
              <w:rPr>
                <w:rFonts w:ascii="Arial" w:cs="Arial" w:eastAsia="Arial" w:hAnsi="Arial"/>
                <w:sz w:val="14"/>
                <w:szCs w:val="14"/>
                <w:b w:val="1"/>
                <w:bCs w:val="1"/>
                <w:color w:val="auto"/>
              </w:rPr>
              <w:t>For the Three Months Ended September 30,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w w:val="97"/>
              </w:rPr>
              <w:t>For the Nine Months Ended September 30,</w:t>
            </w:r>
          </w:p>
        </w:tc>
      </w:tr>
      <w:tr>
        <w:trPr>
          <w:trHeight w:val="21"/>
        </w:trPr>
        <w:tc>
          <w:tcPr>
            <w:tcW w:w="3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3"/>
        </w:trPr>
        <w:tc>
          <w:tcPr>
            <w:tcW w:w="3780" w:type="dxa"/>
            <w:vAlign w:val="bottom"/>
          </w:tcPr>
          <w:p>
            <w:pPr>
              <w:spacing w:after="0"/>
              <w:rPr>
                <w:sz w:val="15"/>
                <w:szCs w:val="15"/>
                <w:color w:val="auto"/>
              </w:rPr>
            </w:pP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7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2018</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300" w:type="dxa"/>
            <w:vAlign w:val="bottom"/>
            <w:tcBorders>
              <w:bottom w:val="single" w:sz="8" w:color="CCEEFF"/>
            </w:tcBorders>
            <w:shd w:val="clear" w:color="auto" w:fill="CCEEFF"/>
          </w:tcPr>
          <w:p>
            <w:pPr>
              <w:jc w:val="right"/>
              <w:ind w:right="113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123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260</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978</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1,162</w:t>
            </w:r>
          </w:p>
        </w:tc>
      </w:tr>
      <w:tr>
        <w:trPr>
          <w:trHeight w:val="245"/>
        </w:trPr>
        <w:tc>
          <w:tcPr>
            <w:tcW w:w="3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3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120"/>
              <w:spacing w:after="0"/>
              <w:rPr>
                <w:sz w:val="20"/>
                <w:szCs w:val="20"/>
                <w:color w:val="auto"/>
              </w:rPr>
            </w:pPr>
            <w:r>
              <w:rPr>
                <w:rFonts w:ascii="Arial" w:cs="Arial" w:eastAsia="Arial" w:hAnsi="Arial"/>
                <w:sz w:val="14"/>
                <w:szCs w:val="14"/>
                <w:color w:val="auto"/>
              </w:rPr>
              <w:t>Foreign currency translation adjustment, net of tax</w:t>
            </w:r>
          </w:p>
        </w:tc>
        <w:tc>
          <w:tcPr>
            <w:tcW w:w="130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1"/>
        </w:trPr>
        <w:tc>
          <w:tcPr>
            <w:tcW w:w="3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3"/>
        </w:trPr>
        <w:tc>
          <w:tcPr>
            <w:tcW w:w="37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Unrealized gains (losses) on forward contracts designated as</w:t>
            </w:r>
          </w:p>
        </w:tc>
        <w:tc>
          <w:tcPr>
            <w:tcW w:w="1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5"/>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hedges, net of tax</w:t>
            </w:r>
          </w:p>
        </w:tc>
        <w:tc>
          <w:tcPr>
            <w:tcW w:w="13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w:t>
            </w:r>
          </w:p>
        </w:tc>
      </w:tr>
      <w:tr>
        <w:trPr>
          <w:trHeight w:val="183"/>
        </w:trPr>
        <w:tc>
          <w:tcPr>
            <w:tcW w:w="3780" w:type="dxa"/>
            <w:vAlign w:val="bottom"/>
          </w:tcPr>
          <w:p>
            <w:pPr>
              <w:ind w:left="120"/>
              <w:spacing w:after="0"/>
              <w:rPr>
                <w:sz w:val="20"/>
                <w:szCs w:val="20"/>
                <w:color w:val="auto"/>
              </w:rPr>
            </w:pPr>
            <w:r>
              <w:rPr>
                <w:rFonts w:ascii="Arial" w:cs="Arial" w:eastAsia="Arial" w:hAnsi="Arial"/>
                <w:sz w:val="14"/>
                <w:szCs w:val="14"/>
                <w:color w:val="auto"/>
              </w:rPr>
              <w:t>Unrealized gains (losses) on investments, net of tax</w:t>
            </w:r>
          </w:p>
        </w:tc>
        <w:tc>
          <w:tcPr>
            <w:tcW w:w="130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4</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1300" w:type="dxa"/>
            <w:vAlign w:val="bottom"/>
            <w:tcBorders>
              <w:bottom w:val="single" w:sz="8" w:color="CCEEFF"/>
            </w:tcBorders>
            <w:shd w:val="clear" w:color="auto" w:fill="CCEEFF"/>
          </w:tcPr>
          <w:p>
            <w:pPr>
              <w:jc w:val="right"/>
              <w:ind w:right="1132"/>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123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w:t>
            </w:r>
          </w:p>
        </w:tc>
      </w:tr>
      <w:tr>
        <w:trPr>
          <w:trHeight w:val="189"/>
        </w:trPr>
        <w:tc>
          <w:tcPr>
            <w:tcW w:w="378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300" w:type="dxa"/>
            <w:vAlign w:val="bottom"/>
            <w:tcBorders>
              <w:top w:val="single" w:sz="8" w:color="auto"/>
              <w:bottom w:val="single" w:sz="8" w:color="auto"/>
            </w:tcBorders>
          </w:tcPr>
          <w:p>
            <w:pPr>
              <w:jc w:val="right"/>
              <w:ind w:right="1132"/>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ind w:right="1232"/>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252</w:t>
            </w:r>
          </w:p>
        </w:tc>
        <w:tc>
          <w:tcPr>
            <w:tcW w:w="12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1,184</w:t>
            </w:r>
          </w:p>
        </w:tc>
      </w:tr>
      <w:tr>
        <w:trPr>
          <w:trHeight w:val="20"/>
        </w:trPr>
        <w:tc>
          <w:tcPr>
            <w:tcW w:w="37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129" w:right="21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(Amounts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700" w:type="dxa"/>
            <w:vAlign w:val="bottom"/>
          </w:tcPr>
          <w:p>
            <w:pPr>
              <w:spacing w:after="0"/>
              <w:rPr>
                <w:sz w:val="13"/>
                <w:szCs w:val="13"/>
                <w:color w:val="auto"/>
              </w:rPr>
            </w:pPr>
          </w:p>
        </w:tc>
        <w:tc>
          <w:tcPr>
            <w:tcW w:w="3180" w:type="dxa"/>
            <w:vAlign w:val="bottom"/>
            <w:gridSpan w:val="4"/>
          </w:tcPr>
          <w:p>
            <w:pPr>
              <w:jc w:val="right"/>
              <w:ind w:right="99"/>
              <w:spacing w:after="0"/>
              <w:rPr>
                <w:sz w:val="20"/>
                <w:szCs w:val="20"/>
                <w:color w:val="auto"/>
              </w:rPr>
            </w:pPr>
            <w:r>
              <w:rPr>
                <w:rFonts w:ascii="Arial" w:cs="Arial" w:eastAsia="Arial" w:hAnsi="Arial"/>
                <w:sz w:val="12"/>
                <w:szCs w:val="12"/>
                <w:b w:val="1"/>
                <w:bCs w:val="1"/>
                <w:color w:val="auto"/>
              </w:rPr>
              <w:t>For the Nine Months Ended September 30,</w:t>
            </w:r>
          </w:p>
        </w:tc>
        <w:tc>
          <w:tcPr>
            <w:tcW w:w="580" w:type="dxa"/>
            <w:vAlign w:val="bottom"/>
          </w:tcPr>
          <w:p>
            <w:pPr>
              <w:spacing w:after="0"/>
              <w:rPr>
                <w:sz w:val="13"/>
                <w:szCs w:val="13"/>
                <w:color w:val="auto"/>
              </w:rPr>
            </w:pPr>
          </w:p>
        </w:tc>
      </w:tr>
      <w:tr>
        <w:trPr>
          <w:trHeight w:val="25"/>
        </w:trPr>
        <w:tc>
          <w:tcPr>
            <w:tcW w:w="77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9"/>
        </w:trPr>
        <w:tc>
          <w:tcPr>
            <w:tcW w:w="7700" w:type="dxa"/>
            <w:vAlign w:val="bottom"/>
          </w:tcPr>
          <w:p>
            <w:pPr>
              <w:spacing w:after="0"/>
              <w:rPr>
                <w:sz w:val="14"/>
                <w:szCs w:val="14"/>
                <w:color w:val="auto"/>
              </w:rPr>
            </w:pPr>
          </w:p>
        </w:tc>
        <w:tc>
          <w:tcPr>
            <w:tcW w:w="1240" w:type="dxa"/>
            <w:vAlign w:val="bottom"/>
          </w:tcPr>
          <w:p>
            <w:pPr>
              <w:jc w:val="right"/>
              <w:ind w:right="139"/>
              <w:spacing w:after="0"/>
              <w:rPr>
                <w:sz w:val="20"/>
                <w:szCs w:val="20"/>
                <w:color w:val="auto"/>
              </w:rPr>
            </w:pPr>
            <w:r>
              <w:rPr>
                <w:rFonts w:ascii="Arial" w:cs="Arial" w:eastAsia="Arial" w:hAnsi="Arial"/>
                <w:sz w:val="12"/>
                <w:szCs w:val="12"/>
                <w:b w:val="1"/>
                <w:bCs w:val="1"/>
                <w:color w:val="auto"/>
              </w:rPr>
              <w:t>2019</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39"/>
              <w:spacing w:after="0"/>
              <w:rPr>
                <w:sz w:val="20"/>
                <w:szCs w:val="20"/>
                <w:color w:val="auto"/>
              </w:rPr>
            </w:pPr>
            <w:r>
              <w:rPr>
                <w:rFonts w:ascii="Arial" w:cs="Arial" w:eastAsia="Arial" w:hAnsi="Arial"/>
                <w:sz w:val="12"/>
                <w:szCs w:val="12"/>
                <w:b w:val="1"/>
                <w:bCs w:val="1"/>
                <w:color w:val="auto"/>
              </w:rPr>
              <w:t>2018</w:t>
            </w:r>
          </w:p>
        </w:tc>
        <w:tc>
          <w:tcPr>
            <w:tcW w:w="580" w:type="dxa"/>
            <w:vAlign w:val="bottom"/>
          </w:tcPr>
          <w:p>
            <w:pPr>
              <w:spacing w:after="0"/>
              <w:rPr>
                <w:sz w:val="14"/>
                <w:szCs w:val="14"/>
                <w:color w:val="auto"/>
              </w:rPr>
            </w:pPr>
          </w:p>
        </w:tc>
      </w:tr>
      <w:tr>
        <w:trPr>
          <w:trHeight w:val="25"/>
        </w:trPr>
        <w:tc>
          <w:tcPr>
            <w:tcW w:w="7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6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12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r>
      <w:tr>
        <w:trPr>
          <w:trHeight w:val="179"/>
        </w:trPr>
        <w:tc>
          <w:tcPr>
            <w:tcW w:w="770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1240" w:type="dxa"/>
            <w:vAlign w:val="bottom"/>
          </w:tcPr>
          <w:p>
            <w:pPr>
              <w:jc w:val="right"/>
              <w:ind w:right="1099"/>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978</w:t>
            </w:r>
          </w:p>
        </w:tc>
        <w:tc>
          <w:tcPr>
            <w:tcW w:w="100" w:type="dxa"/>
            <w:vAlign w:val="bottom"/>
          </w:tcPr>
          <w:p>
            <w:pPr>
              <w:spacing w:after="0"/>
              <w:rPr>
                <w:sz w:val="15"/>
                <w:szCs w:val="15"/>
                <w:color w:val="auto"/>
              </w:rPr>
            </w:pPr>
          </w:p>
        </w:tc>
        <w:tc>
          <w:tcPr>
            <w:tcW w:w="1240" w:type="dxa"/>
            <w:vAlign w:val="bottom"/>
          </w:tcPr>
          <w:p>
            <w:pPr>
              <w:jc w:val="right"/>
              <w:ind w:right="1099"/>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1,162</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79"/>
        </w:trPr>
        <w:tc>
          <w:tcPr>
            <w:tcW w:w="7700" w:type="dxa"/>
            <w:vAlign w:val="bottom"/>
          </w:tcPr>
          <w:p>
            <w:pPr>
              <w:ind w:left="280"/>
              <w:spacing w:after="0"/>
              <w:rPr>
                <w:sz w:val="20"/>
                <w:szCs w:val="20"/>
                <w:color w:val="auto"/>
              </w:rPr>
            </w:pPr>
            <w:r>
              <w:rPr>
                <w:rFonts w:ascii="Arial" w:cs="Arial" w:eastAsia="Arial" w:hAnsi="Arial"/>
                <w:sz w:val="12"/>
                <w:szCs w:val="12"/>
                <w:color w:val="auto"/>
              </w:rPr>
              <w:t>Deferred income taxes</w:t>
            </w:r>
          </w:p>
        </w:tc>
        <w:tc>
          <w:tcPr>
            <w:tcW w:w="124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175</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Depreciation and amortization</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246</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385</w:t>
            </w:r>
          </w:p>
        </w:tc>
      </w:tr>
      <w:tr>
        <w:trPr>
          <w:trHeight w:val="179"/>
        </w:trPr>
        <w:tc>
          <w:tcPr>
            <w:tcW w:w="7700" w:type="dxa"/>
            <w:vAlign w:val="bottom"/>
          </w:tcPr>
          <w:p>
            <w:pPr>
              <w:ind w:left="280"/>
              <w:spacing w:after="0"/>
              <w:rPr>
                <w:sz w:val="20"/>
                <w:szCs w:val="20"/>
                <w:color w:val="auto"/>
              </w:rPr>
            </w:pPr>
            <w:r>
              <w:rPr>
                <w:rFonts w:ascii="Arial" w:cs="Arial" w:eastAsia="Arial" w:hAnsi="Arial"/>
                <w:sz w:val="12"/>
                <w:szCs w:val="12"/>
                <w:color w:val="auto"/>
              </w:rPr>
              <w:t>Non-cash operating lease cost</w:t>
            </w:r>
          </w:p>
        </w:tc>
        <w:tc>
          <w:tcPr>
            <w:tcW w:w="124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5"/>
        </w:trPr>
        <w:tc>
          <w:tcPr>
            <w:tcW w:w="77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Amortization of capitalized software development costs and intellectual property licenses (1)</w:t>
            </w:r>
          </w:p>
        </w:tc>
        <w:tc>
          <w:tcPr>
            <w:tcW w:w="1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163</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238</w:t>
            </w:r>
          </w:p>
        </w:tc>
      </w:tr>
      <w:tr>
        <w:trPr>
          <w:trHeight w:val="179"/>
        </w:trPr>
        <w:tc>
          <w:tcPr>
            <w:tcW w:w="7700" w:type="dxa"/>
            <w:vAlign w:val="bottom"/>
          </w:tcPr>
          <w:p>
            <w:pPr>
              <w:ind w:left="280"/>
              <w:spacing w:after="0"/>
              <w:rPr>
                <w:sz w:val="20"/>
                <w:szCs w:val="20"/>
                <w:color w:val="auto"/>
              </w:rPr>
            </w:pPr>
            <w:r>
              <w:rPr>
                <w:rFonts w:ascii="Arial" w:cs="Arial" w:eastAsia="Arial" w:hAnsi="Arial"/>
                <w:sz w:val="12"/>
                <w:szCs w:val="12"/>
                <w:color w:val="auto"/>
              </w:rPr>
              <w:t>Loss on extinguishment of debt</w:t>
            </w:r>
          </w:p>
        </w:tc>
        <w:tc>
          <w:tcPr>
            <w:tcW w:w="12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40</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Share-based compensation expense (2)</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164</w:t>
            </w:r>
          </w:p>
        </w:tc>
      </w:tr>
      <w:tr>
        <w:trPr>
          <w:trHeight w:val="179"/>
        </w:trPr>
        <w:tc>
          <w:tcPr>
            <w:tcW w:w="7700" w:type="dxa"/>
            <w:vAlign w:val="bottom"/>
          </w:tcPr>
          <w:p>
            <w:pPr>
              <w:ind w:left="280"/>
              <w:spacing w:after="0"/>
              <w:rPr>
                <w:sz w:val="20"/>
                <w:szCs w:val="20"/>
                <w:color w:val="auto"/>
              </w:rPr>
            </w:pPr>
            <w:r>
              <w:rPr>
                <w:rFonts w:ascii="Arial" w:cs="Arial" w:eastAsia="Arial" w:hAnsi="Arial"/>
                <w:sz w:val="12"/>
                <w:szCs w:val="12"/>
                <w:color w:val="auto"/>
              </w:rPr>
              <w:t>Unrealized gain on equity investment (Note 8)</w:t>
            </w:r>
          </w:p>
        </w:tc>
        <w:tc>
          <w:tcPr>
            <w:tcW w:w="124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(38)</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Other</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20</w:t>
            </w:r>
          </w:p>
        </w:tc>
      </w:tr>
      <w:tr>
        <w:trPr>
          <w:trHeight w:val="179"/>
        </w:trPr>
        <w:tc>
          <w:tcPr>
            <w:tcW w:w="7700" w:type="dxa"/>
            <w:vAlign w:val="bottom"/>
          </w:tcPr>
          <w:p>
            <w:pPr>
              <w:ind w:left="120"/>
              <w:spacing w:after="0"/>
              <w:rPr>
                <w:sz w:val="20"/>
                <w:szCs w:val="20"/>
                <w:color w:val="auto"/>
              </w:rPr>
            </w:pPr>
            <w:r>
              <w:rPr>
                <w:rFonts w:ascii="Arial" w:cs="Arial" w:eastAsia="Arial" w:hAnsi="Arial"/>
                <w:sz w:val="12"/>
                <w:szCs w:val="12"/>
                <w:color w:val="auto"/>
              </w:rPr>
              <w:t>Changes in operating assets and liabilities:</w:t>
            </w: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Accounts receivable, net</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635</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290</w:t>
            </w:r>
          </w:p>
        </w:tc>
      </w:tr>
      <w:tr>
        <w:trPr>
          <w:trHeight w:val="179"/>
        </w:trPr>
        <w:tc>
          <w:tcPr>
            <w:tcW w:w="7700" w:type="dxa"/>
            <w:vAlign w:val="bottom"/>
          </w:tcPr>
          <w:p>
            <w:pPr>
              <w:ind w:left="280"/>
              <w:spacing w:after="0"/>
              <w:rPr>
                <w:sz w:val="20"/>
                <w:szCs w:val="20"/>
                <w:color w:val="auto"/>
              </w:rPr>
            </w:pPr>
            <w:r>
              <w:rPr>
                <w:rFonts w:ascii="Arial" w:cs="Arial" w:eastAsia="Arial" w:hAnsi="Arial"/>
                <w:sz w:val="12"/>
                <w:szCs w:val="12"/>
                <w:color w:val="auto"/>
              </w:rPr>
              <w:t>Inventories</w:t>
            </w:r>
          </w:p>
        </w:tc>
        <w:tc>
          <w:tcPr>
            <w:tcW w:w="124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Software development and intellectual property licenses</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(186)</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(305)</w:t>
            </w:r>
          </w:p>
        </w:tc>
      </w:tr>
      <w:tr>
        <w:trPr>
          <w:trHeight w:val="179"/>
        </w:trPr>
        <w:tc>
          <w:tcPr>
            <w:tcW w:w="7700" w:type="dxa"/>
            <w:vAlign w:val="bottom"/>
          </w:tcPr>
          <w:p>
            <w:pPr>
              <w:ind w:left="280"/>
              <w:spacing w:after="0"/>
              <w:rPr>
                <w:sz w:val="20"/>
                <w:szCs w:val="20"/>
                <w:color w:val="auto"/>
              </w:rPr>
            </w:pPr>
            <w:r>
              <w:rPr>
                <w:rFonts w:ascii="Arial" w:cs="Arial" w:eastAsia="Arial" w:hAnsi="Arial"/>
                <w:sz w:val="12"/>
                <w:szCs w:val="12"/>
                <w:color w:val="auto"/>
              </w:rPr>
              <w:t>Other assets</w:t>
            </w:r>
          </w:p>
        </w:tc>
        <w:tc>
          <w:tcPr>
            <w:tcW w:w="124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17</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Deferred revenues</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(809)</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(710)</w:t>
            </w:r>
          </w:p>
        </w:tc>
      </w:tr>
      <w:tr>
        <w:trPr>
          <w:trHeight w:val="179"/>
        </w:trPr>
        <w:tc>
          <w:tcPr>
            <w:tcW w:w="7700" w:type="dxa"/>
            <w:vAlign w:val="bottom"/>
          </w:tcPr>
          <w:p>
            <w:pPr>
              <w:ind w:left="280"/>
              <w:spacing w:after="0"/>
              <w:rPr>
                <w:sz w:val="20"/>
                <w:szCs w:val="20"/>
                <w:color w:val="auto"/>
              </w:rPr>
            </w:pPr>
            <w:r>
              <w:rPr>
                <w:rFonts w:ascii="Arial" w:cs="Arial" w:eastAsia="Arial" w:hAnsi="Arial"/>
                <w:sz w:val="12"/>
                <w:szCs w:val="12"/>
                <w:color w:val="auto"/>
              </w:rPr>
              <w:t>Accounts payable</w:t>
            </w:r>
          </w:p>
        </w:tc>
        <w:tc>
          <w:tcPr>
            <w:tcW w:w="124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22</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5"/>
        </w:trPr>
        <w:tc>
          <w:tcPr>
            <w:tcW w:w="7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Accrued expenses and other liabilities</w:t>
            </w:r>
          </w:p>
        </w:tc>
        <w:tc>
          <w:tcPr>
            <w:tcW w:w="1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(373)</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(512)</w:t>
            </w:r>
          </w:p>
        </w:tc>
      </w:tr>
      <w:tr>
        <w:trPr>
          <w:trHeight w:val="159"/>
        </w:trPr>
        <w:tc>
          <w:tcPr>
            <w:tcW w:w="7700" w:type="dxa"/>
            <w:vAlign w:val="bottom"/>
          </w:tcPr>
          <w:p>
            <w:pPr>
              <w:ind w:left="120"/>
              <w:spacing w:after="0"/>
              <w:rPr>
                <w:sz w:val="20"/>
                <w:szCs w:val="20"/>
                <w:color w:val="auto"/>
              </w:rPr>
            </w:pPr>
            <w:r>
              <w:rPr>
                <w:rFonts w:ascii="Arial" w:cs="Arial" w:eastAsia="Arial" w:hAnsi="Arial"/>
                <w:sz w:val="12"/>
                <w:szCs w:val="12"/>
                <w:color w:val="auto"/>
              </w:rPr>
              <w:t>Net cash provided by operating activities</w:t>
            </w:r>
          </w:p>
        </w:tc>
        <w:tc>
          <w:tcPr>
            <w:tcW w:w="1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color w:val="auto"/>
              </w:rPr>
              <w:t>913</w:t>
            </w: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rPr>
              <w:t>791</w:t>
            </w:r>
          </w:p>
        </w:tc>
      </w:tr>
      <w:tr>
        <w:trPr>
          <w:trHeight w:val="25"/>
        </w:trPr>
        <w:tc>
          <w:tcPr>
            <w:tcW w:w="7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92"/>
        </w:trPr>
        <w:tc>
          <w:tcPr>
            <w:tcW w:w="77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r>
      <w:tr>
        <w:trPr>
          <w:trHeight w:val="179"/>
        </w:trPr>
        <w:tc>
          <w:tcPr>
            <w:tcW w:w="770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Proceeds from maturities of available-for-sale investments</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153</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w:t>
            </w:r>
          </w:p>
        </w:tc>
      </w:tr>
      <w:tr>
        <w:trPr>
          <w:trHeight w:val="179"/>
        </w:trPr>
        <w:tc>
          <w:tcPr>
            <w:tcW w:w="7700" w:type="dxa"/>
            <w:vAlign w:val="bottom"/>
          </w:tcPr>
          <w:p>
            <w:pPr>
              <w:ind w:left="120"/>
              <w:spacing w:after="0"/>
              <w:rPr>
                <w:sz w:val="20"/>
                <w:szCs w:val="20"/>
                <w:color w:val="auto"/>
              </w:rPr>
            </w:pPr>
            <w:r>
              <w:rPr>
                <w:rFonts w:ascii="Arial" w:cs="Arial" w:eastAsia="Arial" w:hAnsi="Arial"/>
                <w:sz w:val="12"/>
                <w:szCs w:val="12"/>
                <w:color w:val="auto"/>
              </w:rPr>
              <w:t>Purchases of available-for-sale investments</w:t>
            </w:r>
          </w:p>
        </w:tc>
        <w:tc>
          <w:tcPr>
            <w:tcW w:w="12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Capital expenditures</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(97)</w:t>
            </w:r>
          </w:p>
        </w:tc>
      </w:tr>
      <w:tr>
        <w:trPr>
          <w:trHeight w:val="179"/>
        </w:trPr>
        <w:tc>
          <w:tcPr>
            <w:tcW w:w="7700" w:type="dxa"/>
            <w:vAlign w:val="bottom"/>
          </w:tcPr>
          <w:p>
            <w:pPr>
              <w:ind w:left="120"/>
              <w:spacing w:after="0"/>
              <w:rPr>
                <w:sz w:val="20"/>
                <w:szCs w:val="20"/>
                <w:color w:val="auto"/>
              </w:rPr>
            </w:pPr>
            <w:r>
              <w:rPr>
                <w:rFonts w:ascii="Arial" w:cs="Arial" w:eastAsia="Arial" w:hAnsi="Arial"/>
                <w:sz w:val="12"/>
                <w:szCs w:val="12"/>
                <w:color w:val="auto"/>
              </w:rPr>
              <w:t>Other investing activities</w:t>
            </w:r>
          </w:p>
        </w:tc>
        <w:tc>
          <w:tcPr>
            <w:tcW w:w="124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5"/>
        </w:trPr>
        <w:tc>
          <w:tcPr>
            <w:tcW w:w="7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cash provided by (used in) investing activities</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(160)</w:t>
            </w:r>
          </w:p>
        </w:tc>
      </w:tr>
      <w:tr>
        <w:trPr>
          <w:trHeight w:val="92"/>
        </w:trPr>
        <w:tc>
          <w:tcPr>
            <w:tcW w:w="77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r>
      <w:tr>
        <w:trPr>
          <w:trHeight w:val="18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79"/>
        </w:trPr>
        <w:tc>
          <w:tcPr>
            <w:tcW w:w="7700" w:type="dxa"/>
            <w:vAlign w:val="bottom"/>
          </w:tcPr>
          <w:p>
            <w:pPr>
              <w:ind w:left="120"/>
              <w:spacing w:after="0"/>
              <w:rPr>
                <w:sz w:val="20"/>
                <w:szCs w:val="20"/>
                <w:color w:val="auto"/>
              </w:rPr>
            </w:pPr>
            <w:r>
              <w:rPr>
                <w:rFonts w:ascii="Arial" w:cs="Arial" w:eastAsia="Arial" w:hAnsi="Arial"/>
                <w:sz w:val="12"/>
                <w:szCs w:val="12"/>
                <w:color w:val="auto"/>
              </w:rPr>
              <w:t>Proceeds from issuance of common stock to employees</w:t>
            </w:r>
          </w:p>
        </w:tc>
        <w:tc>
          <w:tcPr>
            <w:tcW w:w="1240" w:type="dxa"/>
            <w:vAlign w:val="bottom"/>
          </w:tcPr>
          <w:p>
            <w:pPr>
              <w:spacing w:after="0"/>
              <w:rPr>
                <w:sz w:val="15"/>
                <w:szCs w:val="15"/>
                <w:color w:val="auto"/>
              </w:rPr>
            </w:pPr>
          </w:p>
        </w:tc>
        <w:tc>
          <w:tcPr>
            <w:tcW w:w="600" w:type="dxa"/>
            <w:vAlign w:val="bottom"/>
          </w:tcPr>
          <w:p>
            <w:pPr>
              <w:jc w:val="right"/>
              <w:ind w:right="59"/>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ind w:right="39"/>
              <w:spacing w:after="0"/>
              <w:rPr>
                <w:sz w:val="20"/>
                <w:szCs w:val="20"/>
                <w:color w:val="auto"/>
              </w:rPr>
            </w:pPr>
            <w:r>
              <w:rPr>
                <w:rFonts w:ascii="Arial" w:cs="Arial" w:eastAsia="Arial" w:hAnsi="Arial"/>
                <w:sz w:val="12"/>
                <w:szCs w:val="12"/>
                <w:color w:val="auto"/>
              </w:rPr>
              <w:t>91</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Tax payment related to net share settlements on restricted stock units</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(55)</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(85)</w:t>
            </w:r>
          </w:p>
        </w:tc>
      </w:tr>
      <w:tr>
        <w:trPr>
          <w:trHeight w:val="179"/>
        </w:trPr>
        <w:tc>
          <w:tcPr>
            <w:tcW w:w="7700" w:type="dxa"/>
            <w:vAlign w:val="bottom"/>
          </w:tcPr>
          <w:p>
            <w:pPr>
              <w:ind w:left="120"/>
              <w:spacing w:after="0"/>
              <w:rPr>
                <w:sz w:val="20"/>
                <w:szCs w:val="20"/>
                <w:color w:val="auto"/>
              </w:rPr>
            </w:pPr>
            <w:r>
              <w:rPr>
                <w:rFonts w:ascii="Arial" w:cs="Arial" w:eastAsia="Arial" w:hAnsi="Arial"/>
                <w:sz w:val="12"/>
                <w:szCs w:val="12"/>
                <w:color w:val="auto"/>
              </w:rPr>
              <w:t>Dividends paid</w:t>
            </w:r>
          </w:p>
        </w:tc>
        <w:tc>
          <w:tcPr>
            <w:tcW w:w="1240" w:type="dxa"/>
            <w:vAlign w:val="bottom"/>
          </w:tcPr>
          <w:p>
            <w:pPr>
              <w:spacing w:after="0"/>
              <w:rPr>
                <w:sz w:val="15"/>
                <w:szCs w:val="15"/>
                <w:color w:val="auto"/>
              </w:rPr>
            </w:pPr>
          </w:p>
        </w:tc>
        <w:tc>
          <w:tcPr>
            <w:tcW w:w="600" w:type="dxa"/>
            <w:vAlign w:val="bottom"/>
          </w:tcPr>
          <w:p>
            <w:pPr>
              <w:jc w:val="right"/>
              <w:ind w:right="19"/>
              <w:spacing w:after="0"/>
              <w:rPr>
                <w:sz w:val="20"/>
                <w:szCs w:val="20"/>
                <w:color w:val="auto"/>
              </w:rPr>
            </w:pPr>
            <w:r>
              <w:rPr>
                <w:rFonts w:ascii="Arial" w:cs="Arial" w:eastAsia="Arial" w:hAnsi="Arial"/>
                <w:sz w:val="12"/>
                <w:szCs w:val="12"/>
                <w:color w:val="auto"/>
              </w:rPr>
              <w:t>(283)</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(259)</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Repayment of long-term debt</w:t>
            </w:r>
          </w:p>
        </w:tc>
        <w:tc>
          <w:tcPr>
            <w:tcW w:w="12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(1,740)</w:t>
            </w:r>
          </w:p>
        </w:tc>
      </w:tr>
      <w:tr>
        <w:trPr>
          <w:trHeight w:val="179"/>
        </w:trPr>
        <w:tc>
          <w:tcPr>
            <w:tcW w:w="7700" w:type="dxa"/>
            <w:vAlign w:val="bottom"/>
          </w:tcPr>
          <w:p>
            <w:pPr>
              <w:ind w:left="120"/>
              <w:spacing w:after="0"/>
              <w:rPr>
                <w:sz w:val="20"/>
                <w:szCs w:val="20"/>
                <w:color w:val="auto"/>
              </w:rPr>
            </w:pPr>
            <w:r>
              <w:rPr>
                <w:rFonts w:ascii="Arial" w:cs="Arial" w:eastAsia="Arial" w:hAnsi="Arial"/>
                <w:sz w:val="12"/>
                <w:szCs w:val="12"/>
                <w:color w:val="auto"/>
              </w:rPr>
              <w:t>Premium payment for early redemption of note</w:t>
            </w:r>
          </w:p>
        </w:tc>
        <w:tc>
          <w:tcPr>
            <w:tcW w:w="12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5"/>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Other financing activities</w:t>
            </w:r>
          </w:p>
        </w:tc>
        <w:tc>
          <w:tcPr>
            <w:tcW w:w="1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59"/>
        </w:trPr>
        <w:tc>
          <w:tcPr>
            <w:tcW w:w="7700" w:type="dxa"/>
            <w:vAlign w:val="bottom"/>
          </w:tcPr>
          <w:p>
            <w:pPr>
              <w:ind w:left="120"/>
              <w:spacing w:after="0"/>
              <w:rPr>
                <w:sz w:val="20"/>
                <w:szCs w:val="20"/>
                <w:color w:val="auto"/>
              </w:rPr>
            </w:pPr>
            <w:r>
              <w:rPr>
                <w:rFonts w:ascii="Arial" w:cs="Arial" w:eastAsia="Arial" w:hAnsi="Arial"/>
                <w:sz w:val="12"/>
                <w:szCs w:val="12"/>
                <w:color w:val="auto"/>
              </w:rPr>
              <w:t>Net cash used in financing activities</w:t>
            </w:r>
          </w:p>
        </w:tc>
        <w:tc>
          <w:tcPr>
            <w:tcW w:w="1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2"/>
                <w:szCs w:val="12"/>
                <w:color w:val="auto"/>
              </w:rPr>
              <w:t>(251)</w:t>
            </w: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(2,020)</w:t>
            </w:r>
          </w:p>
        </w:tc>
      </w:tr>
      <w:tr>
        <w:trPr>
          <w:trHeight w:val="25"/>
        </w:trPr>
        <w:tc>
          <w:tcPr>
            <w:tcW w:w="77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1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59"/>
        </w:trPr>
        <w:tc>
          <w:tcPr>
            <w:tcW w:w="7700" w:type="dxa"/>
            <w:vAlign w:val="bottom"/>
          </w:tcPr>
          <w:p>
            <w:pPr>
              <w:ind w:left="20"/>
              <w:spacing w:after="0"/>
              <w:rPr>
                <w:sz w:val="20"/>
                <w:szCs w:val="20"/>
                <w:color w:val="auto"/>
              </w:rPr>
            </w:pPr>
            <w:r>
              <w:rPr>
                <w:rFonts w:ascii="Arial" w:cs="Arial" w:eastAsia="Arial" w:hAnsi="Arial"/>
                <w:sz w:val="12"/>
                <w:szCs w:val="12"/>
                <w:color w:val="auto"/>
              </w:rPr>
              <w:t>Net increase (decrease) in cash and cash equivalents and restricted cash</w:t>
            </w:r>
          </w:p>
        </w:tc>
        <w:tc>
          <w:tcPr>
            <w:tcW w:w="1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color w:val="auto"/>
              </w:rPr>
              <w:t>717</w:t>
            </w:r>
          </w:p>
        </w:tc>
        <w:tc>
          <w:tcPr>
            <w:tcW w:w="10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(1,404)</w:t>
            </w:r>
          </w:p>
        </w:tc>
      </w:tr>
      <w:tr>
        <w:trPr>
          <w:trHeight w:val="25"/>
        </w:trPr>
        <w:tc>
          <w:tcPr>
            <w:tcW w:w="7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5"/>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and restricted cash at beginning of period</w:t>
            </w:r>
          </w:p>
        </w:tc>
        <w:tc>
          <w:tcPr>
            <w:tcW w:w="12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4,229</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4,720</w:t>
            </w:r>
          </w:p>
        </w:tc>
      </w:tr>
      <w:tr>
        <w:trPr>
          <w:trHeight w:val="169"/>
        </w:trPr>
        <w:tc>
          <w:tcPr>
            <w:tcW w:w="7700" w:type="dxa"/>
            <w:vAlign w:val="bottom"/>
          </w:tcPr>
          <w:p>
            <w:pPr>
              <w:ind w:left="20"/>
              <w:spacing w:after="0"/>
              <w:rPr>
                <w:sz w:val="20"/>
                <w:szCs w:val="20"/>
                <w:color w:val="auto"/>
              </w:rPr>
            </w:pPr>
            <w:r>
              <w:rPr>
                <w:rFonts w:ascii="Arial" w:cs="Arial" w:eastAsia="Arial" w:hAnsi="Arial"/>
                <w:sz w:val="12"/>
                <w:szCs w:val="12"/>
                <w:b w:val="1"/>
                <w:bCs w:val="1"/>
                <w:color w:val="auto"/>
              </w:rPr>
              <w:t>Cash and cash equivalents and restricted cash at end of period</w:t>
            </w:r>
          </w:p>
        </w:tc>
        <w:tc>
          <w:tcPr>
            <w:tcW w:w="1240" w:type="dxa"/>
            <w:vAlign w:val="bottom"/>
            <w:tcBorders>
              <w:top w:val="single" w:sz="8" w:color="auto"/>
            </w:tcBorders>
          </w:tcPr>
          <w:p>
            <w:pPr>
              <w:jc w:val="right"/>
              <w:ind w:right="1099"/>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tcPr>
          <w:p>
            <w:pPr>
              <w:jc w:val="right"/>
              <w:ind w:right="59"/>
              <w:spacing w:after="0"/>
              <w:rPr>
                <w:sz w:val="20"/>
                <w:szCs w:val="20"/>
                <w:color w:val="auto"/>
              </w:rPr>
            </w:pPr>
            <w:r>
              <w:rPr>
                <w:rFonts w:ascii="Arial" w:cs="Arial" w:eastAsia="Arial" w:hAnsi="Arial"/>
                <w:sz w:val="12"/>
                <w:szCs w:val="12"/>
                <w:color w:val="auto"/>
              </w:rPr>
              <w:t>4,946</w:t>
            </w:r>
          </w:p>
        </w:tc>
        <w:tc>
          <w:tcPr>
            <w:tcW w:w="100" w:type="dxa"/>
            <w:vAlign w:val="bottom"/>
          </w:tcPr>
          <w:p>
            <w:pPr>
              <w:spacing w:after="0"/>
              <w:rPr>
                <w:sz w:val="14"/>
                <w:szCs w:val="14"/>
                <w:color w:val="auto"/>
              </w:rPr>
            </w:pPr>
          </w:p>
        </w:tc>
        <w:tc>
          <w:tcPr>
            <w:tcW w:w="1240" w:type="dxa"/>
            <w:vAlign w:val="bottom"/>
            <w:tcBorders>
              <w:top w:val="single" w:sz="8" w:color="auto"/>
            </w:tcBorders>
          </w:tcPr>
          <w:p>
            <w:pPr>
              <w:jc w:val="right"/>
              <w:ind w:right="1099"/>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2"/>
                <w:szCs w:val="12"/>
                <w:color w:val="auto"/>
              </w:rPr>
              <w:t>3,316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4884420</wp:posOffset>
            </wp:positionH>
            <wp:positionV relativeFrom="paragraph">
              <wp:posOffset>9525</wp:posOffset>
            </wp:positionV>
            <wp:extent cx="239649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6490" cy="6350"/>
                    </a:xfrm>
                    <a:prstGeom prst="rect">
                      <a:avLst/>
                    </a:prstGeom>
                    <a:noFill/>
                  </pic:spPr>
                </pic:pic>
              </a:graphicData>
            </a:graphic>
          </wp:anchor>
        </w:drawing>
      </w:r>
    </w:p>
    <w:p>
      <w:pPr>
        <w:spacing w:after="0" w:line="13" w:lineRule="exact"/>
        <w:rPr>
          <w:sz w:val="20"/>
          <w:szCs w:val="20"/>
          <w:color w:val="auto"/>
        </w:rPr>
      </w:pPr>
    </w:p>
    <w:p>
      <w:pPr>
        <w:ind w:left="240" w:hanging="238"/>
        <w:spacing w:after="0"/>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Excludes deferral and amortization of share-based compensation expense.</w:t>
      </w:r>
    </w:p>
    <w:p>
      <w:pPr>
        <w:spacing w:after="0" w:line="4" w:lineRule="exact"/>
        <w:rPr>
          <w:rFonts w:ascii="Arial" w:cs="Arial" w:eastAsia="Arial" w:hAnsi="Arial"/>
          <w:sz w:val="11"/>
          <w:szCs w:val="11"/>
          <w:color w:val="auto"/>
        </w:rPr>
      </w:pPr>
    </w:p>
    <w:p>
      <w:pPr>
        <w:ind w:left="240" w:hanging="238"/>
        <w:spacing w:after="0"/>
        <w:tabs>
          <w:tab w:leader="none" w:pos="24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the net effects of capitalization, deferral, and amortization of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4884420</wp:posOffset>
            </wp:positionH>
            <wp:positionV relativeFrom="paragraph">
              <wp:posOffset>-160655</wp:posOffset>
            </wp:positionV>
            <wp:extent cx="239649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6490" cy="6350"/>
                    </a:xfrm>
                    <a:prstGeom prst="rect">
                      <a:avLst/>
                    </a:prstGeom>
                    <a:noFill/>
                  </pic:spPr>
                </pic:pic>
              </a:graphicData>
            </a:graphic>
          </wp:anchor>
        </w:drawing>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60"/>
          </w:cols>
          <w:pgMar w:left="220" w:top="129" w:right="21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CHANGES IN SHAREHOLDERS’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and Nine Months Ended September 30, 2019</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(Amounts and shares in millions,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120" w:type="dxa"/>
            <w:vAlign w:val="bottom"/>
            <w:gridSpan w:val="5"/>
            <w:vMerge w:val="restart"/>
          </w:tcPr>
          <w:p>
            <w:pPr>
              <w:ind w:left="600"/>
              <w:spacing w:after="0"/>
              <w:rPr>
                <w:sz w:val="20"/>
                <w:szCs w:val="20"/>
                <w:color w:val="auto"/>
              </w:rPr>
            </w:pPr>
            <w:r>
              <w:rPr>
                <w:rFonts w:ascii="Arial" w:cs="Arial" w:eastAsia="Arial" w:hAnsi="Arial"/>
                <w:sz w:val="12"/>
                <w:szCs w:val="12"/>
                <w:b w:val="1"/>
                <w:bCs w:val="1"/>
                <w:color w:val="auto"/>
              </w:rPr>
              <w:t>Common Stock</w:t>
            </w:r>
          </w:p>
        </w:tc>
        <w:tc>
          <w:tcPr>
            <w:tcW w:w="2280" w:type="dxa"/>
            <w:vAlign w:val="bottom"/>
            <w:gridSpan w:val="5"/>
            <w:vMerge w:val="restart"/>
          </w:tcPr>
          <w:p>
            <w:pPr>
              <w:ind w:left="700"/>
              <w:spacing w:after="0"/>
              <w:rPr>
                <w:sz w:val="20"/>
                <w:szCs w:val="20"/>
                <w:color w:val="auto"/>
              </w:rPr>
            </w:pPr>
            <w:r>
              <w:rPr>
                <w:rFonts w:ascii="Arial" w:cs="Arial" w:eastAsia="Arial" w:hAnsi="Arial"/>
                <w:sz w:val="12"/>
                <w:szCs w:val="12"/>
                <w:b w:val="1"/>
                <w:bCs w:val="1"/>
                <w:color w:val="auto"/>
              </w:rPr>
              <w:t>Treasury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22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3"/>
                <w:szCs w:val="13"/>
                <w:color w:val="auto"/>
              </w:rPr>
            </w:pPr>
          </w:p>
        </w:tc>
        <w:tc>
          <w:tcPr>
            <w:tcW w:w="1000" w:type="dxa"/>
            <w:vAlign w:val="bottom"/>
          </w:tcPr>
          <w:p>
            <w:pPr>
              <w:jc w:val="center"/>
              <w:ind w:right="65"/>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11"/>
                <w:szCs w:val="11"/>
                <w:color w:val="auto"/>
              </w:rPr>
            </w:pPr>
          </w:p>
        </w:tc>
        <w:tc>
          <w:tcPr>
            <w:tcW w:w="1000" w:type="dxa"/>
            <w:vAlign w:val="bottom"/>
          </w:tcPr>
          <w:p>
            <w:pPr>
              <w:jc w:val="center"/>
              <w:ind w:right="65"/>
              <w:spacing w:after="0" w:line="133" w:lineRule="exact"/>
              <w:rPr>
                <w:sz w:val="20"/>
                <w:szCs w:val="20"/>
                <w:color w:val="auto"/>
              </w:rPr>
            </w:pPr>
            <w:r>
              <w:rPr>
                <w:rFonts w:ascii="Arial" w:cs="Arial" w:eastAsia="Arial" w:hAnsi="Arial"/>
                <w:sz w:val="12"/>
                <w:szCs w:val="12"/>
                <w:b w:val="1"/>
                <w:bCs w:val="1"/>
                <w:color w:val="auto"/>
                <w:w w:val="89"/>
              </w:rPr>
              <w:t>Shareholders’</w:t>
            </w: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106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Income (Loss)</w:t>
            </w:r>
          </w:p>
        </w:tc>
        <w:tc>
          <w:tcPr>
            <w:tcW w:w="120" w:type="dxa"/>
            <w:vAlign w:val="bottom"/>
          </w:tcPr>
          <w:p>
            <w:pPr>
              <w:spacing w:after="0"/>
              <w:rPr>
                <w:sz w:val="13"/>
                <w:szCs w:val="13"/>
                <w:color w:val="auto"/>
              </w:rPr>
            </w:pPr>
          </w:p>
        </w:tc>
        <w:tc>
          <w:tcPr>
            <w:tcW w:w="1000" w:type="dxa"/>
            <w:vAlign w:val="bottom"/>
          </w:tcPr>
          <w:p>
            <w:pPr>
              <w:jc w:val="center"/>
              <w:ind w:right="65"/>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5"/>
        </w:trPr>
        <w:tc>
          <w:tcPr>
            <w:tcW w:w="2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2018</w:t>
            </w:r>
          </w:p>
        </w:tc>
        <w:tc>
          <w:tcPr>
            <w:tcW w:w="940" w:type="dxa"/>
            <w:vAlign w:val="bottom"/>
            <w:shd w:val="clear" w:color="auto" w:fill="CCEEFF"/>
          </w:tcPr>
          <w:p>
            <w:pPr>
              <w:jc w:val="right"/>
              <w:ind w:right="85"/>
              <w:spacing w:after="0"/>
              <w:rPr>
                <w:sz w:val="20"/>
                <w:szCs w:val="20"/>
                <w:color w:val="auto"/>
              </w:rPr>
            </w:pPr>
            <w:r>
              <w:rPr>
                <w:rFonts w:ascii="Arial" w:cs="Arial" w:eastAsia="Arial" w:hAnsi="Arial"/>
                <w:sz w:val="11"/>
                <w:szCs w:val="11"/>
                <w:b w:val="1"/>
                <w:bCs w:val="1"/>
                <w:color w:val="auto"/>
              </w:rPr>
              <w:t>1,192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(5,563)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10,963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6,593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1"/>
                <w:szCs w:val="11"/>
                <w:b w:val="1"/>
                <w:bCs w:val="1"/>
                <w:color w:val="auto"/>
              </w:rPr>
              <w:t>(601)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11,392</w:t>
            </w:r>
          </w:p>
        </w:tc>
        <w:tc>
          <w:tcPr>
            <w:tcW w:w="0" w:type="dxa"/>
            <w:vAlign w:val="bottom"/>
          </w:tcPr>
          <w:p>
            <w:pPr>
              <w:spacing w:after="0"/>
              <w:rPr>
                <w:sz w:val="1"/>
                <w:szCs w:val="1"/>
                <w:color w:val="auto"/>
              </w:rPr>
            </w:pPr>
          </w:p>
        </w:tc>
      </w:tr>
      <w:tr>
        <w:trPr>
          <w:trHeight w:val="200"/>
        </w:trPr>
        <w:tc>
          <w:tcPr>
            <w:tcW w:w="2640" w:type="dxa"/>
            <w:vAlign w:val="bottom"/>
          </w:tcPr>
          <w:p>
            <w:pPr>
              <w:ind w:left="20"/>
              <w:spacing w:after="0"/>
              <w:rPr>
                <w:sz w:val="20"/>
                <w:szCs w:val="20"/>
                <w:color w:val="auto"/>
              </w:rPr>
            </w:pPr>
            <w:r>
              <w:rPr>
                <w:rFonts w:ascii="Arial" w:cs="Arial" w:eastAsia="Arial" w:hAnsi="Arial"/>
                <w:sz w:val="11"/>
                <w:szCs w:val="11"/>
                <w:color w:val="auto"/>
              </w:rPr>
              <w:t>Components of comprehensive income:</w:t>
            </w: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447</w:t>
            </w:r>
          </w:p>
        </w:tc>
        <w:tc>
          <w:tcPr>
            <w:tcW w:w="0" w:type="dxa"/>
            <w:vAlign w:val="bottom"/>
          </w:tcPr>
          <w:p>
            <w:pPr>
              <w:spacing w:after="0"/>
              <w:rPr>
                <w:sz w:val="1"/>
                <w:szCs w:val="1"/>
                <w:color w:val="auto"/>
              </w:rPr>
            </w:pPr>
          </w:p>
        </w:tc>
      </w:tr>
      <w:tr>
        <w:trPr>
          <w:trHeight w:val="200"/>
        </w:trPr>
        <w:tc>
          <w:tcPr>
            <w:tcW w:w="2640" w:type="dxa"/>
            <w:vAlign w:val="bottom"/>
          </w:tcPr>
          <w:p>
            <w:pPr>
              <w:ind w:left="120"/>
              <w:spacing w:after="0"/>
              <w:rPr>
                <w:sz w:val="20"/>
                <w:szCs w:val="20"/>
                <w:color w:val="auto"/>
              </w:rPr>
            </w:pPr>
            <w:r>
              <w:rPr>
                <w:rFonts w:ascii="Arial" w:cs="Arial" w:eastAsia="Arial" w:hAnsi="Arial"/>
                <w:sz w:val="11"/>
                <w:szCs w:val="11"/>
                <w:color w:val="auto"/>
              </w:rPr>
              <w:t>Other comprehensive loss</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020" w:type="dxa"/>
            <w:vAlign w:val="bottom"/>
          </w:tcPr>
          <w:p>
            <w:pPr>
              <w:jc w:val="right"/>
              <w:ind w:right="2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97"/>
              </w:rPr>
              <w:t>Issuance of common stock pursuant to employee stock</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options</w:t>
            </w:r>
          </w:p>
        </w:tc>
        <w:tc>
          <w:tcPr>
            <w:tcW w:w="94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120"/>
        </w:trPr>
        <w:tc>
          <w:tcPr>
            <w:tcW w:w="2640" w:type="dxa"/>
            <w:vAlign w:val="bottom"/>
          </w:tcPr>
          <w:p>
            <w:pPr>
              <w:ind w:left="20"/>
              <w:spacing w:after="0" w:line="120" w:lineRule="exact"/>
              <w:rPr>
                <w:sz w:val="20"/>
                <w:szCs w:val="20"/>
                <w:color w:val="auto"/>
              </w:rPr>
            </w:pPr>
            <w:r>
              <w:rPr>
                <w:rFonts w:ascii="Arial" w:cs="Arial" w:eastAsia="Arial" w:hAnsi="Arial"/>
                <w:sz w:val="11"/>
                <w:szCs w:val="11"/>
                <w:color w:val="auto"/>
                <w:w w:val="97"/>
              </w:rPr>
              <w:t>Issuance of common stock pursuant to restricted stock</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Arial" w:cs="Arial" w:eastAsia="Arial" w:hAnsi="Arial"/>
                <w:sz w:val="11"/>
                <w:szCs w:val="11"/>
                <w:color w:val="auto"/>
              </w:rPr>
              <w:t>units</w:t>
            </w:r>
          </w:p>
        </w:tc>
        <w:tc>
          <w:tcPr>
            <w:tcW w:w="940" w:type="dxa"/>
            <w:vAlign w:val="bottom"/>
          </w:tcPr>
          <w:p>
            <w:pPr>
              <w:jc w:val="right"/>
              <w:ind w:right="85"/>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Restricted stock surrendered for employees’ tax liability</w:t>
            </w:r>
          </w:p>
        </w:tc>
        <w:tc>
          <w:tcPr>
            <w:tcW w:w="94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20"/>
        </w:trPr>
        <w:tc>
          <w:tcPr>
            <w:tcW w:w="2640" w:type="dxa"/>
            <w:vAlign w:val="bottom"/>
          </w:tcPr>
          <w:p>
            <w:pPr>
              <w:ind w:left="20"/>
              <w:spacing w:after="0" w:line="120" w:lineRule="exact"/>
              <w:rPr>
                <w:sz w:val="20"/>
                <w:szCs w:val="20"/>
                <w:color w:val="auto"/>
              </w:rPr>
            </w:pPr>
            <w:r>
              <w:rPr>
                <w:rFonts w:ascii="Arial" w:cs="Arial" w:eastAsia="Arial" w:hAnsi="Arial"/>
                <w:sz w:val="11"/>
                <w:szCs w:val="11"/>
                <w:color w:val="auto"/>
                <w:w w:val="93"/>
              </w:rPr>
              <w:t>Share-based compensation expense related to employee</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Arial" w:cs="Arial" w:eastAsia="Arial" w:hAnsi="Arial"/>
                <w:sz w:val="11"/>
                <w:szCs w:val="11"/>
                <w:color w:val="auto"/>
              </w:rPr>
              <w:t>stock options and restricted stock units</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56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205"/>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Dividends ($0.37 per common share)</w:t>
            </w:r>
          </w:p>
        </w:tc>
        <w:tc>
          <w:tcPr>
            <w:tcW w:w="9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(283)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Balance at March 31, 2019</w:t>
            </w:r>
          </w:p>
        </w:tc>
        <w:tc>
          <w:tcPr>
            <w:tcW w:w="940" w:type="dxa"/>
            <w:vAlign w:val="bottom"/>
          </w:tcPr>
          <w:p>
            <w:pPr>
              <w:jc w:val="right"/>
              <w:ind w:right="85"/>
              <w:spacing w:after="0"/>
              <w:rPr>
                <w:sz w:val="20"/>
                <w:szCs w:val="20"/>
                <w:color w:val="auto"/>
              </w:rPr>
            </w:pPr>
            <w:r>
              <w:rPr>
                <w:rFonts w:ascii="Arial" w:cs="Arial" w:eastAsia="Arial" w:hAnsi="Arial"/>
                <w:sz w:val="11"/>
                <w:szCs w:val="11"/>
                <w:b w:val="1"/>
                <w:bCs w:val="1"/>
                <w:color w:val="auto"/>
              </w:rPr>
              <w:t>1,195</w:t>
            </w:r>
          </w:p>
        </w:tc>
        <w:tc>
          <w:tcPr>
            <w:tcW w:w="12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ind w:left="5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25"/>
              <w:spacing w:after="0"/>
              <w:rPr>
                <w:sz w:val="20"/>
                <w:szCs w:val="20"/>
                <w:color w:val="auto"/>
              </w:rPr>
            </w:pPr>
            <w:r>
              <w:rPr>
                <w:rFonts w:ascii="Arial" w:cs="Arial" w:eastAsia="Arial" w:hAnsi="Arial"/>
                <w:sz w:val="11"/>
                <w:szCs w:val="11"/>
                <w:b w:val="1"/>
                <w:bCs w:val="1"/>
                <w:color w:val="auto"/>
              </w:rPr>
              <w:t>(429)</w:t>
            </w:r>
          </w:p>
        </w:tc>
        <w:tc>
          <w:tcPr>
            <w:tcW w:w="100" w:type="dxa"/>
            <w:vAlign w:val="bottom"/>
          </w:tcPr>
          <w:p>
            <w:pPr>
              <w:spacing w:after="0"/>
              <w:rPr>
                <w:sz w:val="16"/>
                <w:szCs w:val="16"/>
                <w:color w:val="auto"/>
              </w:rPr>
            </w:pPr>
          </w:p>
        </w:tc>
        <w:tc>
          <w:tcPr>
            <w:tcW w:w="180" w:type="dxa"/>
            <w:vAlign w:val="bottom"/>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25"/>
              <w:spacing w:after="0"/>
              <w:rPr>
                <w:sz w:val="20"/>
                <w:szCs w:val="20"/>
                <w:color w:val="auto"/>
              </w:rPr>
            </w:pPr>
            <w:r>
              <w:rPr>
                <w:rFonts w:ascii="Arial" w:cs="Arial" w:eastAsia="Arial" w:hAnsi="Arial"/>
                <w:sz w:val="11"/>
                <w:szCs w:val="11"/>
                <w:b w:val="1"/>
                <w:bCs w:val="1"/>
                <w:color w:val="auto"/>
              </w:rPr>
              <w:t>(5,563)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45"/>
              <w:spacing w:after="0"/>
              <w:rPr>
                <w:sz w:val="20"/>
                <w:szCs w:val="20"/>
                <w:color w:val="auto"/>
              </w:rPr>
            </w:pPr>
            <w:r>
              <w:rPr>
                <w:rFonts w:ascii="Arial" w:cs="Arial" w:eastAsia="Arial" w:hAnsi="Arial"/>
                <w:sz w:val="11"/>
                <w:szCs w:val="11"/>
                <w:b w:val="1"/>
                <w:bCs w:val="1"/>
                <w:color w:val="auto"/>
              </w:rPr>
              <w:t>11,004</w:t>
            </w:r>
          </w:p>
        </w:tc>
        <w:tc>
          <w:tcPr>
            <w:tcW w:w="120" w:type="dxa"/>
            <w:vAlign w:val="bottom"/>
          </w:tcPr>
          <w:p>
            <w:pPr>
              <w:spacing w:after="0"/>
              <w:rPr>
                <w:sz w:val="16"/>
                <w:szCs w:val="16"/>
                <w:color w:val="auto"/>
              </w:rPr>
            </w:pPr>
          </w:p>
        </w:tc>
        <w:tc>
          <w:tcPr>
            <w:tcW w:w="140" w:type="dxa"/>
            <w:vAlign w:val="bottom"/>
          </w:tcPr>
          <w:p>
            <w:pPr>
              <w:jc w:val="right"/>
              <w:ind w:right="5"/>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65"/>
              <w:spacing w:after="0"/>
              <w:rPr>
                <w:sz w:val="20"/>
                <w:szCs w:val="20"/>
                <w:color w:val="auto"/>
              </w:rPr>
            </w:pPr>
            <w:r>
              <w:rPr>
                <w:rFonts w:ascii="Arial" w:cs="Arial" w:eastAsia="Arial" w:hAnsi="Arial"/>
                <w:sz w:val="11"/>
                <w:szCs w:val="11"/>
                <w:b w:val="1"/>
                <w:bCs w:val="1"/>
                <w:color w:val="auto"/>
              </w:rPr>
              <w:t>6,757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ind w:right="24"/>
              <w:spacing w:after="0"/>
              <w:rPr>
                <w:sz w:val="20"/>
                <w:szCs w:val="20"/>
                <w:color w:val="auto"/>
              </w:rPr>
            </w:pPr>
            <w:r>
              <w:rPr>
                <w:rFonts w:ascii="Arial" w:cs="Arial" w:eastAsia="Arial" w:hAnsi="Arial"/>
                <w:sz w:val="11"/>
                <w:szCs w:val="11"/>
                <w:b w:val="1"/>
                <w:bCs w:val="1"/>
                <w:color w:val="auto"/>
              </w:rPr>
              <w:t>(602)</w:t>
            </w:r>
          </w:p>
        </w:tc>
        <w:tc>
          <w:tcPr>
            <w:tcW w:w="12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1"/>
                <w:szCs w:val="11"/>
                <w:b w:val="1"/>
                <w:bCs w:val="1"/>
                <w:color w:val="auto"/>
              </w:rPr>
              <w:t>11,596</w:t>
            </w:r>
          </w:p>
        </w:tc>
        <w:tc>
          <w:tcPr>
            <w:tcW w:w="0" w:type="dxa"/>
            <w:vAlign w:val="bottom"/>
          </w:tcPr>
          <w:p>
            <w:pPr>
              <w:spacing w:after="0"/>
              <w:rPr>
                <w:sz w:val="1"/>
                <w:szCs w:val="1"/>
                <w:color w:val="auto"/>
              </w:rPr>
            </w:pPr>
          </w:p>
        </w:tc>
      </w:tr>
      <w:tr>
        <w:trPr>
          <w:trHeight w:val="199"/>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Components of comprehensive income:</w:t>
            </w: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4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328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328</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comprehensive loss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20"/>
        </w:trPr>
        <w:tc>
          <w:tcPr>
            <w:tcW w:w="2640" w:type="dxa"/>
            <w:vAlign w:val="bottom"/>
          </w:tcPr>
          <w:p>
            <w:pPr>
              <w:ind w:left="20"/>
              <w:spacing w:after="0" w:line="120" w:lineRule="exact"/>
              <w:rPr>
                <w:sz w:val="20"/>
                <w:szCs w:val="20"/>
                <w:color w:val="auto"/>
              </w:rPr>
            </w:pPr>
            <w:r>
              <w:rPr>
                <w:rFonts w:ascii="Arial" w:cs="Arial" w:eastAsia="Arial" w:hAnsi="Arial"/>
                <w:sz w:val="11"/>
                <w:szCs w:val="11"/>
                <w:color w:val="auto"/>
                <w:w w:val="97"/>
              </w:rPr>
              <w:t>Issuance of common stock pursuant to employee stock</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Arial" w:cs="Arial" w:eastAsia="Arial" w:hAnsi="Arial"/>
                <w:sz w:val="11"/>
                <w:szCs w:val="11"/>
                <w:color w:val="auto"/>
              </w:rPr>
              <w:t>options</w:t>
            </w:r>
          </w:p>
        </w:tc>
        <w:tc>
          <w:tcPr>
            <w:tcW w:w="940" w:type="dxa"/>
            <w:vAlign w:val="bottom"/>
          </w:tcPr>
          <w:p>
            <w:pPr>
              <w:jc w:val="right"/>
              <w:ind w:right="8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Restricted stock surrendered for employees’ tax liability</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0"/>
        </w:trPr>
        <w:tc>
          <w:tcPr>
            <w:tcW w:w="2640" w:type="dxa"/>
            <w:vAlign w:val="bottom"/>
          </w:tcPr>
          <w:p>
            <w:pPr>
              <w:ind w:left="20"/>
              <w:spacing w:after="0" w:line="120" w:lineRule="exact"/>
              <w:rPr>
                <w:sz w:val="20"/>
                <w:szCs w:val="20"/>
                <w:color w:val="auto"/>
              </w:rPr>
            </w:pPr>
            <w:r>
              <w:rPr>
                <w:rFonts w:ascii="Arial" w:cs="Arial" w:eastAsia="Arial" w:hAnsi="Arial"/>
                <w:sz w:val="11"/>
                <w:szCs w:val="11"/>
                <w:color w:val="auto"/>
                <w:w w:val="93"/>
              </w:rPr>
              <w:t>Share-based compensation expense related to employee</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 options and restricted stock units</w:t>
            </w:r>
          </w:p>
        </w:tc>
        <w:tc>
          <w:tcPr>
            <w:tcW w:w="94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June 30, 2019</w:t>
            </w:r>
          </w:p>
        </w:tc>
        <w:tc>
          <w:tcPr>
            <w:tcW w:w="940" w:type="dxa"/>
            <w:vAlign w:val="bottom"/>
            <w:shd w:val="clear" w:color="auto" w:fill="CCEEFF"/>
          </w:tcPr>
          <w:p>
            <w:pPr>
              <w:jc w:val="right"/>
              <w:ind w:right="85"/>
              <w:spacing w:after="0"/>
              <w:rPr>
                <w:sz w:val="20"/>
                <w:szCs w:val="20"/>
                <w:color w:val="auto"/>
              </w:rPr>
            </w:pPr>
            <w:r>
              <w:rPr>
                <w:rFonts w:ascii="Arial" w:cs="Arial" w:eastAsia="Arial" w:hAnsi="Arial"/>
                <w:sz w:val="11"/>
                <w:szCs w:val="11"/>
                <w:b w:val="1"/>
                <w:bCs w:val="1"/>
                <w:color w:val="auto"/>
              </w:rPr>
              <w:t>1,196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(5,563)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11,063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7,085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1"/>
                <w:szCs w:val="11"/>
                <w:b w:val="1"/>
                <w:bCs w:val="1"/>
                <w:color w:val="auto"/>
              </w:rPr>
              <w:t>(608)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11,977</w:t>
            </w:r>
          </w:p>
        </w:tc>
        <w:tc>
          <w:tcPr>
            <w:tcW w:w="0" w:type="dxa"/>
            <w:vAlign w:val="bottom"/>
          </w:tcPr>
          <w:p>
            <w:pPr>
              <w:spacing w:after="0"/>
              <w:rPr>
                <w:sz w:val="1"/>
                <w:szCs w:val="1"/>
                <w:color w:val="auto"/>
              </w:rPr>
            </w:pPr>
          </w:p>
        </w:tc>
      </w:tr>
      <w:tr>
        <w:trPr>
          <w:trHeight w:val="190"/>
        </w:trPr>
        <w:tc>
          <w:tcPr>
            <w:tcW w:w="2640" w:type="dxa"/>
            <w:vAlign w:val="bottom"/>
          </w:tcPr>
          <w:p>
            <w:pPr>
              <w:ind w:left="20"/>
              <w:spacing w:after="0"/>
              <w:rPr>
                <w:sz w:val="20"/>
                <w:szCs w:val="20"/>
                <w:color w:val="auto"/>
              </w:rPr>
            </w:pPr>
            <w:r>
              <w:rPr>
                <w:rFonts w:ascii="Arial" w:cs="Arial" w:eastAsia="Arial" w:hAnsi="Arial"/>
                <w:sz w:val="11"/>
                <w:szCs w:val="11"/>
                <w:color w:val="auto"/>
              </w:rPr>
              <w:t>Components of comprehensive income:</w:t>
            </w: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204</w:t>
            </w:r>
          </w:p>
        </w:tc>
        <w:tc>
          <w:tcPr>
            <w:tcW w:w="0" w:type="dxa"/>
            <w:vAlign w:val="bottom"/>
          </w:tcPr>
          <w:p>
            <w:pPr>
              <w:spacing w:after="0"/>
              <w:rPr>
                <w:sz w:val="1"/>
                <w:szCs w:val="1"/>
                <w:color w:val="auto"/>
              </w:rPr>
            </w:pPr>
          </w:p>
        </w:tc>
      </w:tr>
      <w:tr>
        <w:trPr>
          <w:trHeight w:val="200"/>
        </w:trPr>
        <w:tc>
          <w:tcPr>
            <w:tcW w:w="2640" w:type="dxa"/>
            <w:vAlign w:val="bottom"/>
          </w:tcPr>
          <w:p>
            <w:pPr>
              <w:ind w:left="120"/>
              <w:spacing w:after="0"/>
              <w:rPr>
                <w:sz w:val="20"/>
                <w:szCs w:val="20"/>
                <w:color w:val="auto"/>
              </w:rPr>
            </w:pPr>
            <w:r>
              <w:rPr>
                <w:rFonts w:ascii="Arial" w:cs="Arial" w:eastAsia="Arial" w:hAnsi="Arial"/>
                <w:sz w:val="11"/>
                <w:szCs w:val="11"/>
                <w:color w:val="auto"/>
              </w:rPr>
              <w:t>Other comprehensive income</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97"/>
              </w:rPr>
              <w:t>Issuance of common stock pursuant to employee stock</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options</w:t>
            </w:r>
          </w:p>
        </w:tc>
        <w:tc>
          <w:tcPr>
            <w:tcW w:w="94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200"/>
        </w:trPr>
        <w:tc>
          <w:tcPr>
            <w:tcW w:w="2640" w:type="dxa"/>
            <w:vAlign w:val="bottom"/>
          </w:tcPr>
          <w:p>
            <w:pPr>
              <w:ind w:left="20"/>
              <w:spacing w:after="0"/>
              <w:rPr>
                <w:sz w:val="20"/>
                <w:szCs w:val="20"/>
                <w:color w:val="auto"/>
              </w:rPr>
            </w:pPr>
            <w:r>
              <w:rPr>
                <w:rFonts w:ascii="Arial" w:cs="Arial" w:eastAsia="Arial" w:hAnsi="Arial"/>
                <w:sz w:val="11"/>
                <w:szCs w:val="11"/>
                <w:color w:val="auto"/>
                <w:w w:val="96"/>
              </w:rPr>
              <w:t>Restricted stock surrendered for employees’ tax liability</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93"/>
              </w:rPr>
              <w:t>Share-based compensation expense related to employee</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 and restricted stock units</w:t>
            </w:r>
          </w:p>
        </w:tc>
        <w:tc>
          <w:tcPr>
            <w:tcW w:w="9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32</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Balance at September 30, 2019</w:t>
            </w:r>
          </w:p>
        </w:tc>
        <w:tc>
          <w:tcPr>
            <w:tcW w:w="940" w:type="dxa"/>
            <w:vAlign w:val="bottom"/>
          </w:tcPr>
          <w:p>
            <w:pPr>
              <w:jc w:val="right"/>
              <w:ind w:right="85"/>
              <w:spacing w:after="0"/>
              <w:rPr>
                <w:sz w:val="20"/>
                <w:szCs w:val="20"/>
                <w:color w:val="auto"/>
              </w:rPr>
            </w:pPr>
            <w:r>
              <w:rPr>
                <w:rFonts w:ascii="Arial" w:cs="Arial" w:eastAsia="Arial" w:hAnsi="Arial"/>
                <w:sz w:val="11"/>
                <w:szCs w:val="11"/>
                <w:b w:val="1"/>
                <w:bCs w:val="1"/>
                <w:color w:val="auto"/>
              </w:rPr>
              <w:t>1,197</w:t>
            </w:r>
          </w:p>
        </w:tc>
        <w:tc>
          <w:tcPr>
            <w:tcW w:w="120" w:type="dxa"/>
            <w:vAlign w:val="bottom"/>
          </w:tcPr>
          <w:p>
            <w:pPr>
              <w:spacing w:after="0"/>
              <w:rPr>
                <w:sz w:val="15"/>
                <w:szCs w:val="15"/>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ind w:left="5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25"/>
              <w:spacing w:after="0"/>
              <w:rPr>
                <w:sz w:val="20"/>
                <w:szCs w:val="20"/>
                <w:color w:val="auto"/>
              </w:rPr>
            </w:pPr>
            <w:r>
              <w:rPr>
                <w:rFonts w:ascii="Arial" w:cs="Arial" w:eastAsia="Arial" w:hAnsi="Arial"/>
                <w:sz w:val="11"/>
                <w:szCs w:val="11"/>
                <w:b w:val="1"/>
                <w:bCs w:val="1"/>
                <w:color w:val="auto"/>
              </w:rPr>
              <w:t>(429)</w:t>
            </w:r>
          </w:p>
        </w:tc>
        <w:tc>
          <w:tcPr>
            <w:tcW w:w="100" w:type="dxa"/>
            <w:vAlign w:val="bottom"/>
          </w:tcPr>
          <w:p>
            <w:pPr>
              <w:spacing w:after="0"/>
              <w:rPr>
                <w:sz w:val="15"/>
                <w:szCs w:val="15"/>
                <w:color w:val="auto"/>
              </w:rPr>
            </w:pPr>
          </w:p>
        </w:tc>
        <w:tc>
          <w:tcPr>
            <w:tcW w:w="180" w:type="dxa"/>
            <w:vAlign w:val="bottom"/>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25"/>
              <w:spacing w:after="0"/>
              <w:rPr>
                <w:sz w:val="20"/>
                <w:szCs w:val="20"/>
                <w:color w:val="auto"/>
              </w:rPr>
            </w:pPr>
            <w:r>
              <w:rPr>
                <w:rFonts w:ascii="Arial" w:cs="Arial" w:eastAsia="Arial" w:hAnsi="Arial"/>
                <w:sz w:val="11"/>
                <w:szCs w:val="11"/>
                <w:b w:val="1"/>
                <w:bCs w:val="1"/>
                <w:color w:val="auto"/>
              </w:rPr>
              <w:t>(5,563)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45"/>
              <w:spacing w:after="0"/>
              <w:rPr>
                <w:sz w:val="20"/>
                <w:szCs w:val="20"/>
                <w:color w:val="auto"/>
              </w:rPr>
            </w:pPr>
            <w:r>
              <w:rPr>
                <w:rFonts w:ascii="Arial" w:cs="Arial" w:eastAsia="Arial" w:hAnsi="Arial"/>
                <w:sz w:val="11"/>
                <w:szCs w:val="11"/>
                <w:b w:val="1"/>
                <w:bCs w:val="1"/>
                <w:color w:val="auto"/>
              </w:rPr>
              <w:t>11,116</w:t>
            </w:r>
          </w:p>
        </w:tc>
        <w:tc>
          <w:tcPr>
            <w:tcW w:w="120" w:type="dxa"/>
            <w:vAlign w:val="bottom"/>
          </w:tcPr>
          <w:p>
            <w:pPr>
              <w:spacing w:after="0"/>
              <w:rPr>
                <w:sz w:val="15"/>
                <w:szCs w:val="15"/>
                <w:color w:val="auto"/>
              </w:rPr>
            </w:pPr>
          </w:p>
        </w:tc>
        <w:tc>
          <w:tcPr>
            <w:tcW w:w="140" w:type="dxa"/>
            <w:vAlign w:val="bottom"/>
          </w:tcPr>
          <w:p>
            <w:pPr>
              <w:jc w:val="right"/>
              <w:ind w:right="5"/>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65"/>
              <w:spacing w:after="0"/>
              <w:rPr>
                <w:sz w:val="20"/>
                <w:szCs w:val="20"/>
                <w:color w:val="auto"/>
              </w:rPr>
            </w:pPr>
            <w:r>
              <w:rPr>
                <w:rFonts w:ascii="Arial" w:cs="Arial" w:eastAsia="Arial" w:hAnsi="Arial"/>
                <w:sz w:val="11"/>
                <w:szCs w:val="11"/>
                <w:b w:val="1"/>
                <w:bCs w:val="1"/>
                <w:color w:val="auto"/>
              </w:rPr>
              <w:t>7,289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ind w:right="24"/>
              <w:spacing w:after="0"/>
              <w:rPr>
                <w:sz w:val="20"/>
                <w:szCs w:val="20"/>
                <w:color w:val="auto"/>
              </w:rPr>
            </w:pPr>
            <w:r>
              <w:rPr>
                <w:rFonts w:ascii="Arial" w:cs="Arial" w:eastAsia="Arial" w:hAnsi="Arial"/>
                <w:sz w:val="11"/>
                <w:szCs w:val="11"/>
                <w:b w:val="1"/>
                <w:bCs w:val="1"/>
                <w:color w:val="auto"/>
              </w:rPr>
              <w:t>(607)</w:t>
            </w:r>
          </w:p>
        </w:tc>
        <w:tc>
          <w:tcPr>
            <w:tcW w:w="120" w:type="dxa"/>
            <w:vAlign w:val="bottom"/>
          </w:tcPr>
          <w:p>
            <w:pPr>
              <w:spacing w:after="0"/>
              <w:rPr>
                <w:sz w:val="15"/>
                <w:szCs w:val="15"/>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1"/>
                <w:szCs w:val="11"/>
                <w:b w:val="1"/>
                <w:bCs w:val="1"/>
                <w:color w:val="auto"/>
              </w:rPr>
              <w:t>12,235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129" w:right="2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ACTIVISION BLIZZARD,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CHANGES IN SHAREHOLDERS’ EQUITY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Three and Nine Months Ended September 30, 2018</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(Amounts and shares in millions,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2120" w:type="dxa"/>
            <w:vAlign w:val="bottom"/>
            <w:gridSpan w:val="5"/>
            <w:vMerge w:val="restart"/>
          </w:tcPr>
          <w:p>
            <w:pPr>
              <w:ind w:left="600"/>
              <w:spacing w:after="0"/>
              <w:rPr>
                <w:sz w:val="20"/>
                <w:szCs w:val="20"/>
                <w:color w:val="auto"/>
              </w:rPr>
            </w:pPr>
            <w:r>
              <w:rPr>
                <w:rFonts w:ascii="Arial" w:cs="Arial" w:eastAsia="Arial" w:hAnsi="Arial"/>
                <w:sz w:val="12"/>
                <w:szCs w:val="12"/>
                <w:b w:val="1"/>
                <w:bCs w:val="1"/>
                <w:color w:val="auto"/>
              </w:rPr>
              <w:t>Common Stock</w:t>
            </w:r>
          </w:p>
        </w:tc>
        <w:tc>
          <w:tcPr>
            <w:tcW w:w="2280" w:type="dxa"/>
            <w:vAlign w:val="bottom"/>
            <w:gridSpan w:val="5"/>
            <w:vMerge w:val="restart"/>
          </w:tcPr>
          <w:p>
            <w:pPr>
              <w:ind w:left="700"/>
              <w:spacing w:after="0"/>
              <w:rPr>
                <w:sz w:val="20"/>
                <w:szCs w:val="20"/>
                <w:color w:val="auto"/>
              </w:rPr>
            </w:pPr>
            <w:r>
              <w:rPr>
                <w:rFonts w:ascii="Arial" w:cs="Arial" w:eastAsia="Arial" w:hAnsi="Arial"/>
                <w:sz w:val="12"/>
                <w:szCs w:val="12"/>
                <w:b w:val="1"/>
                <w:bCs w:val="1"/>
                <w:color w:val="auto"/>
              </w:rPr>
              <w:t>Treasury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tcPr>
          <w:p>
            <w:pPr>
              <w:spacing w:after="0"/>
              <w:rPr>
                <w:sz w:val="13"/>
                <w:szCs w:val="13"/>
                <w:color w:val="auto"/>
              </w:rPr>
            </w:pPr>
          </w:p>
        </w:tc>
        <w:tc>
          <w:tcPr>
            <w:tcW w:w="2120" w:type="dxa"/>
            <w:vAlign w:val="bottom"/>
            <w:gridSpan w:val="5"/>
            <w:vMerge w:val="continue"/>
          </w:tcPr>
          <w:p>
            <w:pPr>
              <w:spacing w:after="0"/>
              <w:rPr>
                <w:sz w:val="13"/>
                <w:szCs w:val="13"/>
                <w:color w:val="auto"/>
              </w:rPr>
            </w:pPr>
          </w:p>
        </w:tc>
        <w:tc>
          <w:tcPr>
            <w:tcW w:w="228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3"/>
                <w:szCs w:val="13"/>
                <w:color w:val="auto"/>
              </w:rPr>
            </w:pPr>
          </w:p>
        </w:tc>
        <w:tc>
          <w:tcPr>
            <w:tcW w:w="1000" w:type="dxa"/>
            <w:vAlign w:val="bottom"/>
          </w:tcPr>
          <w:p>
            <w:pPr>
              <w:jc w:val="center"/>
              <w:ind w:right="65"/>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11"/>
                <w:szCs w:val="11"/>
                <w:color w:val="auto"/>
              </w:rPr>
            </w:pPr>
          </w:p>
        </w:tc>
        <w:tc>
          <w:tcPr>
            <w:tcW w:w="1000" w:type="dxa"/>
            <w:vAlign w:val="bottom"/>
          </w:tcPr>
          <w:p>
            <w:pPr>
              <w:jc w:val="center"/>
              <w:ind w:right="65"/>
              <w:spacing w:after="0" w:line="133" w:lineRule="exact"/>
              <w:rPr>
                <w:sz w:val="20"/>
                <w:szCs w:val="20"/>
                <w:color w:val="auto"/>
              </w:rPr>
            </w:pPr>
            <w:r>
              <w:rPr>
                <w:rFonts w:ascii="Arial" w:cs="Arial" w:eastAsia="Arial" w:hAnsi="Arial"/>
                <w:sz w:val="12"/>
                <w:szCs w:val="12"/>
                <w:b w:val="1"/>
                <w:bCs w:val="1"/>
                <w:color w:val="auto"/>
                <w:w w:val="89"/>
              </w:rPr>
              <w:t>Shareholders’</w:t>
            </w: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1060" w:type="dxa"/>
            <w:vAlign w:val="bottom"/>
            <w:gridSpan w:val="2"/>
          </w:tcPr>
          <w:p>
            <w:pPr>
              <w:ind w:left="2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14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Income (Loss)</w:t>
            </w:r>
          </w:p>
        </w:tc>
        <w:tc>
          <w:tcPr>
            <w:tcW w:w="120" w:type="dxa"/>
            <w:vAlign w:val="bottom"/>
          </w:tcPr>
          <w:p>
            <w:pPr>
              <w:spacing w:after="0"/>
              <w:rPr>
                <w:sz w:val="13"/>
                <w:szCs w:val="13"/>
                <w:color w:val="auto"/>
              </w:rPr>
            </w:pPr>
          </w:p>
        </w:tc>
        <w:tc>
          <w:tcPr>
            <w:tcW w:w="1000" w:type="dxa"/>
            <w:vAlign w:val="bottom"/>
          </w:tcPr>
          <w:p>
            <w:pPr>
              <w:jc w:val="center"/>
              <w:ind w:right="65"/>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5"/>
        </w:trPr>
        <w:tc>
          <w:tcPr>
            <w:tcW w:w="26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December 31, 2017</w:t>
            </w:r>
          </w:p>
        </w:tc>
        <w:tc>
          <w:tcPr>
            <w:tcW w:w="940" w:type="dxa"/>
            <w:vAlign w:val="bottom"/>
            <w:shd w:val="clear" w:color="auto" w:fill="CCEEFF"/>
          </w:tcPr>
          <w:p>
            <w:pPr>
              <w:jc w:val="right"/>
              <w:ind w:right="85"/>
              <w:spacing w:after="0"/>
              <w:rPr>
                <w:sz w:val="20"/>
                <w:szCs w:val="20"/>
                <w:color w:val="auto"/>
              </w:rPr>
            </w:pPr>
            <w:r>
              <w:rPr>
                <w:rFonts w:ascii="Arial" w:cs="Arial" w:eastAsia="Arial" w:hAnsi="Arial"/>
                <w:sz w:val="11"/>
                <w:szCs w:val="11"/>
                <w:b w:val="1"/>
                <w:bCs w:val="1"/>
                <w:color w:val="auto"/>
              </w:rPr>
              <w:t>1,186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(5,563)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10,747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4,916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1"/>
                <w:szCs w:val="11"/>
                <w:b w:val="1"/>
                <w:bCs w:val="1"/>
                <w:color w:val="auto"/>
              </w:rPr>
              <w:t>(638)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9,462</w:t>
            </w:r>
          </w:p>
        </w:tc>
        <w:tc>
          <w:tcPr>
            <w:tcW w:w="0" w:type="dxa"/>
            <w:vAlign w:val="bottom"/>
          </w:tcPr>
          <w:p>
            <w:pPr>
              <w:spacing w:after="0"/>
              <w:rPr>
                <w:sz w:val="1"/>
                <w:szCs w:val="1"/>
                <w:color w:val="auto"/>
              </w:rPr>
            </w:pPr>
          </w:p>
        </w:tc>
      </w:tr>
      <w:tr>
        <w:trPr>
          <w:trHeight w:val="120"/>
        </w:trPr>
        <w:tc>
          <w:tcPr>
            <w:tcW w:w="2640" w:type="dxa"/>
            <w:vAlign w:val="bottom"/>
          </w:tcPr>
          <w:p>
            <w:pPr>
              <w:ind w:left="20"/>
              <w:spacing w:after="0" w:line="120" w:lineRule="exact"/>
              <w:rPr>
                <w:sz w:val="20"/>
                <w:szCs w:val="20"/>
                <w:color w:val="auto"/>
              </w:rPr>
            </w:pPr>
            <w:r>
              <w:rPr>
                <w:rFonts w:ascii="Arial" w:cs="Arial" w:eastAsia="Arial" w:hAnsi="Arial"/>
                <w:sz w:val="11"/>
                <w:szCs w:val="11"/>
                <w:color w:val="auto"/>
              </w:rPr>
              <w:t>Cumulative impact from adoption of new revenue</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Arial" w:cs="Arial" w:eastAsia="Arial" w:hAnsi="Arial"/>
                <w:sz w:val="11"/>
                <w:szCs w:val="11"/>
                <w:color w:val="auto"/>
              </w:rPr>
              <w:t>accounting standard</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Components of comprehensive income: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64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comprehensive loss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20"/>
        </w:trPr>
        <w:tc>
          <w:tcPr>
            <w:tcW w:w="2640" w:type="dxa"/>
            <w:vAlign w:val="bottom"/>
          </w:tcPr>
          <w:p>
            <w:pPr>
              <w:ind w:left="20"/>
              <w:spacing w:after="0" w:line="120" w:lineRule="exact"/>
              <w:rPr>
                <w:sz w:val="20"/>
                <w:szCs w:val="20"/>
                <w:color w:val="auto"/>
              </w:rPr>
            </w:pPr>
            <w:r>
              <w:rPr>
                <w:rFonts w:ascii="Arial" w:cs="Arial" w:eastAsia="Arial" w:hAnsi="Arial"/>
                <w:sz w:val="11"/>
                <w:szCs w:val="11"/>
                <w:color w:val="auto"/>
                <w:w w:val="97"/>
              </w:rPr>
              <w:t>Issuance of common stock pursuant to employee stock</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Arial" w:cs="Arial" w:eastAsia="Arial" w:hAnsi="Arial"/>
                <w:sz w:val="11"/>
                <w:szCs w:val="11"/>
                <w:color w:val="auto"/>
              </w:rPr>
              <w:t>options</w:t>
            </w:r>
          </w:p>
        </w:tc>
        <w:tc>
          <w:tcPr>
            <w:tcW w:w="940" w:type="dxa"/>
            <w:vAlign w:val="bottom"/>
          </w:tcPr>
          <w:p>
            <w:pPr>
              <w:jc w:val="right"/>
              <w:ind w:right="85"/>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47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97"/>
              </w:rPr>
              <w:t>Issuance of common stock pursuant to restricted stock</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units</w:t>
            </w:r>
          </w:p>
        </w:tc>
        <w:tc>
          <w:tcPr>
            <w:tcW w:w="94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0"/>
        </w:trPr>
        <w:tc>
          <w:tcPr>
            <w:tcW w:w="2640" w:type="dxa"/>
            <w:vAlign w:val="bottom"/>
          </w:tcPr>
          <w:p>
            <w:pPr>
              <w:ind w:left="20"/>
              <w:spacing w:after="0"/>
              <w:rPr>
                <w:sz w:val="20"/>
                <w:szCs w:val="20"/>
                <w:color w:val="auto"/>
              </w:rPr>
            </w:pPr>
            <w:r>
              <w:rPr>
                <w:rFonts w:ascii="Arial" w:cs="Arial" w:eastAsia="Arial" w:hAnsi="Arial"/>
                <w:sz w:val="11"/>
                <w:szCs w:val="11"/>
                <w:color w:val="auto"/>
                <w:w w:val="96"/>
              </w:rPr>
              <w:t>Restricted stock surrendered for employees’ tax liability</w:t>
            </w:r>
          </w:p>
        </w:tc>
        <w:tc>
          <w:tcPr>
            <w:tcW w:w="940" w:type="dxa"/>
            <w:vAlign w:val="bottom"/>
          </w:tcPr>
          <w:p>
            <w:pPr>
              <w:jc w:val="right"/>
              <w:ind w:right="4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93"/>
              </w:rPr>
              <w:t>Share-based compensation expense related to employee</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 and restricted stock units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200"/>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Dividends ($0.34 per common share)</w:t>
            </w:r>
          </w:p>
        </w:tc>
        <w:tc>
          <w:tcPr>
            <w:tcW w:w="94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(259)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(259)</w:t>
            </w:r>
          </w:p>
        </w:tc>
        <w:tc>
          <w:tcPr>
            <w:tcW w:w="0" w:type="dxa"/>
            <w:vAlign w:val="bottom"/>
          </w:tcPr>
          <w:p>
            <w:pPr>
              <w:spacing w:after="0"/>
              <w:rPr>
                <w:sz w:val="1"/>
                <w:szCs w:val="1"/>
                <w:color w:val="auto"/>
              </w:rPr>
            </w:pPr>
          </w:p>
        </w:tc>
      </w:tr>
      <w:tr>
        <w:trPr>
          <w:trHeight w:val="18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March 31, 2018</w:t>
            </w:r>
          </w:p>
        </w:tc>
        <w:tc>
          <w:tcPr>
            <w:tcW w:w="940" w:type="dxa"/>
            <w:vAlign w:val="bottom"/>
            <w:shd w:val="clear" w:color="auto" w:fill="CCEEFF"/>
          </w:tcPr>
          <w:p>
            <w:pPr>
              <w:jc w:val="right"/>
              <w:ind w:right="85"/>
              <w:spacing w:after="0"/>
              <w:rPr>
                <w:sz w:val="20"/>
                <w:szCs w:val="20"/>
                <w:color w:val="auto"/>
              </w:rPr>
            </w:pPr>
            <w:r>
              <w:rPr>
                <w:rFonts w:ascii="Arial" w:cs="Arial" w:eastAsia="Arial" w:hAnsi="Arial"/>
                <w:sz w:val="11"/>
                <w:szCs w:val="11"/>
                <w:b w:val="1"/>
                <w:bCs w:val="1"/>
                <w:color w:val="auto"/>
              </w:rPr>
              <w:t>1,190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(429)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(5,563)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10,786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5,245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1"/>
                <w:szCs w:val="11"/>
                <w:b w:val="1"/>
                <w:bCs w:val="1"/>
                <w:color w:val="auto"/>
              </w:rPr>
              <w:t>(649)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9,819</w:t>
            </w:r>
          </w:p>
        </w:tc>
        <w:tc>
          <w:tcPr>
            <w:tcW w:w="0" w:type="dxa"/>
            <w:vAlign w:val="bottom"/>
          </w:tcPr>
          <w:p>
            <w:pPr>
              <w:spacing w:after="0"/>
              <w:rPr>
                <w:sz w:val="1"/>
                <w:szCs w:val="1"/>
                <w:color w:val="auto"/>
              </w:rPr>
            </w:pPr>
          </w:p>
        </w:tc>
      </w:tr>
      <w:tr>
        <w:trPr>
          <w:trHeight w:val="190"/>
        </w:trPr>
        <w:tc>
          <w:tcPr>
            <w:tcW w:w="2640" w:type="dxa"/>
            <w:vAlign w:val="bottom"/>
          </w:tcPr>
          <w:p>
            <w:pPr>
              <w:ind w:left="20"/>
              <w:spacing w:after="0"/>
              <w:rPr>
                <w:sz w:val="20"/>
                <w:szCs w:val="20"/>
                <w:color w:val="auto"/>
              </w:rPr>
            </w:pPr>
            <w:r>
              <w:rPr>
                <w:rFonts w:ascii="Arial" w:cs="Arial" w:eastAsia="Arial" w:hAnsi="Arial"/>
                <w:sz w:val="11"/>
                <w:szCs w:val="11"/>
                <w:color w:val="auto"/>
              </w:rPr>
              <w:t>Components of comprehensive income:</w:t>
            </w: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Net income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402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402</w:t>
            </w:r>
          </w:p>
        </w:tc>
        <w:tc>
          <w:tcPr>
            <w:tcW w:w="0" w:type="dxa"/>
            <w:vAlign w:val="bottom"/>
          </w:tcPr>
          <w:p>
            <w:pPr>
              <w:spacing w:after="0"/>
              <w:rPr>
                <w:sz w:val="1"/>
                <w:szCs w:val="1"/>
                <w:color w:val="auto"/>
              </w:rPr>
            </w:pPr>
          </w:p>
        </w:tc>
      </w:tr>
      <w:tr>
        <w:trPr>
          <w:trHeight w:val="200"/>
        </w:trPr>
        <w:tc>
          <w:tcPr>
            <w:tcW w:w="2640" w:type="dxa"/>
            <w:vAlign w:val="bottom"/>
          </w:tcPr>
          <w:p>
            <w:pPr>
              <w:ind w:left="120"/>
              <w:spacing w:after="0"/>
              <w:rPr>
                <w:sz w:val="20"/>
                <w:szCs w:val="20"/>
                <w:color w:val="auto"/>
              </w:rPr>
            </w:pPr>
            <w:r>
              <w:rPr>
                <w:rFonts w:ascii="Arial" w:cs="Arial" w:eastAsia="Arial" w:hAnsi="Arial"/>
                <w:sz w:val="11"/>
                <w:szCs w:val="11"/>
                <w:color w:val="auto"/>
              </w:rPr>
              <w:t>Other comprehensive income</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020" w:type="dxa"/>
            <w:vAlign w:val="bottom"/>
          </w:tcPr>
          <w:p>
            <w:pPr>
              <w:jc w:val="right"/>
              <w:ind w:right="64"/>
              <w:spacing w:after="0"/>
              <w:rPr>
                <w:sz w:val="20"/>
                <w:szCs w:val="20"/>
                <w:color w:val="auto"/>
              </w:rPr>
            </w:pPr>
            <w:r>
              <w:rPr>
                <w:rFonts w:ascii="Arial" w:cs="Arial" w:eastAsia="Arial" w:hAnsi="Arial"/>
                <w:sz w:val="11"/>
                <w:szCs w:val="11"/>
                <w:color w:val="auto"/>
              </w:rPr>
              <w:t>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97"/>
              </w:rPr>
              <w:t>Issuance of common stock pursuant to employee stock</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options</w:t>
            </w:r>
          </w:p>
        </w:tc>
        <w:tc>
          <w:tcPr>
            <w:tcW w:w="94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30</w:t>
            </w:r>
          </w:p>
        </w:tc>
        <w:tc>
          <w:tcPr>
            <w:tcW w:w="0" w:type="dxa"/>
            <w:vAlign w:val="bottom"/>
          </w:tcPr>
          <w:p>
            <w:pPr>
              <w:spacing w:after="0"/>
              <w:rPr>
                <w:sz w:val="1"/>
                <w:szCs w:val="1"/>
                <w:color w:val="auto"/>
              </w:rPr>
            </w:pPr>
          </w:p>
        </w:tc>
      </w:tr>
      <w:tr>
        <w:trPr>
          <w:trHeight w:val="200"/>
        </w:trPr>
        <w:tc>
          <w:tcPr>
            <w:tcW w:w="2640" w:type="dxa"/>
            <w:vAlign w:val="bottom"/>
          </w:tcPr>
          <w:p>
            <w:pPr>
              <w:ind w:left="20"/>
              <w:spacing w:after="0"/>
              <w:rPr>
                <w:sz w:val="20"/>
                <w:szCs w:val="20"/>
                <w:color w:val="auto"/>
              </w:rPr>
            </w:pPr>
            <w:r>
              <w:rPr>
                <w:rFonts w:ascii="Arial" w:cs="Arial" w:eastAsia="Arial" w:hAnsi="Arial"/>
                <w:sz w:val="11"/>
                <w:szCs w:val="11"/>
                <w:color w:val="auto"/>
                <w:w w:val="96"/>
              </w:rPr>
              <w:t>Restricted stock surrendered for employees’ tax liability</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780" w:type="dxa"/>
            <w:vAlign w:val="bottom"/>
          </w:tcPr>
          <w:p>
            <w:pPr>
              <w:jc w:val="right"/>
              <w:ind w:right="5"/>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000" w:type="dxa"/>
            <w:vAlign w:val="bottom"/>
          </w:tcPr>
          <w:p>
            <w:pPr>
              <w:jc w:val="right"/>
              <w:ind w:right="5"/>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24"/>
        </w:trPr>
        <w:tc>
          <w:tcPr>
            <w:tcW w:w="264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93"/>
              </w:rPr>
              <w:t>Share-based compensation expense related to employee</w:t>
            </w: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 and restricted stock units</w:t>
            </w:r>
          </w:p>
        </w:tc>
        <w:tc>
          <w:tcPr>
            <w:tcW w:w="9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61</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85"/>
        </w:trPr>
        <w:tc>
          <w:tcPr>
            <w:tcW w:w="2640" w:type="dxa"/>
            <w:vAlign w:val="bottom"/>
          </w:tcPr>
          <w:p>
            <w:pPr>
              <w:ind w:left="20"/>
              <w:spacing w:after="0"/>
              <w:rPr>
                <w:sz w:val="20"/>
                <w:szCs w:val="20"/>
                <w:color w:val="auto"/>
              </w:rPr>
            </w:pPr>
            <w:r>
              <w:rPr>
                <w:rFonts w:ascii="Arial" w:cs="Arial" w:eastAsia="Arial" w:hAnsi="Arial"/>
                <w:sz w:val="11"/>
                <w:szCs w:val="11"/>
                <w:b w:val="1"/>
                <w:bCs w:val="1"/>
                <w:color w:val="auto"/>
              </w:rPr>
              <w:t>Balance at June 30, 2018</w:t>
            </w:r>
          </w:p>
        </w:tc>
        <w:tc>
          <w:tcPr>
            <w:tcW w:w="940" w:type="dxa"/>
            <w:vAlign w:val="bottom"/>
          </w:tcPr>
          <w:p>
            <w:pPr>
              <w:jc w:val="right"/>
              <w:ind w:right="85"/>
              <w:spacing w:after="0"/>
              <w:rPr>
                <w:sz w:val="20"/>
                <w:szCs w:val="20"/>
                <w:color w:val="auto"/>
              </w:rPr>
            </w:pPr>
            <w:r>
              <w:rPr>
                <w:rFonts w:ascii="Arial" w:cs="Arial" w:eastAsia="Arial" w:hAnsi="Arial"/>
                <w:sz w:val="11"/>
                <w:szCs w:val="11"/>
                <w:b w:val="1"/>
                <w:bCs w:val="1"/>
                <w:color w:val="auto"/>
              </w:rPr>
              <w:t>1,191</w:t>
            </w:r>
          </w:p>
        </w:tc>
        <w:tc>
          <w:tcPr>
            <w:tcW w:w="120" w:type="dxa"/>
            <w:vAlign w:val="bottom"/>
          </w:tcPr>
          <w:p>
            <w:pPr>
              <w:spacing w:after="0"/>
              <w:rPr>
                <w:sz w:val="16"/>
                <w:szCs w:val="16"/>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tcPr>
          <w:p>
            <w:pPr>
              <w:ind w:left="540"/>
              <w:spacing w:after="0"/>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25"/>
              <w:spacing w:after="0"/>
              <w:rPr>
                <w:sz w:val="20"/>
                <w:szCs w:val="20"/>
                <w:color w:val="auto"/>
              </w:rPr>
            </w:pPr>
            <w:r>
              <w:rPr>
                <w:rFonts w:ascii="Arial" w:cs="Arial" w:eastAsia="Arial" w:hAnsi="Arial"/>
                <w:sz w:val="11"/>
                <w:szCs w:val="11"/>
                <w:b w:val="1"/>
                <w:bCs w:val="1"/>
                <w:color w:val="auto"/>
              </w:rPr>
              <w:t>(429)</w:t>
            </w:r>
          </w:p>
        </w:tc>
        <w:tc>
          <w:tcPr>
            <w:tcW w:w="100" w:type="dxa"/>
            <w:vAlign w:val="bottom"/>
          </w:tcPr>
          <w:p>
            <w:pPr>
              <w:spacing w:after="0"/>
              <w:rPr>
                <w:sz w:val="16"/>
                <w:szCs w:val="16"/>
                <w:color w:val="auto"/>
              </w:rPr>
            </w:pPr>
          </w:p>
        </w:tc>
        <w:tc>
          <w:tcPr>
            <w:tcW w:w="180" w:type="dxa"/>
            <w:vAlign w:val="bottom"/>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840" w:type="dxa"/>
            <w:vAlign w:val="bottom"/>
          </w:tcPr>
          <w:p>
            <w:pPr>
              <w:jc w:val="right"/>
              <w:ind w:right="25"/>
              <w:spacing w:after="0"/>
              <w:rPr>
                <w:sz w:val="20"/>
                <w:szCs w:val="20"/>
                <w:color w:val="auto"/>
              </w:rPr>
            </w:pPr>
            <w:r>
              <w:rPr>
                <w:rFonts w:ascii="Arial" w:cs="Arial" w:eastAsia="Arial" w:hAnsi="Arial"/>
                <w:sz w:val="11"/>
                <w:szCs w:val="11"/>
                <w:b w:val="1"/>
                <w:bCs w:val="1"/>
                <w:color w:val="auto"/>
              </w:rPr>
              <w:t>(5,563)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45"/>
              <w:spacing w:after="0"/>
              <w:rPr>
                <w:sz w:val="20"/>
                <w:szCs w:val="20"/>
                <w:color w:val="auto"/>
              </w:rPr>
            </w:pPr>
            <w:r>
              <w:rPr>
                <w:rFonts w:ascii="Arial" w:cs="Arial" w:eastAsia="Arial" w:hAnsi="Arial"/>
                <w:sz w:val="11"/>
                <w:szCs w:val="11"/>
                <w:b w:val="1"/>
                <w:bCs w:val="1"/>
                <w:color w:val="auto"/>
              </w:rPr>
              <w:t>10,867</w:t>
            </w:r>
          </w:p>
        </w:tc>
        <w:tc>
          <w:tcPr>
            <w:tcW w:w="120" w:type="dxa"/>
            <w:vAlign w:val="bottom"/>
          </w:tcPr>
          <w:p>
            <w:pPr>
              <w:spacing w:after="0"/>
              <w:rPr>
                <w:sz w:val="16"/>
                <w:szCs w:val="16"/>
                <w:color w:val="auto"/>
              </w:rPr>
            </w:pPr>
          </w:p>
        </w:tc>
        <w:tc>
          <w:tcPr>
            <w:tcW w:w="140" w:type="dxa"/>
            <w:vAlign w:val="bottom"/>
          </w:tcPr>
          <w:p>
            <w:pPr>
              <w:jc w:val="right"/>
              <w:ind w:right="5"/>
              <w:spacing w:after="0"/>
              <w:rPr>
                <w:sz w:val="20"/>
                <w:szCs w:val="20"/>
                <w:color w:val="auto"/>
              </w:rPr>
            </w:pPr>
            <w:r>
              <w:rPr>
                <w:rFonts w:ascii="Arial" w:cs="Arial" w:eastAsia="Arial" w:hAnsi="Arial"/>
                <w:sz w:val="11"/>
                <w:szCs w:val="11"/>
                <w:b w:val="1"/>
                <w:bCs w:val="1"/>
                <w:color w:val="auto"/>
                <w:w w:val="97"/>
              </w:rPr>
              <w:t>$</w:t>
            </w:r>
          </w:p>
        </w:tc>
        <w:tc>
          <w:tcPr>
            <w:tcW w:w="780" w:type="dxa"/>
            <w:vAlign w:val="bottom"/>
          </w:tcPr>
          <w:p>
            <w:pPr>
              <w:jc w:val="right"/>
              <w:ind w:right="65"/>
              <w:spacing w:after="0"/>
              <w:rPr>
                <w:sz w:val="20"/>
                <w:szCs w:val="20"/>
                <w:color w:val="auto"/>
              </w:rPr>
            </w:pPr>
            <w:r>
              <w:rPr>
                <w:rFonts w:ascii="Arial" w:cs="Arial" w:eastAsia="Arial" w:hAnsi="Arial"/>
                <w:sz w:val="11"/>
                <w:szCs w:val="11"/>
                <w:b w:val="1"/>
                <w:bCs w:val="1"/>
                <w:color w:val="auto"/>
              </w:rPr>
              <w:t>5,647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tcPr>
          <w:p>
            <w:pPr>
              <w:jc w:val="right"/>
              <w:ind w:right="24"/>
              <w:spacing w:after="0"/>
              <w:rPr>
                <w:sz w:val="20"/>
                <w:szCs w:val="20"/>
                <w:color w:val="auto"/>
              </w:rPr>
            </w:pPr>
            <w:r>
              <w:rPr>
                <w:rFonts w:ascii="Arial" w:cs="Arial" w:eastAsia="Arial" w:hAnsi="Arial"/>
                <w:sz w:val="11"/>
                <w:szCs w:val="11"/>
                <w:b w:val="1"/>
                <w:bCs w:val="1"/>
                <w:color w:val="auto"/>
              </w:rPr>
              <w:t>(605)</w:t>
            </w:r>
          </w:p>
        </w:tc>
        <w:tc>
          <w:tcPr>
            <w:tcW w:w="120" w:type="dxa"/>
            <w:vAlign w:val="bottom"/>
          </w:tcPr>
          <w:p>
            <w:pPr>
              <w:spacing w:after="0"/>
              <w:rPr>
                <w:sz w:val="16"/>
                <w:szCs w:val="16"/>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Pr>
          <w:p>
            <w:pPr>
              <w:jc w:val="right"/>
              <w:ind w:right="45"/>
              <w:spacing w:after="0"/>
              <w:rPr>
                <w:sz w:val="20"/>
                <w:szCs w:val="20"/>
                <w:color w:val="auto"/>
              </w:rPr>
            </w:pPr>
            <w:r>
              <w:rPr>
                <w:rFonts w:ascii="Arial" w:cs="Arial" w:eastAsia="Arial" w:hAnsi="Arial"/>
                <w:sz w:val="11"/>
                <w:szCs w:val="11"/>
                <w:b w:val="1"/>
                <w:bCs w:val="1"/>
                <w:color w:val="auto"/>
              </w:rPr>
              <w:t>10,346</w:t>
            </w:r>
          </w:p>
        </w:tc>
        <w:tc>
          <w:tcPr>
            <w:tcW w:w="0" w:type="dxa"/>
            <w:vAlign w:val="bottom"/>
          </w:tcPr>
          <w:p>
            <w:pPr>
              <w:spacing w:after="0"/>
              <w:rPr>
                <w:sz w:val="1"/>
                <w:szCs w:val="1"/>
                <w:color w:val="auto"/>
              </w:rPr>
            </w:pPr>
          </w:p>
        </w:tc>
      </w:tr>
      <w:tr>
        <w:trPr>
          <w:trHeight w:val="199"/>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Components of comprehensive income:</w:t>
            </w: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40" w:type="dxa"/>
            <w:vAlign w:val="bottom"/>
          </w:tcPr>
          <w:p>
            <w:pPr>
              <w:ind w:left="120"/>
              <w:spacing w:after="0"/>
              <w:rPr>
                <w:sz w:val="20"/>
                <w:szCs w:val="20"/>
                <w:color w:val="auto"/>
              </w:rPr>
            </w:pPr>
            <w:r>
              <w:rPr>
                <w:rFonts w:ascii="Arial" w:cs="Arial" w:eastAsia="Arial" w:hAnsi="Arial"/>
                <w:sz w:val="11"/>
                <w:szCs w:val="11"/>
                <w:color w:val="auto"/>
              </w:rPr>
              <w:t>Net income</w:t>
            </w:r>
          </w:p>
        </w:tc>
        <w:tc>
          <w:tcPr>
            <w:tcW w:w="10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7"/>
                <w:szCs w:val="17"/>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7"/>
                <w:szCs w:val="17"/>
                <w:color w:val="auto"/>
              </w:rPr>
            </w:pPr>
          </w:p>
        </w:tc>
        <w:tc>
          <w:tcPr>
            <w:tcW w:w="780" w:type="dxa"/>
            <w:vAlign w:val="bottom"/>
          </w:tcPr>
          <w:p>
            <w:pPr>
              <w:jc w:val="right"/>
              <w:ind w:right="65"/>
              <w:spacing w:after="0"/>
              <w:rPr>
                <w:sz w:val="20"/>
                <w:szCs w:val="20"/>
                <w:color w:val="auto"/>
              </w:rPr>
            </w:pPr>
            <w:r>
              <w:rPr>
                <w:rFonts w:ascii="Arial" w:cs="Arial" w:eastAsia="Arial" w:hAnsi="Arial"/>
                <w:sz w:val="11"/>
                <w:szCs w:val="11"/>
                <w:color w:val="auto"/>
              </w:rPr>
              <w:t>260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7"/>
                <w:szCs w:val="17"/>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260</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Other comprehensive loss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20"/>
        </w:trPr>
        <w:tc>
          <w:tcPr>
            <w:tcW w:w="2640" w:type="dxa"/>
            <w:vAlign w:val="bottom"/>
          </w:tcPr>
          <w:p>
            <w:pPr>
              <w:ind w:left="20"/>
              <w:spacing w:after="0" w:line="120" w:lineRule="exact"/>
              <w:rPr>
                <w:sz w:val="20"/>
                <w:szCs w:val="20"/>
                <w:color w:val="auto"/>
              </w:rPr>
            </w:pPr>
            <w:r>
              <w:rPr>
                <w:rFonts w:ascii="Arial" w:cs="Arial" w:eastAsia="Arial" w:hAnsi="Arial"/>
                <w:sz w:val="11"/>
                <w:szCs w:val="11"/>
                <w:color w:val="auto"/>
                <w:w w:val="97"/>
              </w:rPr>
              <w:t>Issuance of common stock pursuant to employee stock</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Pr>
          <w:p>
            <w:pPr>
              <w:ind w:left="20"/>
              <w:spacing w:after="0"/>
              <w:rPr>
                <w:sz w:val="20"/>
                <w:szCs w:val="20"/>
                <w:color w:val="auto"/>
              </w:rPr>
            </w:pPr>
            <w:r>
              <w:rPr>
                <w:rFonts w:ascii="Arial" w:cs="Arial" w:eastAsia="Arial" w:hAnsi="Arial"/>
                <w:sz w:val="11"/>
                <w:szCs w:val="11"/>
                <w:color w:val="auto"/>
              </w:rPr>
              <w:t>options</w:t>
            </w:r>
          </w:p>
        </w:tc>
        <w:tc>
          <w:tcPr>
            <w:tcW w:w="940" w:type="dxa"/>
            <w:vAlign w:val="bottom"/>
          </w:tcPr>
          <w:p>
            <w:pPr>
              <w:jc w:val="right"/>
              <w:ind w:right="85"/>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780" w:type="dxa"/>
            <w:vAlign w:val="bottom"/>
          </w:tcPr>
          <w:p>
            <w:pPr>
              <w:jc w:val="right"/>
              <w:ind w:right="45"/>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0" w:type="dxa"/>
            <w:vAlign w:val="bottom"/>
          </w:tcPr>
          <w:p>
            <w:pPr>
              <w:jc w:val="right"/>
              <w:ind w:right="45"/>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Restricted stock surrendered for employees’ tax liability</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20"/>
        </w:trPr>
        <w:tc>
          <w:tcPr>
            <w:tcW w:w="2640" w:type="dxa"/>
            <w:vAlign w:val="bottom"/>
          </w:tcPr>
          <w:p>
            <w:pPr>
              <w:ind w:left="20"/>
              <w:spacing w:after="0" w:line="120" w:lineRule="exact"/>
              <w:rPr>
                <w:sz w:val="20"/>
                <w:szCs w:val="20"/>
                <w:color w:val="auto"/>
              </w:rPr>
            </w:pPr>
            <w:r>
              <w:rPr>
                <w:rFonts w:ascii="Arial" w:cs="Arial" w:eastAsia="Arial" w:hAnsi="Arial"/>
                <w:sz w:val="11"/>
                <w:szCs w:val="11"/>
                <w:color w:val="auto"/>
                <w:w w:val="93"/>
              </w:rPr>
              <w:t>Share-based compensation expense related to employee</w:t>
            </w: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stock options and restricted stock units</w:t>
            </w:r>
          </w:p>
        </w:tc>
        <w:tc>
          <w:tcPr>
            <w:tcW w:w="94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57</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79"/>
        </w:trPr>
        <w:tc>
          <w:tcPr>
            <w:tcW w:w="26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at September 30, 2018</w:t>
            </w:r>
          </w:p>
        </w:tc>
        <w:tc>
          <w:tcPr>
            <w:tcW w:w="940" w:type="dxa"/>
            <w:vAlign w:val="bottom"/>
            <w:shd w:val="clear" w:color="auto" w:fill="CCEEFF"/>
          </w:tcPr>
          <w:p>
            <w:pPr>
              <w:jc w:val="right"/>
              <w:ind w:right="85"/>
              <w:spacing w:after="0"/>
              <w:rPr>
                <w:sz w:val="20"/>
                <w:szCs w:val="20"/>
                <w:color w:val="auto"/>
              </w:rPr>
            </w:pPr>
            <w:r>
              <w:rPr>
                <w:rFonts w:ascii="Arial" w:cs="Arial" w:eastAsia="Arial" w:hAnsi="Arial"/>
                <w:sz w:val="11"/>
                <w:szCs w:val="11"/>
                <w:b w:val="1"/>
                <w:bCs w:val="1"/>
                <w:color w:val="auto"/>
              </w:rPr>
              <w:t>1,192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1"/>
                <w:szCs w:val="11"/>
                <w:b w:val="1"/>
                <w:bCs w:val="1"/>
                <w:color w:val="auto"/>
              </w:rPr>
              <w:t>—</w:t>
            </w:r>
          </w:p>
        </w:tc>
        <w:tc>
          <w:tcPr>
            <w:tcW w:w="10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(429)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w w:val="97"/>
              </w:rPr>
              <w:t>$</w:t>
            </w:r>
          </w:p>
        </w:tc>
        <w:tc>
          <w:tcPr>
            <w:tcW w:w="840" w:type="dxa"/>
            <w:vAlign w:val="bottom"/>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(5,563)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10,928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5"/>
              <w:spacing w:after="0"/>
              <w:rPr>
                <w:sz w:val="20"/>
                <w:szCs w:val="20"/>
                <w:color w:val="auto"/>
              </w:rPr>
            </w:pPr>
            <w:r>
              <w:rPr>
                <w:rFonts w:ascii="Arial" w:cs="Arial" w:eastAsia="Arial" w:hAnsi="Arial"/>
                <w:sz w:val="11"/>
                <w:szCs w:val="11"/>
                <w:b w:val="1"/>
                <w:bCs w:val="1"/>
                <w:color w:val="auto"/>
                <w:w w:val="97"/>
              </w:rPr>
              <w:t>$</w:t>
            </w:r>
          </w:p>
        </w:tc>
        <w:tc>
          <w:tcPr>
            <w:tcW w:w="780" w:type="dxa"/>
            <w:vAlign w:val="bottom"/>
            <w:shd w:val="clear" w:color="auto" w:fill="CCEEFF"/>
          </w:tcPr>
          <w:p>
            <w:pPr>
              <w:jc w:val="right"/>
              <w:ind w:right="65"/>
              <w:spacing w:after="0"/>
              <w:rPr>
                <w:sz w:val="20"/>
                <w:szCs w:val="20"/>
                <w:color w:val="auto"/>
              </w:rPr>
            </w:pPr>
            <w:r>
              <w:rPr>
                <w:rFonts w:ascii="Arial" w:cs="Arial" w:eastAsia="Arial" w:hAnsi="Arial"/>
                <w:sz w:val="11"/>
                <w:szCs w:val="11"/>
                <w:b w:val="1"/>
                <w:bCs w:val="1"/>
                <w:color w:val="auto"/>
              </w:rPr>
              <w:t>5,907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1"/>
                <w:szCs w:val="11"/>
                <w:b w:val="1"/>
                <w:bCs w:val="1"/>
                <w:color w:val="auto"/>
              </w:rPr>
              <w:t>(613)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1"/>
                <w:szCs w:val="11"/>
                <w:b w:val="1"/>
                <w:bCs w:val="1"/>
                <w:color w:val="auto"/>
              </w:rPr>
              <w:t>10,659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60"/>
          </w:cols>
          <w:pgMar w:left="220" w:top="129" w:right="2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ACTIVISION BLIZZARD, INC. AND SUBSIDIARIES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 and Basis of Consolidation and Presentation</w:t>
      </w:r>
    </w:p>
    <w:p>
      <w:pPr>
        <w:spacing w:after="0" w:line="199" w:lineRule="exact"/>
        <w:rPr>
          <w:sz w:val="20"/>
          <w:szCs w:val="20"/>
          <w:color w:val="auto"/>
        </w:rPr>
      </w:pPr>
    </w:p>
    <w:p>
      <w:pPr>
        <w:ind w:right="140" w:firstLine="245"/>
        <w:spacing w:after="0" w:line="253" w:lineRule="auto"/>
        <w:rPr>
          <w:sz w:val="20"/>
          <w:szCs w:val="20"/>
          <w:color w:val="auto"/>
        </w:rPr>
      </w:pPr>
      <w:r>
        <w:rPr>
          <w:rFonts w:ascii="Arial" w:cs="Arial" w:eastAsia="Arial" w:hAnsi="Arial"/>
          <w:sz w:val="14"/>
          <w:szCs w:val="14"/>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events and create film and television content based on our intellectual property. The terms “Activision Blizzard,” the “Company,” “we,” “us,” and “our” are used to refer collectively to Activision Blizzard, Inc. and its subsidiaries.</w:t>
      </w:r>
    </w:p>
    <w:p>
      <w:pPr>
        <w:spacing w:after="0" w:line="145" w:lineRule="exact"/>
        <w:rPr>
          <w:sz w:val="20"/>
          <w:szCs w:val="20"/>
          <w:color w:val="auto"/>
        </w:rPr>
      </w:pPr>
    </w:p>
    <w:p>
      <w:pPr>
        <w:ind w:right="260" w:firstLine="245"/>
        <w:spacing w:after="0" w:line="346" w:lineRule="auto"/>
        <w:rPr>
          <w:sz w:val="20"/>
          <w:szCs w:val="20"/>
          <w:color w:val="auto"/>
        </w:rPr>
      </w:pPr>
      <w:r>
        <w:rPr>
          <w:rFonts w:ascii="Arial" w:cs="Arial" w:eastAsia="Arial" w:hAnsi="Arial"/>
          <w:sz w:val="12"/>
          <w:szCs w:val="12"/>
          <w:color w:val="auto"/>
        </w:rPr>
        <w:t>The Company was originally incorporated in California in 1979 and was reincorporated in Delaware in December 1992. In connection with the 2008 business combination by and among the Company (then known as Activision, Inc.), Vivendi S.A., and Vivendi Games, Inc., then an indirect wholly-owned subsidiary of Vivendi S.A., we were renamed Activision Blizzard, Inc.</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Segments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Based upon our organizational structure, we conduct our business through three reportable segments,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 Activision Publishing, Inc.</w:t>
      </w:r>
    </w:p>
    <w:p>
      <w:pPr>
        <w:spacing w:after="0" w:line="166" w:lineRule="exact"/>
        <w:rPr>
          <w:sz w:val="20"/>
          <w:szCs w:val="20"/>
          <w:color w:val="auto"/>
        </w:rPr>
      </w:pPr>
    </w:p>
    <w:p>
      <w:pPr>
        <w:ind w:right="80" w:firstLine="245"/>
        <w:spacing w:after="0" w:line="230" w:lineRule="auto"/>
        <w:rPr>
          <w:sz w:val="20"/>
          <w:szCs w:val="20"/>
          <w:color w:val="auto"/>
        </w:rPr>
      </w:pPr>
      <w:r>
        <w:rPr>
          <w:rFonts w:ascii="Arial" w:cs="Arial" w:eastAsia="Arial" w:hAnsi="Arial"/>
          <w:sz w:val="14"/>
          <w:szCs w:val="14"/>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as well as some licensed properties. Activision’s key product franchise is Call of Duty</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 first-person shooter for the console and PC platforms. Also, on October 1, 2019, in collaboration with Tencent, Activision released </w:t>
      </w:r>
      <w:r>
        <w:rPr>
          <w:rFonts w:ascii="Arial" w:cs="Arial" w:eastAsia="Arial" w:hAnsi="Arial"/>
          <w:sz w:val="14"/>
          <w:szCs w:val="14"/>
          <w:i w:val="1"/>
          <w:iCs w:val="1"/>
          <w:color w:val="auto"/>
        </w:rPr>
        <w:t>Call of Duty: Mobile</w:t>
      </w:r>
      <w:r>
        <w:rPr>
          <w:rFonts w:ascii="Arial" w:cs="Arial" w:eastAsia="Arial" w:hAnsi="Arial"/>
          <w:sz w:val="14"/>
          <w:szCs w:val="14"/>
          <w:color w:val="auto"/>
        </w:rPr>
        <w:t xml:space="preserve"> for the mobile platform, including for Google Inc.’s (“Google”) Android and Apple Inc.’s (“Apple”) iOS.</w:t>
      </w:r>
    </w:p>
    <w:p>
      <w:pPr>
        <w:spacing w:after="0" w:line="155" w:lineRule="exact"/>
        <w:rPr>
          <w:sz w:val="20"/>
          <w:szCs w:val="20"/>
          <w:color w:val="auto"/>
        </w:rPr>
      </w:pPr>
    </w:p>
    <w:p>
      <w:pPr>
        <w:ind w:firstLine="245"/>
        <w:spacing w:after="0" w:line="315" w:lineRule="auto"/>
        <w:rPr>
          <w:sz w:val="20"/>
          <w:szCs w:val="20"/>
          <w:color w:val="auto"/>
        </w:rPr>
      </w:pPr>
      <w:r>
        <w:rPr>
          <w:rFonts w:ascii="Arial" w:cs="Arial" w:eastAsia="Arial" w:hAnsi="Arial"/>
          <w:sz w:val="12"/>
          <w:szCs w:val="12"/>
          <w:color w:val="auto"/>
        </w:rPr>
        <w:t>In 2010, Activision entered into an exclusive relationship with Bungie, Inc.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Activision no longer has any material rights or obligations related to the Destiny franchise.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(ii) Blizzard Entertainment, Inc.</w:t>
      </w:r>
    </w:p>
    <w:p>
      <w:pPr>
        <w:spacing w:after="0" w:line="166" w:lineRule="exact"/>
        <w:rPr>
          <w:sz w:val="20"/>
          <w:szCs w:val="20"/>
          <w:color w:val="auto"/>
        </w:rPr>
      </w:pPr>
    </w:p>
    <w:p>
      <w:pPr>
        <w:ind w:firstLine="245"/>
        <w:spacing w:after="0" w:line="230" w:lineRule="auto"/>
        <w:rPr>
          <w:sz w:val="20"/>
          <w:szCs w:val="20"/>
          <w:color w:val="auto"/>
        </w:rPr>
      </w:pPr>
      <w:r>
        <w:rPr>
          <w:rFonts w:ascii="Arial" w:cs="Arial" w:eastAsia="Arial" w:hAnsi="Arial"/>
          <w:sz w:val="13"/>
          <w:szCs w:val="13"/>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Arial" w:cs="Arial" w:eastAsia="Arial" w:hAnsi="Arial"/>
          <w:sz w:val="18"/>
          <w:szCs w:val="18"/>
          <w:color w:val="auto"/>
          <w:vertAlign w:val="superscript"/>
        </w:rPr>
        <w:t>®</w:t>
      </w:r>
      <w:r>
        <w:rPr>
          <w:rFonts w:ascii="Arial" w:cs="Arial" w:eastAsia="Arial" w:hAnsi="Arial"/>
          <w:sz w:val="13"/>
          <w:szCs w:val="13"/>
          <w:color w:val="auto"/>
        </w:rPr>
        <w:t>, which facilitates digital distribution of Blizzard content and selected Activision content, online social connectivity, and the creation of user-generated content. Blizzard also includes the activities of the Overwatch League</w:t>
      </w:r>
      <w:r>
        <w:rPr>
          <w:rFonts w:ascii="Arial" w:cs="Arial" w:eastAsia="Arial" w:hAnsi="Arial"/>
          <w:sz w:val="18"/>
          <w:szCs w:val="18"/>
          <w:color w:val="auto"/>
          <w:vertAlign w:val="superscript"/>
        </w:rPr>
        <w:t>TM</w:t>
      </w:r>
      <w:r>
        <w:rPr>
          <w:rFonts w:ascii="Arial" w:cs="Arial" w:eastAsia="Arial" w:hAnsi="Arial"/>
          <w:sz w:val="13"/>
          <w:szCs w:val="13"/>
          <w:color w:val="auto"/>
        </w:rPr>
        <w:t>, the first major global professional esports league with city-based teams, and our Major League Gaming (“MLG”) business, which is responsible for various esports events and serves as a multi-platform network for Activision Blizzard esports content.</w:t>
      </w:r>
    </w:p>
    <w:p>
      <w:pPr>
        <w:spacing w:after="0" w:line="155" w:lineRule="exact"/>
        <w:rPr>
          <w:sz w:val="20"/>
          <w:szCs w:val="20"/>
          <w:color w:val="auto"/>
        </w:rPr>
      </w:pPr>
    </w:p>
    <w:p>
      <w:pPr>
        <w:ind w:right="20" w:firstLine="245"/>
        <w:spacing w:after="0" w:line="183" w:lineRule="auto"/>
        <w:rPr>
          <w:sz w:val="20"/>
          <w:szCs w:val="20"/>
          <w:color w:val="auto"/>
        </w:rPr>
      </w:pPr>
      <w:r>
        <w:rPr>
          <w:rFonts w:ascii="Arial" w:cs="Arial" w:eastAsia="Arial" w:hAnsi="Arial"/>
          <w:sz w:val="14"/>
          <w:szCs w:val="14"/>
          <w:color w:val="auto"/>
        </w:rPr>
        <w:t>Blizzard’s key product franchises include: World of Warcraft</w:t>
      </w:r>
      <w:r>
        <w:rPr>
          <w:rFonts w:ascii="Arial" w:cs="Arial" w:eastAsia="Arial" w:hAnsi="Arial"/>
          <w:sz w:val="19"/>
          <w:szCs w:val="19"/>
          <w:color w:val="auto"/>
          <w:vertAlign w:val="superscript"/>
        </w:rPr>
        <w:t>®</w:t>
      </w:r>
      <w:r>
        <w:rPr>
          <w:rFonts w:ascii="Arial" w:cs="Arial" w:eastAsia="Arial" w:hAnsi="Arial"/>
          <w:sz w:val="14"/>
          <w:szCs w:val="14"/>
          <w:color w:val="auto"/>
        </w:rPr>
        <w:t>, a subscription-based massive multi-player online role-playing game for the PC platform; StarCraft</w:t>
      </w:r>
      <w:r>
        <w:rPr>
          <w:rFonts w:ascii="Arial" w:cs="Arial" w:eastAsia="Arial" w:hAnsi="Arial"/>
          <w:sz w:val="19"/>
          <w:szCs w:val="19"/>
          <w:color w:val="auto"/>
          <w:vertAlign w:val="superscript"/>
        </w:rPr>
        <w:t>®</w:t>
      </w:r>
      <w:r>
        <w:rPr>
          <w:rFonts w:ascii="Arial" w:cs="Arial" w:eastAsia="Arial" w:hAnsi="Arial"/>
          <w:sz w:val="14"/>
          <w:szCs w:val="14"/>
          <w:color w:val="auto"/>
        </w:rPr>
        <w:t>, a real-time strategy franchise for the PC platform; Diablo</w:t>
      </w:r>
      <w:r>
        <w:rPr>
          <w:rFonts w:ascii="Arial" w:cs="Arial" w:eastAsia="Arial" w:hAnsi="Arial"/>
          <w:sz w:val="19"/>
          <w:szCs w:val="19"/>
          <w:color w:val="auto"/>
          <w:vertAlign w:val="superscript"/>
        </w:rPr>
        <w:t>®</w:t>
      </w:r>
      <w:r>
        <w:rPr>
          <w:rFonts w:ascii="Arial" w:cs="Arial" w:eastAsia="Arial" w:hAnsi="Arial"/>
          <w:sz w:val="14"/>
          <w:szCs w:val="14"/>
          <w:color w:val="auto"/>
        </w:rPr>
        <w:t>, an action role-playing franchise for the PC and console platforms; Hearthstone</w:t>
      </w:r>
      <w:r>
        <w:rPr>
          <w:rFonts w:ascii="Arial" w:cs="Arial" w:eastAsia="Arial" w:hAnsi="Arial"/>
          <w:sz w:val="19"/>
          <w:szCs w:val="19"/>
          <w:color w:val="auto"/>
          <w:vertAlign w:val="superscript"/>
        </w:rPr>
        <w:t>®</w:t>
      </w:r>
      <w:r>
        <w:rPr>
          <w:rFonts w:ascii="Arial" w:cs="Arial" w:eastAsia="Arial" w:hAnsi="Arial"/>
          <w:sz w:val="14"/>
          <w:szCs w:val="14"/>
          <w:color w:val="auto"/>
        </w:rPr>
        <w:t>, an online collectible card franchise for the PC and mobile platforms; and Overwatch</w:t>
      </w:r>
      <w:r>
        <w:rPr>
          <w:rFonts w:ascii="Arial" w:cs="Arial" w:eastAsia="Arial" w:hAnsi="Arial"/>
          <w:sz w:val="19"/>
          <w:szCs w:val="19"/>
          <w:color w:val="auto"/>
          <w:vertAlign w:val="superscript"/>
        </w:rPr>
        <w:t>®</w:t>
      </w:r>
      <w:r>
        <w:rPr>
          <w:rFonts w:ascii="Arial" w:cs="Arial" w:eastAsia="Arial" w:hAnsi="Arial"/>
          <w:sz w:val="14"/>
          <w:szCs w:val="14"/>
          <w:color w:val="auto"/>
        </w:rPr>
        <w:t>, a team-based first-person shooter for the PC and console platforms.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(iii) King Digital Entertainment</w:t>
      </w:r>
    </w:p>
    <w:p>
      <w:pPr>
        <w:spacing w:after="0" w:line="166" w:lineRule="exact"/>
        <w:rPr>
          <w:sz w:val="20"/>
          <w:szCs w:val="20"/>
          <w:color w:val="auto"/>
        </w:rPr>
      </w:pPr>
    </w:p>
    <w:p>
      <w:pPr>
        <w:ind w:firstLine="245"/>
        <w:spacing w:after="0" w:line="253" w:lineRule="auto"/>
        <w:rPr>
          <w:sz w:val="20"/>
          <w:szCs w:val="20"/>
          <w:color w:val="auto"/>
        </w:rPr>
      </w:pPr>
      <w:r>
        <w:rPr>
          <w:rFonts w:ascii="Arial" w:cs="Arial" w:eastAsia="Arial" w:hAnsi="Arial"/>
          <w:sz w:val="14"/>
          <w:szCs w:val="14"/>
          <w:color w:val="auto"/>
        </w:rPr>
        <w:t>King Digital Entertainment (“King”) is a leading global developer and publisher of interactive entertainment content and services, primarily for the mobile platform, including for Google’s Android and Apple’s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20" w:top="129"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right="180" w:firstLine="245"/>
        <w:spacing w:after="0" w:line="262" w:lineRule="auto"/>
        <w:rPr>
          <w:sz w:val="20"/>
          <w:szCs w:val="20"/>
          <w:color w:val="auto"/>
        </w:rPr>
      </w:pPr>
      <w:r>
        <w:rPr>
          <w:rFonts w:ascii="Arial" w:cs="Arial" w:eastAsia="Arial" w:hAnsi="Arial"/>
          <w:sz w:val="14"/>
          <w:szCs w:val="14"/>
          <w:color w:val="auto"/>
        </w:rPr>
        <w:t>King’s key product franchises, all of which are for the mobile and PC platforms, include: Candy Crush™, which features “match three” games; Farm Heroes™, which also features “match three” games; and Bubble Witch™, which features “bubble shooter” games.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also engage in other businesses that do not represent reportable segments, including:</w:t>
      </w:r>
    </w:p>
    <w:p>
      <w:pPr>
        <w:spacing w:after="0" w:line="166" w:lineRule="exact"/>
        <w:rPr>
          <w:sz w:val="20"/>
          <w:szCs w:val="20"/>
          <w:color w:val="auto"/>
        </w:rPr>
      </w:pPr>
    </w:p>
    <w:p>
      <w:pPr>
        <w:ind w:left="740" w:right="40" w:hanging="247"/>
        <w:spacing w:after="0" w:line="262" w:lineRule="auto"/>
        <w:tabs>
          <w:tab w:leader="none" w:pos="740"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the Activision Blizzard Studios (“Studios”) business, which is devoted to creating original film and television content based on our library of globally recognized intellectual properties, and which, in September 2018, released the third season of the animated TV series </w:t>
      </w:r>
      <w:r>
        <w:rPr>
          <w:rFonts w:ascii="Arial" w:cs="Arial" w:eastAsia="Arial" w:hAnsi="Arial"/>
          <w:sz w:val="14"/>
          <w:szCs w:val="14"/>
          <w:i w:val="1"/>
          <w:iCs w:val="1"/>
          <w:color w:val="auto"/>
        </w:rPr>
        <w:t>Skylanders</w:t>
      </w:r>
      <w:r>
        <w:rPr>
          <w:rFonts w:ascii="Arial" w:cs="Arial" w:eastAsia="Arial" w:hAnsi="Arial"/>
          <w:sz w:val="14"/>
          <w:szCs w:val="14"/>
          <w:color w:val="auto"/>
        </w:rPr>
        <w:t xml:space="preserve">™ </w:t>
      </w:r>
      <w:r>
        <w:rPr>
          <w:rFonts w:ascii="Arial" w:cs="Arial" w:eastAsia="Arial" w:hAnsi="Arial"/>
          <w:sz w:val="14"/>
          <w:szCs w:val="14"/>
          <w:i w:val="1"/>
          <w:iCs w:val="1"/>
          <w:color w:val="auto"/>
        </w:rPr>
        <w:t>Academy</w:t>
      </w:r>
      <w:r>
        <w:rPr>
          <w:rFonts w:ascii="Arial" w:cs="Arial" w:eastAsia="Arial" w:hAnsi="Arial"/>
          <w:sz w:val="14"/>
          <w:szCs w:val="14"/>
          <w:color w:val="auto"/>
        </w:rPr>
        <w:t xml:space="preserve"> on Netflix; and</w:t>
      </w:r>
    </w:p>
    <w:p>
      <w:pPr>
        <w:spacing w:after="0" w:line="139" w:lineRule="exact"/>
        <w:rPr>
          <w:rFonts w:ascii="Arial" w:cs="Arial" w:eastAsia="Arial" w:hAnsi="Arial"/>
          <w:sz w:val="14"/>
          <w:szCs w:val="14"/>
          <w:color w:val="auto"/>
        </w:rPr>
      </w:pPr>
    </w:p>
    <w:p>
      <w:pPr>
        <w:ind w:left="740" w:right="40" w:hanging="247"/>
        <w:spacing w:after="0" w:line="262" w:lineRule="auto"/>
        <w:tabs>
          <w:tab w:leader="none" w:pos="7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Consolidation and Presentation</w:t>
      </w:r>
    </w:p>
    <w:p>
      <w:pPr>
        <w:spacing w:after="0" w:line="166" w:lineRule="exact"/>
        <w:rPr>
          <w:sz w:val="20"/>
          <w:szCs w:val="20"/>
          <w:color w:val="auto"/>
        </w:rPr>
      </w:pPr>
    </w:p>
    <w:p>
      <w:pPr>
        <w:ind w:firstLine="245"/>
        <w:spacing w:after="0" w:line="300" w:lineRule="auto"/>
        <w:rPr>
          <w:sz w:val="20"/>
          <w:szCs w:val="20"/>
          <w:color w:val="auto"/>
        </w:rPr>
      </w:pPr>
      <w:r>
        <w:rPr>
          <w:rFonts w:ascii="Arial" w:cs="Arial" w:eastAsia="Arial" w:hAnsi="Arial"/>
          <w:sz w:val="12"/>
          <w:szCs w:val="12"/>
          <w:color w:val="auto"/>
        </w:rPr>
        <w:t>The accompanying unaudited condensed consolidated financial statements have been prepared in accordance with the rules and regulations of the Securities and Exchange Commission and accounting principles generally accepted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financial statements but does not include all disclosures required by U.S. GAAP. Accordingly, the unaudited condensed consolidated financial statements should be read in conjunction with the audited consolidated financial statements and notes thereto included in our Annual Report on Form 10-K for the year ended December 31, 2018.</w:t>
      </w:r>
    </w:p>
    <w:p>
      <w:pPr>
        <w:spacing w:after="0" w:line="119" w:lineRule="exact"/>
        <w:rPr>
          <w:sz w:val="20"/>
          <w:szCs w:val="20"/>
          <w:color w:val="auto"/>
        </w:rPr>
      </w:pPr>
    </w:p>
    <w:p>
      <w:pPr>
        <w:ind w:right="240" w:firstLine="245"/>
        <w:spacing w:after="0" w:line="250" w:lineRule="auto"/>
        <w:rPr>
          <w:sz w:val="20"/>
          <w:szCs w:val="20"/>
          <w:color w:val="auto"/>
        </w:rPr>
      </w:pPr>
      <w:r>
        <w:rPr>
          <w:rFonts w:ascii="Arial" w:cs="Arial" w:eastAsia="Arial" w:hAnsi="Arial"/>
          <w:sz w:val="14"/>
          <w:szCs w:val="14"/>
          <w:color w:val="auto"/>
        </w:rPr>
        <w:t>The preparation of the condensed consolidated financial statements in conformity with U.S. GAAP requires management to make estimates and assumptions that affect the amounts reported in the condensed consolidated financial statements and accompanying notes. In the opinion of management, all adjustments considered necessary for the fair statement of our financial position and results of operations in accordance with U.S. GAAP (consisting of normal recurring adjustments) have been included in the accompanying unaudited condensed consolidated financial statements. Actual results could differ from these estimates and assumptions.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accompanying condensed consolidated financial statements include the accounts and operations of the Company. All intercompany accounts and transactions have been eliminated.</w:t>
      </w:r>
    </w:p>
    <w:p>
      <w:pPr>
        <w:spacing w:after="0" w:line="189" w:lineRule="exact"/>
        <w:rPr>
          <w:sz w:val="20"/>
          <w:szCs w:val="20"/>
          <w:color w:val="auto"/>
        </w:rPr>
      </w:pPr>
    </w:p>
    <w:p>
      <w:pPr>
        <w:ind w:right="60" w:firstLine="245"/>
        <w:spacing w:after="0" w:line="262" w:lineRule="auto"/>
        <w:rPr>
          <w:sz w:val="20"/>
          <w:szCs w:val="20"/>
          <w:color w:val="auto"/>
        </w:rPr>
      </w:pPr>
      <w:r>
        <w:rPr>
          <w:rFonts w:ascii="Arial" w:cs="Arial" w:eastAsia="Arial" w:hAnsi="Arial"/>
          <w:sz w:val="14"/>
          <w:szCs w:val="14"/>
          <w:color w:val="auto"/>
        </w:rPr>
        <w:t>The Company considers events or transactions that occur after the balance sheet date, but before the financial statements are issued, to provide additional evidence relative to certain estimates or to identify matters that require additional disclosures.</w:t>
      </w:r>
    </w:p>
    <w:p>
      <w:pPr>
        <w:spacing w:after="0" w:line="139" w:lineRule="exact"/>
        <w:rPr>
          <w:sz w:val="20"/>
          <w:szCs w:val="20"/>
          <w:color w:val="auto"/>
        </w:rPr>
      </w:pPr>
    </w:p>
    <w:p>
      <w:pPr>
        <w:ind w:right="40" w:firstLine="245"/>
        <w:spacing w:after="0" w:line="305" w:lineRule="auto"/>
        <w:rPr>
          <w:sz w:val="20"/>
          <w:szCs w:val="20"/>
          <w:color w:val="auto"/>
        </w:rPr>
      </w:pPr>
      <w:r>
        <w:rPr>
          <w:rFonts w:ascii="Arial" w:cs="Arial" w:eastAsia="Arial" w:hAnsi="Arial"/>
          <w:sz w:val="12"/>
          <w:szCs w:val="12"/>
          <w:color w:val="auto"/>
        </w:rPr>
        <w:t>During the three months ended March 31, 2019, we identified an error principally related to the initial recognition of global intangible low-taxed income of foreign subsidiaries income taxes which should have been recorded in the three months and year ended December 31, 2018. Income tax expense for the three months and year ended December 31, 2018 should have been reduced by $35 million. This amount is not material to the consolidated financial statements for the year ended December 31, 2018, and we will revise our 2018 consolidated financial statements to correct this matter in our Annual Report on Form 10-K for the year ending December 31, 2019. Our condensed consolidated balance sheet as of December 31, 2018, as presented in this Form 10-Q, has been revised to reflect the correction of this error.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Supplemental Cash Flow Information</w:t>
      </w:r>
    </w:p>
    <w:p>
      <w:pPr>
        <w:spacing w:after="0" w:line="166" w:lineRule="exact"/>
        <w:rPr>
          <w:sz w:val="20"/>
          <w:szCs w:val="20"/>
          <w:color w:val="auto"/>
        </w:rPr>
      </w:pPr>
    </w:p>
    <w:p>
      <w:pPr>
        <w:ind w:right="480" w:firstLine="245"/>
        <w:spacing w:after="0" w:line="262" w:lineRule="auto"/>
        <w:rPr>
          <w:sz w:val="20"/>
          <w:szCs w:val="20"/>
          <w:color w:val="auto"/>
        </w:rPr>
      </w:pPr>
      <w:r>
        <w:rPr>
          <w:rFonts w:ascii="Arial" w:cs="Arial" w:eastAsia="Arial" w:hAnsi="Arial"/>
          <w:sz w:val="14"/>
          <w:szCs w:val="14"/>
          <w:color w:val="auto"/>
        </w:rPr>
        <w:t>The beginning and ending cash and cash equivalents and restricted cash reported within our condensed consolidated statement of cash flows included restricted cash amounts as follows (amounts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8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At September 30,</w:t>
            </w:r>
          </w:p>
        </w:tc>
        <w:tc>
          <w:tcPr>
            <w:tcW w:w="1540" w:type="dxa"/>
            <w:vAlign w:val="bottom"/>
          </w:tcPr>
          <w:p>
            <w:pPr>
              <w:spacing w:after="0"/>
              <w:rPr>
                <w:sz w:val="15"/>
                <w:szCs w:val="15"/>
                <w:color w:val="auto"/>
              </w:rPr>
            </w:pPr>
          </w:p>
        </w:tc>
      </w:tr>
      <w:tr>
        <w:trPr>
          <w:trHeight w:val="21"/>
        </w:trPr>
        <w:tc>
          <w:tcPr>
            <w:tcW w:w="35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3"/>
        </w:trPr>
        <w:tc>
          <w:tcPr>
            <w:tcW w:w="3540" w:type="dxa"/>
            <w:vAlign w:val="bottom"/>
          </w:tcPr>
          <w:p>
            <w:pPr>
              <w:spacing w:after="0"/>
              <w:rPr>
                <w:sz w:val="15"/>
                <w:szCs w:val="15"/>
                <w:color w:val="auto"/>
              </w:rPr>
            </w:pPr>
          </w:p>
        </w:tc>
        <w:tc>
          <w:tcPr>
            <w:tcW w:w="4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tcPr>
          <w:p>
            <w:pPr>
              <w:jc w:val="right"/>
              <w:ind w:right="932"/>
              <w:spacing w:after="0"/>
              <w:rPr>
                <w:sz w:val="20"/>
                <w:szCs w:val="20"/>
                <w:color w:val="auto"/>
              </w:rPr>
            </w:pPr>
            <w:r>
              <w:rPr>
                <w:rFonts w:ascii="Arial" w:cs="Arial" w:eastAsia="Arial" w:hAnsi="Arial"/>
                <w:sz w:val="14"/>
                <w:szCs w:val="14"/>
                <w:b w:val="1"/>
                <w:bCs w:val="1"/>
                <w:color w:val="auto"/>
              </w:rPr>
              <w:t>2018</w:t>
            </w:r>
          </w:p>
        </w:tc>
      </w:tr>
      <w:tr>
        <w:trPr>
          <w:trHeight w:val="21"/>
        </w:trPr>
        <w:tc>
          <w:tcPr>
            <w:tcW w:w="35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7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restricted cash</w:t>
            </w:r>
          </w:p>
        </w:tc>
        <w:tc>
          <w:tcPr>
            <w:tcW w:w="4800" w:type="dxa"/>
            <w:vAlign w:val="bottom"/>
            <w:tcBorders>
              <w:bottom w:val="single" w:sz="8" w:color="CCEEFF"/>
            </w:tcBorders>
            <w:gridSpan w:val="2"/>
            <w:shd w:val="clear" w:color="auto" w:fill="CCEEFF"/>
          </w:tcPr>
          <w:p>
            <w:pPr>
              <w:jc w:val="right"/>
              <w:ind w:right="14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w:t>
            </w:r>
          </w:p>
        </w:tc>
      </w:tr>
      <w:tr>
        <w:trPr>
          <w:trHeight w:val="183"/>
        </w:trPr>
        <w:tc>
          <w:tcPr>
            <w:tcW w:w="3540" w:type="dxa"/>
            <w:vAlign w:val="bottom"/>
          </w:tcPr>
          <w:p>
            <w:pPr>
              <w:ind w:left="20"/>
              <w:spacing w:after="0"/>
              <w:rPr>
                <w:sz w:val="20"/>
                <w:szCs w:val="20"/>
                <w:color w:val="auto"/>
              </w:rPr>
            </w:pPr>
            <w:r>
              <w:rPr>
                <w:rFonts w:ascii="Arial" w:cs="Arial" w:eastAsia="Arial" w:hAnsi="Arial"/>
                <w:sz w:val="14"/>
                <w:szCs w:val="14"/>
                <w:color w:val="auto"/>
              </w:rPr>
              <w:t>Ending restricted cash</w:t>
            </w:r>
          </w:p>
        </w:tc>
        <w:tc>
          <w:tcPr>
            <w:tcW w:w="3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tcPr>
          <w:p>
            <w:pPr>
              <w:jc w:val="right"/>
              <w:ind w:right="32"/>
              <w:spacing w:after="0"/>
              <w:rPr>
                <w:sz w:val="20"/>
                <w:szCs w:val="20"/>
                <w:color w:val="auto"/>
              </w:rPr>
            </w:pPr>
            <w:r>
              <w:rPr>
                <w:rFonts w:ascii="Arial" w:cs="Arial" w:eastAsia="Arial" w:hAnsi="Arial"/>
                <w:sz w:val="14"/>
                <w:szCs w:val="14"/>
                <w:color w:val="auto"/>
              </w:rPr>
              <w:t>8</w:t>
            </w:r>
          </w:p>
        </w:tc>
      </w:tr>
      <w:tr>
        <w:trPr>
          <w:trHeight w:val="532"/>
        </w:trPr>
        <w:tc>
          <w:tcPr>
            <w:tcW w:w="3540" w:type="dxa"/>
            <w:vAlign w:val="bottom"/>
          </w:tcPr>
          <w:p>
            <w:pPr>
              <w:spacing w:after="0"/>
              <w:rPr>
                <w:sz w:val="24"/>
                <w:szCs w:val="24"/>
                <w:color w:val="auto"/>
              </w:rPr>
            </w:pPr>
          </w:p>
        </w:tc>
        <w:tc>
          <w:tcPr>
            <w:tcW w:w="3240" w:type="dxa"/>
            <w:vAlign w:val="bottom"/>
          </w:tcPr>
          <w:p>
            <w:pPr>
              <w:jc w:val="right"/>
              <w:ind w:right="912"/>
              <w:spacing w:after="0"/>
              <w:rPr>
                <w:sz w:val="20"/>
                <w:szCs w:val="20"/>
                <w:color w:val="auto"/>
              </w:rPr>
            </w:pPr>
            <w:r>
              <w:rPr>
                <w:rFonts w:ascii="Arial" w:cs="Arial" w:eastAsia="Arial" w:hAnsi="Arial"/>
                <w:sz w:val="14"/>
                <w:szCs w:val="14"/>
                <w:color w:val="auto"/>
              </w:rPr>
              <w:t>11</w:t>
            </w: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Adoption of Accounting Standards Codification (“ASC”) 842: Leases</w:t>
      </w:r>
    </w:p>
    <w:p>
      <w:pPr>
        <w:spacing w:after="0" w:line="166" w:lineRule="exact"/>
        <w:rPr>
          <w:sz w:val="20"/>
          <w:szCs w:val="20"/>
          <w:color w:val="auto"/>
        </w:rPr>
      </w:pPr>
    </w:p>
    <w:p>
      <w:pPr>
        <w:ind w:firstLine="245"/>
        <w:spacing w:after="0" w:line="250" w:lineRule="auto"/>
        <w:rPr>
          <w:sz w:val="20"/>
          <w:szCs w:val="20"/>
          <w:color w:val="auto"/>
        </w:rPr>
      </w:pPr>
      <w:r>
        <w:rPr>
          <w:rFonts w:ascii="Arial" w:cs="Arial" w:eastAsia="Arial" w:hAnsi="Arial"/>
          <w:sz w:val="14"/>
          <w:szCs w:val="14"/>
          <w:color w:val="auto"/>
        </w:rPr>
        <w:t>In February 2016, the Financial Accounting Standards Board (“FASB”) issued new guidance related to the accounting for leases. The new standard replaces all current U.S. GAAP guidance on this topic. The new standard, among other things, requires a lessee to classify a lease as either an operating or financing lease, and to recognize a lease liability and a right-of-use (“ROU”) asset for its leases. On January 1, 2019, we adopted the new lease accounting standard. As a result, we have updated our significant accounting policy disclosure to include our accounting policy for leases under the new standard. Refer to Note 3 for information about the impact of adoption on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166" w:lineRule="exact"/>
        <w:rPr>
          <w:sz w:val="20"/>
          <w:szCs w:val="20"/>
          <w:color w:val="auto"/>
        </w:rPr>
      </w:pPr>
    </w:p>
    <w:p>
      <w:pPr>
        <w:jc w:val="both"/>
        <w:ind w:right="40" w:firstLine="245"/>
        <w:spacing w:after="0" w:line="290" w:lineRule="auto"/>
        <w:rPr>
          <w:sz w:val="20"/>
          <w:szCs w:val="20"/>
          <w:color w:val="auto"/>
        </w:rPr>
      </w:pPr>
      <w:r>
        <w:rPr>
          <w:rFonts w:ascii="Arial" w:cs="Arial" w:eastAsia="Arial" w:hAnsi="Arial"/>
          <w:sz w:val="12"/>
          <w:szCs w:val="12"/>
          <w:color w:val="auto"/>
        </w:rPr>
        <w:t>We determine if an arrangement is or contains a lease at contract inception.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 commencement date.</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Included in the lease liability are future lease payments that are fixed, in-substance fixed, or payments based on an index or rate known at the commencement date of the lease. Variable lease payments are recognized as lease expenses as incurred, and generally relate to variable payments made based on the level of services provided by the landlords of our leases. The operating lease ROU asset also includes any lease payments made prior to commencement, initial direct costs incurred, and lease incentives received. As most of our leases do not provide an implicit rate, we generally use our incremental borrowing rate in determining the present value of future payments. The incremental borrowing rate represents the rate required to borrow funds over a similar term to purchase the leased asset, and is based on the information available at the commencement date of the lease. For leased assets with similar lease terms and asset type we applied a portfolio approach in determining a single incremental borrowing rate to apply to the leased assets.</w:t>
      </w:r>
    </w:p>
    <w:p>
      <w:pPr>
        <w:spacing w:after="0" w:line="154" w:lineRule="exact"/>
        <w:rPr>
          <w:sz w:val="20"/>
          <w:szCs w:val="20"/>
          <w:color w:val="auto"/>
        </w:rPr>
      </w:pPr>
    </w:p>
    <w:p>
      <w:pPr>
        <w:ind w:right="80" w:firstLine="245"/>
        <w:spacing w:after="0" w:line="250" w:lineRule="auto"/>
        <w:rPr>
          <w:sz w:val="20"/>
          <w:szCs w:val="20"/>
          <w:color w:val="auto"/>
        </w:rPr>
      </w:pPr>
      <w:r>
        <w:rPr>
          <w:rFonts w:ascii="Arial" w:cs="Arial" w:eastAsia="Arial" w:hAnsi="Arial"/>
          <w:sz w:val="14"/>
          <w:szCs w:val="14"/>
          <w:color w:val="auto"/>
        </w:rPr>
        <w:t>In determining our lease liability, the lease term includes options to extend or terminate the lease when it is reasonably certain that we will exercise such option. For operating leases, the lease expense for minimum lease payments is recognized on a straight-line basis over the lease term. Finance lease assets are depreciated on a straight-line basis over the estimated life of the asset, not to exceed the length of the lease, with interest expense associated with finance lease liabilities recorded using the effective interest method. Leases with an initial term of 12 months or less are not recorded on the balance sheet, and we recognize lease expense for these leases on a straight-line basis over the lease term.</w:t>
      </w:r>
    </w:p>
    <w:p>
      <w:pPr>
        <w:spacing w:after="0" w:line="147" w:lineRule="exact"/>
        <w:rPr>
          <w:sz w:val="20"/>
          <w:szCs w:val="20"/>
          <w:color w:val="auto"/>
        </w:rPr>
      </w:pPr>
    </w:p>
    <w:p>
      <w:pPr>
        <w:ind w:right="60" w:firstLine="245"/>
        <w:spacing w:after="0" w:line="315" w:lineRule="auto"/>
        <w:rPr>
          <w:sz w:val="20"/>
          <w:szCs w:val="20"/>
          <w:color w:val="auto"/>
        </w:rPr>
      </w:pPr>
      <w:r>
        <w:rPr>
          <w:rFonts w:ascii="Arial" w:cs="Arial" w:eastAsia="Arial" w:hAnsi="Arial"/>
          <w:sz w:val="12"/>
          <w:szCs w:val="12"/>
          <w:color w:val="auto"/>
        </w:rPr>
        <w:t>We have lease agreements with lease and non-lease components. For our real estate, server and data center, and event production and broadcasting equipment leases, we elected the practical expedient to account for the lease and non-lease components as a single lease component. In all other lease arrangements, we account for lease and non-lease components separately. Additionally, for certain leases that have a group of leased assets with similar characteristics in size and composition, we may apply a portfolio approach to effectively account for the operating lease ROU assets and liabilities.</w:t>
      </w:r>
    </w:p>
    <w:p>
      <w:pPr>
        <w:spacing w:after="0" w:line="111" w:lineRule="exact"/>
        <w:rPr>
          <w:sz w:val="20"/>
          <w:szCs w:val="20"/>
          <w:color w:val="auto"/>
        </w:rPr>
      </w:pPr>
    </w:p>
    <w:p>
      <w:pPr>
        <w:ind w:right="560" w:firstLine="245"/>
        <w:spacing w:after="0" w:line="262" w:lineRule="auto"/>
        <w:rPr>
          <w:sz w:val="20"/>
          <w:szCs w:val="20"/>
          <w:color w:val="auto"/>
        </w:rPr>
      </w:pPr>
      <w:r>
        <w:rPr>
          <w:rFonts w:ascii="Arial" w:cs="Arial" w:eastAsia="Arial" w:hAnsi="Arial"/>
          <w:sz w:val="14"/>
          <w:szCs w:val="14"/>
          <w:color w:val="auto"/>
        </w:rPr>
        <w:t>Operating lease ROU assets are presented in “Other assets” and operating lease liabilities are presented in “Accrued expenses and other current liabilities” and “Other liabilities” on our condensed consolidated balance sheet.</w:t>
      </w:r>
    </w:p>
    <w:p>
      <w:pPr>
        <w:spacing w:after="0" w:line="139" w:lineRule="exact"/>
        <w:rPr>
          <w:sz w:val="20"/>
          <w:szCs w:val="20"/>
          <w:color w:val="auto"/>
        </w:rPr>
      </w:pPr>
    </w:p>
    <w:p>
      <w:pPr>
        <w:ind w:right="520" w:firstLine="245"/>
        <w:spacing w:after="0" w:line="262" w:lineRule="auto"/>
        <w:rPr>
          <w:sz w:val="20"/>
          <w:szCs w:val="20"/>
          <w:color w:val="auto"/>
        </w:rPr>
      </w:pPr>
      <w:r>
        <w:rPr>
          <w:rFonts w:ascii="Arial" w:cs="Arial" w:eastAsia="Arial" w:hAnsi="Arial"/>
          <w:sz w:val="14"/>
          <w:szCs w:val="14"/>
          <w:color w:val="auto"/>
        </w:rPr>
        <w:t>Finance lease ROU assets are presented in “Property and equipment, net” and finance lease liabilities are presented in “Accrued expenses and other current liabilities” and “Other liabilities” on our condensed consolidated balance sheet.</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Recently Issued Accounting Pronouncements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166" w:lineRule="exact"/>
        <w:rPr>
          <w:sz w:val="20"/>
          <w:szCs w:val="20"/>
          <w:color w:val="auto"/>
        </w:rPr>
      </w:pPr>
    </w:p>
    <w:p>
      <w:pPr>
        <w:ind w:right="240" w:firstLine="245"/>
        <w:spacing w:after="0" w:line="315" w:lineRule="auto"/>
        <w:rPr>
          <w:sz w:val="20"/>
          <w:szCs w:val="20"/>
          <w:color w:val="auto"/>
        </w:rPr>
      </w:pPr>
      <w:r>
        <w:rPr>
          <w:rFonts w:ascii="Arial" w:cs="Arial" w:eastAsia="Arial" w:hAnsi="Arial"/>
          <w:sz w:val="12"/>
          <w:szCs w:val="12"/>
          <w:color w:val="auto"/>
        </w:rPr>
        <w:t>As noted in Note 2 above, we adopted the new lease accounting standard effective January 1, 2019. We elected to apply an optional adoption method, which uses the effective date as the initial date of application on transition with no retrospective adjustments to prior periods. Additionally, we elected to apply the package of transition practical expedients which permitted us to, among other things, (1) not reassess if existing contracts contained leases under the new lease accounting standard and (2) carry forward our historical lease classifications.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60"/>
          </w:cols>
          <w:pgMar w:left="220" w:top="129" w:right="21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impact from the adoption of the new lease accounting standard to our condensed consolidated balance sheet at January 1, 2019, was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3"/>
          </w:tcPr>
          <w:p>
            <w:pPr>
              <w:ind w:left="20"/>
              <w:spacing w:after="0"/>
              <w:rPr>
                <w:sz w:val="20"/>
                <w:szCs w:val="20"/>
                <w:color w:val="auto"/>
              </w:rPr>
            </w:pPr>
            <w:r>
              <w:rPr>
                <w:rFonts w:ascii="Arial" w:cs="Arial" w:eastAsia="Arial" w:hAnsi="Arial"/>
                <w:sz w:val="12"/>
                <w:szCs w:val="12"/>
                <w:b w:val="1"/>
                <w:bCs w:val="1"/>
                <w:color w:val="auto"/>
                <w:w w:val="96"/>
              </w:rPr>
              <w:t>Adjustments due to adoption of new</w:t>
            </w:r>
          </w:p>
        </w:tc>
        <w:tc>
          <w:tcPr>
            <w:tcW w:w="1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59"/>
        </w:trPr>
        <w:tc>
          <w:tcPr>
            <w:tcW w:w="5620" w:type="dxa"/>
            <w:vAlign w:val="bottom"/>
          </w:tcPr>
          <w:p>
            <w:pPr>
              <w:ind w:left="20"/>
              <w:spacing w:after="0"/>
              <w:rPr>
                <w:sz w:val="20"/>
                <w:szCs w:val="20"/>
                <w:color w:val="auto"/>
              </w:rPr>
            </w:pPr>
            <w:r>
              <w:rPr>
                <w:rFonts w:ascii="Arial" w:cs="Arial" w:eastAsia="Arial" w:hAnsi="Arial"/>
                <w:sz w:val="12"/>
                <w:szCs w:val="12"/>
                <w:b w:val="1"/>
                <w:bCs w:val="1"/>
                <w:color w:val="auto"/>
              </w:rPr>
              <w:t>Condensed Consolidated Balance Sheet:</w:t>
            </w:r>
          </w:p>
        </w:tc>
        <w:tc>
          <w:tcPr>
            <w:tcW w:w="120" w:type="dxa"/>
            <w:vAlign w:val="bottom"/>
          </w:tcPr>
          <w:p>
            <w:pPr>
              <w:spacing w:after="0"/>
              <w:rPr>
                <w:sz w:val="13"/>
                <w:szCs w:val="13"/>
                <w:color w:val="auto"/>
              </w:rPr>
            </w:pPr>
          </w:p>
        </w:tc>
        <w:tc>
          <w:tcPr>
            <w:tcW w:w="186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at December 31, 2018</w:t>
            </w:r>
          </w:p>
        </w:tc>
        <w:tc>
          <w:tcPr>
            <w:tcW w:w="180" w:type="dxa"/>
            <w:vAlign w:val="bottom"/>
          </w:tcPr>
          <w:p>
            <w:pPr>
              <w:spacing w:after="0"/>
              <w:rPr>
                <w:sz w:val="13"/>
                <w:szCs w:val="13"/>
                <w:color w:val="auto"/>
              </w:rPr>
            </w:pPr>
          </w:p>
        </w:tc>
        <w:tc>
          <w:tcPr>
            <w:tcW w:w="1860" w:type="dxa"/>
            <w:vAlign w:val="bottom"/>
            <w:gridSpan w:val="2"/>
          </w:tcPr>
          <w:p>
            <w:pPr>
              <w:ind w:left="100"/>
              <w:spacing w:after="0"/>
              <w:rPr>
                <w:sz w:val="20"/>
                <w:szCs w:val="20"/>
                <w:color w:val="auto"/>
              </w:rPr>
            </w:pPr>
            <w:r>
              <w:rPr>
                <w:rFonts w:ascii="Arial" w:cs="Arial" w:eastAsia="Arial" w:hAnsi="Arial"/>
                <w:sz w:val="12"/>
                <w:szCs w:val="12"/>
                <w:b w:val="1"/>
                <w:bCs w:val="1"/>
                <w:color w:val="auto"/>
              </w:rPr>
              <w:t>lease accounting standard</w:t>
            </w:r>
          </w:p>
        </w:tc>
        <w:tc>
          <w:tcPr>
            <w:tcW w:w="160" w:type="dxa"/>
            <w:vAlign w:val="bottom"/>
          </w:tcPr>
          <w:p>
            <w:pPr>
              <w:spacing w:after="0"/>
              <w:rPr>
                <w:sz w:val="13"/>
                <w:szCs w:val="13"/>
                <w:color w:val="auto"/>
              </w:rPr>
            </w:pPr>
          </w:p>
        </w:tc>
        <w:tc>
          <w:tcPr>
            <w:tcW w:w="1660" w:type="dxa"/>
            <w:vAlign w:val="bottom"/>
          </w:tcPr>
          <w:p>
            <w:pPr>
              <w:jc w:val="right"/>
              <w:ind w:right="133"/>
              <w:spacing w:after="0"/>
              <w:rPr>
                <w:sz w:val="20"/>
                <w:szCs w:val="20"/>
                <w:color w:val="auto"/>
              </w:rPr>
            </w:pPr>
            <w:r>
              <w:rPr>
                <w:rFonts w:ascii="Arial" w:cs="Arial" w:eastAsia="Arial" w:hAnsi="Arial"/>
                <w:sz w:val="12"/>
                <w:szCs w:val="12"/>
                <w:b w:val="1"/>
                <w:bCs w:val="1"/>
                <w:color w:val="auto"/>
                <w:w w:val="94"/>
              </w:rPr>
              <w:t>Balance at January 1, 2019</w:t>
            </w:r>
          </w:p>
        </w:tc>
      </w:tr>
      <w:tr>
        <w:trPr>
          <w:trHeight w:val="25"/>
        </w:trPr>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7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r>
      <w:tr>
        <w:trPr>
          <w:trHeight w:val="183"/>
        </w:trPr>
        <w:tc>
          <w:tcPr>
            <w:tcW w:w="5620" w:type="dxa"/>
            <w:vAlign w:val="bottom"/>
          </w:tcPr>
          <w:p>
            <w:pPr>
              <w:ind w:left="280"/>
              <w:spacing w:after="0"/>
              <w:rPr>
                <w:sz w:val="20"/>
                <w:szCs w:val="20"/>
                <w:color w:val="auto"/>
              </w:rPr>
            </w:pPr>
            <w:r>
              <w:rPr>
                <w:rFonts w:ascii="Arial" w:cs="Arial" w:eastAsia="Arial" w:hAnsi="Arial"/>
                <w:sz w:val="14"/>
                <w:szCs w:val="14"/>
                <w:color w:val="auto"/>
              </w:rPr>
              <w:t>Other current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53"/>
              <w:spacing w:after="0"/>
              <w:rPr>
                <w:sz w:val="20"/>
                <w:szCs w:val="20"/>
                <w:color w:val="auto"/>
              </w:rPr>
            </w:pPr>
            <w:r>
              <w:rPr>
                <w:rFonts w:ascii="Arial" w:cs="Arial" w:eastAsia="Arial" w:hAnsi="Arial"/>
                <w:sz w:val="14"/>
                <w:szCs w:val="14"/>
                <w:color w:val="auto"/>
              </w:rPr>
              <w:t>539</w:t>
            </w:r>
          </w:p>
        </w:tc>
        <w:tc>
          <w:tcPr>
            <w:tcW w:w="12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13"/>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3"/>
              <w:spacing w:after="0"/>
              <w:rPr>
                <w:sz w:val="20"/>
                <w:szCs w:val="20"/>
                <w:color w:val="auto"/>
              </w:rPr>
            </w:pPr>
            <w:r>
              <w:rPr>
                <w:rFonts w:ascii="Arial" w:cs="Arial" w:eastAsia="Arial" w:hAnsi="Arial"/>
                <w:sz w:val="14"/>
                <w:szCs w:val="14"/>
                <w:color w:val="auto"/>
              </w:rPr>
              <w:t>531</w:t>
            </w:r>
          </w:p>
        </w:tc>
      </w:tr>
      <w:tr>
        <w:trPr>
          <w:trHeight w:val="21"/>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482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734</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1"/>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8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896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950</w:t>
            </w:r>
          </w:p>
        </w:tc>
      </w:tr>
      <w:tr>
        <w:trPr>
          <w:trHeight w:val="183"/>
        </w:trPr>
        <w:tc>
          <w:tcPr>
            <w:tcW w:w="562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15"/>
                <w:szCs w:val="15"/>
                <w:color w:val="auto"/>
              </w:rPr>
            </w:pPr>
          </w:p>
        </w:tc>
        <w:tc>
          <w:tcPr>
            <w:tcW w:w="1740" w:type="dxa"/>
            <w:vAlign w:val="bottom"/>
          </w:tcPr>
          <w:p>
            <w:pPr>
              <w:jc w:val="right"/>
              <w:ind w:right="53"/>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ind w:right="53"/>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right"/>
              <w:ind w:right="33"/>
              <w:spacing w:after="0"/>
              <w:rPr>
                <w:sz w:val="20"/>
                <w:szCs w:val="20"/>
                <w:color w:val="auto"/>
              </w:rPr>
            </w:pPr>
            <w:r>
              <w:rPr>
                <w:rFonts w:ascii="Arial" w:cs="Arial" w:eastAsia="Arial" w:hAnsi="Arial"/>
                <w:sz w:val="14"/>
                <w:szCs w:val="14"/>
                <w:color w:val="auto"/>
              </w:rPr>
              <w:t>1,357</w:t>
            </w:r>
          </w:p>
        </w:tc>
      </w:tr>
    </w:tbl>
    <w:p>
      <w:pPr>
        <w:spacing w:after="0" w:line="33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adoption of this standard did not have an impact on our condensed consolidated statement of operations or condensed consolidated statements of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 Not Yet Adopted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166" w:lineRule="exact"/>
        <w:rPr>
          <w:sz w:val="20"/>
          <w:szCs w:val="20"/>
          <w:color w:val="auto"/>
        </w:rPr>
      </w:pPr>
    </w:p>
    <w:p>
      <w:pPr>
        <w:ind w:right="20" w:firstLine="245"/>
        <w:spacing w:after="0" w:line="300" w:lineRule="auto"/>
        <w:rPr>
          <w:sz w:val="20"/>
          <w:szCs w:val="20"/>
          <w:color w:val="auto"/>
        </w:rPr>
      </w:pPr>
      <w:r>
        <w:rPr>
          <w:rFonts w:ascii="Arial" w:cs="Arial" w:eastAsia="Arial" w:hAnsi="Arial"/>
          <w:sz w:val="12"/>
          <w:szCs w:val="12"/>
          <w:color w:val="auto"/>
        </w:rPr>
        <w:t>In January 2017, the FASB issued new guidance that eliminates Step 2 from the goodwill impairment test. Instead, if an entity forgoes a Step 0 test, that entity will be required to perform its annual or interim goodwill impairment test by comparing the fair value of a reporting unit, as determined in Step 1 from the goodwill impairment test, with its carrying amount and recognize an impairment charge, if any, for the amount by which the carrying amount exceeds the reporting unit’s fair value, not to exceed the total amount of goodwill allocated to the reporting unit. The new standard is effective for fiscal years beginning after December 15, 2019, and should be applied prospectively. Early adoption is permitted. The effect of adoption should be reflected as of the beginning of the fiscal year of adoption. We do not currently expect this new accounting guidance to have an impact on our financial statements upon adoption.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Cloud Computing Arrangements</w:t>
      </w:r>
    </w:p>
    <w:p>
      <w:pPr>
        <w:spacing w:after="0" w:line="166" w:lineRule="exact"/>
        <w:rPr>
          <w:sz w:val="20"/>
          <w:szCs w:val="20"/>
          <w:color w:val="auto"/>
        </w:rPr>
      </w:pPr>
    </w:p>
    <w:p>
      <w:pPr>
        <w:ind w:right="100" w:firstLine="245"/>
        <w:spacing w:after="0" w:line="300" w:lineRule="auto"/>
        <w:rPr>
          <w:sz w:val="20"/>
          <w:szCs w:val="20"/>
          <w:color w:val="auto"/>
        </w:rPr>
      </w:pPr>
      <w:r>
        <w:rPr>
          <w:rFonts w:ascii="Arial" w:cs="Arial" w:eastAsia="Arial" w:hAnsi="Arial"/>
          <w:sz w:val="12"/>
          <w:szCs w:val="12"/>
          <w:color w:val="auto"/>
        </w:rPr>
        <w:t>In August 2018, the FASB issued new guidance related to a customer’s accounting for implementation costs incurred in a cloud computing arrangement (i.e. hosting arrangement) that is a service contract. The new guidance requires customers to capitalize implementation costs for these arrangements by applying the same criteria that are utilized for existing internal-use software guidance. The capitalized costs are required to be amortized over the associated term of the arrangement, generally on a straight-line basis, with amortization of these costs presented in the same financial statement line item as other costs associated with the arrangement. The new standard is effective for fiscal years beginning after December 15, 2019, and can be applied retrospectively or prospectively. Early adoption is permitted. We are evaluating the impact, if any, of adopting this new accounting guidance on our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Instruments - Credit Losses</w:t>
      </w:r>
    </w:p>
    <w:p>
      <w:pPr>
        <w:spacing w:after="0" w:line="166" w:lineRule="exact"/>
        <w:rPr>
          <w:sz w:val="20"/>
          <w:szCs w:val="20"/>
          <w:color w:val="auto"/>
        </w:rPr>
      </w:pPr>
    </w:p>
    <w:p>
      <w:pPr>
        <w:ind w:right="140" w:firstLine="245"/>
        <w:spacing w:after="0" w:line="296" w:lineRule="auto"/>
        <w:rPr>
          <w:sz w:val="20"/>
          <w:szCs w:val="20"/>
          <w:color w:val="auto"/>
        </w:rPr>
      </w:pPr>
      <w:r>
        <w:rPr>
          <w:rFonts w:ascii="Arial" w:cs="Arial" w:eastAsia="Arial" w:hAnsi="Arial"/>
          <w:sz w:val="12"/>
          <w:szCs w:val="12"/>
          <w:color w:val="212529"/>
        </w:rPr>
        <w:t xml:space="preserve">In June 2016, the FASB issued new guidance related to accounting for credit losses on financial instruments. The update </w:t>
      </w:r>
      <w:r>
        <w:rPr>
          <w:rFonts w:ascii="Arial" w:cs="Arial" w:eastAsia="Arial" w:hAnsi="Arial"/>
          <w:sz w:val="12"/>
          <w:szCs w:val="12"/>
          <w:color w:val="000000"/>
        </w:rPr>
        <w:t>replaces the existing incurred loss impairment model with an expected loss model</w:t>
      </w:r>
      <w:r>
        <w:rPr>
          <w:rFonts w:ascii="Arial" w:cs="Arial" w:eastAsia="Arial" w:hAnsi="Arial"/>
          <w:sz w:val="12"/>
          <w:szCs w:val="12"/>
          <w:color w:val="212529"/>
        </w:rPr>
        <w:t xml:space="preserve"> </w:t>
      </w:r>
      <w:r>
        <w:rPr>
          <w:rFonts w:ascii="Arial" w:cs="Arial" w:eastAsia="Arial" w:hAnsi="Arial"/>
          <w:sz w:val="12"/>
          <w:szCs w:val="12"/>
          <w:color w:val="000000"/>
        </w:rPr>
        <w:t>which requires the use of historical and forward-looking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generally result in earlier recognition of credit losses. The new standard is effective for fiscal years beginning after December 15, 2019, and will be applied on a modified retrospective basis, with the cumulative effect of adoption recorded as an adjustment to retained earnings. We are evaluating the impact, if any, of adopting this new accounting guidance on our financial statements, however, our preliminary conclusion is that the new guidance will not have a material impact on our financial statements and related disclosures.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60"/>
          </w:cols>
          <w:pgMar w:left="220" w:top="129"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67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57"/>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4. Inventories, Net</w:t>
            </w: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58"/>
        </w:trPr>
        <w:tc>
          <w:tcPr>
            <w:tcW w:w="6780" w:type="dxa"/>
            <w:vAlign w:val="bottom"/>
            <w:gridSpan w:val="2"/>
          </w:tcPr>
          <w:p>
            <w:pPr>
              <w:ind w:left="240"/>
              <w:spacing w:after="0"/>
              <w:rPr>
                <w:sz w:val="20"/>
                <w:szCs w:val="20"/>
                <w:color w:val="auto"/>
              </w:rPr>
            </w:pPr>
            <w:r>
              <w:rPr>
                <w:rFonts w:ascii="Arial" w:cs="Arial" w:eastAsia="Arial" w:hAnsi="Arial"/>
                <w:sz w:val="14"/>
                <w:szCs w:val="14"/>
                <w:color w:val="auto"/>
              </w:rPr>
              <w:t>Inventories, net, consist of the following (amounts in millions):</w:t>
            </w: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50"/>
        </w:trPr>
        <w:tc>
          <w:tcPr>
            <w:tcW w:w="9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880" w:type="dxa"/>
            <w:vAlign w:val="bottom"/>
          </w:tcPr>
          <w:p>
            <w:pPr>
              <w:jc w:val="right"/>
              <w:ind w:right="12"/>
              <w:spacing w:after="0"/>
              <w:rPr>
                <w:sz w:val="20"/>
                <w:szCs w:val="20"/>
                <w:color w:val="auto"/>
              </w:rPr>
            </w:pPr>
            <w:r>
              <w:rPr>
                <w:rFonts w:ascii="Arial" w:cs="Arial" w:eastAsia="Arial" w:hAnsi="Arial"/>
                <w:sz w:val="14"/>
                <w:szCs w:val="14"/>
                <w:b w:val="1"/>
                <w:bCs w:val="1"/>
                <w:color w:val="auto"/>
              </w:rPr>
              <w:t>At September 30, 2019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right"/>
              <w:ind w:right="432"/>
              <w:spacing w:after="0"/>
              <w:rPr>
                <w:sz w:val="20"/>
                <w:szCs w:val="20"/>
                <w:color w:val="auto"/>
              </w:rPr>
            </w:pPr>
            <w:r>
              <w:rPr>
                <w:rFonts w:ascii="Arial" w:cs="Arial" w:eastAsia="Arial" w:hAnsi="Arial"/>
                <w:sz w:val="14"/>
                <w:szCs w:val="14"/>
                <w:b w:val="1"/>
                <w:bCs w:val="1"/>
                <w:color w:val="auto"/>
              </w:rPr>
              <w:t>At December 31, 2018</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880" w:type="dxa"/>
            <w:vAlign w:val="bottom"/>
            <w:tcBorders>
              <w:bottom w:val="single" w:sz="8" w:color="CCEEFF"/>
            </w:tcBorders>
            <w:shd w:val="clear" w:color="auto" w:fill="CCEEFF"/>
          </w:tcPr>
          <w:p>
            <w:pPr>
              <w:jc w:val="right"/>
              <w:ind w:right="173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40</w:t>
            </w:r>
          </w:p>
        </w:tc>
      </w:tr>
      <w:tr>
        <w:trPr>
          <w:trHeight w:val="18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Purchased parts and components</w:t>
            </w:r>
          </w:p>
        </w:tc>
        <w:tc>
          <w:tcPr>
            <w:tcW w:w="1880" w:type="dxa"/>
            <w:vAlign w:val="bottom"/>
          </w:tcPr>
          <w:p>
            <w:pPr>
              <w:spacing w:after="0"/>
              <w:rPr>
                <w:sz w:val="15"/>
                <w:szCs w:val="15"/>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3</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Inventories, net</w:t>
            </w:r>
          </w:p>
        </w:tc>
        <w:tc>
          <w:tcPr>
            <w:tcW w:w="1880" w:type="dxa"/>
            <w:vAlign w:val="bottom"/>
            <w:tcBorders>
              <w:bottom w:val="single" w:sz="8" w:color="auto"/>
            </w:tcBorders>
            <w:shd w:val="clear" w:color="auto" w:fill="CCEEFF"/>
          </w:tcPr>
          <w:p>
            <w:pPr>
              <w:jc w:val="right"/>
              <w:ind w:right="173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43</w:t>
            </w:r>
          </w:p>
        </w:tc>
      </w:tr>
      <w:tr>
        <w:trPr>
          <w:trHeight w:val="20"/>
        </w:trPr>
        <w:tc>
          <w:tcPr>
            <w:tcW w:w="9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At September 30, 2019 and December 31, 2018, inventory reserves were $13 million and $22 million,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Software Development and Intellectual Property Licenses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summarizes the components of our capitalized software development costs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Pr>
          <w:p>
            <w:pPr>
              <w:spacing w:after="0"/>
              <w:rPr>
                <w:sz w:val="15"/>
                <w:szCs w:val="15"/>
                <w:color w:val="auto"/>
              </w:rPr>
            </w:pPr>
          </w:p>
        </w:tc>
        <w:tc>
          <w:tcPr>
            <w:tcW w:w="1880" w:type="dxa"/>
            <w:vAlign w:val="bottom"/>
          </w:tcPr>
          <w:p>
            <w:pPr>
              <w:jc w:val="right"/>
              <w:ind w:right="12"/>
              <w:spacing w:after="0"/>
              <w:rPr>
                <w:sz w:val="20"/>
                <w:szCs w:val="20"/>
                <w:color w:val="auto"/>
              </w:rPr>
            </w:pPr>
            <w:r>
              <w:rPr>
                <w:rFonts w:ascii="Arial" w:cs="Arial" w:eastAsia="Arial" w:hAnsi="Arial"/>
                <w:sz w:val="14"/>
                <w:szCs w:val="14"/>
                <w:b w:val="1"/>
                <w:bCs w:val="1"/>
                <w:color w:val="auto"/>
              </w:rPr>
              <w:t>At September 30, 2019</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432"/>
              <w:spacing w:after="0"/>
              <w:rPr>
                <w:sz w:val="20"/>
                <w:szCs w:val="20"/>
                <w:color w:val="auto"/>
              </w:rPr>
            </w:pPr>
            <w:r>
              <w:rPr>
                <w:rFonts w:ascii="Arial" w:cs="Arial" w:eastAsia="Arial" w:hAnsi="Arial"/>
                <w:sz w:val="14"/>
                <w:szCs w:val="14"/>
                <w:b w:val="1"/>
                <w:bCs w:val="1"/>
                <w:color w:val="auto"/>
              </w:rPr>
              <w:t>At December 31, 2018</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Internally-developed software costs</w:t>
            </w:r>
          </w:p>
        </w:tc>
        <w:tc>
          <w:tcPr>
            <w:tcW w:w="1880" w:type="dxa"/>
            <w:vAlign w:val="bottom"/>
            <w:tcBorders>
              <w:bottom w:val="single" w:sz="8" w:color="CCEEFF"/>
            </w:tcBorders>
            <w:shd w:val="clear" w:color="auto" w:fill="CCEEFF"/>
          </w:tcPr>
          <w:p>
            <w:pPr>
              <w:jc w:val="right"/>
              <w:ind w:right="173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291</w:t>
            </w:r>
          </w:p>
        </w:tc>
      </w:tr>
      <w:tr>
        <w:trPr>
          <w:trHeight w:val="183"/>
        </w:trPr>
        <w:tc>
          <w:tcPr>
            <w:tcW w:w="6780" w:type="dxa"/>
            <w:vAlign w:val="bottom"/>
          </w:tcPr>
          <w:p>
            <w:pPr>
              <w:ind w:left="20"/>
              <w:spacing w:after="0"/>
              <w:rPr>
                <w:sz w:val="20"/>
                <w:szCs w:val="20"/>
                <w:color w:val="auto"/>
              </w:rPr>
            </w:pPr>
            <w:r>
              <w:rPr>
                <w:rFonts w:ascii="Arial" w:cs="Arial" w:eastAsia="Arial" w:hAnsi="Arial"/>
                <w:sz w:val="14"/>
                <w:szCs w:val="14"/>
                <w:color w:val="auto"/>
              </w:rPr>
              <w:t>Payments made to third-party software developers</w:t>
            </w:r>
          </w:p>
        </w:tc>
        <w:tc>
          <w:tcPr>
            <w:tcW w:w="1880" w:type="dxa"/>
            <w:vAlign w:val="bottom"/>
          </w:tcPr>
          <w:p>
            <w:pPr>
              <w:spacing w:after="0"/>
              <w:rPr>
                <w:sz w:val="15"/>
                <w:szCs w:val="15"/>
                <w:color w:val="auto"/>
              </w:rPr>
            </w:pP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tcPr>
          <w:p>
            <w:pPr>
              <w:jc w:val="right"/>
              <w:ind w:right="32"/>
              <w:spacing w:after="0"/>
              <w:rPr>
                <w:sz w:val="20"/>
                <w:szCs w:val="20"/>
                <w:color w:val="auto"/>
              </w:rPr>
            </w:pPr>
            <w:r>
              <w:rPr>
                <w:rFonts w:ascii="Arial" w:cs="Arial" w:eastAsia="Arial" w:hAnsi="Arial"/>
                <w:sz w:val="14"/>
                <w:szCs w:val="14"/>
                <w:color w:val="auto"/>
              </w:rPr>
              <w:t>38</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software development costs</w:t>
            </w:r>
          </w:p>
        </w:tc>
        <w:tc>
          <w:tcPr>
            <w:tcW w:w="1880" w:type="dxa"/>
            <w:vAlign w:val="bottom"/>
            <w:tcBorders>
              <w:bottom w:val="single" w:sz="8" w:color="auto"/>
            </w:tcBorders>
            <w:shd w:val="clear" w:color="auto" w:fill="CCEEFF"/>
          </w:tcPr>
          <w:p>
            <w:pPr>
              <w:jc w:val="right"/>
              <w:ind w:right="173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349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329</w:t>
            </w:r>
          </w:p>
        </w:tc>
      </w:tr>
      <w:tr>
        <w:trPr>
          <w:trHeight w:val="20"/>
        </w:trPr>
        <w:tc>
          <w:tcPr>
            <w:tcW w:w="67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of both September 30, 2019 and December 31, 2018, capitalized intellectual property licenses were not material.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Amortization of capitalized software development costs and intellectual property licenses was as follows (amounts in millions):</w:t>
      </w:r>
    </w:p>
    <w:p>
      <w:pPr>
        <w:sectPr>
          <w:pgSz w:w="11900" w:h="16838" w:orient="portrait"/>
          <w:cols w:equalWidth="0" w:num="1">
            <w:col w:w="11460"/>
          </w:cols>
          <w:pgMar w:left="220" w:top="111" w:right="219" w:bottom="1440" w:gutter="0" w:footer="0" w:header="0"/>
        </w:sectPr>
      </w:pPr>
    </w:p>
    <w:p>
      <w:pPr>
        <w:spacing w:after="0" w:line="287" w:lineRule="exact"/>
        <w:rPr>
          <w:sz w:val="20"/>
          <w:szCs w:val="20"/>
          <w:color w:val="auto"/>
        </w:rPr>
      </w:pPr>
    </w:p>
    <w:p>
      <w:pPr>
        <w:jc w:val="center"/>
        <w:ind w:left="4340"/>
        <w:spacing w:after="0"/>
        <w:rPr>
          <w:sz w:val="20"/>
          <w:szCs w:val="20"/>
          <w:color w:val="auto"/>
        </w:rPr>
      </w:pPr>
      <w:r>
        <w:rPr>
          <w:rFonts w:ascii="Arial" w:cs="Arial" w:eastAsia="Arial" w:hAnsi="Arial"/>
          <w:sz w:val="12"/>
          <w:szCs w:val="12"/>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2696210</wp:posOffset>
            </wp:positionH>
            <wp:positionV relativeFrom="paragraph">
              <wp:posOffset>37465</wp:posOffset>
            </wp:positionV>
            <wp:extent cx="227266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72665" cy="6350"/>
                    </a:xfrm>
                    <a:prstGeom prst="rect">
                      <a:avLst/>
                    </a:prstGeom>
                    <a:noFill/>
                  </pic:spPr>
                </pic:pic>
              </a:graphicData>
            </a:graphic>
          </wp:anchor>
        </w:drawing>
      </w:r>
    </w:p>
    <w:p>
      <w:pPr>
        <w:spacing w:after="0" w:line="57" w:lineRule="exact"/>
        <w:rPr>
          <w:sz w:val="20"/>
          <w:szCs w:val="20"/>
          <w:color w:val="auto"/>
        </w:rPr>
      </w:pPr>
    </w:p>
    <w:p>
      <w:pPr>
        <w:ind w:left="4980"/>
        <w:spacing w:after="0"/>
        <w:tabs>
          <w:tab w:leader="none" w:pos="68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37465</wp:posOffset>
            </wp:positionV>
            <wp:extent cx="22402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0280" cy="6350"/>
                    </a:xfrm>
                    <a:prstGeom prst="rect">
                      <a:avLst/>
                    </a:prstGeom>
                    <a:noFill/>
                  </pic:spPr>
                </pic:pic>
              </a:graphicData>
            </a:graphic>
          </wp:anchor>
        </w:drawing>
      </w:r>
    </w:p>
    <w:p>
      <w:pPr>
        <w:spacing w:after="0" w:line="57" w:lineRule="exact"/>
        <w:rPr>
          <w:sz w:val="20"/>
          <w:szCs w:val="20"/>
          <w:color w:val="auto"/>
        </w:rPr>
      </w:pPr>
    </w:p>
    <w:p>
      <w:pPr>
        <w:ind w:left="200"/>
        <w:spacing w:after="0"/>
        <w:tabs>
          <w:tab w:leader="none" w:pos="20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16" w:lineRule="exact"/>
        <w:rPr>
          <w:sz w:val="20"/>
          <w:szCs w:val="20"/>
          <w:color w:val="auto"/>
        </w:rPr>
      </w:pPr>
    </w:p>
    <w:p>
      <w:pPr>
        <w:sectPr>
          <w:pgSz w:w="11900" w:h="16838" w:orient="portrait"/>
          <w:cols w:equalWidth="0" w:num="2">
            <w:col w:w="7740" w:space="720"/>
            <w:col w:w="3000"/>
          </w:cols>
          <w:pgMar w:left="220" w:top="111" w:right="21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Amortization of capitalized software development costs and intellectual</w:t>
            </w:r>
          </w:p>
        </w:tc>
        <w:tc>
          <w:tcPr>
            <w:tcW w:w="3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licenses</w:t>
            </w:r>
          </w:p>
        </w:tc>
        <w:tc>
          <w:tcPr>
            <w:tcW w:w="3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242</w:t>
            </w:r>
          </w:p>
        </w:tc>
      </w:tr>
      <w:tr>
        <w:trPr>
          <w:trHeight w:val="490"/>
        </w:trPr>
        <w:tc>
          <w:tcPr>
            <w:tcW w:w="4240" w:type="dxa"/>
            <w:vAlign w:val="bottom"/>
          </w:tcPr>
          <w:p>
            <w:pPr>
              <w:spacing w:after="0"/>
              <w:rPr>
                <w:sz w:val="20"/>
                <w:szCs w:val="20"/>
                <w:color w:val="auto"/>
              </w:rPr>
            </w:pPr>
            <w:r>
              <w:rPr>
                <w:rFonts w:ascii="Arial" w:cs="Arial" w:eastAsia="Arial" w:hAnsi="Arial"/>
                <w:sz w:val="14"/>
                <w:szCs w:val="14"/>
                <w:b w:val="1"/>
                <w:bCs w:val="1"/>
                <w:color w:val="auto"/>
              </w:rPr>
              <w:t>6. Intangible Assets, Net</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58"/>
        </w:trPr>
        <w:tc>
          <w:tcPr>
            <w:tcW w:w="4240" w:type="dxa"/>
            <w:vAlign w:val="bottom"/>
          </w:tcPr>
          <w:p>
            <w:pPr>
              <w:ind w:left="240"/>
              <w:spacing w:after="0"/>
              <w:rPr>
                <w:sz w:val="20"/>
                <w:szCs w:val="20"/>
                <w:color w:val="auto"/>
              </w:rPr>
            </w:pPr>
            <w:r>
              <w:rPr>
                <w:rFonts w:ascii="Arial" w:cs="Arial" w:eastAsia="Arial" w:hAnsi="Arial"/>
                <w:sz w:val="14"/>
                <w:szCs w:val="14"/>
                <w:color w:val="auto"/>
                <w:w w:val="95"/>
              </w:rPr>
              <w:t>Intangible assets, net, consist of the following (amounts in millions):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6"/>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6"/>
          </w:tcPr>
          <w:p>
            <w:pPr>
              <w:jc w:val="right"/>
              <w:ind w:right="1073"/>
              <w:spacing w:after="0"/>
              <w:rPr>
                <w:sz w:val="20"/>
                <w:szCs w:val="20"/>
                <w:color w:val="auto"/>
              </w:rPr>
            </w:pPr>
            <w:r>
              <w:rPr>
                <w:rFonts w:ascii="Arial" w:cs="Arial" w:eastAsia="Arial" w:hAnsi="Arial"/>
                <w:sz w:val="12"/>
                <w:szCs w:val="12"/>
                <w:b w:val="1"/>
                <w:bCs w:val="1"/>
                <w:color w:val="auto"/>
              </w:rPr>
              <w:t>At September 30, 2019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9"/>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4"/>
          </w:tcPr>
          <w:p>
            <w:pPr>
              <w:jc w:val="center"/>
              <w:ind w:left="173"/>
              <w:spacing w:after="0"/>
              <w:rPr>
                <w:sz w:val="20"/>
                <w:szCs w:val="20"/>
                <w:color w:val="auto"/>
              </w:rPr>
            </w:pPr>
            <w:r>
              <w:rPr>
                <w:rFonts w:ascii="Arial" w:cs="Arial" w:eastAsia="Arial" w:hAnsi="Arial"/>
                <w:sz w:val="12"/>
                <w:szCs w:val="12"/>
                <w:b w:val="1"/>
                <w:bCs w:val="1"/>
                <w:color w:val="auto"/>
                <w:w w:val="90"/>
              </w:rPr>
              <w:t>Estimated useful lives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3"/>
              </w:rPr>
              <w:t>Gross carrying 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33"/>
              <w:spacing w:after="0"/>
              <w:rPr>
                <w:sz w:val="20"/>
                <w:szCs w:val="20"/>
                <w:color w:val="auto"/>
              </w:rPr>
            </w:pPr>
            <w:r>
              <w:rPr>
                <w:rFonts w:ascii="Arial" w:cs="Arial" w:eastAsia="Arial" w:hAnsi="Arial"/>
                <w:sz w:val="12"/>
                <w:szCs w:val="12"/>
                <w:b w:val="1"/>
                <w:bCs w:val="1"/>
                <w:color w:val="auto"/>
                <w:w w:val="91"/>
              </w:rPr>
              <w:t>Accumulated amortization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72"/>
              <w:spacing w:after="0"/>
              <w:rPr>
                <w:sz w:val="20"/>
                <w:szCs w:val="20"/>
                <w:color w:val="auto"/>
              </w:rPr>
            </w:pPr>
            <w:r>
              <w:rPr>
                <w:rFonts w:ascii="Arial" w:cs="Arial" w:eastAsia="Arial" w:hAnsi="Arial"/>
                <w:sz w:val="12"/>
                <w:szCs w:val="12"/>
                <w:b w:val="1"/>
                <w:bCs w:val="1"/>
                <w:color w:val="auto"/>
                <w:w w:val="99"/>
              </w:rPr>
              <w:t>Net carrying amount</w:t>
            </w:r>
          </w:p>
        </w:tc>
      </w:tr>
      <w:tr>
        <w:trPr>
          <w:trHeight w:val="25"/>
        </w:trPr>
        <w:tc>
          <w:tcPr>
            <w:tcW w:w="42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definite-lived intangible assets:</w:t>
            </w:r>
          </w:p>
        </w:tc>
        <w:tc>
          <w:tcPr>
            <w:tcW w:w="3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r>
      <w:tr>
        <w:trPr>
          <w:trHeight w:val="183"/>
        </w:trPr>
        <w:tc>
          <w:tcPr>
            <w:tcW w:w="4240" w:type="dxa"/>
            <w:vAlign w:val="bottom"/>
          </w:tcPr>
          <w:p>
            <w:pPr>
              <w:ind w:left="120"/>
              <w:spacing w:after="0"/>
              <w:rPr>
                <w:sz w:val="20"/>
                <w:szCs w:val="20"/>
                <w:color w:val="auto"/>
              </w:rPr>
            </w:pPr>
            <w:r>
              <w:rPr>
                <w:rFonts w:ascii="Arial" w:cs="Arial" w:eastAsia="Arial" w:hAnsi="Arial"/>
                <w:sz w:val="14"/>
                <w:szCs w:val="14"/>
                <w:color w:val="auto"/>
              </w:rPr>
              <w:t>Internally-developed franchises</w:t>
            </w: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11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1,154</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(1,086)</w:t>
            </w:r>
          </w:p>
        </w:tc>
        <w:tc>
          <w:tcPr>
            <w:tcW w:w="2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68</w:t>
            </w:r>
          </w:p>
        </w:tc>
      </w:tr>
      <w:tr>
        <w:trPr>
          <w:trHeight w:val="21"/>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Developed software</w:t>
            </w:r>
          </w:p>
        </w:tc>
        <w:tc>
          <w:tcPr>
            <w:tcW w:w="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5 years</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53</w:t>
            </w:r>
          </w:p>
        </w:tc>
      </w:tr>
      <w:tr>
        <w:trPr>
          <w:trHeight w:val="183"/>
        </w:trPr>
        <w:tc>
          <w:tcPr>
            <w:tcW w:w="4240" w:type="dxa"/>
            <w:vAlign w:val="bottom"/>
          </w:tcPr>
          <w:p>
            <w:pPr>
              <w:ind w:left="120"/>
              <w:spacing w:after="0"/>
              <w:rPr>
                <w:sz w:val="20"/>
                <w:szCs w:val="20"/>
                <w:color w:val="auto"/>
              </w:rPr>
            </w:pPr>
            <w:r>
              <w:rPr>
                <w:rFonts w:ascii="Arial" w:cs="Arial" w:eastAsia="Arial" w:hAnsi="Arial"/>
                <w:sz w:val="14"/>
                <w:szCs w:val="14"/>
                <w:color w:val="auto"/>
              </w:rPr>
              <w:t>Trade names</w:t>
            </w:r>
          </w:p>
        </w:tc>
        <w:tc>
          <w:tcPr>
            <w:tcW w:w="3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10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26</w:t>
            </w:r>
          </w:p>
        </w:tc>
      </w:tr>
      <w:tr>
        <w:trPr>
          <w:trHeight w:val="21"/>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5"/>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3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15 years</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r>
      <w:tr>
        <w:trPr>
          <w:trHeight w:val="22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definite-lived intangible assets (1)</w:t>
            </w:r>
          </w:p>
        </w:tc>
        <w:tc>
          <w:tcPr>
            <w:tcW w:w="3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1,828</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150</w:t>
            </w:r>
          </w:p>
        </w:tc>
      </w:tr>
      <w:tr>
        <w:trPr>
          <w:trHeight w:val="150"/>
        </w:trPr>
        <w:tc>
          <w:tcPr>
            <w:tcW w:w="42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Acquired indefinite-lived intangible assets:</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Activision trademark</w:t>
            </w:r>
          </w:p>
        </w:tc>
        <w:tc>
          <w:tcPr>
            <w:tcW w:w="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3"/>
            <w:shd w:val="clear" w:color="auto" w:fill="CCEEFF"/>
          </w:tcPr>
          <w:p>
            <w:pPr>
              <w:jc w:val="center"/>
              <w:ind w:right="360"/>
              <w:spacing w:after="0"/>
              <w:rPr>
                <w:sz w:val="20"/>
                <w:szCs w:val="20"/>
                <w:color w:val="auto"/>
              </w:rPr>
            </w:pPr>
            <w:r>
              <w:rPr>
                <w:rFonts w:ascii="Arial" w:cs="Arial" w:eastAsia="Arial" w:hAnsi="Arial"/>
                <w:sz w:val="14"/>
                <w:szCs w:val="14"/>
                <w:color w:val="auto"/>
                <w:w w:val="91"/>
              </w:rPr>
              <w:t>Indefinite</w:t>
            </w: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386</w:t>
            </w:r>
          </w:p>
        </w:tc>
      </w:tr>
      <w:tr>
        <w:trPr>
          <w:trHeight w:val="183"/>
        </w:trPr>
        <w:tc>
          <w:tcPr>
            <w:tcW w:w="4240" w:type="dxa"/>
            <w:vAlign w:val="bottom"/>
          </w:tcPr>
          <w:p>
            <w:pPr>
              <w:ind w:left="120"/>
              <w:spacing w:after="0"/>
              <w:rPr>
                <w:sz w:val="20"/>
                <w:szCs w:val="20"/>
                <w:color w:val="auto"/>
              </w:rPr>
            </w:pPr>
            <w:r>
              <w:rPr>
                <w:rFonts w:ascii="Arial" w:cs="Arial" w:eastAsia="Arial" w:hAnsi="Arial"/>
                <w:sz w:val="14"/>
                <w:szCs w:val="14"/>
                <w:color w:val="auto"/>
              </w:rPr>
              <w:t>Acquired trade names</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gridSpan w:val="3"/>
          </w:tcPr>
          <w:p>
            <w:pPr>
              <w:jc w:val="center"/>
              <w:ind w:right="360"/>
              <w:spacing w:after="0"/>
              <w:rPr>
                <w:sz w:val="20"/>
                <w:szCs w:val="20"/>
                <w:color w:val="auto"/>
              </w:rPr>
            </w:pPr>
            <w:r>
              <w:rPr>
                <w:rFonts w:ascii="Arial" w:cs="Arial" w:eastAsia="Arial" w:hAnsi="Arial"/>
                <w:sz w:val="14"/>
                <w:szCs w:val="14"/>
                <w:color w:val="auto"/>
                <w:w w:val="91"/>
              </w:rPr>
              <w:t>Indefinite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47</w:t>
            </w:r>
          </w:p>
        </w:tc>
      </w:tr>
      <w:tr>
        <w:trPr>
          <w:trHeight w:val="21"/>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indefinite-lived intangible assets</w:t>
            </w:r>
          </w:p>
        </w:tc>
        <w:tc>
          <w:tcPr>
            <w:tcW w:w="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433</w:t>
            </w:r>
          </w:p>
        </w:tc>
      </w:tr>
      <w:tr>
        <w:trPr>
          <w:trHeight w:val="189"/>
        </w:trPr>
        <w:tc>
          <w:tcPr>
            <w:tcW w:w="4240" w:type="dxa"/>
            <w:vAlign w:val="bottom"/>
          </w:tcPr>
          <w:p>
            <w:pPr>
              <w:ind w:left="20"/>
              <w:spacing w:after="0"/>
              <w:rPr>
                <w:sz w:val="20"/>
                <w:szCs w:val="20"/>
                <w:color w:val="auto"/>
              </w:rPr>
            </w:pPr>
            <w:r>
              <w:rPr>
                <w:rFonts w:ascii="Arial" w:cs="Arial" w:eastAsia="Arial" w:hAnsi="Arial"/>
                <w:sz w:val="14"/>
                <w:szCs w:val="14"/>
                <w:color w:val="auto"/>
              </w:rPr>
              <w:t>Total intangible assets, net</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583</w:t>
            </w:r>
          </w:p>
        </w:tc>
      </w:tr>
      <w:tr>
        <w:trPr>
          <w:trHeight w:val="20"/>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5660" w:right="2080" w:hanging="5658"/>
        <w:spacing w:after="0" w:line="536" w:lineRule="auto"/>
        <w:tabs>
          <w:tab w:leader="none" w:pos="241" w:val="left"/>
        </w:tabs>
        <w:numPr>
          <w:ilvl w:val="0"/>
          <w:numId w:val="3"/>
        </w:numPr>
        <w:rPr>
          <w:rFonts w:ascii="Arial" w:cs="Arial" w:eastAsia="Arial" w:hAnsi="Arial"/>
          <w:sz w:val="14"/>
          <w:szCs w:val="14"/>
          <w:color w:val="auto"/>
        </w:rPr>
      </w:pPr>
      <w:r>
        <w:rPr>
          <w:rFonts w:ascii="Arial" w:cs="Arial" w:eastAsia="Arial" w:hAnsi="Arial"/>
          <w:sz w:val="14"/>
          <w:szCs w:val="14"/>
          <w:color w:val="auto"/>
        </w:rPr>
        <w:t>Beginning with the first quarter of 2019, the balances of the customer base intangible assets have been removed as such amounts were fully amortized in the prior year. 14</w:t>
      </w:r>
    </w:p>
    <w:p>
      <w:pPr>
        <w:sectPr>
          <w:pgSz w:w="11900" w:h="16838" w:orient="portrait"/>
          <w:cols w:equalWidth="0" w:num="1">
            <w:col w:w="11460"/>
          </w:cols>
          <w:pgMar w:left="220" w:top="111" w:right="21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80" w:type="dxa"/>
            <w:vAlign w:val="bottom"/>
            <w:gridSpan w:val="5"/>
          </w:tcPr>
          <w:p>
            <w:pPr>
              <w:ind w:left="860"/>
              <w:spacing w:after="0"/>
              <w:rPr>
                <w:sz w:val="20"/>
                <w:szCs w:val="20"/>
                <w:color w:val="auto"/>
              </w:rPr>
            </w:pPr>
            <w:r>
              <w:rPr>
                <w:rFonts w:ascii="Arial" w:cs="Arial" w:eastAsia="Arial" w:hAnsi="Arial"/>
                <w:sz w:val="12"/>
                <w:szCs w:val="12"/>
                <w:b w:val="1"/>
                <w:bCs w:val="1"/>
                <w:color w:val="auto"/>
              </w:rPr>
              <w:t>At December 31, 2018</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5"/>
        </w:trPr>
        <w:tc>
          <w:tcPr>
            <w:tcW w:w="4600" w:type="dxa"/>
            <w:vAlign w:val="bottom"/>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9"/>
        </w:trPr>
        <w:tc>
          <w:tcPr>
            <w:tcW w:w="460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Arial" w:cs="Arial" w:eastAsia="Arial" w:hAnsi="Arial"/>
                <w:sz w:val="12"/>
                <w:szCs w:val="12"/>
                <w:b w:val="1"/>
                <w:bCs w:val="1"/>
                <w:color w:val="auto"/>
              </w:rPr>
              <w:t>Estimated useful lives</w:t>
            </w:r>
          </w:p>
        </w:tc>
        <w:tc>
          <w:tcPr>
            <w:tcW w:w="14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Gross carrying amount</w:t>
            </w:r>
          </w:p>
        </w:tc>
        <w:tc>
          <w:tcPr>
            <w:tcW w:w="1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Accumulated amortization</w:t>
            </w:r>
          </w:p>
        </w:tc>
        <w:tc>
          <w:tcPr>
            <w:tcW w:w="160" w:type="dxa"/>
            <w:vAlign w:val="bottom"/>
          </w:tcPr>
          <w:p>
            <w:pPr>
              <w:spacing w:after="0"/>
              <w:rPr>
                <w:sz w:val="14"/>
                <w:szCs w:val="14"/>
                <w:color w:val="auto"/>
              </w:rPr>
            </w:pPr>
          </w:p>
        </w:tc>
        <w:tc>
          <w:tcPr>
            <w:tcW w:w="1420" w:type="dxa"/>
            <w:vAlign w:val="bottom"/>
          </w:tcPr>
          <w:p>
            <w:pPr>
              <w:jc w:val="right"/>
              <w:ind w:right="172"/>
              <w:spacing w:after="0"/>
              <w:rPr>
                <w:sz w:val="20"/>
                <w:szCs w:val="20"/>
                <w:color w:val="auto"/>
              </w:rPr>
            </w:pPr>
            <w:r>
              <w:rPr>
                <w:rFonts w:ascii="Arial" w:cs="Arial" w:eastAsia="Arial" w:hAnsi="Arial"/>
                <w:sz w:val="12"/>
                <w:szCs w:val="12"/>
                <w:b w:val="1"/>
                <w:bCs w:val="1"/>
                <w:color w:val="auto"/>
                <w:w w:val="99"/>
              </w:rPr>
              <w:t>Net carrying amount</w:t>
            </w:r>
          </w:p>
        </w:tc>
      </w:tr>
      <w:tr>
        <w:trPr>
          <w:trHeight w:val="25"/>
        </w:trPr>
        <w:tc>
          <w:tcPr>
            <w:tcW w:w="4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definite-lived intangible assets:</w:t>
            </w:r>
          </w:p>
        </w:tc>
        <w:tc>
          <w:tcPr>
            <w:tcW w:w="5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r>
      <w:tr>
        <w:trPr>
          <w:trHeight w:val="183"/>
        </w:trPr>
        <w:tc>
          <w:tcPr>
            <w:tcW w:w="4600" w:type="dxa"/>
            <w:vAlign w:val="bottom"/>
          </w:tcPr>
          <w:p>
            <w:pPr>
              <w:ind w:left="120"/>
              <w:spacing w:after="0"/>
              <w:rPr>
                <w:sz w:val="20"/>
                <w:szCs w:val="20"/>
                <w:color w:val="auto"/>
              </w:rPr>
            </w:pPr>
            <w:r>
              <w:rPr>
                <w:rFonts w:ascii="Arial" w:cs="Arial" w:eastAsia="Arial" w:hAnsi="Arial"/>
                <w:sz w:val="14"/>
                <w:szCs w:val="14"/>
                <w:color w:val="auto"/>
              </w:rPr>
              <w:t>Internally-developed franchises</w:t>
            </w: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0"/>
              <w:spacing w:after="0"/>
              <w:rPr>
                <w:sz w:val="20"/>
                <w:szCs w:val="20"/>
                <w:color w:val="auto"/>
              </w:rPr>
            </w:pPr>
            <w:r>
              <w:rPr>
                <w:rFonts w:ascii="Arial" w:cs="Arial" w:eastAsia="Arial" w:hAnsi="Arial"/>
                <w:sz w:val="14"/>
                <w:szCs w:val="14"/>
                <w:color w:val="auto"/>
              </w:rPr>
              <w:t>11 years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54"/>
              <w:spacing w:after="0"/>
              <w:rPr>
                <w:sz w:val="20"/>
                <w:szCs w:val="20"/>
                <w:color w:val="auto"/>
              </w:rPr>
            </w:pPr>
            <w:r>
              <w:rPr>
                <w:rFonts w:ascii="Arial" w:cs="Arial" w:eastAsia="Arial" w:hAnsi="Arial"/>
                <w:sz w:val="14"/>
                <w:szCs w:val="14"/>
                <w:color w:val="auto"/>
              </w:rPr>
              <w:t>1,154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122</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Developed software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5 years</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601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145</w:t>
            </w:r>
          </w:p>
        </w:tc>
      </w:tr>
      <w:tr>
        <w:trPr>
          <w:trHeight w:val="183"/>
        </w:trPr>
        <w:tc>
          <w:tcPr>
            <w:tcW w:w="4600" w:type="dxa"/>
            <w:vAlign w:val="bottom"/>
          </w:tcPr>
          <w:p>
            <w:pPr>
              <w:ind w:left="120"/>
              <w:spacing w:after="0"/>
              <w:rPr>
                <w:sz w:val="20"/>
                <w:szCs w:val="20"/>
                <w:color w:val="auto"/>
              </w:rPr>
            </w:pPr>
            <w:r>
              <w:rPr>
                <w:rFonts w:ascii="Arial" w:cs="Arial" w:eastAsia="Arial" w:hAnsi="Arial"/>
                <w:sz w:val="14"/>
                <w:szCs w:val="14"/>
                <w:color w:val="auto"/>
              </w:rPr>
              <w:t>Customer base</w:t>
            </w:r>
          </w:p>
        </w:tc>
        <w:tc>
          <w:tcPr>
            <w:tcW w:w="58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4"/>
                <w:szCs w:val="14"/>
                <w:color w:val="auto"/>
              </w:rPr>
              <w:t>2 years</w:t>
            </w:r>
          </w:p>
        </w:tc>
        <w:tc>
          <w:tcPr>
            <w:tcW w:w="1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Trade names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10 years</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31</w:t>
            </w:r>
          </w:p>
        </w:tc>
      </w:tr>
      <w:tr>
        <w:trPr>
          <w:trHeight w:val="183"/>
        </w:trPr>
        <w:tc>
          <w:tcPr>
            <w:tcW w:w="4600" w:type="dxa"/>
            <w:vAlign w:val="bottom"/>
          </w:tcPr>
          <w:p>
            <w:pPr>
              <w:ind w:left="120"/>
              <w:spacing w:after="0"/>
              <w:rPr>
                <w:sz w:val="20"/>
                <w:szCs w:val="20"/>
                <w:color w:val="auto"/>
              </w:rPr>
            </w:pPr>
            <w:r>
              <w:rPr>
                <w:rFonts w:ascii="Arial" w:cs="Arial" w:eastAsia="Arial" w:hAnsi="Arial"/>
                <w:sz w:val="14"/>
                <w:szCs w:val="14"/>
                <w:color w:val="auto"/>
              </w:rPr>
              <w:t>Other</w:t>
            </w: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0"/>
              <w:spacing w:after="0"/>
              <w:rPr>
                <w:sz w:val="20"/>
                <w:szCs w:val="20"/>
                <w:color w:val="auto"/>
              </w:rPr>
            </w:pPr>
            <w:r>
              <w:rPr>
                <w:rFonts w:ascii="Arial" w:cs="Arial" w:eastAsia="Arial" w:hAnsi="Arial"/>
                <w:sz w:val="14"/>
                <w:szCs w:val="14"/>
                <w:color w:val="auto"/>
              </w:rPr>
              <w:t>15 years</w:t>
            </w:r>
          </w:p>
        </w:tc>
        <w:tc>
          <w:tcPr>
            <w:tcW w:w="140" w:type="dxa"/>
            <w:vAlign w:val="bottom"/>
          </w:tcPr>
          <w:p>
            <w:pPr>
              <w:spacing w:after="0"/>
              <w:rPr>
                <w:sz w:val="15"/>
                <w:szCs w:val="15"/>
                <w:color w:val="auto"/>
              </w:rPr>
            </w:pPr>
          </w:p>
        </w:tc>
        <w:tc>
          <w:tcPr>
            <w:tcW w:w="1460" w:type="dxa"/>
            <w:vAlign w:val="bottom"/>
          </w:tcPr>
          <w:p>
            <w:pPr>
              <w:jc w:val="right"/>
              <w:ind w:right="54"/>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4</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definite-lived intangible assets</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2,445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302</w:t>
            </w:r>
          </w:p>
        </w:tc>
      </w:tr>
      <w:tr>
        <w:trPr>
          <w:trHeight w:val="20"/>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50"/>
        </w:trPr>
        <w:tc>
          <w:tcPr>
            <w:tcW w:w="4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5"/>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Acquired indefinite-lived intangible assets:</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r>
      <w:tr>
        <w:trPr>
          <w:trHeight w:val="183"/>
        </w:trPr>
        <w:tc>
          <w:tcPr>
            <w:tcW w:w="4600" w:type="dxa"/>
            <w:vAlign w:val="bottom"/>
          </w:tcPr>
          <w:p>
            <w:pPr>
              <w:ind w:left="120"/>
              <w:spacing w:after="0"/>
              <w:rPr>
                <w:sz w:val="20"/>
                <w:szCs w:val="20"/>
                <w:color w:val="auto"/>
              </w:rPr>
            </w:pPr>
            <w:r>
              <w:rPr>
                <w:rFonts w:ascii="Arial" w:cs="Arial" w:eastAsia="Arial" w:hAnsi="Arial"/>
                <w:sz w:val="14"/>
                <w:szCs w:val="14"/>
                <w:color w:val="auto"/>
              </w:rPr>
              <w:t>Activision trademark</w:t>
            </w:r>
          </w:p>
        </w:tc>
        <w:tc>
          <w:tcPr>
            <w:tcW w:w="5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color w:val="auto"/>
              </w:rPr>
              <w:t>Indefinite</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386</w:t>
            </w:r>
          </w:p>
        </w:tc>
      </w:tr>
      <w:tr>
        <w:trPr>
          <w:trHeight w:val="21"/>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05"/>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Acquired trade names</w:t>
            </w:r>
          </w:p>
        </w:tc>
        <w:tc>
          <w:tcPr>
            <w:tcW w:w="5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Indefinite</w:t>
            </w:r>
          </w:p>
        </w:tc>
        <w:tc>
          <w:tcPr>
            <w:tcW w:w="1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47</w:t>
            </w:r>
          </w:p>
        </w:tc>
      </w:tr>
      <w:tr>
        <w:trPr>
          <w:trHeight w:val="173"/>
        </w:trPr>
        <w:tc>
          <w:tcPr>
            <w:tcW w:w="4600" w:type="dxa"/>
            <w:vAlign w:val="bottom"/>
          </w:tcPr>
          <w:p>
            <w:pPr>
              <w:ind w:left="20"/>
              <w:spacing w:after="0"/>
              <w:rPr>
                <w:sz w:val="20"/>
                <w:szCs w:val="20"/>
                <w:color w:val="auto"/>
              </w:rPr>
            </w:pPr>
            <w:r>
              <w:rPr>
                <w:rFonts w:ascii="Arial" w:cs="Arial" w:eastAsia="Arial" w:hAnsi="Arial"/>
                <w:sz w:val="14"/>
                <w:szCs w:val="14"/>
                <w:color w:val="auto"/>
              </w:rPr>
              <w:t>Total indefinite-lived intangible assets</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433</w:t>
            </w:r>
          </w:p>
        </w:tc>
      </w:tr>
      <w:tr>
        <w:trPr>
          <w:trHeight w:val="21"/>
        </w:trPr>
        <w:tc>
          <w:tcPr>
            <w:tcW w:w="46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 net</w:t>
            </w:r>
          </w:p>
        </w:tc>
        <w:tc>
          <w:tcPr>
            <w:tcW w:w="5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735</w:t>
            </w:r>
          </w:p>
        </w:tc>
      </w:tr>
      <w:tr>
        <w:trPr>
          <w:trHeight w:val="20"/>
        </w:trPr>
        <w:tc>
          <w:tcPr>
            <w:tcW w:w="4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00" w:firstLine="245"/>
        <w:spacing w:after="0" w:line="262" w:lineRule="auto"/>
        <w:rPr>
          <w:sz w:val="20"/>
          <w:szCs w:val="20"/>
          <w:color w:val="auto"/>
        </w:rPr>
      </w:pPr>
      <w:r>
        <w:rPr>
          <w:rFonts w:ascii="Arial" w:cs="Arial" w:eastAsia="Arial" w:hAnsi="Arial"/>
          <w:sz w:val="14"/>
          <w:szCs w:val="14"/>
          <w:color w:val="auto"/>
        </w:rPr>
        <w:t>Amortization expense of our intangible assets was $50 million and $152 million for the three and nine months ended September 30, 2019, respectively. Amortization expense of our intangible assets was $84 million and $280 million for the three and nine months ended September 30, 2018, respectively.</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At September 30, 2019, future amortization of definite-lived intangible assets is estimated as follows (amounts in millions):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years ending December 31,</w:t>
            </w: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2019 (remaining three months)</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3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4700" w:type="dxa"/>
            <w:vAlign w:val="bottom"/>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7. Goodwill</w:t>
            </w: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460" w:type="dxa"/>
            <w:vAlign w:val="bottom"/>
            <w:gridSpan w:val="4"/>
          </w:tcPr>
          <w:p>
            <w:pPr>
              <w:ind w:left="240"/>
              <w:spacing w:after="0"/>
              <w:rPr>
                <w:sz w:val="20"/>
                <w:szCs w:val="20"/>
                <w:color w:val="auto"/>
              </w:rPr>
            </w:pPr>
            <w:r>
              <w:rPr>
                <w:rFonts w:ascii="Arial" w:cs="Arial" w:eastAsia="Arial" w:hAnsi="Arial"/>
                <w:sz w:val="14"/>
                <w:szCs w:val="14"/>
                <w:color w:val="auto"/>
                <w:w w:val="93"/>
              </w:rPr>
              <w:t>The changes in the carrying amount of goodwill by reportable segment are as follows (amounts in millions):</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Activision</w:t>
            </w:r>
          </w:p>
        </w:tc>
        <w:tc>
          <w:tcPr>
            <w:tcW w:w="320" w:type="dxa"/>
            <w:vAlign w:val="bottom"/>
          </w:tcPr>
          <w:p>
            <w:pPr>
              <w:spacing w:after="0"/>
              <w:rPr>
                <w:sz w:val="24"/>
                <w:szCs w:val="2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Blizzard</w:t>
            </w:r>
          </w:p>
        </w:tc>
        <w:tc>
          <w:tcPr>
            <w:tcW w:w="38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King</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6,897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2,675</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9,762</w:t>
            </w:r>
          </w:p>
        </w:tc>
        <w:tc>
          <w:tcPr>
            <w:tcW w:w="0" w:type="dxa"/>
            <w:vAlign w:val="bottom"/>
          </w:tcPr>
          <w:p>
            <w:pPr>
              <w:spacing w:after="0"/>
              <w:rPr>
                <w:sz w:val="1"/>
                <w:szCs w:val="1"/>
                <w:color w:val="auto"/>
              </w:rPr>
            </w:pPr>
          </w:p>
        </w:tc>
      </w:tr>
      <w:tr>
        <w:trPr>
          <w:trHeight w:val="183"/>
        </w:trPr>
        <w:tc>
          <w:tcPr>
            <w:tcW w:w="4700" w:type="dxa"/>
            <w:vAlign w:val="bottom"/>
          </w:tcPr>
          <w:p>
            <w:pPr>
              <w:ind w:left="1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5"/>
                <w:szCs w:val="15"/>
                <w:color w:val="auto"/>
              </w:rPr>
            </w:pPr>
          </w:p>
        </w:tc>
        <w:tc>
          <w:tcPr>
            <w:tcW w:w="132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320" w:type="dxa"/>
            <w:vAlign w:val="bottom"/>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6,898</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2,676</w:t>
            </w:r>
          </w:p>
        </w:tc>
        <w:tc>
          <w:tcPr>
            <w:tcW w:w="5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9,764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Fair Value Measurements</w:t>
      </w:r>
    </w:p>
    <w:p>
      <w:pPr>
        <w:spacing w:after="0" w:line="199" w:lineRule="exact"/>
        <w:rPr>
          <w:sz w:val="20"/>
          <w:szCs w:val="20"/>
          <w:color w:val="auto"/>
        </w:rPr>
      </w:pPr>
    </w:p>
    <w:p>
      <w:pPr>
        <w:ind w:right="320" w:firstLine="245"/>
        <w:spacing w:after="0" w:line="346" w:lineRule="auto"/>
        <w:rPr>
          <w:sz w:val="20"/>
          <w:szCs w:val="20"/>
          <w:color w:val="auto"/>
        </w:rPr>
      </w:pPr>
      <w:r>
        <w:rPr>
          <w:rFonts w:ascii="Arial" w:cs="Arial" w:eastAsia="Arial" w:hAnsi="Arial"/>
          <w:sz w:val="12"/>
          <w:szCs w:val="12"/>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93" w:lineRule="exact"/>
        <w:rPr>
          <w:sz w:val="20"/>
          <w:szCs w:val="20"/>
          <w:color w:val="auto"/>
        </w:rPr>
      </w:pPr>
    </w:p>
    <w:p>
      <w:pPr>
        <w:ind w:left="500" w:hanging="130"/>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Level 1—Quoted prices in active markets for identical assets or liabilities;</w:t>
      </w:r>
    </w:p>
    <w:p>
      <w:pPr>
        <w:spacing w:after="0" w:line="166" w:lineRule="exact"/>
        <w:rPr>
          <w:rFonts w:ascii="Arial" w:cs="Arial" w:eastAsia="Arial" w:hAnsi="Arial"/>
          <w:sz w:val="14"/>
          <w:szCs w:val="14"/>
          <w:color w:val="auto"/>
        </w:rPr>
      </w:pPr>
    </w:p>
    <w:p>
      <w:pPr>
        <w:ind w:left="500" w:hanging="130"/>
        <w:spacing w:after="0" w:line="262" w:lineRule="auto"/>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60"/>
          </w:cols>
          <w:pgMar w:left="220" w:top="129" w:right="21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0" w:lineRule="exact"/>
        <w:rPr>
          <w:sz w:val="20"/>
          <w:szCs w:val="20"/>
          <w:color w:val="auto"/>
        </w:rPr>
      </w:pPr>
    </w:p>
    <w:p>
      <w:pPr>
        <w:ind w:left="500" w:right="40" w:hanging="130"/>
        <w:spacing w:after="0" w:line="262"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on a Recurring Basis</w:t>
      </w:r>
    </w:p>
    <w:p>
      <w:pPr>
        <w:spacing w:after="0" w:line="166" w:lineRule="exact"/>
        <w:rPr>
          <w:sz w:val="20"/>
          <w:szCs w:val="20"/>
          <w:color w:val="auto"/>
        </w:rPr>
      </w:pPr>
    </w:p>
    <w:p>
      <w:pPr>
        <w:ind w:right="20" w:firstLine="245"/>
        <w:spacing w:after="0" w:line="262" w:lineRule="auto"/>
        <w:rPr>
          <w:sz w:val="20"/>
          <w:szCs w:val="20"/>
          <w:color w:val="auto"/>
        </w:rPr>
      </w:pPr>
      <w:r>
        <w:rPr>
          <w:rFonts w:ascii="Arial" w:cs="Arial" w:eastAsia="Arial" w:hAnsi="Arial"/>
          <w:sz w:val="14"/>
          <w:szCs w:val="14"/>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20" w:type="dxa"/>
            <w:vAlign w:val="bottom"/>
            <w:gridSpan w:val="6"/>
          </w:tcPr>
          <w:p>
            <w:pPr>
              <w:ind w:left="460"/>
              <w:spacing w:after="0"/>
              <w:rPr>
                <w:sz w:val="20"/>
                <w:szCs w:val="20"/>
                <w:color w:val="auto"/>
              </w:rPr>
            </w:pPr>
            <w:r>
              <w:rPr>
                <w:rFonts w:ascii="Arial" w:cs="Arial" w:eastAsia="Arial" w:hAnsi="Arial"/>
                <w:sz w:val="12"/>
                <w:szCs w:val="12"/>
                <w:b w:val="1"/>
                <w:bCs w:val="1"/>
                <w:color w:val="auto"/>
                <w:w w:val="97"/>
              </w:rPr>
              <w:t>Fair Value Measurements at September 30, 2019 Using</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25"/>
        </w:trPr>
        <w:tc>
          <w:tcPr>
            <w:tcW w:w="3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53"/>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Quoted Prices in</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Active Markets for</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Significant Other</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w w:val="91"/>
              </w:rPr>
              <w:t>Significant Unobservable</w:t>
            </w: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Identical Assets</w:t>
            </w:r>
          </w:p>
        </w:tc>
        <w:tc>
          <w:tcPr>
            <w:tcW w:w="12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3"/>
              </w:rPr>
              <w:t>Observable Inputs</w:t>
            </w:r>
          </w:p>
        </w:tc>
        <w:tc>
          <w:tcPr>
            <w:tcW w:w="1020" w:type="dxa"/>
            <w:vAlign w:val="bottom"/>
          </w:tcPr>
          <w:p>
            <w:pPr>
              <w:ind w:left="520"/>
              <w:spacing w:after="0"/>
              <w:rPr>
                <w:sz w:val="20"/>
                <w:szCs w:val="20"/>
                <w:color w:val="auto"/>
              </w:rPr>
            </w:pPr>
            <w:r>
              <w:rPr>
                <w:rFonts w:ascii="Arial" w:cs="Arial" w:eastAsia="Arial" w:hAnsi="Arial"/>
                <w:sz w:val="12"/>
                <w:szCs w:val="12"/>
                <w:b w:val="1"/>
                <w:bCs w:val="1"/>
                <w:color w:val="auto"/>
              </w:rPr>
              <w:t>Inputs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9"/>
        </w:trPr>
        <w:tc>
          <w:tcPr>
            <w:tcW w:w="3340" w:type="dxa"/>
            <w:vAlign w:val="bottom"/>
          </w:tcPr>
          <w:p>
            <w:pPr>
              <w:spacing w:after="0"/>
              <w:rPr>
                <w:sz w:val="13"/>
                <w:szCs w:val="13"/>
                <w:color w:val="auto"/>
              </w:rPr>
            </w:pP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As of September 30, 2019</w:t>
            </w:r>
          </w:p>
        </w:tc>
        <w:tc>
          <w:tcPr>
            <w:tcW w:w="10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(Level 1)</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(Level 2)</w:t>
            </w:r>
          </w:p>
        </w:tc>
        <w:tc>
          <w:tcPr>
            <w:tcW w:w="1020" w:type="dxa"/>
            <w:vAlign w:val="bottom"/>
          </w:tcPr>
          <w:p>
            <w:pPr>
              <w:ind w:left="460"/>
              <w:spacing w:after="0"/>
              <w:rPr>
                <w:sz w:val="20"/>
                <w:szCs w:val="20"/>
                <w:color w:val="auto"/>
              </w:rPr>
            </w:pPr>
            <w:r>
              <w:rPr>
                <w:rFonts w:ascii="Arial" w:cs="Arial" w:eastAsia="Arial" w:hAnsi="Arial"/>
                <w:sz w:val="12"/>
                <w:szCs w:val="12"/>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ind w:left="520"/>
              <w:spacing w:after="0"/>
              <w:rPr>
                <w:sz w:val="20"/>
                <w:szCs w:val="20"/>
                <w:color w:val="auto"/>
              </w:rPr>
            </w:pPr>
            <w:r>
              <w:rPr>
                <w:rFonts w:ascii="Arial" w:cs="Arial" w:eastAsia="Arial" w:hAnsi="Arial"/>
                <w:sz w:val="12"/>
                <w:szCs w:val="12"/>
                <w:b w:val="1"/>
                <w:bCs w:val="1"/>
                <w:color w:val="auto"/>
              </w:rPr>
              <w:t>Balance Sheet Classification</w:t>
            </w:r>
          </w:p>
        </w:tc>
      </w:tr>
      <w:tr>
        <w:trPr>
          <w:trHeight w:val="25"/>
        </w:trPr>
        <w:tc>
          <w:tcPr>
            <w:tcW w:w="3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6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5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500" w:type="dxa"/>
            <w:vAlign w:val="bottom"/>
            <w:tcBorders>
              <w:bottom w:val="single" w:sz="8" w:color="CCEEFF"/>
            </w:tcBorders>
            <w:shd w:val="clear" w:color="auto" w:fill="CCEEFF"/>
          </w:tcPr>
          <w:p>
            <w:pPr>
              <w:spacing w:after="0"/>
              <w:rPr>
                <w:sz w:val="14"/>
                <w:szCs w:val="14"/>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color w:val="auto"/>
              </w:rPr>
              <w:t>Recurring fair value measurements: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Money market funds</w:t>
            </w: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4,616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4,616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r>
      <w:tr>
        <w:trPr>
          <w:trHeight w:val="183"/>
        </w:trPr>
        <w:tc>
          <w:tcPr>
            <w:tcW w:w="3340" w:type="dxa"/>
            <w:vAlign w:val="bottom"/>
          </w:tcPr>
          <w:p>
            <w:pPr>
              <w:ind w:left="120"/>
              <w:spacing w:after="0"/>
              <w:rPr>
                <w:sz w:val="20"/>
                <w:szCs w:val="20"/>
                <w:color w:val="auto"/>
              </w:rPr>
            </w:pPr>
            <w:r>
              <w:rPr>
                <w:rFonts w:ascii="Arial" w:cs="Arial" w:eastAsia="Arial" w:hAnsi="Arial"/>
                <w:sz w:val="14"/>
                <w:szCs w:val="14"/>
                <w:color w:val="auto"/>
              </w:rPr>
              <w:t>Foreign government treasury bills</w:t>
            </w:r>
          </w:p>
        </w:tc>
        <w:tc>
          <w:tcPr>
            <w:tcW w:w="5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5"/>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89"/>
              </w:rPr>
              <w:t>Foreign currency forward contracts designated as hedges</w:t>
            </w: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r>
      <w:tr>
        <w:trPr>
          <w:trHeight w:val="173"/>
        </w:trPr>
        <w:tc>
          <w:tcPr>
            <w:tcW w:w="3340" w:type="dxa"/>
            <w:vAlign w:val="bottom"/>
          </w:tcPr>
          <w:p>
            <w:pPr>
              <w:ind w:left="120"/>
              <w:spacing w:after="0"/>
              <w:rPr>
                <w:sz w:val="20"/>
                <w:szCs w:val="20"/>
                <w:color w:val="auto"/>
              </w:rPr>
            </w:pPr>
            <w:r>
              <w:rPr>
                <w:rFonts w:ascii="Arial" w:cs="Arial" w:eastAsia="Arial" w:hAnsi="Arial"/>
                <w:sz w:val="14"/>
                <w:szCs w:val="14"/>
                <w:color w:val="auto"/>
                <w:w w:val="96"/>
              </w:rPr>
              <w:t>Foreign currency forward contracts not designated as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173"/>
        </w:trPr>
        <w:tc>
          <w:tcPr>
            <w:tcW w:w="3340" w:type="dxa"/>
            <w:vAlign w:val="bottom"/>
          </w:tcPr>
          <w:p>
            <w:pPr>
              <w:ind w:left="120"/>
              <w:spacing w:after="0"/>
              <w:rPr>
                <w:sz w:val="20"/>
                <w:szCs w:val="20"/>
                <w:color w:val="auto"/>
              </w:rPr>
            </w:pPr>
            <w:r>
              <w:rPr>
                <w:rFonts w:ascii="Arial" w:cs="Arial" w:eastAsia="Arial" w:hAnsi="Arial"/>
                <w:sz w:val="14"/>
                <w:szCs w:val="14"/>
                <w:color w:val="auto"/>
              </w:rPr>
              <w:t>hedges</w:t>
            </w:r>
          </w:p>
        </w:tc>
        <w:tc>
          <w:tcPr>
            <w:tcW w:w="5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rPr>
              <w:t>Other current assets</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r>
      <w:tr>
        <w:trPr>
          <w:trHeight w:val="189"/>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recurring fair value measurements</w:t>
            </w:r>
          </w:p>
        </w:tc>
        <w:tc>
          <w:tcPr>
            <w:tcW w:w="5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4,683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4,652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16"/>
                <w:szCs w:val="16"/>
                <w:color w:val="auto"/>
              </w:rPr>
            </w:pPr>
          </w:p>
        </w:tc>
      </w:tr>
      <w:tr>
        <w:trPr>
          <w:trHeight w:val="20"/>
        </w:trPr>
        <w:tc>
          <w:tcPr>
            <w:tcW w:w="3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91"/>
        </w:trPr>
        <w:tc>
          <w:tcPr>
            <w:tcW w:w="3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18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spacing w:after="0"/>
              <w:rPr>
                <w:sz w:val="16"/>
                <w:szCs w:val="16"/>
                <w:color w:val="auto"/>
              </w:rPr>
            </w:pPr>
          </w:p>
        </w:tc>
      </w:tr>
      <w:tr>
        <w:trPr>
          <w:trHeight w:val="173"/>
        </w:trPr>
        <w:tc>
          <w:tcPr>
            <w:tcW w:w="3340" w:type="dxa"/>
            <w:vAlign w:val="bottom"/>
          </w:tcPr>
          <w:p>
            <w:pPr>
              <w:ind w:left="20"/>
              <w:spacing w:after="0"/>
              <w:rPr>
                <w:sz w:val="20"/>
                <w:szCs w:val="20"/>
                <w:color w:val="auto"/>
              </w:rPr>
            </w:pPr>
            <w:r>
              <w:rPr>
                <w:rFonts w:ascii="Arial" w:cs="Arial" w:eastAsia="Arial" w:hAnsi="Arial"/>
                <w:sz w:val="14"/>
                <w:szCs w:val="14"/>
                <w:color w:val="auto"/>
                <w:w w:val="99"/>
              </w:rPr>
              <w:t>Foreign currency forward contracts not designated as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173"/>
        </w:trPr>
        <w:tc>
          <w:tcPr>
            <w:tcW w:w="3340" w:type="dxa"/>
            <w:vAlign w:val="bottom"/>
          </w:tcPr>
          <w:p>
            <w:pPr>
              <w:ind w:left="20"/>
              <w:spacing w:after="0"/>
              <w:rPr>
                <w:sz w:val="20"/>
                <w:szCs w:val="20"/>
                <w:color w:val="auto"/>
              </w:rPr>
            </w:pPr>
            <w:r>
              <w:rPr>
                <w:rFonts w:ascii="Arial" w:cs="Arial" w:eastAsia="Arial" w:hAnsi="Arial"/>
                <w:sz w:val="14"/>
                <w:szCs w:val="14"/>
                <w:color w:val="auto"/>
              </w:rPr>
              <w:t>hedges</w:t>
            </w:r>
          </w:p>
        </w:tc>
        <w:tc>
          <w:tcPr>
            <w:tcW w:w="520" w:type="dxa"/>
            <w:vAlign w:val="bottom"/>
          </w:tcPr>
          <w:p>
            <w:pPr>
              <w:jc w:val="right"/>
              <w:ind w:right="374"/>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4"/>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r>
      <w:tr>
        <w:trPr>
          <w:trHeight w:val="532"/>
        </w:trPr>
        <w:tc>
          <w:tcPr>
            <w:tcW w:w="3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35"/>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20" w:type="dxa"/>
            <w:vAlign w:val="bottom"/>
            <w:gridSpan w:val="6"/>
          </w:tcPr>
          <w:p>
            <w:pPr>
              <w:ind w:left="480"/>
              <w:spacing w:after="0"/>
              <w:rPr>
                <w:sz w:val="20"/>
                <w:szCs w:val="20"/>
                <w:color w:val="auto"/>
              </w:rPr>
            </w:pPr>
            <w:r>
              <w:rPr>
                <w:rFonts w:ascii="Arial" w:cs="Arial" w:eastAsia="Arial" w:hAnsi="Arial"/>
                <w:sz w:val="12"/>
                <w:szCs w:val="12"/>
                <w:b w:val="1"/>
                <w:bCs w:val="1"/>
                <w:color w:val="auto"/>
                <w:w w:val="98"/>
              </w:rPr>
              <w:t>Fair Value Measurements at December 31, 2018 Using</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25"/>
        </w:trPr>
        <w:tc>
          <w:tcPr>
            <w:tcW w:w="3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53"/>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Quoted Prices in</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6"/>
              </w:rPr>
              <w:t>Active Markets for</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Significant Other</w:t>
            </w:r>
          </w:p>
        </w:tc>
        <w:tc>
          <w:tcPr>
            <w:tcW w:w="1380" w:type="dxa"/>
            <w:vAlign w:val="bottom"/>
            <w:gridSpan w:val="2"/>
          </w:tcPr>
          <w:p>
            <w:pPr>
              <w:ind w:left="40"/>
              <w:spacing w:after="0"/>
              <w:rPr>
                <w:sz w:val="20"/>
                <w:szCs w:val="20"/>
                <w:color w:val="auto"/>
              </w:rPr>
            </w:pPr>
            <w:r>
              <w:rPr>
                <w:rFonts w:ascii="Arial" w:cs="Arial" w:eastAsia="Arial" w:hAnsi="Arial"/>
                <w:sz w:val="12"/>
                <w:szCs w:val="12"/>
                <w:b w:val="1"/>
                <w:bCs w:val="1"/>
                <w:color w:val="auto"/>
                <w:w w:val="91"/>
              </w:rPr>
              <w:t>Significant Unobservable</w:t>
            </w: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3"/>
        </w:trPr>
        <w:tc>
          <w:tcPr>
            <w:tcW w:w="3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Identical Assets</w:t>
            </w:r>
          </w:p>
        </w:tc>
        <w:tc>
          <w:tcPr>
            <w:tcW w:w="124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3"/>
              </w:rPr>
              <w:t>Observable Inputs</w:t>
            </w:r>
          </w:p>
        </w:tc>
        <w:tc>
          <w:tcPr>
            <w:tcW w:w="1020" w:type="dxa"/>
            <w:vAlign w:val="bottom"/>
          </w:tcPr>
          <w:p>
            <w:pPr>
              <w:ind w:left="520"/>
              <w:spacing w:after="0"/>
              <w:rPr>
                <w:sz w:val="20"/>
                <w:szCs w:val="20"/>
                <w:color w:val="auto"/>
              </w:rPr>
            </w:pPr>
            <w:r>
              <w:rPr>
                <w:rFonts w:ascii="Arial" w:cs="Arial" w:eastAsia="Arial" w:hAnsi="Arial"/>
                <w:sz w:val="12"/>
                <w:szCs w:val="12"/>
                <w:b w:val="1"/>
                <w:bCs w:val="1"/>
                <w:color w:val="auto"/>
              </w:rPr>
              <w:t>Inputs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159"/>
        </w:trPr>
        <w:tc>
          <w:tcPr>
            <w:tcW w:w="3340" w:type="dxa"/>
            <w:vAlign w:val="bottom"/>
          </w:tcPr>
          <w:p>
            <w:pPr>
              <w:spacing w:after="0"/>
              <w:rPr>
                <w:sz w:val="13"/>
                <w:szCs w:val="13"/>
                <w:color w:val="auto"/>
              </w:rPr>
            </w:pPr>
          </w:p>
        </w:tc>
        <w:tc>
          <w:tcPr>
            <w:tcW w:w="1520" w:type="dxa"/>
            <w:vAlign w:val="bottom"/>
            <w:gridSpan w:val="3"/>
          </w:tcPr>
          <w:p>
            <w:pPr>
              <w:ind w:left="60"/>
              <w:spacing w:after="0"/>
              <w:rPr>
                <w:sz w:val="20"/>
                <w:szCs w:val="20"/>
                <w:color w:val="auto"/>
              </w:rPr>
            </w:pPr>
            <w:r>
              <w:rPr>
                <w:rFonts w:ascii="Arial" w:cs="Arial" w:eastAsia="Arial" w:hAnsi="Arial"/>
                <w:sz w:val="12"/>
                <w:szCs w:val="12"/>
                <w:b w:val="1"/>
                <w:bCs w:val="1"/>
                <w:color w:val="auto"/>
              </w:rPr>
              <w:t>As of December 31, 2018</w:t>
            </w:r>
          </w:p>
        </w:tc>
        <w:tc>
          <w:tcPr>
            <w:tcW w:w="10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(Level 1)</w:t>
            </w:r>
          </w:p>
        </w:tc>
        <w:tc>
          <w:tcPr>
            <w:tcW w:w="10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(Level 2)</w:t>
            </w:r>
          </w:p>
        </w:tc>
        <w:tc>
          <w:tcPr>
            <w:tcW w:w="1020" w:type="dxa"/>
            <w:vAlign w:val="bottom"/>
          </w:tcPr>
          <w:p>
            <w:pPr>
              <w:ind w:left="460"/>
              <w:spacing w:after="0"/>
              <w:rPr>
                <w:sz w:val="20"/>
                <w:szCs w:val="20"/>
                <w:color w:val="auto"/>
              </w:rPr>
            </w:pPr>
            <w:r>
              <w:rPr>
                <w:rFonts w:ascii="Arial" w:cs="Arial" w:eastAsia="Arial" w:hAnsi="Arial"/>
                <w:sz w:val="12"/>
                <w:szCs w:val="12"/>
                <w:b w:val="1"/>
                <w:bCs w:val="1"/>
                <w:color w:val="auto"/>
              </w:rPr>
              <w:t>(Level 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ind w:left="520"/>
              <w:spacing w:after="0"/>
              <w:rPr>
                <w:sz w:val="20"/>
                <w:szCs w:val="20"/>
                <w:color w:val="auto"/>
              </w:rPr>
            </w:pPr>
            <w:r>
              <w:rPr>
                <w:rFonts w:ascii="Arial" w:cs="Arial" w:eastAsia="Arial" w:hAnsi="Arial"/>
                <w:sz w:val="12"/>
                <w:szCs w:val="12"/>
                <w:b w:val="1"/>
                <w:bCs w:val="1"/>
                <w:color w:val="auto"/>
              </w:rPr>
              <w:t>Balance Sheet Classification</w:t>
            </w:r>
          </w:p>
        </w:tc>
      </w:tr>
      <w:tr>
        <w:trPr>
          <w:trHeight w:val="25"/>
        </w:trPr>
        <w:tc>
          <w:tcPr>
            <w:tcW w:w="33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5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500" w:type="dxa"/>
            <w:vAlign w:val="bottom"/>
            <w:tcBorders>
              <w:bottom w:val="single" w:sz="8" w:color="CCEEFF"/>
            </w:tcBorders>
            <w:shd w:val="clear" w:color="auto" w:fill="CCEEFF"/>
          </w:tcPr>
          <w:p>
            <w:pPr>
              <w:spacing w:after="0"/>
              <w:rPr>
                <w:sz w:val="15"/>
                <w:szCs w:val="15"/>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color w:val="auto"/>
              </w:rPr>
              <w:t>Recurring fair value measurements: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Money market funds</w:t>
            </w: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3,925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3,925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r>
      <w:tr>
        <w:trPr>
          <w:trHeight w:val="183"/>
        </w:trPr>
        <w:tc>
          <w:tcPr>
            <w:tcW w:w="3340" w:type="dxa"/>
            <w:vAlign w:val="bottom"/>
          </w:tcPr>
          <w:p>
            <w:pPr>
              <w:ind w:left="120"/>
              <w:spacing w:after="0"/>
              <w:rPr>
                <w:sz w:val="20"/>
                <w:szCs w:val="20"/>
                <w:color w:val="auto"/>
              </w:rPr>
            </w:pPr>
            <w:r>
              <w:rPr>
                <w:rFonts w:ascii="Arial" w:cs="Arial" w:eastAsia="Arial" w:hAnsi="Arial"/>
                <w:sz w:val="14"/>
                <w:szCs w:val="14"/>
                <w:color w:val="auto"/>
              </w:rPr>
              <w:t>Foreign government treasury bills</w:t>
            </w:r>
          </w:p>
        </w:tc>
        <w:tc>
          <w:tcPr>
            <w:tcW w:w="5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5"/>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U.S. treasuries and government agency securities</w:t>
            </w: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r>
      <w:tr>
        <w:trPr>
          <w:trHeight w:val="183"/>
        </w:trPr>
        <w:tc>
          <w:tcPr>
            <w:tcW w:w="3340" w:type="dxa"/>
            <w:vAlign w:val="bottom"/>
          </w:tcPr>
          <w:p>
            <w:pPr>
              <w:ind w:left="120"/>
              <w:spacing w:after="0"/>
              <w:rPr>
                <w:sz w:val="20"/>
                <w:szCs w:val="20"/>
                <w:color w:val="auto"/>
              </w:rPr>
            </w:pPr>
            <w:r>
              <w:rPr>
                <w:rFonts w:ascii="Arial" w:cs="Arial" w:eastAsia="Arial" w:hAnsi="Arial"/>
                <w:sz w:val="14"/>
                <w:szCs w:val="14"/>
                <w:color w:val="auto"/>
                <w:w w:val="89"/>
              </w:rPr>
              <w:t>Foreign currency forward contracts designated as hedges</w:t>
            </w:r>
          </w:p>
        </w:tc>
        <w:tc>
          <w:tcPr>
            <w:tcW w:w="520" w:type="dxa"/>
            <w:vAlign w:val="bottom"/>
          </w:tcPr>
          <w:p>
            <w:pPr>
              <w:spacing w:after="0"/>
              <w:rPr>
                <w:sz w:val="15"/>
                <w:szCs w:val="15"/>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Arial" w:cs="Arial" w:eastAsia="Arial" w:hAnsi="Arial"/>
                <w:sz w:val="14"/>
                <w:szCs w:val="14"/>
                <w:color w:val="auto"/>
              </w:rPr>
              <w:t>Other current assets</w:t>
            </w: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73"/>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6"/>
              </w:rPr>
              <w:t>Foreign currency forward contracts not designated as</w:t>
            </w:r>
          </w:p>
        </w:tc>
        <w:tc>
          <w:tcPr>
            <w:tcW w:w="5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r>
      <w:tr>
        <w:trPr>
          <w:trHeight w:val="19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hedges</w:t>
            </w: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recurring fair value measurements</w:t>
            </w:r>
          </w:p>
        </w:tc>
        <w:tc>
          <w:tcPr>
            <w:tcW w:w="5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4,121</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4,107</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r>
      <w:tr>
        <w:trPr>
          <w:trHeight w:val="201"/>
        </w:trPr>
        <w:tc>
          <w:tcPr>
            <w:tcW w:w="3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r>
      <w:tr>
        <w:trPr>
          <w:trHeight w:val="183"/>
        </w:trPr>
        <w:tc>
          <w:tcPr>
            <w:tcW w:w="3340" w:type="dxa"/>
            <w:vAlign w:val="bottom"/>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21"/>
        </w:trPr>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183"/>
        </w:trPr>
        <w:tc>
          <w:tcPr>
            <w:tcW w:w="33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89"/>
              </w:rPr>
              <w:t>Foreign currency forward contracts designated as hedges</w:t>
            </w:r>
          </w:p>
        </w:tc>
        <w:tc>
          <w:tcPr>
            <w:tcW w:w="520" w:type="dxa"/>
            <w:vAlign w:val="bottom"/>
            <w:shd w:val="clear" w:color="auto" w:fill="CCEEFF"/>
          </w:tcPr>
          <w:p>
            <w:pPr>
              <w:jc w:val="right"/>
              <w:ind w:right="374"/>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 liabilities</w:t>
            </w:r>
          </w:p>
        </w:tc>
      </w:tr>
      <w:tr>
        <w:trPr>
          <w:trHeight w:val="21"/>
        </w:trPr>
        <w:tc>
          <w:tcPr>
            <w:tcW w:w="33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Forward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Forward Contracts Designated as Hedges (“Cash Flow Hedges”)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total gross notional amounts and fair values of our Cash Flow Hedges are as follows (amounts in millions):</w:t>
      </w:r>
    </w:p>
    <w:p>
      <w:pPr>
        <w:sectPr>
          <w:pgSz w:w="11900" w:h="16838" w:orient="portrait"/>
          <w:cols w:equalWidth="0" w:num="1">
            <w:col w:w="11460"/>
          </w:cols>
          <w:pgMar w:left="220" w:top="129" w:right="219" w:bottom="1440" w:gutter="0" w:footer="0" w:header="0"/>
        </w:sectPr>
      </w:pPr>
    </w:p>
    <w:p>
      <w:pPr>
        <w:spacing w:after="0" w:line="299" w:lineRule="exact"/>
        <w:rPr>
          <w:sz w:val="20"/>
          <w:szCs w:val="20"/>
          <w:color w:val="auto"/>
        </w:rPr>
      </w:pPr>
    </w:p>
    <w:p>
      <w:pPr>
        <w:ind w:left="4860"/>
        <w:spacing w:after="0"/>
        <w:rPr>
          <w:sz w:val="20"/>
          <w:szCs w:val="20"/>
          <w:color w:val="auto"/>
        </w:rPr>
      </w:pPr>
      <w:r>
        <w:rPr>
          <w:rFonts w:ascii="Arial" w:cs="Arial" w:eastAsia="Arial" w:hAnsi="Arial"/>
          <w:sz w:val="12"/>
          <w:szCs w:val="12"/>
          <w:b w:val="1"/>
          <w:bCs w:val="1"/>
          <w:color w:val="auto"/>
        </w:rPr>
        <w:t>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29845</wp:posOffset>
            </wp:positionV>
            <wp:extent cx="248094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Arial" w:cs="Arial" w:eastAsia="Arial" w:hAnsi="Arial"/>
          <w:sz w:val="12"/>
          <w:szCs w:val="12"/>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7279640" cy="136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640" cy="13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29845</wp:posOffset>
            </wp:positionV>
            <wp:extent cx="246761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Arial" w:cs="Arial" w:eastAsia="Arial" w:hAnsi="Arial"/>
          <w:sz w:val="12"/>
          <w:szCs w:val="12"/>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65" w:lineRule="exact"/>
        <w:rPr>
          <w:sz w:val="20"/>
          <w:szCs w:val="20"/>
          <w:color w:val="auto"/>
        </w:rPr>
      </w:pPr>
    </w:p>
    <w:p>
      <w:pPr>
        <w:sectPr>
          <w:pgSz w:w="11900" w:h="16838" w:orient="portrait"/>
          <w:cols w:equalWidth="0" w:num="2">
            <w:col w:w="7400" w:space="720"/>
            <w:col w:w="3340"/>
          </w:cols>
          <w:pgMar w:left="220" w:top="129" w:right="21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Foreign Currency:</w:t>
      </w:r>
    </w:p>
    <w:p>
      <w:pPr>
        <w:spacing w:after="0" w:line="46" w:lineRule="exact"/>
        <w:rPr>
          <w:sz w:val="20"/>
          <w:szCs w:val="20"/>
          <w:color w:val="auto"/>
        </w:rPr>
      </w:pPr>
    </w:p>
    <w:p>
      <w:pPr>
        <w:ind w:left="20"/>
        <w:spacing w:after="0"/>
        <w:tabs>
          <w:tab w:leader="none" w:pos="3560" w:val="left"/>
          <w:tab w:leader="none" w:pos="5180" w:val="left"/>
          <w:tab w:leader="none" w:pos="5520" w:val="left"/>
          <w:tab w:leader="none" w:pos="7200" w:val="left"/>
          <w:tab w:leader="none" w:pos="7580" w:val="left"/>
          <w:tab w:leader="none" w:pos="9180" w:val="left"/>
          <w:tab w:leader="none" w:pos="9520" w:val="left"/>
          <w:tab w:leader="none" w:pos="11200" w:val="left"/>
        </w:tabs>
        <w:rPr>
          <w:sz w:val="20"/>
          <w:szCs w:val="20"/>
          <w:color w:val="auto"/>
        </w:rPr>
      </w:pPr>
      <w:r>
        <w:rPr>
          <w:rFonts w:ascii="Arial" w:cs="Arial" w:eastAsia="Arial" w:hAnsi="Arial"/>
          <w:sz w:val="14"/>
          <w:szCs w:val="14"/>
          <w:color w:val="auto"/>
        </w:rPr>
        <w:t>Buy USD, Sell Euro</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310</w:t>
        <w:tab/>
        <w:t>$</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723</w:t>
        <w:tab/>
        <w:t>$</w:t>
      </w:r>
      <w:r>
        <w:rPr>
          <w:sz w:val="20"/>
          <w:szCs w:val="20"/>
          <w:color w:val="auto"/>
        </w:rPr>
        <w:tab/>
      </w:r>
      <w:r>
        <w:rPr>
          <w:rFonts w:ascii="Arial" w:cs="Arial" w:eastAsia="Arial" w:hAnsi="Arial"/>
          <w:sz w:val="12"/>
          <w:szCs w:val="12"/>
          <w:color w:val="auto"/>
        </w:rPr>
        <w:t>12</w:t>
      </w:r>
    </w:p>
    <w:p>
      <w:pPr>
        <w:spacing w:after="0" w:line="350" w:lineRule="exact"/>
        <w:rPr>
          <w:sz w:val="20"/>
          <w:szCs w:val="20"/>
          <w:color w:val="auto"/>
        </w:rPr>
      </w:pPr>
    </w:p>
    <w:p>
      <w:pPr>
        <w:ind w:firstLine="245"/>
        <w:spacing w:after="0" w:line="253" w:lineRule="auto"/>
        <w:rPr>
          <w:sz w:val="20"/>
          <w:szCs w:val="20"/>
          <w:color w:val="auto"/>
        </w:rPr>
      </w:pPr>
      <w:r>
        <w:rPr>
          <w:rFonts w:ascii="Arial" w:cs="Arial" w:eastAsia="Arial" w:hAnsi="Arial"/>
          <w:sz w:val="14"/>
          <w:szCs w:val="14"/>
          <w:color w:val="auto"/>
        </w:rPr>
        <w:t>At September 30, 2019, our Cash Flow Hedges have remaining maturities of three months or less. Additionally, $2 million of net realized but unrecognized gains are recorded within “Accumulated other comprehensive income (loss)” at September 30, 2019 for Cash Flow Hedges that had settled but were deferred and will be amortized into earnings, along with the associated hedged revenues. Such amounts will be reclassified into earnings within the next 12 months.</w:t>
      </w:r>
    </w:p>
    <w:p>
      <w:pPr>
        <w:spacing w:after="0" w:line="145" w:lineRule="exact"/>
        <w:rPr>
          <w:sz w:val="20"/>
          <w:szCs w:val="20"/>
          <w:color w:val="auto"/>
        </w:rPr>
      </w:pPr>
    </w:p>
    <w:p>
      <w:pPr>
        <w:ind w:right="220" w:firstLine="245"/>
        <w:spacing w:after="0" w:line="262" w:lineRule="auto"/>
        <w:rPr>
          <w:sz w:val="20"/>
          <w:szCs w:val="20"/>
          <w:color w:val="auto"/>
        </w:rPr>
      </w:pPr>
      <w:r>
        <w:rPr>
          <w:rFonts w:ascii="Arial" w:cs="Arial" w:eastAsia="Arial" w:hAnsi="Arial"/>
          <w:sz w:val="14"/>
          <w:szCs w:val="14"/>
          <w:color w:val="auto"/>
        </w:rPr>
        <w:t>The amount of pre-tax net realized gains (losses) associated with our Cash Flow Hedges that were reclassified out of “Accumulated other comprehensive income (loss)” and into earnings was as follows (amounts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300" w:type="dxa"/>
            <w:vAlign w:val="bottom"/>
          </w:tcPr>
          <w:p>
            <w:pPr>
              <w:spacing w:after="0"/>
              <w:rPr>
                <w:sz w:val="13"/>
                <w:szCs w:val="13"/>
                <w:color w:val="auto"/>
              </w:rPr>
            </w:pPr>
          </w:p>
        </w:tc>
        <w:tc>
          <w:tcPr>
            <w:tcW w:w="292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For the Three Months Ended September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For the Nine Months Ended September 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25"/>
        </w:trPr>
        <w:tc>
          <w:tcPr>
            <w:tcW w:w="23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159"/>
        </w:trPr>
        <w:tc>
          <w:tcPr>
            <w:tcW w:w="2300" w:type="dxa"/>
            <w:vAlign w:val="bottom"/>
          </w:tcPr>
          <w:p>
            <w:pPr>
              <w:spacing w:after="0"/>
              <w:rPr>
                <w:sz w:val="13"/>
                <w:szCs w:val="13"/>
                <w:color w:val="auto"/>
              </w:rPr>
            </w:pPr>
          </w:p>
        </w:tc>
        <w:tc>
          <w:tcPr>
            <w:tcW w:w="1180" w:type="dxa"/>
            <w:vAlign w:val="bottom"/>
          </w:tcPr>
          <w:p>
            <w:pPr>
              <w:jc w:val="right"/>
              <w:ind w:right="176"/>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3"/>
                <w:szCs w:val="13"/>
                <w:color w:val="auto"/>
              </w:rPr>
            </w:pPr>
          </w:p>
        </w:tc>
        <w:tc>
          <w:tcPr>
            <w:tcW w:w="1340" w:type="dxa"/>
            <w:vAlign w:val="bottom"/>
          </w:tcPr>
          <w:p>
            <w:pPr>
              <w:jc w:val="right"/>
              <w:ind w:right="295"/>
              <w:spacing w:after="0"/>
              <w:rPr>
                <w:sz w:val="20"/>
                <w:szCs w:val="20"/>
                <w:color w:val="auto"/>
              </w:rPr>
            </w:pPr>
            <w:r>
              <w:rPr>
                <w:rFonts w:ascii="Arial" w:cs="Arial" w:eastAsia="Arial" w:hAnsi="Arial"/>
                <w:sz w:val="12"/>
                <w:szCs w:val="12"/>
                <w:b w:val="1"/>
                <w:bCs w:val="1"/>
                <w:color w:val="auto"/>
              </w:rPr>
              <w:t>2018</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156"/>
              <w:spacing w:after="0"/>
              <w:rPr>
                <w:sz w:val="20"/>
                <w:szCs w:val="20"/>
                <w:color w:val="auto"/>
              </w:rPr>
            </w:pPr>
            <w:r>
              <w:rPr>
                <w:rFonts w:ascii="Arial" w:cs="Arial" w:eastAsia="Arial" w:hAnsi="Arial"/>
                <w:sz w:val="12"/>
                <w:szCs w:val="12"/>
                <w:b w:val="1"/>
                <w:bCs w:val="1"/>
                <w:color w:val="auto"/>
              </w:rPr>
              <w:t>2019</w:t>
            </w:r>
          </w:p>
        </w:tc>
        <w:tc>
          <w:tcPr>
            <w:tcW w:w="4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Arial" w:cs="Arial" w:eastAsia="Arial" w:hAnsi="Arial"/>
                <w:sz w:val="12"/>
                <w:szCs w:val="12"/>
                <w:b w:val="1"/>
                <w:bCs w:val="1"/>
                <w:color w:val="auto"/>
              </w:rPr>
              <w:t>2018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2"/>
                <w:szCs w:val="12"/>
                <w:b w:val="1"/>
                <w:bCs w:val="1"/>
                <w:color w:val="auto"/>
                <w:w w:val="91"/>
              </w:rPr>
              <w:t>Statement of Operations Classification</w:t>
            </w:r>
          </w:p>
        </w:tc>
      </w:tr>
      <w:tr>
        <w:trPr>
          <w:trHeight w:val="25"/>
        </w:trPr>
        <w:tc>
          <w:tcPr>
            <w:tcW w:w="23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173"/>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180" w:type="dxa"/>
            <w:vAlign w:val="bottom"/>
            <w:shd w:val="clear" w:color="auto" w:fill="CCEEFF"/>
          </w:tcPr>
          <w:p>
            <w:pPr>
              <w:jc w:val="right"/>
              <w:ind w:right="1016"/>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w:t>
            </w:r>
          </w:p>
        </w:tc>
        <w:tc>
          <w:tcPr>
            <w:tcW w:w="1340" w:type="dxa"/>
            <w:vAlign w:val="bottom"/>
            <w:shd w:val="clear" w:color="auto" w:fill="CCEEFF"/>
          </w:tcPr>
          <w:p>
            <w:pPr>
              <w:jc w:val="right"/>
              <w:ind w:right="1135"/>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976"/>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60" w:type="dxa"/>
            <w:vAlign w:val="bottom"/>
            <w:shd w:val="clear" w:color="auto" w:fill="CCEEFF"/>
          </w:tcPr>
          <w:p>
            <w:pPr>
              <w:jc w:val="right"/>
              <w:ind w:right="1055"/>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4"/>
              </w:rPr>
              <w:t>Net revenues</w:t>
            </w:r>
          </w:p>
        </w:tc>
      </w:tr>
      <w:tr>
        <w:trPr>
          <w:trHeight w:val="21"/>
        </w:trPr>
        <w:tc>
          <w:tcPr>
            <w:tcW w:w="23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60"/>
          </w:cols>
          <w:pgMar w:left="220" w:top="129" w:right="21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Forward Contracts Not Designated as Hedges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gross notional amounts and fair values of our foreign currency forward contracts not designated as hedges are as follows (amounts in millions):</w:t>
      </w:r>
    </w:p>
    <w:p>
      <w:pPr>
        <w:sectPr>
          <w:pgSz w:w="11900" w:h="16838" w:orient="portrait"/>
          <w:cols w:equalWidth="0" w:num="1">
            <w:col w:w="11460"/>
          </w:cols>
          <w:pgMar w:left="220" w:top="129" w:right="219" w:bottom="1440" w:gutter="0" w:footer="0" w:header="0"/>
        </w:sectPr>
      </w:pPr>
    </w:p>
    <w:p>
      <w:pPr>
        <w:spacing w:after="0" w:line="158" w:lineRule="exact"/>
        <w:rPr>
          <w:sz w:val="20"/>
          <w:szCs w:val="20"/>
          <w:color w:val="auto"/>
        </w:rPr>
      </w:pPr>
    </w:p>
    <w:p>
      <w:pPr>
        <w:ind w:left="4860"/>
        <w:spacing w:after="0"/>
        <w:rPr>
          <w:sz w:val="20"/>
          <w:szCs w:val="20"/>
          <w:color w:val="auto"/>
        </w:rPr>
      </w:pPr>
      <w:r>
        <w:rPr>
          <w:rFonts w:ascii="Arial" w:cs="Arial" w:eastAsia="Arial" w:hAnsi="Arial"/>
          <w:sz w:val="12"/>
          <w:szCs w:val="12"/>
          <w:b w:val="1"/>
          <w:bCs w:val="1"/>
          <w:color w:val="auto"/>
        </w:rPr>
        <w:t>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29845</wp:posOffset>
            </wp:positionV>
            <wp:extent cx="248094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Arial" w:cs="Arial" w:eastAsia="Arial" w:hAnsi="Arial"/>
          <w:sz w:val="12"/>
          <w:szCs w:val="12"/>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29845</wp:posOffset>
            </wp:positionV>
            <wp:extent cx="246761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Arial" w:cs="Arial" w:eastAsia="Arial" w:hAnsi="Arial"/>
          <w:sz w:val="12"/>
          <w:szCs w:val="12"/>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27" w:lineRule="exact"/>
        <w:rPr>
          <w:sz w:val="20"/>
          <w:szCs w:val="20"/>
          <w:color w:val="auto"/>
        </w:rPr>
      </w:pPr>
    </w:p>
    <w:p>
      <w:pPr>
        <w:sectPr>
          <w:pgSz w:w="11900" w:h="16838" w:orient="portrait"/>
          <w:cols w:equalWidth="0" w:num="2">
            <w:col w:w="7400" w:space="720"/>
            <w:col w:w="3340"/>
          </w:cols>
          <w:pgMar w:left="220" w:top="129" w:right="21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Foreign Currency:</w:t>
            </w:r>
          </w:p>
        </w:tc>
        <w:tc>
          <w:tcPr>
            <w:tcW w:w="9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color w:val="auto"/>
              </w:rPr>
              <w:t>Buy USD, Sell EUR</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94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1940" w:type="dxa"/>
            <w:vAlign w:val="bottom"/>
          </w:tcPr>
          <w:p>
            <w:pPr>
              <w:ind w:left="800"/>
              <w:spacing w:after="0"/>
              <w:rPr>
                <w:sz w:val="20"/>
                <w:szCs w:val="20"/>
                <w:color w:val="auto"/>
              </w:rPr>
            </w:pPr>
            <w:r>
              <w:rPr>
                <w:rFonts w:ascii="Arial" w:cs="Arial" w:eastAsia="Arial" w:hAnsi="Arial"/>
                <w:sz w:val="14"/>
                <w:szCs w:val="14"/>
                <w:color w:val="auto"/>
              </w:rPr>
              <w:t>—  $</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Buy EUR, Sell USD</w:t>
            </w:r>
          </w:p>
        </w:tc>
        <w:tc>
          <w:tcPr>
            <w:tcW w:w="9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color w:val="auto"/>
              </w:rPr>
              <w:t>Buy USD, Sell SEK</w:t>
            </w:r>
          </w:p>
        </w:tc>
        <w:tc>
          <w:tcPr>
            <w:tcW w:w="9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94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Buy SEK, Sell USD</w:t>
            </w:r>
          </w:p>
        </w:tc>
        <w:tc>
          <w:tcPr>
            <w:tcW w:w="9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color w:val="auto"/>
              </w:rPr>
              <w:t>Buy USD, Sell GBP</w:t>
            </w:r>
          </w:p>
        </w:tc>
        <w:tc>
          <w:tcPr>
            <w:tcW w:w="9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94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Arial" w:cs="Arial" w:eastAsia="Arial" w:hAnsi="Arial"/>
                <w:sz w:val="14"/>
                <w:szCs w:val="14"/>
                <w:color w:val="auto"/>
              </w:rPr>
              <w:t>55</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21"/>
        </w:trPr>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 GBP, Sell USD</w:t>
            </w:r>
          </w:p>
        </w:tc>
        <w:tc>
          <w:tcPr>
            <w:tcW w:w="9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9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19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35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317" w:lineRule="exact"/>
        <w:rPr>
          <w:sz w:val="20"/>
          <w:szCs w:val="20"/>
          <w:color w:val="auto"/>
        </w:rPr>
      </w:pPr>
    </w:p>
    <w:p>
      <w:pPr>
        <w:jc w:val="both"/>
        <w:ind w:right="100" w:firstLine="245"/>
        <w:spacing w:after="0" w:line="262" w:lineRule="auto"/>
        <w:rPr>
          <w:sz w:val="20"/>
          <w:szCs w:val="20"/>
          <w:color w:val="auto"/>
        </w:rPr>
      </w:pPr>
      <w:r>
        <w:rPr>
          <w:rFonts w:ascii="Arial" w:cs="Arial" w:eastAsia="Arial" w:hAnsi="Arial"/>
          <w:sz w:val="14"/>
          <w:szCs w:val="14"/>
          <w:color w:val="auto"/>
        </w:rPr>
        <w:t>For the three and nine months ended September 30, 2019 and 2018, pre-tax net gains (losses) associated with these forward contracts were recorded in “General and administrative expenses” and were not material.</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 on a Non-Recurring Basis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We measure the fair value of certain assets on a non-recurring basis, generally annually or when events or changes in circumstances indicate that the carrying amount of the assets may not be recoverable.</w:t>
      </w:r>
    </w:p>
    <w:p>
      <w:pPr>
        <w:spacing w:after="0" w:line="189" w:lineRule="exact"/>
        <w:rPr>
          <w:sz w:val="20"/>
          <w:szCs w:val="20"/>
          <w:color w:val="auto"/>
        </w:rPr>
      </w:pPr>
    </w:p>
    <w:p>
      <w:pPr>
        <w:ind w:right="100" w:firstLine="245"/>
        <w:spacing w:after="0" w:line="305" w:lineRule="auto"/>
        <w:rPr>
          <w:sz w:val="20"/>
          <w:szCs w:val="20"/>
          <w:color w:val="auto"/>
        </w:rPr>
      </w:pPr>
      <w:r>
        <w:rPr>
          <w:rFonts w:ascii="Arial" w:cs="Arial" w:eastAsia="Arial" w:hAnsi="Arial"/>
          <w:sz w:val="12"/>
          <w:szCs w:val="12"/>
          <w:color w:val="auto"/>
        </w:rPr>
        <w:t>During the three months ended June 30, 2019, we recorded an upward adjustment of $38 million to an investment in equity securities, which has been historically recorded at cost, based on an observable and orderly transaction in the common stock of the investee. We recognized a corresponding unrealized gain within “Interest and other expense (income), net” in our condensed consolidated statement of operations. As of September 30, 2019, the carrying value of the investment is $42 million and is recorded in “Other assets” on our condensed consolidated balance sheet. We classify this investment as Level 3 in the fair value hierarchy as we estimated the value based on valuation methods using the observable transaction price in a market with limited activity.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the three and nine months ended September 30, 2019 and 2018, there were no impairment charges related to assets that are measured on a non-recurring basis.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Deferred revenues</w:t>
      </w:r>
    </w:p>
    <w:p>
      <w:pPr>
        <w:spacing w:after="0" w:line="199" w:lineRule="exact"/>
        <w:rPr>
          <w:sz w:val="20"/>
          <w:szCs w:val="20"/>
          <w:color w:val="auto"/>
        </w:rPr>
      </w:pPr>
    </w:p>
    <w:p>
      <w:pPr>
        <w:ind w:firstLine="245"/>
        <w:spacing w:after="0" w:line="247" w:lineRule="auto"/>
        <w:rPr>
          <w:sz w:val="20"/>
          <w:szCs w:val="20"/>
          <w:color w:val="auto"/>
        </w:rPr>
      </w:pPr>
      <w:r>
        <w:rPr>
          <w:rFonts w:ascii="Arial" w:cs="Arial" w:eastAsia="Arial" w:hAnsi="Arial"/>
          <w:sz w:val="14"/>
          <w:szCs w:val="14"/>
          <w:color w:val="auto"/>
        </w:rPr>
        <w:t>We record deferred revenues when cash payments are received or due in advance of the fulfillment of our associated performance obligations. The opening balance of deferred revenues as of January 1, 2019 and the ending balance as of September 30, 2019, were $1.6 billion and $0.8 billion, respectively, including our current and non-current balances. For the nine months ended September 30, 2019,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both of which were in the ordinary course of business. During the three and nine months ended September 30, 2019, $0.1 billion and $1.4 billion of revenues, respectively, were recognized that were included in the deferred revenues balance at December 31, 2018. During the three and nine months ended September 30, 2018, $0.1 billion and $1.6 billion of revenues, respectively, were recognized that were included in the deferred revenues balance at January 1, 2018, as adjusted for the adoption of the new revenue standard in the prior year.</w:t>
      </w:r>
    </w:p>
    <w:p>
      <w:pPr>
        <w:spacing w:after="0" w:line="149" w:lineRule="exact"/>
        <w:rPr>
          <w:sz w:val="20"/>
          <w:szCs w:val="20"/>
          <w:color w:val="auto"/>
        </w:rPr>
      </w:pPr>
    </w:p>
    <w:p>
      <w:pPr>
        <w:ind w:right="140" w:firstLine="245"/>
        <w:spacing w:after="0" w:line="315" w:lineRule="auto"/>
        <w:rPr>
          <w:sz w:val="20"/>
          <w:szCs w:val="20"/>
          <w:color w:val="auto"/>
        </w:rPr>
      </w:pPr>
      <w:r>
        <w:rPr>
          <w:rFonts w:ascii="Arial" w:cs="Arial" w:eastAsia="Arial" w:hAnsi="Arial"/>
          <w:sz w:val="12"/>
          <w:szCs w:val="12"/>
          <w:color w:val="auto"/>
        </w:rPr>
        <w:t>As of September 30, 2019, the aggregate amount of contracted revenues allocated to our unsatisfied performance obligations is $2.5 billion, which includes our deferred revenues balances and amounts to be invoiced and recognized as revenue in future periods. We expect to recognize approximately $1.4 billion over the next 12 months, $0.4 billion in the subsequent 12-month period, and the remainder thereafter. This balance does not include an estimate for variable consideration arising from sales-based royalty license revenue in excess of the contractual minimum guarantee.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60"/>
          </w:cols>
          <w:pgMar w:left="220" w:top="129" w:right="21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Leases</w:t>
      </w:r>
    </w:p>
    <w:p>
      <w:pPr>
        <w:spacing w:after="0" w:line="199" w:lineRule="exact"/>
        <w:rPr>
          <w:sz w:val="20"/>
          <w:szCs w:val="20"/>
          <w:color w:val="auto"/>
        </w:rPr>
      </w:pPr>
    </w:p>
    <w:p>
      <w:pPr>
        <w:jc w:val="both"/>
        <w:ind w:right="100" w:firstLine="245"/>
        <w:spacing w:after="0" w:line="315" w:lineRule="auto"/>
        <w:rPr>
          <w:sz w:val="20"/>
          <w:szCs w:val="20"/>
          <w:color w:val="auto"/>
        </w:rPr>
      </w:pPr>
      <w:r>
        <w:rPr>
          <w:rFonts w:ascii="Arial" w:cs="Arial" w:eastAsia="Arial" w:hAnsi="Arial"/>
          <w:sz w:val="12"/>
          <w:szCs w:val="12"/>
          <w:color w:val="auto"/>
        </w:rPr>
        <w:t>Our lease arrangements are primarily for: (1) corporate, administrative, and development studio offices; (2) data centers and server equipment; and (3) live event production equipment. Our existing leases have remaining lease terms ranging from one year to 10 years. In certain instances, such leases include one or more options to renew, with renewal terms that generally extend the lease term by one year to five years for each option. The exercise of lease renewal options is generally at our sole discretion. Additionally, the majority of our leases are classified as operating leases; our financing leases are not material.</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Components of our lease costs are as follows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Pr>
          <w:p>
            <w:pPr>
              <w:spacing w:after="0"/>
              <w:rPr>
                <w:sz w:val="14"/>
                <w:szCs w:val="14"/>
                <w:color w:val="auto"/>
              </w:rPr>
            </w:pPr>
          </w:p>
        </w:tc>
        <w:tc>
          <w:tcPr>
            <w:tcW w:w="2160" w:type="dxa"/>
            <w:vAlign w:val="bottom"/>
          </w:tcPr>
          <w:p>
            <w:pPr>
              <w:jc w:val="right"/>
              <w:ind w:right="52"/>
              <w:spacing w:after="0"/>
              <w:rPr>
                <w:sz w:val="20"/>
                <w:szCs w:val="20"/>
                <w:color w:val="auto"/>
              </w:rPr>
            </w:pPr>
            <w:r>
              <w:rPr>
                <w:rFonts w:ascii="Arial" w:cs="Arial" w:eastAsia="Arial" w:hAnsi="Arial"/>
                <w:sz w:val="14"/>
                <w:szCs w:val="14"/>
                <w:b w:val="1"/>
                <w:bCs w:val="1"/>
                <w:color w:val="auto"/>
                <w:w w:val="87"/>
              </w:rPr>
              <w:t>Nine Months Ended September 30,</w:t>
            </w:r>
          </w:p>
        </w:tc>
      </w:tr>
      <w:tr>
        <w:trPr>
          <w:trHeight w:val="175"/>
        </w:trPr>
        <w:tc>
          <w:tcPr>
            <w:tcW w:w="6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jc w:val="right"/>
              <w:ind w:right="9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jc w:val="right"/>
              <w:ind w:right="932"/>
              <w:spacing w:after="0"/>
              <w:rPr>
                <w:sz w:val="20"/>
                <w:szCs w:val="20"/>
                <w:color w:val="auto"/>
              </w:rPr>
            </w:pPr>
            <w:r>
              <w:rPr>
                <w:rFonts w:ascii="Arial" w:cs="Arial" w:eastAsia="Arial" w:hAnsi="Arial"/>
                <w:sz w:val="14"/>
                <w:szCs w:val="14"/>
                <w:b w:val="1"/>
                <w:bCs w:val="1"/>
                <w:color w:val="auto"/>
              </w:rPr>
              <w:t>2019</w:t>
            </w:r>
          </w:p>
        </w:tc>
      </w:tr>
      <w:tr>
        <w:trPr>
          <w:trHeight w:val="21"/>
        </w:trPr>
        <w:tc>
          <w:tcPr>
            <w:tcW w:w="6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leases</w:t>
            </w:r>
          </w:p>
        </w:tc>
        <w:tc>
          <w:tcPr>
            <w:tcW w:w="80" w:type="dxa"/>
            <w:vAlign w:val="bottom"/>
            <w:tcBorders>
              <w:bottom w:val="single" w:sz="8" w:color="CCEEFF"/>
            </w:tcBorders>
            <w:shd w:val="clear" w:color="auto" w:fill="CCEEFF"/>
          </w:tcPr>
          <w:p>
            <w:pPr>
              <w:spacing w:after="0"/>
              <w:rPr>
                <w:sz w:val="15"/>
                <w:szCs w:val="15"/>
                <w:color w:val="auto"/>
              </w:rPr>
            </w:pPr>
          </w:p>
        </w:tc>
        <w:tc>
          <w:tcPr>
            <w:tcW w:w="2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160" w:type="dxa"/>
            <w:vAlign w:val="bottom"/>
            <w:tcBorders>
              <w:bottom w:val="single" w:sz="8" w:color="CCEEFF"/>
            </w:tcBorders>
            <w:shd w:val="clear" w:color="auto" w:fill="CCEEFF"/>
          </w:tcPr>
          <w:p>
            <w:pPr>
              <w:spacing w:after="0"/>
              <w:rPr>
                <w:sz w:val="15"/>
                <w:szCs w:val="15"/>
                <w:color w:val="auto"/>
              </w:rPr>
            </w:pPr>
          </w:p>
        </w:tc>
      </w:tr>
      <w:tr>
        <w:trPr>
          <w:trHeight w:val="183"/>
        </w:trPr>
        <w:tc>
          <w:tcPr>
            <w:tcW w:w="6780" w:type="dxa"/>
            <w:vAlign w:val="bottom"/>
          </w:tcPr>
          <w:p>
            <w:pPr>
              <w:ind w:left="120"/>
              <w:spacing w:after="0"/>
              <w:rPr>
                <w:sz w:val="20"/>
                <w:szCs w:val="20"/>
                <w:color w:val="auto"/>
              </w:rPr>
            </w:pPr>
            <w:r>
              <w:rPr>
                <w:rFonts w:ascii="Arial" w:cs="Arial" w:eastAsia="Arial" w:hAnsi="Arial"/>
                <w:sz w:val="14"/>
                <w:szCs w:val="14"/>
                <w:color w:val="auto"/>
              </w:rPr>
              <w:t>Operating lease costs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20" w:type="dxa"/>
            <w:vAlign w:val="bottom"/>
          </w:tcPr>
          <w:p>
            <w:pPr>
              <w:jc w:val="right"/>
              <w:ind w:right="52"/>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32"/>
              <w:spacing w:after="0"/>
              <w:rPr>
                <w:sz w:val="20"/>
                <w:szCs w:val="20"/>
                <w:color w:val="auto"/>
              </w:rPr>
            </w:pPr>
            <w:r>
              <w:rPr>
                <w:rFonts w:ascii="Arial" w:cs="Arial" w:eastAsia="Arial" w:hAnsi="Arial"/>
                <w:sz w:val="14"/>
                <w:szCs w:val="14"/>
                <w:color w:val="auto"/>
              </w:rPr>
              <w:t>58</w:t>
            </w:r>
          </w:p>
        </w:tc>
      </w:tr>
      <w:tr>
        <w:trPr>
          <w:trHeight w:val="21"/>
        </w:trPr>
        <w:tc>
          <w:tcPr>
            <w:tcW w:w="6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5"/>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Variable lease costs</w:t>
            </w:r>
          </w:p>
        </w:tc>
        <w:tc>
          <w:tcPr>
            <w:tcW w:w="8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w:t>
            </w:r>
          </w:p>
        </w:tc>
      </w:tr>
      <w:tr>
        <w:trPr>
          <w:trHeight w:val="326"/>
        </w:trPr>
        <w:tc>
          <w:tcPr>
            <w:tcW w:w="6780" w:type="dxa"/>
            <w:vAlign w:val="bottom"/>
          </w:tcPr>
          <w:p>
            <w:pPr>
              <w:ind w:left="240"/>
              <w:spacing w:after="0"/>
              <w:rPr>
                <w:sz w:val="20"/>
                <w:szCs w:val="20"/>
                <w:color w:val="auto"/>
              </w:rPr>
            </w:pPr>
            <w:r>
              <w:rPr>
                <w:rFonts w:ascii="Arial" w:cs="Arial" w:eastAsia="Arial" w:hAnsi="Arial"/>
                <w:sz w:val="14"/>
                <w:szCs w:val="14"/>
                <w:color w:val="auto"/>
              </w:rPr>
              <w:t>Supplemental information related to our operating leases is as follows (amounts in millions):</w:t>
            </w: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jc w:val="right"/>
              <w:ind w:right="72"/>
              <w:spacing w:after="0"/>
              <w:rPr>
                <w:sz w:val="20"/>
                <w:szCs w:val="20"/>
                <w:color w:val="auto"/>
              </w:rPr>
            </w:pPr>
            <w:r>
              <w:rPr>
                <w:rFonts w:ascii="Arial" w:cs="Arial" w:eastAsia="Arial" w:hAnsi="Arial"/>
                <w:sz w:val="14"/>
                <w:szCs w:val="14"/>
                <w:b w:val="1"/>
                <w:bCs w:val="1"/>
                <w:color w:val="auto"/>
                <w:w w:val="88"/>
              </w:rPr>
              <w:t>Nine Months Ended September 30,</w:t>
            </w:r>
          </w:p>
        </w:tc>
      </w:tr>
      <w:tr>
        <w:trPr>
          <w:trHeight w:val="175"/>
        </w:trPr>
        <w:tc>
          <w:tcPr>
            <w:tcW w:w="9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jc w:val="right"/>
              <w:ind w:right="952"/>
              <w:spacing w:after="0"/>
              <w:rPr>
                <w:sz w:val="20"/>
                <w:szCs w:val="20"/>
                <w:color w:val="auto"/>
              </w:rPr>
            </w:pPr>
            <w:r>
              <w:rPr>
                <w:rFonts w:ascii="Arial" w:cs="Arial" w:eastAsia="Arial" w:hAnsi="Arial"/>
                <w:sz w:val="14"/>
                <w:szCs w:val="14"/>
                <w:b w:val="1"/>
                <w:bCs w:val="1"/>
                <w:color w:val="auto"/>
              </w:rPr>
              <w:t>2019</w:t>
            </w:r>
          </w:p>
        </w:tc>
      </w:tr>
      <w:tr>
        <w:trPr>
          <w:trHeight w:val="21"/>
        </w:trPr>
        <w:tc>
          <w:tcPr>
            <w:tcW w:w="9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75"/>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Operating Cash Flows Information</w:t>
            </w:r>
          </w:p>
        </w:tc>
        <w:tc>
          <w:tcPr>
            <w:tcW w:w="10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r>
      <w:tr>
        <w:trPr>
          <w:trHeight w:val="183"/>
        </w:trPr>
        <w:tc>
          <w:tcPr>
            <w:tcW w:w="9160" w:type="dxa"/>
            <w:vAlign w:val="bottom"/>
          </w:tcPr>
          <w:p>
            <w:pPr>
              <w:ind w:left="1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0" w:type="dxa"/>
            <w:vAlign w:val="bottom"/>
          </w:tcPr>
          <w:p>
            <w:pPr>
              <w:jc w:val="right"/>
              <w:ind w:right="72"/>
              <w:spacing w:after="0"/>
              <w:rPr>
                <w:sz w:val="20"/>
                <w:szCs w:val="20"/>
                <w:color w:val="auto"/>
              </w:rPr>
            </w:pPr>
            <w:r>
              <w:rPr>
                <w:rFonts w:ascii="Arial" w:cs="Arial" w:eastAsia="Arial" w:hAnsi="Arial"/>
                <w:sz w:val="14"/>
                <w:szCs w:val="14"/>
                <w:color w:val="auto"/>
              </w:rPr>
              <w:t>61</w:t>
            </w:r>
          </w:p>
        </w:tc>
      </w:tr>
      <w:tr>
        <w:trPr>
          <w:trHeight w:val="21"/>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9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ROU assets obtained in exchange for new lease obligations</w:t>
            </w:r>
          </w:p>
        </w:tc>
        <w:tc>
          <w:tcPr>
            <w:tcW w:w="100" w:type="dxa"/>
            <w:vAlign w:val="bottom"/>
            <w:shd w:val="clear" w:color="auto" w:fill="CCEEFF"/>
          </w:tcPr>
          <w:p>
            <w:pPr>
              <w:spacing w:after="0"/>
              <w:rPr>
                <w:sz w:val="15"/>
                <w:szCs w:val="15"/>
                <w:color w:val="auto"/>
              </w:rPr>
            </w:pPr>
          </w:p>
        </w:tc>
        <w:tc>
          <w:tcPr>
            <w:tcW w:w="22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55</w:t>
            </w:r>
          </w:p>
        </w:tc>
      </w:tr>
      <w:tr>
        <w:trPr>
          <w:trHeight w:val="21"/>
        </w:trPr>
        <w:tc>
          <w:tcPr>
            <w:tcW w:w="9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r>
    </w:tbl>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160" w:type="dxa"/>
            <w:vAlign w:val="bottom"/>
          </w:tcPr>
          <w:p>
            <w:pPr>
              <w:spacing w:after="0"/>
              <w:rPr>
                <w:sz w:val="15"/>
                <w:szCs w:val="15"/>
                <w:color w:val="auto"/>
              </w:rPr>
            </w:pPr>
          </w:p>
        </w:tc>
        <w:tc>
          <w:tcPr>
            <w:tcW w:w="2300" w:type="dxa"/>
            <w:vAlign w:val="bottom"/>
          </w:tcPr>
          <w:p>
            <w:pPr>
              <w:jc w:val="right"/>
              <w:ind w:right="432"/>
              <w:spacing w:after="0"/>
              <w:rPr>
                <w:sz w:val="20"/>
                <w:szCs w:val="20"/>
                <w:color w:val="auto"/>
              </w:rPr>
            </w:pPr>
            <w:r>
              <w:rPr>
                <w:rFonts w:ascii="Arial" w:cs="Arial" w:eastAsia="Arial" w:hAnsi="Arial"/>
                <w:sz w:val="14"/>
                <w:szCs w:val="14"/>
                <w:b w:val="1"/>
                <w:bCs w:val="1"/>
                <w:color w:val="auto"/>
              </w:rPr>
              <w:t>At September 30, 2019</w:t>
            </w:r>
          </w:p>
        </w:tc>
      </w:tr>
      <w:tr>
        <w:trPr>
          <w:trHeight w:val="21"/>
        </w:trPr>
        <w:tc>
          <w:tcPr>
            <w:tcW w:w="916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175"/>
        </w:trPr>
        <w:tc>
          <w:tcPr>
            <w:tcW w:w="9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Lease terms and discount rates</w:t>
            </w:r>
          </w:p>
        </w:tc>
        <w:tc>
          <w:tcPr>
            <w:tcW w:w="2300" w:type="dxa"/>
            <w:vAlign w:val="bottom"/>
            <w:tcBorders>
              <w:bottom w:val="single" w:sz="8" w:color="CCEEFF"/>
            </w:tcBorders>
            <w:shd w:val="clear" w:color="auto" w:fill="CCEEFF"/>
          </w:tcPr>
          <w:p>
            <w:pPr>
              <w:spacing w:after="0"/>
              <w:rPr>
                <w:sz w:val="15"/>
                <w:szCs w:val="15"/>
                <w:color w:val="auto"/>
              </w:rPr>
            </w:pPr>
          </w:p>
        </w:tc>
      </w:tr>
      <w:tr>
        <w:trPr>
          <w:trHeight w:val="183"/>
        </w:trPr>
        <w:tc>
          <w:tcPr>
            <w:tcW w:w="9160" w:type="dxa"/>
            <w:vAlign w:val="bottom"/>
          </w:tcPr>
          <w:p>
            <w:pPr>
              <w:ind w:left="120"/>
              <w:spacing w:after="0"/>
              <w:rPr>
                <w:sz w:val="20"/>
                <w:szCs w:val="20"/>
                <w:color w:val="auto"/>
              </w:rPr>
            </w:pPr>
            <w:r>
              <w:rPr>
                <w:rFonts w:ascii="Arial" w:cs="Arial" w:eastAsia="Arial" w:hAnsi="Arial"/>
                <w:sz w:val="14"/>
                <w:szCs w:val="14"/>
                <w:color w:val="auto"/>
              </w:rPr>
              <w:t>Remaining lease term</w:t>
            </w:r>
          </w:p>
        </w:tc>
        <w:tc>
          <w:tcPr>
            <w:tcW w:w="2300" w:type="dxa"/>
            <w:vAlign w:val="bottom"/>
          </w:tcPr>
          <w:p>
            <w:pPr>
              <w:jc w:val="right"/>
              <w:ind w:right="72"/>
              <w:spacing w:after="0"/>
              <w:rPr>
                <w:sz w:val="20"/>
                <w:szCs w:val="20"/>
                <w:color w:val="auto"/>
              </w:rPr>
            </w:pPr>
            <w:r>
              <w:rPr>
                <w:rFonts w:ascii="Arial" w:cs="Arial" w:eastAsia="Arial" w:hAnsi="Arial"/>
                <w:sz w:val="14"/>
                <w:szCs w:val="14"/>
                <w:color w:val="auto"/>
              </w:rPr>
              <w:t>5.15 years</w:t>
            </w:r>
          </w:p>
        </w:tc>
      </w:tr>
      <w:tr>
        <w:trPr>
          <w:trHeight w:val="21"/>
        </w:trPr>
        <w:tc>
          <w:tcPr>
            <w:tcW w:w="9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83"/>
        </w:trPr>
        <w:tc>
          <w:tcPr>
            <w:tcW w:w="91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Discount rate</w:t>
            </w:r>
          </w:p>
        </w:tc>
        <w:tc>
          <w:tcPr>
            <w:tcW w:w="2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r>
      <w:tr>
        <w:trPr>
          <w:trHeight w:val="21"/>
        </w:trPr>
        <w:tc>
          <w:tcPr>
            <w:tcW w:w="91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r>
    </w:tbl>
    <w:p>
      <w:pPr>
        <w:spacing w:after="0" w:line="31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Future undiscounted lease payments for our operating lease liabilities, and a reconciliation of these payments to our operating lease liabilities at September 30, 2019, are as follows (amounts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years ending December 31,</w:t>
            </w:r>
          </w:p>
        </w:tc>
        <w:tc>
          <w:tcPr>
            <w:tcW w:w="1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83"/>
        </w:trPr>
        <w:tc>
          <w:tcPr>
            <w:tcW w:w="9060" w:type="dxa"/>
            <w:vAlign w:val="bottom"/>
          </w:tcPr>
          <w:p>
            <w:pPr>
              <w:ind w:left="120"/>
              <w:spacing w:after="0"/>
              <w:rPr>
                <w:sz w:val="20"/>
                <w:szCs w:val="20"/>
                <w:color w:val="auto"/>
              </w:rPr>
            </w:pPr>
            <w:r>
              <w:rPr>
                <w:rFonts w:ascii="Arial" w:cs="Arial" w:eastAsia="Arial" w:hAnsi="Arial"/>
                <w:sz w:val="14"/>
                <w:szCs w:val="14"/>
                <w:color w:val="auto"/>
              </w:rPr>
              <w:t>2019 (remaining three months)</w:t>
            </w:r>
          </w:p>
        </w:tc>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14</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2020</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74</w:t>
            </w:r>
          </w:p>
        </w:tc>
      </w:tr>
      <w:tr>
        <w:trPr>
          <w:trHeight w:val="183"/>
        </w:trPr>
        <w:tc>
          <w:tcPr>
            <w:tcW w:w="9060" w:type="dxa"/>
            <w:vAlign w:val="bottom"/>
          </w:tcPr>
          <w:p>
            <w:pPr>
              <w:ind w:left="120"/>
              <w:spacing w:after="0"/>
              <w:rPr>
                <w:sz w:val="20"/>
                <w:szCs w:val="20"/>
                <w:color w:val="auto"/>
              </w:rPr>
            </w:pPr>
            <w:r>
              <w:rPr>
                <w:rFonts w:ascii="Arial" w:cs="Arial" w:eastAsia="Arial" w:hAnsi="Arial"/>
                <w:sz w:val="14"/>
                <w:szCs w:val="14"/>
                <w:color w:val="auto"/>
              </w:rPr>
              <w:t>2021</w:t>
            </w: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56</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48</w:t>
            </w:r>
          </w:p>
        </w:tc>
      </w:tr>
      <w:tr>
        <w:trPr>
          <w:trHeight w:val="183"/>
        </w:trPr>
        <w:tc>
          <w:tcPr>
            <w:tcW w:w="9060" w:type="dxa"/>
            <w:vAlign w:val="bottom"/>
          </w:tcPr>
          <w:p>
            <w:pPr>
              <w:ind w:left="120"/>
              <w:spacing w:after="0"/>
              <w:rPr>
                <w:sz w:val="20"/>
                <w:szCs w:val="20"/>
                <w:color w:val="auto"/>
              </w:rPr>
            </w:pPr>
            <w:r>
              <w:rPr>
                <w:rFonts w:ascii="Arial" w:cs="Arial" w:eastAsia="Arial" w:hAnsi="Arial"/>
                <w:sz w:val="14"/>
                <w:szCs w:val="14"/>
                <w:color w:val="auto"/>
              </w:rPr>
              <w:t>2023</w:t>
            </w: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42</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5"/>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Thereafter</w:t>
            </w:r>
          </w:p>
        </w:tc>
        <w:tc>
          <w:tcPr>
            <w:tcW w:w="1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74</w:t>
            </w:r>
          </w:p>
        </w:tc>
      </w:tr>
      <w:tr>
        <w:trPr>
          <w:trHeight w:val="173"/>
        </w:trPr>
        <w:tc>
          <w:tcPr>
            <w:tcW w:w="9060" w:type="dxa"/>
            <w:vAlign w:val="bottom"/>
          </w:tcPr>
          <w:p>
            <w:pPr>
              <w:ind w:left="200"/>
              <w:spacing w:after="0"/>
              <w:rPr>
                <w:sz w:val="20"/>
                <w:szCs w:val="20"/>
                <w:color w:val="auto"/>
              </w:rPr>
            </w:pPr>
            <w:r>
              <w:rPr>
                <w:rFonts w:ascii="Arial" w:cs="Arial" w:eastAsia="Arial" w:hAnsi="Arial"/>
                <w:sz w:val="14"/>
                <w:szCs w:val="14"/>
                <w:color w:val="auto"/>
              </w:rPr>
              <w:t>Total future lease payments</w:t>
            </w:r>
          </w:p>
        </w:tc>
        <w:tc>
          <w:tcPr>
            <w:tcW w:w="1100" w:type="dxa"/>
            <w:vAlign w:val="bottom"/>
            <w:tcBorders>
              <w:top w:val="single" w:sz="8" w:color="auto"/>
            </w:tcBorders>
          </w:tcPr>
          <w:p>
            <w:pPr>
              <w:jc w:val="right"/>
              <w:ind w:right="932"/>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308</w:t>
            </w:r>
          </w:p>
        </w:tc>
      </w:tr>
      <w:tr>
        <w:trPr>
          <w:trHeight w:val="21"/>
        </w:trPr>
        <w:tc>
          <w:tcPr>
            <w:tcW w:w="90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5"/>
        </w:trPr>
        <w:tc>
          <w:tcPr>
            <w:tcW w:w="9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Less imputed interest</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9060" w:type="dxa"/>
            <w:vAlign w:val="bottom"/>
          </w:tcPr>
          <w:p>
            <w:pPr>
              <w:ind w:left="280"/>
              <w:spacing w:after="0"/>
              <w:rPr>
                <w:sz w:val="20"/>
                <w:szCs w:val="20"/>
                <w:color w:val="auto"/>
              </w:rPr>
            </w:pPr>
            <w:r>
              <w:rPr>
                <w:rFonts w:ascii="Arial" w:cs="Arial" w:eastAsia="Arial" w:hAnsi="Arial"/>
                <w:sz w:val="14"/>
                <w:szCs w:val="14"/>
                <w:color w:val="auto"/>
              </w:rPr>
              <w:t>Total lease liabilities</w:t>
            </w:r>
          </w:p>
        </w:tc>
        <w:tc>
          <w:tcPr>
            <w:tcW w:w="110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276</w:t>
            </w:r>
          </w:p>
        </w:tc>
      </w:tr>
      <w:tr>
        <w:trPr>
          <w:trHeight w:val="20"/>
        </w:trPr>
        <w:tc>
          <w:tcPr>
            <w:tcW w:w="9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220" w:firstLine="245"/>
        <w:spacing w:after="0" w:line="262" w:lineRule="auto"/>
        <w:rPr>
          <w:sz w:val="20"/>
          <w:szCs w:val="20"/>
          <w:color w:val="auto"/>
        </w:rPr>
      </w:pPr>
      <w:r>
        <w:rPr>
          <w:rFonts w:ascii="Arial" w:cs="Arial" w:eastAsia="Arial" w:hAnsi="Arial"/>
          <w:sz w:val="14"/>
          <w:szCs w:val="14"/>
          <w:color w:val="auto"/>
        </w:rPr>
        <w:t>As of September 30, 2019, we have entered into facility leases that have not yet commenced with future lease payments of approximately $57 million. These leases are expected to commence within the next 12 months and will have lease terms ranging from two years to five years.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60"/>
          </w:cols>
          <w:pgMar w:left="220" w:top="129" w:right="21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Operating lease ROU assets and liabilities recorded on our condensed consolidated balance sheet as of September 30, 2019, were as follows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80" w:type="dxa"/>
            <w:vAlign w:val="bottom"/>
          </w:tcPr>
          <w:p>
            <w:pPr>
              <w:spacing w:after="0"/>
              <w:rPr>
                <w:sz w:val="15"/>
                <w:szCs w:val="15"/>
                <w:color w:val="auto"/>
              </w:rPr>
            </w:pPr>
          </w:p>
        </w:tc>
        <w:tc>
          <w:tcPr>
            <w:tcW w:w="1980" w:type="dxa"/>
            <w:vAlign w:val="bottom"/>
          </w:tcPr>
          <w:p>
            <w:pPr>
              <w:jc w:val="right"/>
              <w:ind w:right="52"/>
              <w:spacing w:after="0"/>
              <w:rPr>
                <w:sz w:val="20"/>
                <w:szCs w:val="20"/>
                <w:color w:val="auto"/>
              </w:rPr>
            </w:pPr>
            <w:r>
              <w:rPr>
                <w:rFonts w:ascii="Arial" w:cs="Arial" w:eastAsia="Arial" w:hAnsi="Arial"/>
                <w:sz w:val="14"/>
                <w:szCs w:val="14"/>
                <w:b w:val="1"/>
                <w:bCs w:val="1"/>
                <w:color w:val="auto"/>
              </w:rPr>
              <w:t>At September 30, 2019</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Pr>
          <w:p>
            <w:pPr>
              <w:ind w:left="1420"/>
              <w:spacing w:after="0"/>
              <w:rPr>
                <w:sz w:val="20"/>
                <w:szCs w:val="20"/>
                <w:color w:val="auto"/>
              </w:rPr>
            </w:pPr>
            <w:r>
              <w:rPr>
                <w:rFonts w:ascii="Arial" w:cs="Arial" w:eastAsia="Arial" w:hAnsi="Arial"/>
                <w:sz w:val="14"/>
                <w:szCs w:val="14"/>
                <w:b w:val="1"/>
                <w:bCs w:val="1"/>
                <w:color w:val="auto"/>
              </w:rPr>
              <w:t>Balance Sheet Classification</w:t>
            </w:r>
          </w:p>
        </w:tc>
      </w:tr>
      <w:tr>
        <w:trPr>
          <w:trHeight w:val="21"/>
        </w:trPr>
        <w:tc>
          <w:tcPr>
            <w:tcW w:w="44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7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ROU assets</w:t>
            </w:r>
          </w:p>
        </w:tc>
        <w:tc>
          <w:tcPr>
            <w:tcW w:w="1980" w:type="dxa"/>
            <w:vAlign w:val="bottom"/>
            <w:tcBorders>
              <w:bottom w:val="single" w:sz="8" w:color="CCEEFF"/>
            </w:tcBorders>
            <w:shd w:val="clear" w:color="auto" w:fill="CCEEFF"/>
          </w:tcPr>
          <w:p>
            <w:pPr>
              <w:jc w:val="right"/>
              <w:ind w:right="183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shd w:val="clear" w:color="auto" w:fill="CCEEFF"/>
          </w:tcPr>
          <w:p>
            <w:pPr>
              <w:spacing w:after="0"/>
              <w:rPr>
                <w:sz w:val="15"/>
                <w:szCs w:val="15"/>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r>
      <w:tr>
        <w:trPr>
          <w:trHeight w:val="245"/>
        </w:trPr>
        <w:tc>
          <w:tcPr>
            <w:tcW w:w="44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60" w:type="dxa"/>
            <w:vAlign w:val="bottom"/>
          </w:tcPr>
          <w:p>
            <w:pPr>
              <w:spacing w:after="0"/>
              <w:rPr>
                <w:sz w:val="21"/>
                <w:szCs w:val="21"/>
                <w:color w:val="auto"/>
              </w:rPr>
            </w:pPr>
          </w:p>
        </w:tc>
      </w:tr>
      <w:tr>
        <w:trPr>
          <w:trHeight w:val="185"/>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lease liabilities</w:t>
            </w:r>
          </w:p>
        </w:tc>
        <w:tc>
          <w:tcPr>
            <w:tcW w:w="1980" w:type="dxa"/>
            <w:vAlign w:val="bottom"/>
            <w:tcBorders>
              <w:bottom w:val="single" w:sz="8" w:color="CCEEFF"/>
            </w:tcBorders>
            <w:shd w:val="clear" w:color="auto" w:fill="CCEEFF"/>
          </w:tcPr>
          <w:p>
            <w:pPr>
              <w:jc w:val="right"/>
              <w:ind w:right="183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 and other current liabilities</w:t>
            </w:r>
          </w:p>
        </w:tc>
      </w:tr>
      <w:tr>
        <w:trPr>
          <w:trHeight w:val="183"/>
        </w:trPr>
        <w:tc>
          <w:tcPr>
            <w:tcW w:w="4480" w:type="dxa"/>
            <w:vAlign w:val="bottom"/>
          </w:tcPr>
          <w:p>
            <w:pPr>
              <w:ind w:left="20"/>
              <w:spacing w:after="0"/>
              <w:rPr>
                <w:sz w:val="20"/>
                <w:szCs w:val="20"/>
                <w:color w:val="auto"/>
              </w:rPr>
            </w:pPr>
            <w:r>
              <w:rPr>
                <w:rFonts w:ascii="Arial" w:cs="Arial" w:eastAsia="Arial" w:hAnsi="Arial"/>
                <w:sz w:val="14"/>
                <w:szCs w:val="14"/>
                <w:color w:val="auto"/>
              </w:rPr>
              <w:t>Non-current lease liabilities</w:t>
            </w:r>
          </w:p>
        </w:tc>
        <w:tc>
          <w:tcPr>
            <w:tcW w:w="19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color w:val="auto"/>
              </w:rPr>
              <w:t>215</w:t>
            </w:r>
          </w:p>
        </w:tc>
        <w:tc>
          <w:tcPr>
            <w:tcW w:w="120" w:type="dxa"/>
            <w:vAlign w:val="bottom"/>
          </w:tcPr>
          <w:p>
            <w:pPr>
              <w:spacing w:after="0"/>
              <w:rPr>
                <w:sz w:val="15"/>
                <w:szCs w:val="15"/>
                <w:color w:val="auto"/>
              </w:rPr>
            </w:pPr>
          </w:p>
        </w:tc>
        <w:tc>
          <w:tcPr>
            <w:tcW w:w="4460" w:type="dxa"/>
            <w:vAlign w:val="bottom"/>
          </w:tcPr>
          <w:p>
            <w:pPr>
              <w:ind w:left="20"/>
              <w:spacing w:after="0"/>
              <w:rPr>
                <w:sz w:val="20"/>
                <w:szCs w:val="20"/>
                <w:color w:val="auto"/>
              </w:rPr>
            </w:pPr>
            <w:r>
              <w:rPr>
                <w:rFonts w:ascii="Arial" w:cs="Arial" w:eastAsia="Arial" w:hAnsi="Arial"/>
                <w:sz w:val="14"/>
                <w:szCs w:val="14"/>
                <w:color w:val="auto"/>
              </w:rPr>
              <w:t>Other liabilities</w:t>
            </w:r>
          </w:p>
        </w:tc>
      </w:tr>
      <w:tr>
        <w:trPr>
          <w:trHeight w:val="21"/>
        </w:trPr>
        <w:tc>
          <w:tcPr>
            <w:tcW w:w="448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r>
      <w:tr>
        <w:trPr>
          <w:trHeight w:val="189"/>
        </w:trPr>
        <w:tc>
          <w:tcPr>
            <w:tcW w:w="448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right"/>
              <w:ind w:right="1832"/>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liabilities</w:t>
            </w:r>
          </w:p>
        </w:tc>
      </w:tr>
      <w:tr>
        <w:trPr>
          <w:trHeight w:val="20"/>
        </w:trPr>
        <w:tc>
          <w:tcPr>
            <w:tcW w:w="44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60" w:type="dxa"/>
            <w:vAlign w:val="bottom"/>
          </w:tcPr>
          <w:p>
            <w:pPr>
              <w:ind w:left="240"/>
              <w:spacing w:after="0"/>
              <w:rPr>
                <w:sz w:val="20"/>
                <w:szCs w:val="20"/>
                <w:color w:val="auto"/>
              </w:rPr>
            </w:pPr>
            <w:r>
              <w:rPr>
                <w:rFonts w:ascii="Arial" w:cs="Arial" w:eastAsia="Arial" w:hAnsi="Arial"/>
                <w:sz w:val="14"/>
                <w:szCs w:val="14"/>
                <w:color w:val="auto"/>
              </w:rPr>
              <w:t>Future minimum lease payments as of December 31, 2018, prior to our adoption of the new lease accounting standard, were as follows:</w:t>
            </w:r>
          </w:p>
        </w:tc>
        <w:tc>
          <w:tcPr>
            <w:tcW w:w="1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3"/>
        </w:trPr>
        <w:tc>
          <w:tcPr>
            <w:tcW w:w="9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185"/>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years ending December 31,</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r>
      <w:tr>
        <w:trPr>
          <w:trHeight w:val="183"/>
        </w:trPr>
        <w:tc>
          <w:tcPr>
            <w:tcW w:w="9060" w:type="dxa"/>
            <w:vAlign w:val="bottom"/>
          </w:tcPr>
          <w:p>
            <w:pPr>
              <w:ind w:left="120"/>
              <w:spacing w:after="0"/>
              <w:rPr>
                <w:sz w:val="20"/>
                <w:szCs w:val="20"/>
                <w:color w:val="auto"/>
              </w:rPr>
            </w:pPr>
            <w:r>
              <w:rPr>
                <w:rFonts w:ascii="Arial" w:cs="Arial" w:eastAsia="Arial" w:hAnsi="Arial"/>
                <w:sz w:val="14"/>
                <w:szCs w:val="14"/>
                <w:color w:val="auto"/>
              </w:rPr>
              <w:t>2019</w:t>
            </w:r>
          </w:p>
        </w:tc>
        <w:tc>
          <w:tcPr>
            <w:tcW w:w="1100" w:type="dxa"/>
            <w:vAlign w:val="bottom"/>
          </w:tcPr>
          <w:p>
            <w:pPr>
              <w:jc w:val="right"/>
              <w:ind w:right="932"/>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80</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2020</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70</w:t>
            </w:r>
          </w:p>
        </w:tc>
      </w:tr>
      <w:tr>
        <w:trPr>
          <w:trHeight w:val="183"/>
        </w:trPr>
        <w:tc>
          <w:tcPr>
            <w:tcW w:w="9060" w:type="dxa"/>
            <w:vAlign w:val="bottom"/>
          </w:tcPr>
          <w:p>
            <w:pPr>
              <w:ind w:left="120"/>
              <w:spacing w:after="0"/>
              <w:rPr>
                <w:sz w:val="20"/>
                <w:szCs w:val="20"/>
                <w:color w:val="auto"/>
              </w:rPr>
            </w:pPr>
            <w:r>
              <w:rPr>
                <w:rFonts w:ascii="Arial" w:cs="Arial" w:eastAsia="Arial" w:hAnsi="Arial"/>
                <w:sz w:val="14"/>
                <w:szCs w:val="14"/>
                <w:color w:val="auto"/>
              </w:rPr>
              <w:t>2021</w:t>
            </w: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53</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2022</w:t>
            </w:r>
          </w:p>
        </w:tc>
        <w:tc>
          <w:tcPr>
            <w:tcW w:w="1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45</w:t>
            </w:r>
          </w:p>
        </w:tc>
      </w:tr>
      <w:tr>
        <w:trPr>
          <w:trHeight w:val="183"/>
        </w:trPr>
        <w:tc>
          <w:tcPr>
            <w:tcW w:w="9060" w:type="dxa"/>
            <w:vAlign w:val="bottom"/>
          </w:tcPr>
          <w:p>
            <w:pPr>
              <w:ind w:left="120"/>
              <w:spacing w:after="0"/>
              <w:rPr>
                <w:sz w:val="20"/>
                <w:szCs w:val="20"/>
                <w:color w:val="auto"/>
              </w:rPr>
            </w:pPr>
            <w:r>
              <w:rPr>
                <w:rFonts w:ascii="Arial" w:cs="Arial" w:eastAsia="Arial" w:hAnsi="Arial"/>
                <w:sz w:val="14"/>
                <w:szCs w:val="14"/>
                <w:color w:val="auto"/>
              </w:rPr>
              <w:t>2023</w:t>
            </w:r>
          </w:p>
        </w:tc>
        <w:tc>
          <w:tcPr>
            <w:tcW w:w="11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38</w:t>
            </w:r>
          </w:p>
        </w:tc>
      </w:tr>
      <w:tr>
        <w:trPr>
          <w:trHeight w:val="21"/>
        </w:trPr>
        <w:tc>
          <w:tcPr>
            <w:tcW w:w="9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05"/>
        </w:trPr>
        <w:tc>
          <w:tcPr>
            <w:tcW w:w="9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Thereafter</w:t>
            </w:r>
          </w:p>
        </w:tc>
        <w:tc>
          <w:tcPr>
            <w:tcW w:w="1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60</w:t>
            </w:r>
          </w:p>
        </w:tc>
      </w:tr>
      <w:tr>
        <w:trPr>
          <w:trHeight w:val="189"/>
        </w:trPr>
        <w:tc>
          <w:tcPr>
            <w:tcW w:w="9060" w:type="dxa"/>
            <w:vAlign w:val="bottom"/>
          </w:tcPr>
          <w:p>
            <w:pPr>
              <w:ind w:left="28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bottom w:val="single" w:sz="8" w:color="auto"/>
            </w:tcBorders>
          </w:tcPr>
          <w:p>
            <w:pPr>
              <w:jc w:val="right"/>
              <w:ind w:right="932"/>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346</w:t>
            </w:r>
          </w:p>
        </w:tc>
      </w:tr>
      <w:tr>
        <w:trPr>
          <w:trHeight w:val="20"/>
        </w:trPr>
        <w:tc>
          <w:tcPr>
            <w:tcW w:w="9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Debt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Facilities</w:t>
      </w:r>
    </w:p>
    <w:p>
      <w:pPr>
        <w:spacing w:after="0" w:line="105" w:lineRule="exact"/>
        <w:rPr>
          <w:sz w:val="20"/>
          <w:szCs w:val="20"/>
          <w:color w:val="auto"/>
        </w:rPr>
      </w:pPr>
    </w:p>
    <w:p>
      <w:pPr>
        <w:jc w:val="both"/>
        <w:ind w:right="100" w:firstLine="245"/>
        <w:spacing w:after="0" w:line="346" w:lineRule="auto"/>
        <w:rPr>
          <w:sz w:val="20"/>
          <w:szCs w:val="20"/>
          <w:color w:val="auto"/>
        </w:rPr>
      </w:pPr>
      <w:r>
        <w:rPr>
          <w:rFonts w:ascii="Arial" w:cs="Arial" w:eastAsia="Arial" w:hAnsi="Arial"/>
          <w:sz w:val="12"/>
          <w:szCs w:val="12"/>
          <w:color w:val="auto"/>
        </w:rPr>
        <w:t>As of September 30, 2019 and December 31, 2018, we had $1.5 billion available under a revolving credit facility (the “Revolver”) pursuant to a credit agreement entered into on October 11, 2013 (as amended thereafter and from time to time, the “Credit Agreement”). To date, we have not drawn on the Revolver, and we were in compliance with the terms of the Credit Agreement as of September 30, 2019.</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Refer to Note 13 contained in our Annual Report on Form 10-K for the year ended December 31, 2018 for further details regarding the Credit Agreement, its key terms, and previous amendments made to</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it.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Unsecured Senior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At September 30, 2019 and December 31, 2018, we had the following unsecured senior notes outstanding:</w:t>
      </w:r>
    </w:p>
    <w:p>
      <w:pPr>
        <w:spacing w:after="0" w:line="166" w:lineRule="exact"/>
        <w:rPr>
          <w:sz w:val="20"/>
          <w:szCs w:val="20"/>
          <w:color w:val="auto"/>
        </w:rPr>
      </w:pPr>
    </w:p>
    <w:p>
      <w:pPr>
        <w:ind w:left="740" w:hanging="247"/>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$650 million of 2.3% unsecured senior notes due September 2021 (the “2021 Notes”);</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$400 million of 2.6% unsecured senior notes due June 2022 (the “2022 Notes”);</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$850 million of 3.4% unsecured senior notes due September 2026 (the “2026 Notes”);</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6"/>
        </w:numPr>
        <w:rPr>
          <w:rFonts w:ascii="Arial" w:cs="Arial" w:eastAsia="Arial" w:hAnsi="Arial"/>
          <w:sz w:val="14"/>
          <w:szCs w:val="14"/>
          <w:color w:val="auto"/>
        </w:rPr>
      </w:pPr>
      <w:r>
        <w:rPr>
          <w:rFonts w:ascii="Arial" w:cs="Arial" w:eastAsia="Arial" w:hAnsi="Arial"/>
          <w:sz w:val="14"/>
          <w:szCs w:val="14"/>
          <w:color w:val="auto"/>
        </w:rPr>
        <w:t>$400 million of 3.4% unsecured senior notes due June 2027 (the “2027 Notes”);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6"/>
        </w:numPr>
        <w:rPr>
          <w:rFonts w:ascii="Arial" w:cs="Arial" w:eastAsia="Arial" w:hAnsi="Arial"/>
          <w:sz w:val="12"/>
          <w:szCs w:val="12"/>
          <w:color w:val="auto"/>
        </w:rPr>
      </w:pPr>
      <w:r>
        <w:rPr>
          <w:rFonts w:ascii="Arial" w:cs="Arial" w:eastAsia="Arial" w:hAnsi="Arial"/>
          <w:sz w:val="12"/>
          <w:szCs w:val="12"/>
          <w:color w:val="auto"/>
        </w:rPr>
        <w:t>$400 million of 4.5% unsecured senior notes due June 2047 (the “2047 Notes”, and together with the 2021 Notes, the 2022 Notes, the 2026 Notes, and the 2027 Notes, the “Notes”).</w:t>
      </w:r>
    </w:p>
    <w:p>
      <w:pPr>
        <w:spacing w:after="0" w:line="189" w:lineRule="exact"/>
        <w:rPr>
          <w:sz w:val="20"/>
          <w:szCs w:val="20"/>
          <w:color w:val="auto"/>
        </w:rPr>
      </w:pPr>
    </w:p>
    <w:p>
      <w:pPr>
        <w:jc w:val="both"/>
        <w:ind w:right="160" w:firstLine="245"/>
        <w:spacing w:after="0" w:line="253" w:lineRule="auto"/>
        <w:rPr>
          <w:sz w:val="20"/>
          <w:szCs w:val="20"/>
          <w:color w:val="auto"/>
        </w:rPr>
      </w:pPr>
      <w:r>
        <w:rPr>
          <w:rFonts w:ascii="Arial" w:cs="Arial" w:eastAsia="Arial" w:hAnsi="Arial"/>
          <w:sz w:val="14"/>
          <w:szCs w:val="14"/>
          <w:color w:val="auto"/>
        </w:rPr>
        <w:t xml:space="preserve">The Notes are general senior obligations of the Company and rank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right of payment to all of the Company’s existing and future senior indebtedness, including the Revolver described above. The Notes are not secured and are effectively junior to any of the Company’s existing and future indebtedness that is secured to the extent of the value of the collateral securing such indebtedness. We were in compliance with the terms of the Notes as of September 30, 2019.</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60"/>
          </w:cols>
          <w:pgMar w:left="220" w:top="129" w:right="21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right="160" w:firstLine="245"/>
        <w:spacing w:after="0" w:line="315" w:lineRule="auto"/>
        <w:rPr>
          <w:sz w:val="20"/>
          <w:szCs w:val="20"/>
          <w:color w:val="auto"/>
        </w:rPr>
      </w:pPr>
      <w:r>
        <w:rPr>
          <w:rFonts w:ascii="Arial" w:cs="Arial" w:eastAsia="Arial" w:hAnsi="Arial"/>
          <w:sz w:val="12"/>
          <w:szCs w:val="12"/>
          <w:color w:val="auto"/>
        </w:rPr>
        <w:t>Interest is payable semi-annually in arrears on March 15 and September 15 of each year for the 2021 Notes and the 2026 Notes, and payable semi-annually in arrears on June 15 and December 15 of each year for the 2022 Notes, the 2027 Notes, and the 2047 Notes. Accrued interest payable is recorded within “Accrued expenses and other liabilities” in our condensed consolidated balance sheets. As of September 30, 2019 and December 31, 2018, we had accrued interest payable of $14 million and $15 million, respectively, related to the Notes.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Refer to Note 13 contained in our Annual Report on Form 10-K for the year ended December 31, 2018 for further details regarding key terms under our indentures that govern the Notes.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 and Financing Costs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Fees and discounts associated with the issuance of our debt instruments are recorded as debt discount, which reduces their respective carrying values, and are amortized over their respective terms.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Amortization expense is recorded within “Interest and other expense (income), net” in our condensed consolidated statement of operations.</w:t>
      </w:r>
    </w:p>
    <w:p>
      <w:pPr>
        <w:spacing w:after="0" w:line="156" w:lineRule="exact"/>
        <w:rPr>
          <w:sz w:val="20"/>
          <w:szCs w:val="20"/>
          <w:color w:val="auto"/>
        </w:rPr>
      </w:pPr>
    </w:p>
    <w:p>
      <w:pPr>
        <w:ind w:right="100" w:firstLine="245"/>
        <w:spacing w:after="0" w:line="253" w:lineRule="auto"/>
        <w:rPr>
          <w:sz w:val="20"/>
          <w:szCs w:val="20"/>
          <w:color w:val="auto"/>
        </w:rPr>
      </w:pPr>
      <w:r>
        <w:rPr>
          <w:rFonts w:ascii="Arial" w:cs="Arial" w:eastAsia="Arial" w:hAnsi="Arial"/>
          <w:sz w:val="14"/>
          <w:szCs w:val="14"/>
          <w:color w:val="auto"/>
        </w:rPr>
        <w:t>For the three and nine months ended September 30, 2019, interest expense was $21 million and $64 million, respectively, and amortization of the debt discount and deferred financing costs was $1 million and $3 million, respectively. For the three and nine months ended September 30, 2018, interest expense was $32 million and $113 million, respectively, and amortization of the debt discount and deferred financing costs was $1 million and $5 million, respectively.</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 summary of our outstanding debt is as follows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At September 30, 2019</w:t>
            </w:r>
          </w:p>
        </w:tc>
        <w:tc>
          <w:tcPr>
            <w:tcW w:w="4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1"/>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62"/>
        </w:trPr>
        <w:tc>
          <w:tcPr>
            <w:tcW w:w="4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Unamortized</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4"/>
        </w:trPr>
        <w:tc>
          <w:tcPr>
            <w:tcW w:w="4700" w:type="dxa"/>
            <w:vAlign w:val="bottom"/>
          </w:tcPr>
          <w:p>
            <w:pPr>
              <w:spacing w:after="0"/>
              <w:rPr>
                <w:sz w:val="14"/>
                <w:szCs w:val="14"/>
                <w:color w:val="auto"/>
              </w:rPr>
            </w:pPr>
          </w:p>
        </w:tc>
        <w:tc>
          <w:tcPr>
            <w:tcW w:w="1660" w:type="dxa"/>
            <w:vAlign w:val="bottom"/>
          </w:tcPr>
          <w:p>
            <w:pPr>
              <w:jc w:val="center"/>
              <w:ind w:left="492"/>
              <w:spacing w:after="0"/>
              <w:rPr>
                <w:sz w:val="20"/>
                <w:szCs w:val="20"/>
                <w:color w:val="auto"/>
              </w:rPr>
            </w:pPr>
            <w:r>
              <w:rPr>
                <w:rFonts w:ascii="Arial" w:cs="Arial" w:eastAsia="Arial" w:hAnsi="Arial"/>
                <w:sz w:val="14"/>
                <w:szCs w:val="14"/>
                <w:b w:val="1"/>
                <w:bCs w:val="1"/>
                <w:color w:val="auto"/>
                <w:w w:val="88"/>
              </w:rPr>
              <w:t>Gross Carrying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Discount and Deferred Financing</w:t>
            </w:r>
          </w:p>
        </w:tc>
        <w:tc>
          <w:tcPr>
            <w:tcW w:w="400" w:type="dxa"/>
            <w:vAlign w:val="bottom"/>
          </w:tcPr>
          <w:p>
            <w:pPr>
              <w:spacing w:after="0"/>
              <w:rPr>
                <w:sz w:val="14"/>
                <w:szCs w:val="14"/>
                <w:color w:val="auto"/>
              </w:rPr>
            </w:pPr>
          </w:p>
        </w:tc>
        <w:tc>
          <w:tcPr>
            <w:tcW w:w="1760" w:type="dxa"/>
            <w:vAlign w:val="bottom"/>
          </w:tcPr>
          <w:p>
            <w:pPr>
              <w:jc w:val="center"/>
              <w:ind w:right="312"/>
              <w:spacing w:after="0"/>
              <w:rPr>
                <w:sz w:val="20"/>
                <w:szCs w:val="20"/>
                <w:color w:val="auto"/>
              </w:rPr>
            </w:pPr>
            <w:r>
              <w:rPr>
                <w:rFonts w:ascii="Arial" w:cs="Arial" w:eastAsia="Arial" w:hAnsi="Arial"/>
                <w:sz w:val="14"/>
                <w:szCs w:val="14"/>
                <w:b w:val="1"/>
                <w:bCs w:val="1"/>
                <w:color w:val="auto"/>
                <w:w w:val="92"/>
              </w:rPr>
              <w:t>Net Carrying</w:t>
            </w:r>
          </w:p>
        </w:tc>
      </w:tr>
      <w:tr>
        <w:trPr>
          <w:trHeight w:val="175"/>
        </w:trPr>
        <w:tc>
          <w:tcPr>
            <w:tcW w:w="4700" w:type="dxa"/>
            <w:vAlign w:val="bottom"/>
          </w:tcPr>
          <w:p>
            <w:pPr>
              <w:spacing w:after="0"/>
              <w:rPr>
                <w:sz w:val="15"/>
                <w:szCs w:val="15"/>
                <w:color w:val="auto"/>
              </w:rPr>
            </w:pPr>
          </w:p>
        </w:tc>
        <w:tc>
          <w:tcPr>
            <w:tcW w:w="1660" w:type="dxa"/>
            <w:vAlign w:val="bottom"/>
          </w:tcPr>
          <w:p>
            <w:pPr>
              <w:jc w:val="center"/>
              <w:ind w:left="472"/>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Costs</w:t>
            </w:r>
          </w:p>
        </w:tc>
        <w:tc>
          <w:tcPr>
            <w:tcW w:w="400" w:type="dxa"/>
            <w:vAlign w:val="bottom"/>
          </w:tcPr>
          <w:p>
            <w:pPr>
              <w:spacing w:after="0"/>
              <w:rPr>
                <w:sz w:val="15"/>
                <w:szCs w:val="15"/>
                <w:color w:val="auto"/>
              </w:rPr>
            </w:pPr>
          </w:p>
        </w:tc>
        <w:tc>
          <w:tcPr>
            <w:tcW w:w="1760" w:type="dxa"/>
            <w:vAlign w:val="bottom"/>
          </w:tcPr>
          <w:p>
            <w:pPr>
              <w:jc w:val="center"/>
              <w:ind w:right="332"/>
              <w:spacing w:after="0"/>
              <w:rPr>
                <w:sz w:val="20"/>
                <w:szCs w:val="20"/>
                <w:color w:val="auto"/>
              </w:rPr>
            </w:pPr>
            <w:r>
              <w:rPr>
                <w:rFonts w:ascii="Arial" w:cs="Arial" w:eastAsia="Arial" w:hAnsi="Arial"/>
                <w:sz w:val="14"/>
                <w:szCs w:val="14"/>
                <w:b w:val="1"/>
                <w:bCs w:val="1"/>
                <w:color w:val="auto"/>
                <w:w w:val="90"/>
              </w:rPr>
              <w:t>Amount</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 Notes</w:t>
            </w:r>
          </w:p>
        </w:tc>
        <w:tc>
          <w:tcPr>
            <w:tcW w:w="1660" w:type="dxa"/>
            <w:vAlign w:val="bottom"/>
            <w:tcBorders>
              <w:bottom w:val="single" w:sz="8" w:color="CCEEFF"/>
            </w:tcBorders>
            <w:shd w:val="clear" w:color="auto" w:fill="CCEEFF"/>
          </w:tcPr>
          <w:p>
            <w:pPr>
              <w:jc w:val="right"/>
              <w:ind w:right="149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648</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2022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Arial" w:cs="Arial" w:eastAsia="Arial" w:hAnsi="Arial"/>
                <w:sz w:val="14"/>
                <w:szCs w:val="14"/>
                <w:color w:val="auto"/>
              </w:rPr>
              <w:t>398</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2026 Notes</w:t>
            </w:r>
          </w:p>
        </w:tc>
        <w:tc>
          <w:tcPr>
            <w:tcW w:w="1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842</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2027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Arial" w:cs="Arial" w:eastAsia="Arial" w:hAnsi="Arial"/>
                <w:sz w:val="14"/>
                <w:szCs w:val="14"/>
                <w:color w:val="auto"/>
              </w:rPr>
              <w:t>395</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2047 Notes</w:t>
            </w:r>
          </w:p>
        </w:tc>
        <w:tc>
          <w:tcPr>
            <w:tcW w:w="1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391</w:t>
            </w: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Total long-term debt</w:t>
            </w:r>
          </w:p>
        </w:tc>
        <w:tc>
          <w:tcPr>
            <w:tcW w:w="1660" w:type="dxa"/>
            <w:vAlign w:val="bottom"/>
            <w:tcBorders>
              <w:top w:val="single" w:sz="8" w:color="auto"/>
              <w:bottom w:val="single" w:sz="8" w:color="auto"/>
            </w:tcBorders>
          </w:tcPr>
          <w:p>
            <w:pPr>
              <w:jc w:val="right"/>
              <w:ind w:right="1492"/>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2,674</w:t>
            </w:r>
          </w:p>
        </w:tc>
      </w:tr>
      <w:tr>
        <w:trPr>
          <w:trHeight w:val="20"/>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425"/>
        </w:trPr>
        <w:tc>
          <w:tcPr>
            <w:tcW w:w="4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At December 31, 2018</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1"/>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62"/>
        </w:trPr>
        <w:tc>
          <w:tcPr>
            <w:tcW w:w="4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Unamortized</w:t>
            </w:r>
          </w:p>
        </w:tc>
        <w:tc>
          <w:tcPr>
            <w:tcW w:w="4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4"/>
        </w:trPr>
        <w:tc>
          <w:tcPr>
            <w:tcW w:w="4700" w:type="dxa"/>
            <w:vAlign w:val="bottom"/>
          </w:tcPr>
          <w:p>
            <w:pPr>
              <w:spacing w:after="0"/>
              <w:rPr>
                <w:sz w:val="14"/>
                <w:szCs w:val="14"/>
                <w:color w:val="auto"/>
              </w:rPr>
            </w:pPr>
          </w:p>
        </w:tc>
        <w:tc>
          <w:tcPr>
            <w:tcW w:w="1660" w:type="dxa"/>
            <w:vAlign w:val="bottom"/>
          </w:tcPr>
          <w:p>
            <w:pPr>
              <w:jc w:val="center"/>
              <w:ind w:left="492"/>
              <w:spacing w:after="0"/>
              <w:rPr>
                <w:sz w:val="20"/>
                <w:szCs w:val="20"/>
                <w:color w:val="auto"/>
              </w:rPr>
            </w:pPr>
            <w:r>
              <w:rPr>
                <w:rFonts w:ascii="Arial" w:cs="Arial" w:eastAsia="Arial" w:hAnsi="Arial"/>
                <w:sz w:val="14"/>
                <w:szCs w:val="14"/>
                <w:b w:val="1"/>
                <w:bCs w:val="1"/>
                <w:color w:val="auto"/>
                <w:w w:val="88"/>
              </w:rPr>
              <w:t>Gross Carrying</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Discount and Deferred Financing</w:t>
            </w:r>
          </w:p>
        </w:tc>
        <w:tc>
          <w:tcPr>
            <w:tcW w:w="400" w:type="dxa"/>
            <w:vAlign w:val="bottom"/>
          </w:tcPr>
          <w:p>
            <w:pPr>
              <w:spacing w:after="0"/>
              <w:rPr>
                <w:sz w:val="14"/>
                <w:szCs w:val="14"/>
                <w:color w:val="auto"/>
              </w:rPr>
            </w:pPr>
          </w:p>
        </w:tc>
        <w:tc>
          <w:tcPr>
            <w:tcW w:w="1760" w:type="dxa"/>
            <w:vAlign w:val="bottom"/>
          </w:tcPr>
          <w:p>
            <w:pPr>
              <w:jc w:val="center"/>
              <w:ind w:right="312"/>
              <w:spacing w:after="0"/>
              <w:rPr>
                <w:sz w:val="20"/>
                <w:szCs w:val="20"/>
                <w:color w:val="auto"/>
              </w:rPr>
            </w:pPr>
            <w:r>
              <w:rPr>
                <w:rFonts w:ascii="Arial" w:cs="Arial" w:eastAsia="Arial" w:hAnsi="Arial"/>
                <w:sz w:val="14"/>
                <w:szCs w:val="14"/>
                <w:b w:val="1"/>
                <w:bCs w:val="1"/>
                <w:color w:val="auto"/>
                <w:w w:val="92"/>
              </w:rPr>
              <w:t>Net Carrying</w:t>
            </w:r>
          </w:p>
        </w:tc>
      </w:tr>
      <w:tr>
        <w:trPr>
          <w:trHeight w:val="175"/>
        </w:trPr>
        <w:tc>
          <w:tcPr>
            <w:tcW w:w="4700" w:type="dxa"/>
            <w:vAlign w:val="bottom"/>
          </w:tcPr>
          <w:p>
            <w:pPr>
              <w:spacing w:after="0"/>
              <w:rPr>
                <w:sz w:val="15"/>
                <w:szCs w:val="15"/>
                <w:color w:val="auto"/>
              </w:rPr>
            </w:pPr>
          </w:p>
        </w:tc>
        <w:tc>
          <w:tcPr>
            <w:tcW w:w="1660" w:type="dxa"/>
            <w:vAlign w:val="bottom"/>
          </w:tcPr>
          <w:p>
            <w:pPr>
              <w:jc w:val="center"/>
              <w:ind w:left="472"/>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Costs</w:t>
            </w:r>
          </w:p>
        </w:tc>
        <w:tc>
          <w:tcPr>
            <w:tcW w:w="400" w:type="dxa"/>
            <w:vAlign w:val="bottom"/>
          </w:tcPr>
          <w:p>
            <w:pPr>
              <w:spacing w:after="0"/>
              <w:rPr>
                <w:sz w:val="15"/>
                <w:szCs w:val="15"/>
                <w:color w:val="auto"/>
              </w:rPr>
            </w:pPr>
          </w:p>
        </w:tc>
        <w:tc>
          <w:tcPr>
            <w:tcW w:w="1760" w:type="dxa"/>
            <w:vAlign w:val="bottom"/>
          </w:tcPr>
          <w:p>
            <w:pPr>
              <w:jc w:val="center"/>
              <w:ind w:right="332"/>
              <w:spacing w:after="0"/>
              <w:rPr>
                <w:sz w:val="20"/>
                <w:szCs w:val="20"/>
                <w:color w:val="auto"/>
              </w:rPr>
            </w:pPr>
            <w:r>
              <w:rPr>
                <w:rFonts w:ascii="Arial" w:cs="Arial" w:eastAsia="Arial" w:hAnsi="Arial"/>
                <w:sz w:val="14"/>
                <w:szCs w:val="14"/>
                <w:b w:val="1"/>
                <w:bCs w:val="1"/>
                <w:color w:val="auto"/>
                <w:w w:val="90"/>
              </w:rPr>
              <w:t>Amount</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 Notes</w:t>
            </w:r>
          </w:p>
        </w:tc>
        <w:tc>
          <w:tcPr>
            <w:tcW w:w="1660" w:type="dxa"/>
            <w:vAlign w:val="bottom"/>
            <w:tcBorders>
              <w:bottom w:val="single" w:sz="8" w:color="CCEEFF"/>
            </w:tcBorders>
            <w:shd w:val="clear" w:color="auto" w:fill="CCEEFF"/>
          </w:tcPr>
          <w:p>
            <w:pPr>
              <w:jc w:val="right"/>
              <w:ind w:right="149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647</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2022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Arial" w:cs="Arial" w:eastAsia="Arial" w:hAnsi="Arial"/>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2026 Notes</w:t>
            </w:r>
          </w:p>
        </w:tc>
        <w:tc>
          <w:tcPr>
            <w:tcW w:w="1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842</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2027 Notes</w:t>
            </w:r>
          </w:p>
        </w:tc>
        <w:tc>
          <w:tcPr>
            <w:tcW w:w="166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60" w:type="dxa"/>
            <w:vAlign w:val="bottom"/>
          </w:tcPr>
          <w:p>
            <w:pPr>
              <w:jc w:val="right"/>
              <w:ind w:right="32"/>
              <w:spacing w:after="0"/>
              <w:rPr>
                <w:sz w:val="20"/>
                <w:szCs w:val="20"/>
                <w:color w:val="auto"/>
              </w:rPr>
            </w:pPr>
            <w:r>
              <w:rPr>
                <w:rFonts w:ascii="Arial" w:cs="Arial" w:eastAsia="Arial" w:hAnsi="Arial"/>
                <w:sz w:val="14"/>
                <w:szCs w:val="14"/>
                <w:color w:val="auto"/>
              </w:rPr>
              <w:t>395</w:t>
            </w:r>
          </w:p>
        </w:tc>
      </w:tr>
      <w:tr>
        <w:trPr>
          <w:trHeight w:val="21"/>
        </w:trPr>
        <w:tc>
          <w:tcPr>
            <w:tcW w:w="47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2047 Notes</w:t>
            </w:r>
          </w:p>
        </w:tc>
        <w:tc>
          <w:tcPr>
            <w:tcW w:w="16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390</w:t>
            </w: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Total long-term debt</w:t>
            </w:r>
          </w:p>
        </w:tc>
        <w:tc>
          <w:tcPr>
            <w:tcW w:w="1660" w:type="dxa"/>
            <w:vAlign w:val="bottom"/>
            <w:tcBorders>
              <w:top w:val="single" w:sz="8" w:color="auto"/>
              <w:bottom w:val="single" w:sz="8" w:color="auto"/>
            </w:tcBorders>
          </w:tcPr>
          <w:p>
            <w:pPr>
              <w:jc w:val="right"/>
              <w:ind w:right="1492"/>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w w:val="76"/>
              </w:rPr>
              <w:t>$</w:t>
            </w:r>
          </w:p>
        </w:tc>
        <w:tc>
          <w:tcPr>
            <w:tcW w:w="17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2,671</w:t>
            </w:r>
          </w:p>
        </w:tc>
      </w:tr>
      <w:tr>
        <w:trPr>
          <w:trHeight w:val="20"/>
        </w:trPr>
        <w:tc>
          <w:tcPr>
            <w:tcW w:w="47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89"/>
        </w:trPr>
        <w:tc>
          <w:tcPr>
            <w:tcW w:w="4700" w:type="dxa"/>
            <w:vAlign w:val="bottom"/>
          </w:tcPr>
          <w:p>
            <w:pPr>
              <w:spacing w:after="0"/>
              <w:rPr>
                <w:sz w:val="24"/>
                <w:szCs w:val="24"/>
                <w:color w:val="auto"/>
              </w:rPr>
            </w:pPr>
          </w:p>
        </w:tc>
        <w:tc>
          <w:tcPr>
            <w:tcW w:w="1660" w:type="dxa"/>
            <w:vAlign w:val="bottom"/>
          </w:tcPr>
          <w:p>
            <w:pPr>
              <w:jc w:val="right"/>
              <w:ind w:right="492"/>
              <w:spacing w:after="0"/>
              <w:rPr>
                <w:sz w:val="20"/>
                <w:szCs w:val="20"/>
                <w:color w:val="auto"/>
              </w:rPr>
            </w:pPr>
            <w:r>
              <w:rPr>
                <w:rFonts w:ascii="Arial" w:cs="Arial" w:eastAsia="Arial" w:hAnsi="Arial"/>
                <w:sz w:val="14"/>
                <w:szCs w:val="14"/>
                <w:color w:val="auto"/>
              </w:rPr>
              <w:t>21</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As of September 30, 2019, the scheduled maturities and contractual principal repayments of our debt for each of the five succeeding years and thereafter are as follows (amounts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For the years ending December 31,</w:t>
            </w:r>
          </w:p>
        </w:tc>
        <w:tc>
          <w:tcPr>
            <w:tcW w:w="9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183"/>
        </w:trPr>
        <w:tc>
          <w:tcPr>
            <w:tcW w:w="9300" w:type="dxa"/>
            <w:vAlign w:val="bottom"/>
          </w:tcPr>
          <w:p>
            <w:pPr>
              <w:ind w:left="280"/>
              <w:spacing w:after="0"/>
              <w:rPr>
                <w:sz w:val="20"/>
                <w:szCs w:val="20"/>
                <w:color w:val="auto"/>
              </w:rPr>
            </w:pPr>
            <w:r>
              <w:rPr>
                <w:rFonts w:ascii="Arial" w:cs="Arial" w:eastAsia="Arial" w:hAnsi="Arial"/>
                <w:sz w:val="14"/>
                <w:szCs w:val="14"/>
                <w:color w:val="auto"/>
              </w:rPr>
              <w:t>2019 (remaining three months)</w:t>
            </w:r>
          </w:p>
        </w:tc>
        <w:tc>
          <w:tcPr>
            <w:tcW w:w="920" w:type="dxa"/>
            <w:vAlign w:val="bottom"/>
          </w:tcPr>
          <w:p>
            <w:pPr>
              <w:jc w:val="right"/>
              <w:ind w:right="772"/>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9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5"/>
        </w:trPr>
        <w:tc>
          <w:tcPr>
            <w:tcW w:w="9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2020</w:t>
            </w:r>
          </w:p>
        </w:tc>
        <w:tc>
          <w:tcPr>
            <w:tcW w:w="9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3"/>
        </w:trPr>
        <w:tc>
          <w:tcPr>
            <w:tcW w:w="9300" w:type="dxa"/>
            <w:vAlign w:val="bottom"/>
          </w:tcPr>
          <w:p>
            <w:pPr>
              <w:ind w:left="280"/>
              <w:spacing w:after="0"/>
              <w:rPr>
                <w:sz w:val="20"/>
                <w:szCs w:val="20"/>
                <w:color w:val="auto"/>
              </w:rPr>
            </w:pPr>
            <w:r>
              <w:rPr>
                <w:rFonts w:ascii="Arial" w:cs="Arial" w:eastAsia="Arial" w:hAnsi="Arial"/>
                <w:sz w:val="14"/>
                <w:szCs w:val="14"/>
                <w:color w:val="auto"/>
              </w:rPr>
              <w:t>2021</w:t>
            </w:r>
          </w:p>
        </w:tc>
        <w:tc>
          <w:tcPr>
            <w:tcW w:w="9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650</w:t>
            </w:r>
          </w:p>
        </w:tc>
      </w:tr>
      <w:tr>
        <w:trPr>
          <w:trHeight w:val="21"/>
        </w:trPr>
        <w:tc>
          <w:tcPr>
            <w:tcW w:w="9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85"/>
        </w:trPr>
        <w:tc>
          <w:tcPr>
            <w:tcW w:w="9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2022</w:t>
            </w:r>
          </w:p>
        </w:tc>
        <w:tc>
          <w:tcPr>
            <w:tcW w:w="92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400</w:t>
            </w:r>
          </w:p>
        </w:tc>
      </w:tr>
      <w:tr>
        <w:trPr>
          <w:trHeight w:val="183"/>
        </w:trPr>
        <w:tc>
          <w:tcPr>
            <w:tcW w:w="9300" w:type="dxa"/>
            <w:vAlign w:val="bottom"/>
          </w:tcPr>
          <w:p>
            <w:pPr>
              <w:ind w:left="280"/>
              <w:spacing w:after="0"/>
              <w:rPr>
                <w:sz w:val="20"/>
                <w:szCs w:val="20"/>
                <w:color w:val="auto"/>
              </w:rPr>
            </w:pPr>
            <w:r>
              <w:rPr>
                <w:rFonts w:ascii="Arial" w:cs="Arial" w:eastAsia="Arial" w:hAnsi="Arial"/>
                <w:sz w:val="14"/>
                <w:szCs w:val="14"/>
                <w:color w:val="auto"/>
              </w:rPr>
              <w:t>2023</w:t>
            </w:r>
          </w:p>
        </w:tc>
        <w:tc>
          <w:tcPr>
            <w:tcW w:w="920" w:type="dxa"/>
            <w:vAlign w:val="bottom"/>
          </w:tcPr>
          <w:p>
            <w:pPr>
              <w:spacing w:after="0"/>
              <w:rPr>
                <w:sz w:val="15"/>
                <w:szCs w:val="15"/>
                <w:color w:val="auto"/>
              </w:rPr>
            </w:pPr>
          </w:p>
        </w:tc>
        <w:tc>
          <w:tcPr>
            <w:tcW w:w="12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9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5"/>
        </w:trPr>
        <w:tc>
          <w:tcPr>
            <w:tcW w:w="9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shd w:val="clear" w:color="auto" w:fill="CCEEFF"/>
              </w:rPr>
              <w:t>Thereafter</w:t>
            </w:r>
          </w:p>
        </w:tc>
        <w:tc>
          <w:tcPr>
            <w:tcW w:w="9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1,650</w:t>
            </w:r>
          </w:p>
        </w:tc>
      </w:tr>
      <w:tr>
        <w:trPr>
          <w:trHeight w:val="189"/>
        </w:trPr>
        <w:tc>
          <w:tcPr>
            <w:tcW w:w="9300" w:type="dxa"/>
            <w:vAlign w:val="bottom"/>
          </w:tcPr>
          <w:p>
            <w:pPr>
              <w:ind w:left="540"/>
              <w:spacing w:after="0"/>
              <w:rPr>
                <w:sz w:val="20"/>
                <w:szCs w:val="20"/>
                <w:color w:val="auto"/>
              </w:rPr>
            </w:pPr>
            <w:r>
              <w:rPr>
                <w:rFonts w:ascii="Arial" w:cs="Arial" w:eastAsia="Arial" w:hAnsi="Arial"/>
                <w:sz w:val="14"/>
                <w:szCs w:val="14"/>
                <w:color w:val="auto"/>
              </w:rPr>
              <w:t>Total</w:t>
            </w:r>
          </w:p>
        </w:tc>
        <w:tc>
          <w:tcPr>
            <w:tcW w:w="920" w:type="dxa"/>
            <w:vAlign w:val="bottom"/>
            <w:tcBorders>
              <w:top w:val="single" w:sz="8" w:color="auto"/>
              <w:bottom w:val="single" w:sz="8" w:color="auto"/>
            </w:tcBorders>
          </w:tcPr>
          <w:p>
            <w:pPr>
              <w:jc w:val="right"/>
              <w:ind w:right="772"/>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2,700</w:t>
            </w:r>
          </w:p>
        </w:tc>
      </w:tr>
      <w:tr>
        <w:trPr>
          <w:trHeight w:val="20"/>
        </w:trPr>
        <w:tc>
          <w:tcPr>
            <w:tcW w:w="9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245"/>
        <w:spacing w:after="0" w:line="253" w:lineRule="auto"/>
        <w:rPr>
          <w:sz w:val="20"/>
          <w:szCs w:val="20"/>
          <w:color w:val="auto"/>
        </w:rPr>
      </w:pPr>
      <w:r>
        <w:rPr>
          <w:rFonts w:ascii="Arial" w:cs="Arial" w:eastAsia="Arial" w:hAnsi="Arial"/>
          <w:sz w:val="14"/>
          <w:szCs w:val="14"/>
          <w:color w:val="auto"/>
        </w:rPr>
        <w:t>With the exception of the 2047 Notes, using Level 2 inputs (i.e., observable market prices in less-than-active markets) at September 30, 2019, the carrying values of the Notes approximated their fair values, as the interest rates were similar to the current rates at which we could borrow funds over the selected interest periods. At September 30, 2019, based on Level 2 inputs, the fair value of the 2047 Notes was $454 million.</w:t>
      </w:r>
    </w:p>
    <w:p>
      <w:pPr>
        <w:spacing w:after="0" w:line="145" w:lineRule="exact"/>
        <w:rPr>
          <w:sz w:val="20"/>
          <w:szCs w:val="20"/>
          <w:color w:val="auto"/>
        </w:rPr>
      </w:pPr>
    </w:p>
    <w:p>
      <w:pPr>
        <w:jc w:val="both"/>
        <w:ind w:firstLine="245"/>
        <w:spacing w:after="0" w:line="253" w:lineRule="auto"/>
        <w:rPr>
          <w:sz w:val="20"/>
          <w:szCs w:val="20"/>
          <w:color w:val="auto"/>
        </w:rPr>
      </w:pPr>
      <w:r>
        <w:rPr>
          <w:rFonts w:ascii="Arial" w:cs="Arial" w:eastAsia="Arial" w:hAnsi="Arial"/>
          <w:sz w:val="14"/>
          <w:szCs w:val="14"/>
          <w:color w:val="auto"/>
        </w:rPr>
        <w:t>Using Level 2 inputs at December 31, 2018, the carrying values of the 2021 Notes and the 2022 Notes approximated their fair values, as the interest rates were similar to the current rates at which we could borrow funds over the selected interest periods. At December 31, 2018, based on Level 2 inputs, the fair values of the 2026 Notes, the 2027 Notes, and the 2047 Notes were $800 million, $376 million, and $360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Accumulated Other Comprehensive Income (Loss)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components of accumulated other comprehensive income (loss) were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300"/>
              <w:spacing w:after="0"/>
              <w:rPr>
                <w:sz w:val="20"/>
                <w:szCs w:val="20"/>
                <w:color w:val="auto"/>
              </w:rPr>
            </w:pPr>
            <w:r>
              <w:rPr>
                <w:rFonts w:ascii="Arial" w:cs="Arial" w:eastAsia="Arial" w:hAnsi="Arial"/>
                <w:sz w:val="12"/>
                <w:szCs w:val="12"/>
                <w:b w:val="1"/>
                <w:bCs w:val="1"/>
                <w:color w:val="auto"/>
              </w:rPr>
              <w:t>For the Nine Months Ended September 30, 2019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5"/>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3"/>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Foreign currency translation</w:t>
            </w:r>
          </w:p>
        </w:tc>
        <w:tc>
          <w:tcPr>
            <w:tcW w:w="20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Unrealized gain (loss)</w:t>
            </w:r>
          </w:p>
        </w:tc>
        <w:tc>
          <w:tcPr>
            <w:tcW w:w="1440" w:type="dxa"/>
            <w:vAlign w:val="bottom"/>
          </w:tcPr>
          <w:p>
            <w:pPr>
              <w:jc w:val="center"/>
              <w:ind w:left="215"/>
              <w:spacing w:after="0"/>
              <w:rPr>
                <w:sz w:val="20"/>
                <w:szCs w:val="20"/>
                <w:color w:val="auto"/>
              </w:rPr>
            </w:pPr>
            <w:r>
              <w:rPr>
                <w:rFonts w:ascii="Arial" w:cs="Arial" w:eastAsia="Arial" w:hAnsi="Arial"/>
                <w:sz w:val="12"/>
                <w:szCs w:val="12"/>
                <w:b w:val="1"/>
                <w:bCs w:val="1"/>
                <w:color w:val="auto"/>
                <w:w w:val="90"/>
              </w:rPr>
              <w:t>Unrealized gain (loss)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9"/>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adjustments</w:t>
            </w:r>
          </w:p>
        </w:tc>
        <w:tc>
          <w:tcPr>
            <w:tcW w:w="20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on forward contracts</w:t>
            </w:r>
          </w:p>
        </w:tc>
        <w:tc>
          <w:tcPr>
            <w:tcW w:w="1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on available-for-sale securities</w:t>
            </w:r>
          </w:p>
        </w:tc>
        <w:tc>
          <w:tcPr>
            <w:tcW w:w="420" w:type="dxa"/>
            <w:vAlign w:val="bottom"/>
          </w:tcPr>
          <w:p>
            <w:pPr>
              <w:spacing w:after="0"/>
              <w:rPr>
                <w:sz w:val="13"/>
                <w:szCs w:val="13"/>
                <w:color w:val="auto"/>
              </w:rPr>
            </w:pPr>
          </w:p>
        </w:tc>
        <w:tc>
          <w:tcPr>
            <w:tcW w:w="1300" w:type="dxa"/>
            <w:vAlign w:val="bottom"/>
          </w:tcPr>
          <w:p>
            <w:pPr>
              <w:jc w:val="right"/>
              <w:ind w:right="653"/>
              <w:spacing w:after="0"/>
              <w:rPr>
                <w:sz w:val="20"/>
                <w:szCs w:val="20"/>
                <w:color w:val="auto"/>
              </w:rPr>
            </w:pPr>
            <w:r>
              <w:rPr>
                <w:rFonts w:ascii="Arial" w:cs="Arial" w:eastAsia="Arial" w:hAnsi="Arial"/>
                <w:sz w:val="12"/>
                <w:szCs w:val="12"/>
                <w:b w:val="1"/>
                <w:bCs w:val="1"/>
                <w:color w:val="auto"/>
              </w:rPr>
              <w:t>Total</w:t>
            </w: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(629)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275"/>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(601)</w:t>
            </w:r>
          </w:p>
        </w:tc>
      </w:tr>
      <w:tr>
        <w:trPr>
          <w:trHeight w:val="183"/>
        </w:trPr>
        <w:tc>
          <w:tcPr>
            <w:tcW w:w="4240" w:type="dxa"/>
            <w:vAlign w:val="bottom"/>
          </w:tcPr>
          <w:p>
            <w:pPr>
              <w:ind w:left="120"/>
              <w:spacing w:after="0"/>
              <w:rPr>
                <w:sz w:val="20"/>
                <w:szCs w:val="20"/>
                <w:color w:val="auto"/>
              </w:rPr>
            </w:pPr>
            <w:r>
              <w:rPr>
                <w:rFonts w:ascii="Arial" w:cs="Arial" w:eastAsia="Arial" w:hAnsi="Arial"/>
                <w:sz w:val="14"/>
                <w:szCs w:val="14"/>
                <w:color w:val="auto"/>
              </w:rPr>
              <w:t>Other comprehensive income (loss) before reclassifications</w:t>
            </w:r>
          </w:p>
        </w:tc>
        <w:tc>
          <w:tcPr>
            <w:tcW w:w="100" w:type="dxa"/>
            <w:vAlign w:val="bottom"/>
          </w:tcPr>
          <w:p>
            <w:pPr>
              <w:spacing w:after="0"/>
              <w:rPr>
                <w:sz w:val="15"/>
                <w:szCs w:val="15"/>
                <w:color w:val="auto"/>
              </w:rPr>
            </w:pPr>
          </w:p>
        </w:tc>
        <w:tc>
          <w:tcPr>
            <w:tcW w:w="1640" w:type="dxa"/>
            <w:vAlign w:val="bottom"/>
          </w:tcPr>
          <w:p>
            <w:pPr>
              <w:jc w:val="right"/>
              <w:ind w:right="14"/>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ind w:right="55"/>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color w:val="auto"/>
              </w:rPr>
              <w:t>26</w:t>
            </w:r>
          </w:p>
        </w:tc>
      </w:tr>
      <w:tr>
        <w:trPr>
          <w:trHeight w:val="21"/>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3"/>
        </w:trPr>
        <w:tc>
          <w:tcPr>
            <w:tcW w:w="424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5"/>
              </w:rPr>
              <w:t>Amounts reclassified from accumulated other comprehensive income</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5"/>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(loss) into earnings</w:t>
            </w: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(32)</w:t>
            </w:r>
          </w:p>
        </w:tc>
      </w:tr>
      <w:tr>
        <w:trPr>
          <w:trHeight w:val="189"/>
        </w:trPr>
        <w:tc>
          <w:tcPr>
            <w:tcW w:w="4240" w:type="dxa"/>
            <w:vAlign w:val="bottom"/>
          </w:tcPr>
          <w:p>
            <w:pPr>
              <w:ind w:left="20"/>
              <w:spacing w:after="0"/>
              <w:rPr>
                <w:sz w:val="20"/>
                <w:szCs w:val="20"/>
                <w:color w:val="auto"/>
              </w:rPr>
            </w:pPr>
            <w:r>
              <w:rPr>
                <w:rFonts w:ascii="Arial" w:cs="Arial" w:eastAsia="Arial" w:hAnsi="Arial"/>
                <w:sz w:val="14"/>
                <w:szCs w:val="14"/>
                <w:color w:val="auto"/>
              </w:rPr>
              <w:t>Balance at September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ind w:right="1275"/>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rPr>
              <w:t>(607)</w:t>
            </w:r>
          </w:p>
        </w:tc>
      </w:tr>
      <w:tr>
        <w:trPr>
          <w:trHeight w:val="20"/>
        </w:trPr>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1"/>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3"/>
          </w:tcPr>
          <w:p>
            <w:pPr>
              <w:ind w:left="300"/>
              <w:spacing w:after="0"/>
              <w:rPr>
                <w:sz w:val="20"/>
                <w:szCs w:val="20"/>
                <w:color w:val="auto"/>
              </w:rPr>
            </w:pPr>
            <w:r>
              <w:rPr>
                <w:rFonts w:ascii="Arial" w:cs="Arial" w:eastAsia="Arial" w:hAnsi="Arial"/>
                <w:sz w:val="12"/>
                <w:szCs w:val="12"/>
                <w:b w:val="1"/>
                <w:bCs w:val="1"/>
                <w:color w:val="auto"/>
              </w:rPr>
              <w:t>For the Nine Months Ended September 30, 2018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
        </w:trPr>
        <w:tc>
          <w:tcPr>
            <w:tcW w:w="4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53"/>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Foreign currency translation</w:t>
            </w:r>
          </w:p>
        </w:tc>
        <w:tc>
          <w:tcPr>
            <w:tcW w:w="20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Unrealized gain (loss)</w:t>
            </w:r>
          </w:p>
        </w:tc>
        <w:tc>
          <w:tcPr>
            <w:tcW w:w="1440" w:type="dxa"/>
            <w:vAlign w:val="bottom"/>
          </w:tcPr>
          <w:p>
            <w:pPr>
              <w:jc w:val="center"/>
              <w:ind w:left="215"/>
              <w:spacing w:after="0"/>
              <w:rPr>
                <w:sz w:val="20"/>
                <w:szCs w:val="20"/>
                <w:color w:val="auto"/>
              </w:rPr>
            </w:pPr>
            <w:r>
              <w:rPr>
                <w:rFonts w:ascii="Arial" w:cs="Arial" w:eastAsia="Arial" w:hAnsi="Arial"/>
                <w:sz w:val="12"/>
                <w:szCs w:val="12"/>
                <w:b w:val="1"/>
                <w:bCs w:val="1"/>
                <w:color w:val="auto"/>
                <w:w w:val="90"/>
              </w:rPr>
              <w:t>Unrealized gain (loss)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9"/>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adjustments</w:t>
            </w:r>
          </w:p>
        </w:tc>
        <w:tc>
          <w:tcPr>
            <w:tcW w:w="200" w:type="dxa"/>
            <w:vAlign w:val="bottom"/>
          </w:tcPr>
          <w:p>
            <w:pPr>
              <w:spacing w:after="0"/>
              <w:rPr>
                <w:sz w:val="13"/>
                <w:szCs w:val="13"/>
                <w:color w:val="auto"/>
              </w:rPr>
            </w:pP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on forward contracts</w:t>
            </w:r>
          </w:p>
        </w:tc>
        <w:tc>
          <w:tcPr>
            <w:tcW w:w="1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on available-for-sale securities</w:t>
            </w:r>
          </w:p>
        </w:tc>
        <w:tc>
          <w:tcPr>
            <w:tcW w:w="420" w:type="dxa"/>
            <w:vAlign w:val="bottom"/>
          </w:tcPr>
          <w:p>
            <w:pPr>
              <w:spacing w:after="0"/>
              <w:rPr>
                <w:sz w:val="13"/>
                <w:szCs w:val="13"/>
                <w:color w:val="auto"/>
              </w:rPr>
            </w:pPr>
          </w:p>
        </w:tc>
        <w:tc>
          <w:tcPr>
            <w:tcW w:w="1300" w:type="dxa"/>
            <w:vAlign w:val="bottom"/>
          </w:tcPr>
          <w:p>
            <w:pPr>
              <w:jc w:val="right"/>
              <w:ind w:right="653"/>
              <w:spacing w:after="0"/>
              <w:rPr>
                <w:sz w:val="20"/>
                <w:szCs w:val="20"/>
                <w:color w:val="auto"/>
              </w:rPr>
            </w:pPr>
            <w:r>
              <w:rPr>
                <w:rFonts w:ascii="Arial" w:cs="Arial" w:eastAsia="Arial" w:hAnsi="Arial"/>
                <w:sz w:val="12"/>
                <w:szCs w:val="12"/>
                <w:b w:val="1"/>
                <w:bCs w:val="1"/>
                <w:color w:val="auto"/>
              </w:rPr>
              <w:t>Total</w:t>
            </w: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275"/>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9"/>
              </w:rPr>
              <w:t>—</w:t>
            </w: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(638)</w:t>
            </w:r>
          </w:p>
        </w:tc>
      </w:tr>
      <w:tr>
        <w:trPr>
          <w:trHeight w:val="183"/>
        </w:trPr>
        <w:tc>
          <w:tcPr>
            <w:tcW w:w="4240" w:type="dxa"/>
            <w:vAlign w:val="bottom"/>
          </w:tcPr>
          <w:p>
            <w:pPr>
              <w:ind w:left="120"/>
              <w:spacing w:after="0"/>
              <w:rPr>
                <w:sz w:val="20"/>
                <w:szCs w:val="20"/>
                <w:color w:val="auto"/>
              </w:rPr>
            </w:pPr>
            <w:r>
              <w:rPr>
                <w:rFonts w:ascii="Arial" w:cs="Arial" w:eastAsia="Arial" w:hAnsi="Arial"/>
                <w:sz w:val="14"/>
                <w:szCs w:val="14"/>
                <w:color w:val="auto"/>
                <w:w w:val="94"/>
              </w:rPr>
              <w:t>Cumulative impact from adoption of new revenue accounting standard</w:t>
            </w:r>
          </w:p>
        </w:tc>
        <w:tc>
          <w:tcPr>
            <w:tcW w:w="100" w:type="dxa"/>
            <w:vAlign w:val="bottom"/>
          </w:tcPr>
          <w:p>
            <w:pPr>
              <w:spacing w:after="0"/>
              <w:rPr>
                <w:sz w:val="15"/>
                <w:szCs w:val="15"/>
                <w:color w:val="auto"/>
              </w:rPr>
            </w:pPr>
          </w:p>
        </w:tc>
        <w:tc>
          <w:tcPr>
            <w:tcW w:w="1640" w:type="dxa"/>
            <w:vAlign w:val="bottom"/>
          </w:tcPr>
          <w:p>
            <w:pPr>
              <w:jc w:val="right"/>
              <w:ind w:right="54"/>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4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5"/>
                <w:szCs w:val="15"/>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color w:val="auto"/>
              </w:rPr>
              <w:t>3</w:t>
            </w:r>
          </w:p>
        </w:tc>
      </w:tr>
      <w:tr>
        <w:trPr>
          <w:trHeight w:val="21"/>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5"/>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income (loss) before reclassifications</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w:t>
            </w:r>
          </w:p>
        </w:tc>
      </w:tr>
      <w:tr>
        <w:trPr>
          <w:trHeight w:val="173"/>
        </w:trPr>
        <w:tc>
          <w:tcPr>
            <w:tcW w:w="4240" w:type="dxa"/>
            <w:vAlign w:val="bottom"/>
          </w:tcPr>
          <w:p>
            <w:pPr>
              <w:ind w:left="120"/>
              <w:spacing w:after="0"/>
              <w:rPr>
                <w:sz w:val="20"/>
                <w:szCs w:val="20"/>
                <w:color w:val="auto"/>
              </w:rPr>
            </w:pPr>
            <w:r>
              <w:rPr>
                <w:rFonts w:ascii="Arial" w:cs="Arial" w:eastAsia="Arial" w:hAnsi="Arial"/>
                <w:sz w:val="14"/>
                <w:szCs w:val="14"/>
                <w:color w:val="auto"/>
                <w:w w:val="95"/>
              </w:rPr>
              <w:t>Amounts reclassified from accumulated other comprehensive income</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3"/>
        </w:trPr>
        <w:tc>
          <w:tcPr>
            <w:tcW w:w="4240" w:type="dxa"/>
            <w:vAlign w:val="bottom"/>
          </w:tcPr>
          <w:p>
            <w:pPr>
              <w:ind w:left="120"/>
              <w:spacing w:after="0"/>
              <w:rPr>
                <w:sz w:val="20"/>
                <w:szCs w:val="20"/>
                <w:color w:val="auto"/>
              </w:rPr>
            </w:pPr>
            <w:r>
              <w:rPr>
                <w:rFonts w:ascii="Arial" w:cs="Arial" w:eastAsia="Arial" w:hAnsi="Arial"/>
                <w:sz w:val="14"/>
                <w:szCs w:val="14"/>
                <w:color w:val="auto"/>
              </w:rPr>
              <w:t>(loss) into earnings</w:t>
            </w:r>
          </w:p>
        </w:tc>
        <w:tc>
          <w:tcPr>
            <w:tcW w:w="100" w:type="dxa"/>
            <w:vAlign w:val="bottom"/>
          </w:tcPr>
          <w:p>
            <w:pPr>
              <w:spacing w:after="0"/>
              <w:rPr>
                <w:sz w:val="15"/>
                <w:szCs w:val="15"/>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520" w:type="dxa"/>
            <w:vAlign w:val="bottom"/>
          </w:tcPr>
          <w:p>
            <w:pPr>
              <w:jc w:val="right"/>
              <w:ind w:right="55"/>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4"/>
                <w:szCs w:val="14"/>
                <w:color w:val="auto"/>
                <w:w w:val="99"/>
              </w:rPr>
              <w:t>—</w:t>
            </w:r>
          </w:p>
        </w:tc>
        <w:tc>
          <w:tcPr>
            <w:tcW w:w="420" w:type="dxa"/>
            <w:vAlign w:val="bottom"/>
          </w:tcPr>
          <w:p>
            <w:pPr>
              <w:spacing w:after="0"/>
              <w:rPr>
                <w:sz w:val="15"/>
                <w:szCs w:val="15"/>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color w:val="auto"/>
              </w:rPr>
              <w:t>11</w:t>
            </w:r>
          </w:p>
        </w:tc>
      </w:tr>
      <w:tr>
        <w:trPr>
          <w:trHeight w:val="21"/>
        </w:trPr>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(627)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275"/>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(613)</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808"/>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jc w:val="right"/>
              <w:ind w:right="114"/>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Operating Segments and Geographic Region</w:t>
      </w:r>
    </w:p>
    <w:p>
      <w:pPr>
        <w:spacing w:after="0" w:line="199" w:lineRule="exact"/>
        <w:rPr>
          <w:sz w:val="20"/>
          <w:szCs w:val="20"/>
          <w:color w:val="auto"/>
        </w:rPr>
      </w:pPr>
    </w:p>
    <w:p>
      <w:pPr>
        <w:ind w:firstLine="245"/>
        <w:spacing w:after="0" w:line="300" w:lineRule="auto"/>
        <w:rPr>
          <w:sz w:val="20"/>
          <w:szCs w:val="20"/>
          <w:color w:val="auto"/>
        </w:rPr>
      </w:pPr>
      <w:r>
        <w:rPr>
          <w:rFonts w:ascii="Arial" w:cs="Arial" w:eastAsia="Arial" w:hAnsi="Arial"/>
          <w:sz w:val="12"/>
          <w:szCs w:val="12"/>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operating segments are also consistent with our internal organizational structure, the way we assess operating performance and allocate resources, and the availability of separate financial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do not aggregate operating segments.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Information on reportable segment net revenues and operating income for the three months ended September 30, 2019 and 2018, are presented below (amounts in millions):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4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 2019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5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Activision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auto"/>
              </w:rPr>
              <w:t>Blizzard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92"/>
              <w:spacing w:after="0"/>
              <w:rPr>
                <w:sz w:val="20"/>
                <w:szCs w:val="20"/>
                <w:color w:val="auto"/>
              </w:rPr>
            </w:pPr>
            <w:r>
              <w:rPr>
                <w:rFonts w:ascii="Arial" w:cs="Arial" w:eastAsia="Arial" w:hAnsi="Arial"/>
                <w:sz w:val="14"/>
                <w:szCs w:val="14"/>
                <w:b w:val="1"/>
                <w:bCs w:val="1"/>
                <w:color w:val="auto"/>
              </w:rPr>
              <w:t>King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Net revenues from external customers</w:t>
            </w:r>
          </w:p>
        </w:tc>
        <w:tc>
          <w:tcPr>
            <w:tcW w:w="1120" w:type="dxa"/>
            <w:vAlign w:val="bottom"/>
          </w:tcPr>
          <w:p>
            <w:pPr>
              <w:jc w:val="right"/>
              <w:ind w:right="952"/>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52"/>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5"/>
                <w:szCs w:val="15"/>
                <w:color w:val="auto"/>
              </w:rPr>
            </w:pPr>
          </w:p>
        </w:tc>
        <w:tc>
          <w:tcPr>
            <w:tcW w:w="1160" w:type="dxa"/>
            <w:vAlign w:val="bottom"/>
          </w:tcPr>
          <w:p>
            <w:pPr>
              <w:jc w:val="right"/>
              <w:ind w:right="992"/>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w w:val="85"/>
              </w:rPr>
              <w:t>500</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1,101</w:t>
            </w:r>
          </w:p>
        </w:tc>
      </w:tr>
      <w:tr>
        <w:trPr>
          <w:trHeight w:val="21"/>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net revenues (1)</w:t>
            </w:r>
          </w:p>
        </w:tc>
        <w:tc>
          <w:tcPr>
            <w:tcW w:w="1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net revenues</w:t>
            </w:r>
          </w:p>
        </w:tc>
        <w:tc>
          <w:tcPr>
            <w:tcW w:w="1120" w:type="dxa"/>
            <w:vAlign w:val="bottom"/>
            <w:tcBorders>
              <w:top w:val="single" w:sz="8" w:color="auto"/>
              <w:bottom w:val="single" w:sz="8" w:color="auto"/>
            </w:tcBorders>
          </w:tcPr>
          <w:p>
            <w:pPr>
              <w:jc w:val="right"/>
              <w:ind w:right="952"/>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91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9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85"/>
              </w:rPr>
              <w:t>500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1,103</w:t>
            </w:r>
          </w:p>
        </w:tc>
      </w:tr>
      <w:tr>
        <w:trPr>
          <w:trHeight w:val="201"/>
        </w:trPr>
        <w:tc>
          <w:tcPr>
            <w:tcW w:w="5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1120" w:type="dxa"/>
            <w:vAlign w:val="bottom"/>
          </w:tcPr>
          <w:p>
            <w:pPr>
              <w:jc w:val="right"/>
              <w:ind w:right="952"/>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52"/>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1160" w:type="dxa"/>
            <w:vAlign w:val="bottom"/>
          </w:tcPr>
          <w:p>
            <w:pPr>
              <w:jc w:val="right"/>
              <w:ind w:right="992"/>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w w:val="85"/>
              </w:rPr>
              <w:t>194</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294</w:t>
            </w:r>
          </w:p>
        </w:tc>
      </w:tr>
      <w:tr>
        <w:trPr>
          <w:trHeight w:val="430"/>
        </w:trPr>
        <w:tc>
          <w:tcPr>
            <w:tcW w:w="5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 30, 2018</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5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Activision</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2"/>
              <w:spacing w:after="0"/>
              <w:rPr>
                <w:sz w:val="20"/>
                <w:szCs w:val="20"/>
                <w:color w:val="auto"/>
              </w:rPr>
            </w:pPr>
            <w:r>
              <w:rPr>
                <w:rFonts w:ascii="Arial" w:cs="Arial" w:eastAsia="Arial" w:hAnsi="Arial"/>
                <w:sz w:val="14"/>
                <w:szCs w:val="14"/>
                <w:b w:val="1"/>
                <w:bCs w:val="1"/>
                <w:color w:val="auto"/>
              </w:rPr>
              <w:t>Blizzard</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192"/>
              <w:spacing w:after="0"/>
              <w:rPr>
                <w:sz w:val="20"/>
                <w:szCs w:val="20"/>
                <w:color w:val="auto"/>
              </w:rPr>
            </w:pPr>
            <w:r>
              <w:rPr>
                <w:rFonts w:ascii="Arial" w:cs="Arial" w:eastAsia="Arial" w:hAnsi="Arial"/>
                <w:sz w:val="14"/>
                <w:szCs w:val="14"/>
                <w:b w:val="1"/>
                <w:bCs w:val="1"/>
                <w:color w:val="auto"/>
              </w:rPr>
              <w:t>King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Net revenues from external customers</w:t>
            </w:r>
          </w:p>
        </w:tc>
        <w:tc>
          <w:tcPr>
            <w:tcW w:w="1120" w:type="dxa"/>
            <w:vAlign w:val="bottom"/>
          </w:tcPr>
          <w:p>
            <w:pPr>
              <w:jc w:val="right"/>
              <w:ind w:right="952"/>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52"/>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5"/>
                <w:szCs w:val="15"/>
                <w:color w:val="auto"/>
              </w:rPr>
            </w:pPr>
          </w:p>
        </w:tc>
        <w:tc>
          <w:tcPr>
            <w:tcW w:w="1160" w:type="dxa"/>
            <w:vAlign w:val="bottom"/>
          </w:tcPr>
          <w:p>
            <w:pPr>
              <w:jc w:val="right"/>
              <w:ind w:right="992"/>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w w:val="85"/>
              </w:rPr>
              <w:t>506</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1,530</w:t>
            </w:r>
          </w:p>
        </w:tc>
      </w:tr>
      <w:tr>
        <w:trPr>
          <w:trHeight w:val="21"/>
        </w:trPr>
        <w:tc>
          <w:tcPr>
            <w:tcW w:w="5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net revenues (1)</w:t>
            </w:r>
          </w:p>
        </w:tc>
        <w:tc>
          <w:tcPr>
            <w:tcW w:w="1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Segment net revenues</w:t>
            </w:r>
          </w:p>
        </w:tc>
        <w:tc>
          <w:tcPr>
            <w:tcW w:w="1120" w:type="dxa"/>
            <w:vAlign w:val="bottom"/>
            <w:tcBorders>
              <w:top w:val="single" w:sz="8" w:color="auto"/>
              <w:bottom w:val="single" w:sz="8" w:color="auto"/>
            </w:tcBorders>
          </w:tcPr>
          <w:p>
            <w:pPr>
              <w:jc w:val="right"/>
              <w:ind w:right="952"/>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912"/>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92"/>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85"/>
              </w:rPr>
              <w:t>506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1,538</w:t>
            </w:r>
          </w:p>
        </w:tc>
      </w:tr>
      <w:tr>
        <w:trPr>
          <w:trHeight w:val="201"/>
        </w:trPr>
        <w:tc>
          <w:tcPr>
            <w:tcW w:w="5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1120" w:type="dxa"/>
            <w:vAlign w:val="bottom"/>
          </w:tcPr>
          <w:p>
            <w:pPr>
              <w:jc w:val="right"/>
              <w:ind w:right="952"/>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52"/>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5"/>
                <w:szCs w:val="15"/>
                <w:color w:val="auto"/>
              </w:rPr>
            </w:pPr>
          </w:p>
        </w:tc>
        <w:tc>
          <w:tcPr>
            <w:tcW w:w="1060" w:type="dxa"/>
            <w:vAlign w:val="bottom"/>
          </w:tcPr>
          <w:p>
            <w:pPr>
              <w:jc w:val="right"/>
              <w:ind w:right="912"/>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ind w:right="52"/>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1160" w:type="dxa"/>
            <w:vAlign w:val="bottom"/>
          </w:tcPr>
          <w:p>
            <w:pPr>
              <w:jc w:val="right"/>
              <w:ind w:right="992"/>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52"/>
              <w:spacing w:after="0"/>
              <w:rPr>
                <w:sz w:val="20"/>
                <w:szCs w:val="20"/>
                <w:color w:val="auto"/>
              </w:rPr>
            </w:pPr>
            <w:r>
              <w:rPr>
                <w:rFonts w:ascii="Arial" w:cs="Arial" w:eastAsia="Arial" w:hAnsi="Arial"/>
                <w:sz w:val="14"/>
                <w:szCs w:val="14"/>
                <w:color w:val="auto"/>
                <w:w w:val="85"/>
              </w:rPr>
              <w:t>184</w:t>
            </w:r>
          </w:p>
        </w:tc>
        <w:tc>
          <w:tcPr>
            <w:tcW w:w="100" w:type="dxa"/>
            <w:vAlign w:val="bottom"/>
          </w:tcPr>
          <w:p>
            <w:pPr>
              <w:spacing w:after="0"/>
              <w:rPr>
                <w:sz w:val="15"/>
                <w:szCs w:val="15"/>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2"/>
              <w:spacing w:after="0"/>
              <w:rPr>
                <w:sz w:val="20"/>
                <w:szCs w:val="20"/>
                <w:color w:val="auto"/>
              </w:rPr>
            </w:pPr>
            <w:r>
              <w:rPr>
                <w:rFonts w:ascii="Arial" w:cs="Arial" w:eastAsia="Arial" w:hAnsi="Arial"/>
                <w:sz w:val="14"/>
                <w:szCs w:val="14"/>
                <w:color w:val="auto"/>
              </w:rPr>
              <w:t>485</w:t>
            </w:r>
          </w:p>
        </w:tc>
      </w:tr>
      <w:tr>
        <w:trPr>
          <w:trHeight w:val="368"/>
        </w:trPr>
        <w:tc>
          <w:tcPr>
            <w:tcW w:w="5160" w:type="dxa"/>
            <w:vAlign w:val="bottom"/>
          </w:tcPr>
          <w:p>
            <w:pPr>
              <w:spacing w:after="0"/>
              <w:rPr>
                <w:sz w:val="24"/>
                <w:szCs w:val="24"/>
                <w:color w:val="auto"/>
              </w:rPr>
            </w:pPr>
          </w:p>
        </w:tc>
        <w:tc>
          <w:tcPr>
            <w:tcW w:w="1120" w:type="dxa"/>
            <w:vAlign w:val="bottom"/>
          </w:tcPr>
          <w:p>
            <w:pPr>
              <w:jc w:val="right"/>
              <w:ind w:right="412"/>
              <w:spacing w:after="0"/>
              <w:rPr>
                <w:sz w:val="20"/>
                <w:szCs w:val="20"/>
                <w:color w:val="auto"/>
              </w:rPr>
            </w:pPr>
            <w:r>
              <w:rPr>
                <w:rFonts w:ascii="Arial" w:cs="Arial" w:eastAsia="Arial" w:hAnsi="Arial"/>
                <w:sz w:val="14"/>
                <w:szCs w:val="14"/>
                <w:color w:val="auto"/>
              </w:rPr>
              <w:t>23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0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7"/>
        </w:trPr>
        <w:tc>
          <w:tcPr>
            <w:tcW w:w="40" w:type="dxa"/>
            <w:vAlign w:val="bottom"/>
          </w:tcPr>
          <w:p>
            <w:pPr>
              <w:spacing w:after="0"/>
              <w:rPr>
                <w:sz w:val="24"/>
                <w:szCs w:val="24"/>
                <w:color w:val="auto"/>
              </w:rPr>
            </w:pPr>
          </w:p>
        </w:tc>
        <w:tc>
          <w:tcPr>
            <w:tcW w:w="9920" w:type="dxa"/>
            <w:vAlign w:val="bottom"/>
            <w:gridSpan w:val="11"/>
          </w:tcPr>
          <w:p>
            <w:pPr>
              <w:ind w:left="200"/>
              <w:spacing w:after="0"/>
              <w:rPr>
                <w:sz w:val="20"/>
                <w:szCs w:val="20"/>
                <w:color w:val="auto"/>
              </w:rPr>
            </w:pPr>
            <w:r>
              <w:rPr>
                <w:rFonts w:ascii="Arial" w:cs="Arial" w:eastAsia="Arial" w:hAnsi="Arial"/>
                <w:sz w:val="14"/>
                <w:szCs w:val="14"/>
                <w:color w:val="auto"/>
                <w:w w:val="90"/>
              </w:rPr>
              <w:t>Information on reportable segment net revenues and operating income for the nine months ended September 30, 2019 and 2018, are presented below (amounts in millions):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0"/>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 September 30, 2019</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Activision</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Blizzard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King</w:t>
            </w:r>
          </w:p>
        </w:tc>
        <w:tc>
          <w:tcPr>
            <w:tcW w:w="34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0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140" w:type="dxa"/>
            <w:vAlign w:val="bottom"/>
            <w:gridSpan w:val="2"/>
          </w:tcPr>
          <w:p>
            <w:pPr>
              <w:ind w:left="20"/>
              <w:spacing w:after="0"/>
              <w:rPr>
                <w:sz w:val="20"/>
                <w:szCs w:val="20"/>
                <w:color w:val="auto"/>
              </w:rPr>
            </w:pPr>
            <w:r>
              <w:rPr>
                <w:rFonts w:ascii="Arial" w:cs="Arial" w:eastAsia="Arial" w:hAnsi="Arial"/>
                <w:sz w:val="14"/>
                <w:szCs w:val="14"/>
                <w:color w:val="auto"/>
              </w:rPr>
              <w:t>Net revenues from external customers</w:t>
            </w:r>
          </w:p>
        </w:tc>
        <w:tc>
          <w:tcPr>
            <w:tcW w:w="1060" w:type="dxa"/>
            <w:vAlign w:val="bottom"/>
          </w:tcPr>
          <w:p>
            <w:pPr>
              <w:jc w:val="right"/>
              <w:ind w:right="91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15"/>
                <w:szCs w:val="15"/>
                <w:color w:val="auto"/>
              </w:rPr>
            </w:pPr>
          </w:p>
        </w:tc>
        <w:tc>
          <w:tcPr>
            <w:tcW w:w="1000" w:type="dxa"/>
            <w:vAlign w:val="bottom"/>
          </w:tcPr>
          <w:p>
            <w:pPr>
              <w:jc w:val="right"/>
              <w:ind w:right="852"/>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w w:val="91"/>
              </w:rPr>
              <w:t>1,113</w:t>
            </w:r>
          </w:p>
        </w:tc>
        <w:tc>
          <w:tcPr>
            <w:tcW w:w="12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3,434</w:t>
            </w:r>
          </w:p>
        </w:tc>
      </w:tr>
      <w:tr>
        <w:trPr>
          <w:trHeight w:val="21"/>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Intersegment net revenues (1)</w:t>
            </w:r>
          </w:p>
        </w:tc>
        <w:tc>
          <w:tcPr>
            <w:tcW w:w="10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w:t>
            </w:r>
          </w:p>
        </w:tc>
      </w:tr>
      <w:tr>
        <w:trPr>
          <w:trHeight w:val="229"/>
        </w:trPr>
        <w:tc>
          <w:tcPr>
            <w:tcW w:w="40" w:type="dxa"/>
            <w:vAlign w:val="bottom"/>
          </w:tcPr>
          <w:p>
            <w:pPr>
              <w:spacing w:after="0"/>
              <w:rPr>
                <w:sz w:val="19"/>
                <w:szCs w:val="19"/>
                <w:color w:val="auto"/>
              </w:rPr>
            </w:pPr>
          </w:p>
        </w:tc>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Segment net revenues</w:t>
            </w:r>
          </w:p>
        </w:tc>
        <w:tc>
          <w:tcPr>
            <w:tcW w:w="1060" w:type="dxa"/>
            <w:vAlign w:val="bottom"/>
            <w:tcBorders>
              <w:top w:val="single" w:sz="8" w:color="auto"/>
              <w:bottom w:val="single" w:sz="8" w:color="auto"/>
            </w:tcBorders>
          </w:tcPr>
          <w:p>
            <w:pPr>
              <w:jc w:val="right"/>
              <w:ind w:right="912"/>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794</w:t>
            </w:r>
          </w:p>
        </w:tc>
        <w:tc>
          <w:tcPr>
            <w:tcW w:w="1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91"/>
              </w:rPr>
              <w:t>1,122</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1,527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3,443</w:t>
            </w:r>
          </w:p>
        </w:tc>
      </w:tr>
      <w:tr>
        <w:trPr>
          <w:trHeight w:val="201"/>
        </w:trPr>
        <w:tc>
          <w:tcPr>
            <w:tcW w:w="4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3"/>
        </w:trPr>
        <w:tc>
          <w:tcPr>
            <w:tcW w:w="40" w:type="dxa"/>
            <w:vAlign w:val="bottom"/>
          </w:tcPr>
          <w:p>
            <w:pPr>
              <w:spacing w:after="0"/>
              <w:rPr>
                <w:sz w:val="15"/>
                <w:szCs w:val="15"/>
                <w:color w:val="auto"/>
              </w:rPr>
            </w:pPr>
          </w:p>
        </w:tc>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1060" w:type="dxa"/>
            <w:vAlign w:val="bottom"/>
          </w:tcPr>
          <w:p>
            <w:pPr>
              <w:jc w:val="right"/>
              <w:ind w:right="91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1000" w:type="dxa"/>
            <w:vAlign w:val="bottom"/>
          </w:tcPr>
          <w:p>
            <w:pPr>
              <w:jc w:val="right"/>
              <w:ind w:right="852"/>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900</w:t>
            </w:r>
          </w:p>
        </w:tc>
      </w:tr>
      <w:tr>
        <w:trPr>
          <w:trHeight w:val="430"/>
        </w:trPr>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 September 30, 2018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3"/>
        </w:trPr>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Activision</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Blizzard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King</w:t>
            </w:r>
          </w:p>
        </w:tc>
        <w:tc>
          <w:tcPr>
            <w:tcW w:w="340" w:type="dxa"/>
            <w:vAlign w:val="bottom"/>
          </w:tcPr>
          <w:p>
            <w:pPr>
              <w:spacing w:after="0"/>
              <w:rPr>
                <w:sz w:val="15"/>
                <w:szCs w:val="15"/>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0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5140" w:type="dxa"/>
            <w:vAlign w:val="bottom"/>
            <w:gridSpan w:val="2"/>
          </w:tcPr>
          <w:p>
            <w:pPr>
              <w:ind w:left="20"/>
              <w:spacing w:after="0"/>
              <w:rPr>
                <w:sz w:val="20"/>
                <w:szCs w:val="20"/>
                <w:color w:val="auto"/>
              </w:rPr>
            </w:pPr>
            <w:r>
              <w:rPr>
                <w:rFonts w:ascii="Arial" w:cs="Arial" w:eastAsia="Arial" w:hAnsi="Arial"/>
                <w:sz w:val="14"/>
                <w:szCs w:val="14"/>
                <w:color w:val="auto"/>
              </w:rPr>
              <w:t>Net revenues from external customers</w:t>
            </w:r>
          </w:p>
        </w:tc>
        <w:tc>
          <w:tcPr>
            <w:tcW w:w="1060" w:type="dxa"/>
            <w:vAlign w:val="bottom"/>
          </w:tcPr>
          <w:p>
            <w:pPr>
              <w:jc w:val="right"/>
              <w:ind w:right="91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52"/>
              <w:spacing w:after="0"/>
              <w:rPr>
                <w:sz w:val="20"/>
                <w:szCs w:val="20"/>
                <w:color w:val="auto"/>
              </w:rPr>
            </w:pPr>
            <w:r>
              <w:rPr>
                <w:rFonts w:ascii="Arial" w:cs="Arial" w:eastAsia="Arial" w:hAnsi="Arial"/>
                <w:sz w:val="14"/>
                <w:szCs w:val="14"/>
                <w:color w:val="auto"/>
                <w:w w:val="85"/>
              </w:rPr>
              <w:t>1,047</w:t>
            </w:r>
          </w:p>
        </w:tc>
        <w:tc>
          <w:tcPr>
            <w:tcW w:w="120" w:type="dxa"/>
            <w:vAlign w:val="bottom"/>
          </w:tcPr>
          <w:p>
            <w:pPr>
              <w:spacing w:after="0"/>
              <w:rPr>
                <w:sz w:val="15"/>
                <w:szCs w:val="15"/>
                <w:color w:val="auto"/>
              </w:rPr>
            </w:pPr>
          </w:p>
        </w:tc>
        <w:tc>
          <w:tcPr>
            <w:tcW w:w="1000" w:type="dxa"/>
            <w:vAlign w:val="bottom"/>
          </w:tcPr>
          <w:p>
            <w:pPr>
              <w:jc w:val="right"/>
              <w:ind w:right="852"/>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w w:val="91"/>
              </w:rPr>
              <w:t>1,592</w:t>
            </w:r>
          </w:p>
        </w:tc>
        <w:tc>
          <w:tcPr>
            <w:tcW w:w="12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4,181</w:t>
            </w:r>
          </w:p>
        </w:tc>
      </w:tr>
      <w:tr>
        <w:trPr>
          <w:trHeight w:val="21"/>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40" w:type="dxa"/>
            <w:vAlign w:val="bottom"/>
          </w:tcPr>
          <w:p>
            <w:pPr>
              <w:spacing w:after="0"/>
              <w:rPr>
                <w:sz w:val="17"/>
                <w:szCs w:val="17"/>
                <w:color w:val="auto"/>
              </w:rPr>
            </w:pPr>
          </w:p>
        </w:tc>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Intersegment net revenues (1)</w:t>
            </w:r>
          </w:p>
        </w:tc>
        <w:tc>
          <w:tcPr>
            <w:tcW w:w="10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w:t>
            </w:r>
          </w:p>
        </w:tc>
      </w:tr>
      <w:tr>
        <w:trPr>
          <w:trHeight w:val="229"/>
        </w:trPr>
        <w:tc>
          <w:tcPr>
            <w:tcW w:w="40" w:type="dxa"/>
            <w:vAlign w:val="bottom"/>
          </w:tcPr>
          <w:p>
            <w:pPr>
              <w:spacing w:after="0"/>
              <w:rPr>
                <w:sz w:val="19"/>
                <w:szCs w:val="19"/>
                <w:color w:val="auto"/>
              </w:rPr>
            </w:pPr>
          </w:p>
        </w:tc>
        <w:tc>
          <w:tcPr>
            <w:tcW w:w="5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Segment net revenues</w:t>
            </w:r>
          </w:p>
        </w:tc>
        <w:tc>
          <w:tcPr>
            <w:tcW w:w="1060" w:type="dxa"/>
            <w:vAlign w:val="bottom"/>
            <w:tcBorders>
              <w:top w:val="single" w:sz="8" w:color="auto"/>
              <w:bottom w:val="single" w:sz="8" w:color="auto"/>
            </w:tcBorders>
          </w:tcPr>
          <w:p>
            <w:pPr>
              <w:jc w:val="right"/>
              <w:ind w:right="912"/>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85"/>
              </w:rPr>
              <w:t>1,047</w:t>
            </w:r>
          </w:p>
        </w:tc>
        <w:tc>
          <w:tcPr>
            <w:tcW w:w="12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52"/>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91"/>
              </w:rPr>
              <w:t>1,606</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1,542</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4,195</w:t>
            </w:r>
          </w:p>
        </w:tc>
      </w:tr>
      <w:tr>
        <w:trPr>
          <w:trHeight w:val="201"/>
        </w:trPr>
        <w:tc>
          <w:tcPr>
            <w:tcW w:w="40" w:type="dxa"/>
            <w:vAlign w:val="bottom"/>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3"/>
        </w:trPr>
        <w:tc>
          <w:tcPr>
            <w:tcW w:w="40" w:type="dxa"/>
            <w:vAlign w:val="bottom"/>
          </w:tcPr>
          <w:p>
            <w:pPr>
              <w:spacing w:after="0"/>
              <w:rPr>
                <w:sz w:val="15"/>
                <w:szCs w:val="15"/>
                <w:color w:val="auto"/>
              </w:rPr>
            </w:pPr>
          </w:p>
        </w:tc>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 operating income</w:t>
            </w:r>
          </w:p>
        </w:tc>
        <w:tc>
          <w:tcPr>
            <w:tcW w:w="1060" w:type="dxa"/>
            <w:vAlign w:val="bottom"/>
          </w:tcPr>
          <w:p>
            <w:pPr>
              <w:jc w:val="right"/>
              <w:ind w:right="91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5"/>
                <w:szCs w:val="15"/>
                <w:color w:val="auto"/>
              </w:rPr>
            </w:pPr>
          </w:p>
        </w:tc>
        <w:tc>
          <w:tcPr>
            <w:tcW w:w="1000" w:type="dxa"/>
            <w:vAlign w:val="bottom"/>
          </w:tcPr>
          <w:p>
            <w:pPr>
              <w:jc w:val="right"/>
              <w:ind w:right="852"/>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444</w:t>
            </w:r>
          </w:p>
        </w:tc>
        <w:tc>
          <w:tcPr>
            <w:tcW w:w="12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5"/>
                <w:szCs w:val="15"/>
                <w:color w:val="auto"/>
              </w:rPr>
            </w:pPr>
          </w:p>
        </w:tc>
        <w:tc>
          <w:tcPr>
            <w:tcW w:w="340" w:type="dxa"/>
            <w:vAlign w:val="bottom"/>
          </w:tcPr>
          <w:p>
            <w:pPr>
              <w:jc w:val="right"/>
              <w:ind w:right="192"/>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1,275</w:t>
            </w:r>
          </w:p>
        </w:tc>
      </w:tr>
      <w:tr>
        <w:trPr>
          <w:trHeight w:val="348"/>
        </w:trPr>
        <w:tc>
          <w:tcPr>
            <w:tcW w:w="5180" w:type="dxa"/>
            <w:vAlign w:val="bottom"/>
            <w:gridSpan w:val="3"/>
          </w:tcPr>
          <w:p>
            <w:pPr>
              <w:spacing w:after="0"/>
              <w:rPr>
                <w:sz w:val="20"/>
                <w:szCs w:val="20"/>
                <w:color w:val="auto"/>
              </w:rPr>
            </w:pPr>
            <w:r>
              <w:rPr>
                <w:rFonts w:ascii="Arial" w:cs="Arial" w:eastAsia="Arial" w:hAnsi="Arial"/>
                <w:sz w:val="14"/>
                <w:szCs w:val="14"/>
                <w:color w:val="auto"/>
                <w:w w:val="93"/>
              </w:rPr>
              <w:t>(1) Intersegment revenues reflect licensing and service fees charged between segments.</w:t>
            </w: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54" w:lineRule="exact"/>
        <w:rPr>
          <w:sz w:val="20"/>
          <w:szCs w:val="20"/>
          <w:color w:val="auto"/>
        </w:rPr>
      </w:pPr>
    </w:p>
    <w:p>
      <w:pPr>
        <w:ind w:right="520" w:firstLine="245"/>
        <w:spacing w:after="0" w:line="262" w:lineRule="auto"/>
        <w:rPr>
          <w:sz w:val="20"/>
          <w:szCs w:val="20"/>
          <w:color w:val="auto"/>
        </w:rPr>
      </w:pPr>
      <w:r>
        <w:rPr>
          <w:rFonts w:ascii="Arial" w:cs="Arial" w:eastAsia="Arial" w:hAnsi="Arial"/>
          <w:sz w:val="14"/>
          <w:szCs w:val="14"/>
          <w:color w:val="auto"/>
        </w:rPr>
        <w:t>Reconciliations of total segment net revenues and total segment operating income to consolidated net revenues and consolidated income before income tax expense are presented in the table below (amounts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266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6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1"/>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3"/>
        </w:trPr>
        <w:tc>
          <w:tcPr>
            <w:tcW w:w="516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to consolidated net revenues:</w:t>
            </w:r>
          </w:p>
        </w:tc>
        <w:tc>
          <w:tcPr>
            <w:tcW w:w="10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Segment net revenues</w:t>
            </w:r>
          </w:p>
        </w:tc>
        <w:tc>
          <w:tcPr>
            <w:tcW w:w="1000" w:type="dxa"/>
            <w:vAlign w:val="bottom"/>
          </w:tcPr>
          <w:p>
            <w:pPr>
              <w:jc w:val="right"/>
              <w:ind w:right="832"/>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15"/>
                <w:szCs w:val="15"/>
                <w:color w:val="auto"/>
              </w:rPr>
            </w:pPr>
          </w:p>
        </w:tc>
        <w:tc>
          <w:tcPr>
            <w:tcW w:w="1020" w:type="dxa"/>
            <w:vAlign w:val="bottom"/>
          </w:tcPr>
          <w:p>
            <w:pPr>
              <w:jc w:val="right"/>
              <w:ind w:right="872"/>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w w:val="91"/>
              </w:rPr>
              <w:t>1,538</w:t>
            </w:r>
          </w:p>
        </w:tc>
        <w:tc>
          <w:tcPr>
            <w:tcW w:w="100" w:type="dxa"/>
            <w:vAlign w:val="bottom"/>
          </w:tcPr>
          <w:p>
            <w:pPr>
              <w:spacing w:after="0"/>
              <w:rPr>
                <w:sz w:val="15"/>
                <w:szCs w:val="15"/>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3,443</w:t>
            </w:r>
          </w:p>
        </w:tc>
        <w:tc>
          <w:tcPr>
            <w:tcW w:w="100" w:type="dxa"/>
            <w:vAlign w:val="bottom"/>
          </w:tcPr>
          <w:p>
            <w:pPr>
              <w:spacing w:after="0"/>
              <w:rPr>
                <w:sz w:val="15"/>
                <w:szCs w:val="15"/>
                <w:color w:val="auto"/>
              </w:rPr>
            </w:pPr>
          </w:p>
        </w:tc>
        <w:tc>
          <w:tcPr>
            <w:tcW w:w="3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4,195</w:t>
            </w:r>
          </w:p>
        </w:tc>
      </w:tr>
      <w:tr>
        <w:trPr>
          <w:trHeight w:val="21"/>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non-reportable segments (1)</w:t>
            </w:r>
          </w:p>
        </w:tc>
        <w:tc>
          <w:tcPr>
            <w:tcW w:w="10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246</w:t>
            </w: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Net effect from recognition (deferral) of deferred net revenues (2)</w:t>
            </w:r>
          </w:p>
        </w:tc>
        <w:tc>
          <w:tcPr>
            <w:tcW w:w="10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692</w:t>
            </w:r>
          </w:p>
        </w:tc>
      </w:tr>
      <w:tr>
        <w:trPr>
          <w:trHeight w:val="21"/>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Elimination of intersegment revenues (3)</w:t>
            </w:r>
          </w:p>
        </w:tc>
        <w:tc>
          <w:tcPr>
            <w:tcW w:w="10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Consolidated net revenues</w:t>
            </w:r>
          </w:p>
        </w:tc>
        <w:tc>
          <w:tcPr>
            <w:tcW w:w="100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1,282</w:t>
            </w:r>
          </w:p>
        </w:tc>
        <w:tc>
          <w:tcPr>
            <w:tcW w:w="1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91"/>
              </w:rPr>
              <w:t>1,512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4,503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5,119</w:t>
            </w:r>
          </w:p>
        </w:tc>
      </w:tr>
      <w:tr>
        <w:trPr>
          <w:trHeight w:val="191"/>
        </w:trPr>
        <w:tc>
          <w:tcPr>
            <w:tcW w:w="5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Reconciliation to consolidated income before income tax expense:</w:t>
            </w: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Segment operating income</w:t>
            </w:r>
          </w:p>
        </w:tc>
        <w:tc>
          <w:tcPr>
            <w:tcW w:w="1000" w:type="dxa"/>
            <w:vAlign w:val="bottom"/>
            <w:tcBorders>
              <w:bottom w:val="single" w:sz="8" w:color="CCEEFF"/>
            </w:tcBorders>
            <w:shd w:val="clear" w:color="auto" w:fill="CCEEFF"/>
          </w:tcPr>
          <w:p>
            <w:pPr>
              <w:jc w:val="right"/>
              <w:ind w:right="832"/>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294</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1,275</w:t>
            </w: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Operating income (loss) from non-reportable segments (1)</w:t>
            </w:r>
          </w:p>
        </w:tc>
        <w:tc>
          <w:tcPr>
            <w:tcW w:w="100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52"/>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1"/>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3"/>
        </w:trPr>
        <w:tc>
          <w:tcPr>
            <w:tcW w:w="5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Net effect from recognition (deferral) of deferred net revenues and related cost of revenues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5"/>
        </w:trPr>
        <w:tc>
          <w:tcPr>
            <w:tcW w:w="51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(2)</w:t>
            </w:r>
          </w:p>
        </w:tc>
        <w:tc>
          <w:tcPr>
            <w:tcW w:w="10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629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468</w:t>
            </w: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Share-based compensation expense</w:t>
            </w:r>
          </w:p>
        </w:tc>
        <w:tc>
          <w:tcPr>
            <w:tcW w:w="100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1"/>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intangible assets</w:t>
            </w:r>
          </w:p>
        </w:tc>
        <w:tc>
          <w:tcPr>
            <w:tcW w:w="10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Restructuring and related costs (4)</w:t>
            </w:r>
          </w:p>
        </w:tc>
        <w:tc>
          <w:tcPr>
            <w:tcW w:w="100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5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operating income</w:t>
            </w:r>
          </w:p>
        </w:tc>
        <w:tc>
          <w:tcPr>
            <w:tcW w:w="10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265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1,153</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1,294</w:t>
            </w:r>
          </w:p>
        </w:tc>
      </w:tr>
      <w:tr>
        <w:trPr>
          <w:trHeight w:val="183"/>
        </w:trPr>
        <w:tc>
          <w:tcPr>
            <w:tcW w:w="5160" w:type="dxa"/>
            <w:vAlign w:val="bottom"/>
          </w:tcPr>
          <w:p>
            <w:pPr>
              <w:ind w:left="20"/>
              <w:spacing w:after="0"/>
              <w:rPr>
                <w:sz w:val="20"/>
                <w:szCs w:val="20"/>
                <w:color w:val="auto"/>
              </w:rPr>
            </w:pPr>
            <w:r>
              <w:rPr>
                <w:rFonts w:ascii="Arial" w:cs="Arial" w:eastAsia="Arial" w:hAnsi="Arial"/>
                <w:sz w:val="14"/>
                <w:szCs w:val="14"/>
                <w:color w:val="auto"/>
              </w:rPr>
              <w:t>Interest and other expense (income), net</w:t>
            </w:r>
          </w:p>
        </w:tc>
        <w:tc>
          <w:tcPr>
            <w:tcW w:w="1000" w:type="dxa"/>
            <w:vAlign w:val="bottom"/>
          </w:tcPr>
          <w:p>
            <w:pPr>
              <w:spacing w:after="0"/>
              <w:rPr>
                <w:sz w:val="15"/>
                <w:szCs w:val="15"/>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12"/>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67</w:t>
            </w:r>
          </w:p>
        </w:tc>
      </w:tr>
      <w:tr>
        <w:trPr>
          <w:trHeight w:val="21"/>
        </w:trPr>
        <w:tc>
          <w:tcPr>
            <w:tcW w:w="5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extinguishment of debt</w:t>
            </w:r>
          </w:p>
        </w:tc>
        <w:tc>
          <w:tcPr>
            <w:tcW w:w="10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40</w:t>
            </w:r>
          </w:p>
        </w:tc>
      </w:tr>
      <w:tr>
        <w:trPr>
          <w:trHeight w:val="189"/>
        </w:trPr>
        <w:tc>
          <w:tcPr>
            <w:tcW w:w="5160" w:type="dxa"/>
            <w:vAlign w:val="bottom"/>
          </w:tcPr>
          <w:p>
            <w:pPr>
              <w:ind w:left="20"/>
              <w:spacing w:after="0"/>
              <w:rPr>
                <w:sz w:val="20"/>
                <w:szCs w:val="20"/>
                <w:color w:val="auto"/>
              </w:rPr>
            </w:pPr>
            <w:r>
              <w:rPr>
                <w:rFonts w:ascii="Arial" w:cs="Arial" w:eastAsia="Arial" w:hAnsi="Arial"/>
                <w:sz w:val="14"/>
                <w:szCs w:val="14"/>
                <w:color w:val="auto"/>
              </w:rPr>
              <w:t>Consolidated income before income tax expense</w:t>
            </w:r>
          </w:p>
        </w:tc>
        <w:tc>
          <w:tcPr>
            <w:tcW w:w="100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1,186</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1,187</w:t>
            </w: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23"/>
        </w:trPr>
        <w:tc>
          <w:tcPr>
            <w:tcW w:w="5160" w:type="dxa"/>
            <w:vAlign w:val="bottom"/>
          </w:tcPr>
          <w:p>
            <w:pPr>
              <w:spacing w:after="0"/>
              <w:rPr>
                <w:sz w:val="24"/>
                <w:szCs w:val="24"/>
                <w:color w:val="auto"/>
              </w:rPr>
            </w:pPr>
          </w:p>
        </w:tc>
        <w:tc>
          <w:tcPr>
            <w:tcW w:w="1000" w:type="dxa"/>
            <w:vAlign w:val="bottom"/>
          </w:tcPr>
          <w:p>
            <w:pPr>
              <w:jc w:val="right"/>
              <w:ind w:right="292"/>
              <w:spacing w:after="0"/>
              <w:rPr>
                <w:sz w:val="20"/>
                <w:szCs w:val="20"/>
                <w:color w:val="auto"/>
              </w:rPr>
            </w:pPr>
            <w:r>
              <w:rPr>
                <w:rFonts w:ascii="Arial" w:cs="Arial" w:eastAsia="Arial" w:hAnsi="Arial"/>
                <w:sz w:val="14"/>
                <w:szCs w:val="14"/>
                <w:color w:val="auto"/>
              </w:rPr>
              <w:t>24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60"/>
          </w:cols>
          <w:pgMar w:left="220" w:top="111" w:right="21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0" w:lineRule="exact"/>
        <w:rPr>
          <w:sz w:val="20"/>
          <w:szCs w:val="20"/>
          <w:color w:val="auto"/>
        </w:rPr>
      </w:pPr>
    </w:p>
    <w:p>
      <w:pPr>
        <w:ind w:left="240" w:right="100" w:hanging="238"/>
        <w:spacing w:after="0" w:line="262" w:lineRule="auto"/>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other income and expenses from operating segments managed outside the reportable segments, including our Studios and Distribution businesses. Also includes unallocated corporate income and expenses.</w:t>
      </w:r>
    </w:p>
    <w:p>
      <w:pPr>
        <w:spacing w:after="0" w:line="139" w:lineRule="exact"/>
        <w:rPr>
          <w:rFonts w:ascii="Arial" w:cs="Arial" w:eastAsia="Arial" w:hAnsi="Arial"/>
          <w:sz w:val="14"/>
          <w:szCs w:val="14"/>
          <w:color w:val="auto"/>
        </w:rPr>
      </w:pPr>
    </w:p>
    <w:p>
      <w:pPr>
        <w:ind w:left="240" w:hanging="238"/>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the net effect from recognition (deferral) of deferred net revenues, along with related cost of revenues, on certain of our online-enabled products.</w:t>
      </w:r>
    </w:p>
    <w:p>
      <w:pPr>
        <w:spacing w:after="0" w:line="166" w:lineRule="exact"/>
        <w:rPr>
          <w:rFonts w:ascii="Arial" w:cs="Arial" w:eastAsia="Arial" w:hAnsi="Arial"/>
          <w:sz w:val="14"/>
          <w:szCs w:val="14"/>
          <w:color w:val="auto"/>
        </w:rPr>
      </w:pPr>
    </w:p>
    <w:p>
      <w:pPr>
        <w:ind w:left="240" w:hanging="238"/>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Intersegment revenues reflect licensing and service fees charged between segments.</w:t>
      </w:r>
    </w:p>
    <w:p>
      <w:pPr>
        <w:spacing w:after="0" w:line="166" w:lineRule="exact"/>
        <w:rPr>
          <w:rFonts w:ascii="Arial" w:cs="Arial" w:eastAsia="Arial" w:hAnsi="Arial"/>
          <w:sz w:val="14"/>
          <w:szCs w:val="14"/>
          <w:color w:val="auto"/>
        </w:rPr>
      </w:pPr>
    </w:p>
    <w:p>
      <w:pPr>
        <w:ind w:left="240" w:hanging="238"/>
        <w:spacing w:after="0"/>
        <w:tabs>
          <w:tab w:leader="none" w:pos="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restructuring initiatives, primarily severance and other restructuring-related costs.</w:t>
      </w:r>
    </w:p>
    <w:p>
      <w:pPr>
        <w:spacing w:after="0" w:line="166" w:lineRule="exact"/>
        <w:rPr>
          <w:sz w:val="20"/>
          <w:szCs w:val="20"/>
          <w:color w:val="auto"/>
        </w:rPr>
      </w:pPr>
    </w:p>
    <w:p>
      <w:pPr>
        <w:ind w:right="480" w:firstLine="245"/>
        <w:spacing w:after="0" w:line="262" w:lineRule="auto"/>
        <w:rPr>
          <w:sz w:val="20"/>
          <w:szCs w:val="20"/>
          <w:color w:val="auto"/>
        </w:rPr>
      </w:pPr>
      <w:r>
        <w:rPr>
          <w:rFonts w:ascii="Arial" w:cs="Arial" w:eastAsia="Arial" w:hAnsi="Arial"/>
          <w:sz w:val="14"/>
          <w:szCs w:val="14"/>
          <w:color w:val="auto"/>
        </w:rPr>
        <w:t>Net revenues by distribution channel, including a reconciliation to each of our reportable segment’s revenues, for the three months ended September 30, 2019 and 2018, were as follows (amounts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w w:val="87"/>
              </w:rPr>
              <w:t>Three Months Ended September 30, 2019</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Blizzard</w:t>
            </w: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segments</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intersegment revenues (3)</w:t>
            </w: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distribution channel:</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1,014</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93</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175</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1,282</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975</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64</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175</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1,214</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5"/>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82"/>
        </w:trPr>
        <w:tc>
          <w:tcPr>
            <w:tcW w:w="96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ind w:left="80"/>
              <w:spacing w:after="0"/>
              <w:rPr>
                <w:sz w:val="20"/>
                <w:szCs w:val="20"/>
                <w:color w:val="auto"/>
              </w:rPr>
            </w:pPr>
            <w:r>
              <w:rPr>
                <w:rFonts w:ascii="Arial" w:cs="Arial" w:eastAsia="Arial" w:hAnsi="Arial"/>
                <w:sz w:val="14"/>
                <w:szCs w:val="14"/>
                <w:b w:val="1"/>
                <w:bCs w:val="1"/>
                <w:color w:val="auto"/>
                <w:w w:val="87"/>
              </w:rPr>
              <w:t>Three Months Ended September 30, 2018</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Blizzard</w:t>
            </w: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segments</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intersegment revenues (3)</w:t>
            </w: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distribution channel:</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1,276</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76</w:t>
            </w: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160</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538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1,512</w:t>
            </w: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159</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146</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1,435</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w:t>
            </w: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161</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506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1,658</w:t>
            </w: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520" w:firstLine="245"/>
        <w:spacing w:after="0" w:line="262" w:lineRule="auto"/>
        <w:rPr>
          <w:sz w:val="20"/>
          <w:szCs w:val="20"/>
          <w:color w:val="auto"/>
        </w:rPr>
      </w:pPr>
      <w:r>
        <w:rPr>
          <w:rFonts w:ascii="Arial" w:cs="Arial" w:eastAsia="Arial" w:hAnsi="Arial"/>
          <w:sz w:val="14"/>
          <w:szCs w:val="14"/>
          <w:color w:val="auto"/>
        </w:rPr>
        <w:t>Net revenues by distribution channel, including a reconciliation to each of our reportable segment’s revenues, for the nine months ended September 30, 2019 and 2018, were as follows (amounts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5"/>
          </w:tcPr>
          <w:p>
            <w:pPr>
              <w:spacing w:after="0"/>
              <w:rPr>
                <w:sz w:val="20"/>
                <w:szCs w:val="20"/>
                <w:color w:val="auto"/>
              </w:rPr>
            </w:pPr>
            <w:r>
              <w:rPr>
                <w:rFonts w:ascii="Arial" w:cs="Arial" w:eastAsia="Arial" w:hAnsi="Arial"/>
                <w:sz w:val="14"/>
                <w:szCs w:val="14"/>
                <w:b w:val="1"/>
                <w:bCs w:val="1"/>
                <w:color w:val="auto"/>
                <w:w w:val="88"/>
              </w:rPr>
              <w:t>Nine Months Ended September 30, 2019</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24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Blizzard</w:t>
            </w:r>
          </w:p>
        </w:tc>
        <w:tc>
          <w:tcPr>
            <w:tcW w:w="100" w:type="dxa"/>
            <w:vAlign w:val="bottom"/>
          </w:tcPr>
          <w:p>
            <w:pPr>
              <w:spacing w:after="0"/>
              <w:rPr>
                <w:sz w:val="15"/>
                <w:szCs w:val="15"/>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segments</w:t>
            </w: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intersegment revenues (3)</w:t>
            </w: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distribution channel:</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3,493</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548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599</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411</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1,442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1,289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1,527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4,503</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(373)</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3,049</w:t>
            </w:r>
          </w:p>
        </w:tc>
      </w:tr>
      <w:tr>
        <w:trPr>
          <w:trHeight w:val="21"/>
        </w:trPr>
        <w:tc>
          <w:tcPr>
            <w:tcW w:w="3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226</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404</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794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1,527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3,679</w:t>
            </w:r>
          </w:p>
        </w:tc>
      </w:tr>
      <w:tr>
        <w:trPr>
          <w:trHeight w:val="20"/>
        </w:trPr>
        <w:tc>
          <w:tcPr>
            <w:tcW w:w="3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5"/>
        </w:trPr>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60"/>
          </w:cols>
          <w:pgMar w:left="220" w:top="111" w:right="21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582"/>
        </w:trPr>
        <w:tc>
          <w:tcPr>
            <w:tcW w:w="960" w:type="dxa"/>
            <w:vAlign w:val="bottom"/>
            <w:tcBorders>
              <w:top w:val="single" w:sz="8" w:color="0000EE"/>
            </w:tcBorders>
          </w:tcPr>
          <w:p>
            <w:pPr>
              <w:spacing w:after="0"/>
              <w:rPr>
                <w:sz w:val="24"/>
                <w:szCs w:val="24"/>
                <w:color w:val="auto"/>
              </w:rPr>
            </w:pPr>
          </w:p>
        </w:tc>
        <w:tc>
          <w:tcPr>
            <w:tcW w:w="2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60"/>
              <w:spacing w:after="0"/>
              <w:rPr>
                <w:sz w:val="20"/>
                <w:szCs w:val="20"/>
                <w:color w:val="auto"/>
              </w:rPr>
            </w:pPr>
            <w:r>
              <w:rPr>
                <w:rFonts w:ascii="Arial" w:cs="Arial" w:eastAsia="Arial" w:hAnsi="Arial"/>
                <w:sz w:val="14"/>
                <w:szCs w:val="14"/>
                <w:b w:val="1"/>
                <w:bCs w:val="1"/>
                <w:color w:val="auto"/>
                <w:w w:val="91"/>
              </w:rPr>
              <w:t>Nine Months Ended September 30, 2018</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9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9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Blizzard</w:t>
            </w:r>
          </w:p>
        </w:tc>
        <w:tc>
          <w:tcPr>
            <w:tcW w:w="24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segments</w:t>
            </w: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distribution channel:</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1,110</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5"/>
                <w:szCs w:val="15"/>
                <w:color w:val="auto"/>
              </w:rPr>
            </w:pP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1,547</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3,998</w:t>
            </w:r>
          </w:p>
        </w:tc>
      </w:tr>
      <w:tr>
        <w:trPr>
          <w:trHeight w:val="21"/>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707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764</w:t>
            </w:r>
          </w:p>
        </w:tc>
      </w:tr>
      <w:tr>
        <w:trPr>
          <w:trHeight w:val="18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357</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1,817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1,536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1,547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5,119</w:t>
            </w:r>
          </w:p>
        </w:tc>
      </w:tr>
      <w:tr>
        <w:trPr>
          <w:trHeight w:val="20"/>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1"/>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(536)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(546)</w:t>
            </w:r>
          </w:p>
        </w:tc>
      </w:tr>
      <w:tr>
        <w:trPr>
          <w:trHeight w:val="18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14</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Digital online channels (1)</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15"/>
                <w:szCs w:val="15"/>
                <w:color w:val="auto"/>
              </w:rPr>
            </w:pP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3,838</w:t>
            </w:r>
          </w:p>
        </w:tc>
      </w:tr>
      <w:tr>
        <w:trPr>
          <w:trHeight w:val="21"/>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Retail channels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218</w:t>
            </w:r>
          </w:p>
        </w:tc>
      </w:tr>
      <w:tr>
        <w:trPr>
          <w:trHeight w:val="18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371</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1,047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1,606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1,542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246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4,427</w:t>
            </w:r>
          </w:p>
        </w:tc>
      </w:tr>
      <w:tr>
        <w:trPr>
          <w:trHeight w:val="20"/>
        </w:trPr>
        <w:tc>
          <w:tcPr>
            <w:tcW w:w="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left="240" w:hanging="238"/>
        <w:spacing w:after="0"/>
        <w:tabs>
          <w:tab w:leader="none" w:pos="240" w:val="left"/>
        </w:tabs>
        <w:numPr>
          <w:ilvl w:val="0"/>
          <w:numId w:val="8"/>
        </w:numPr>
        <w:rPr>
          <w:rFonts w:ascii="Arial" w:cs="Arial" w:eastAsia="Arial" w:hAnsi="Arial"/>
          <w:sz w:val="12"/>
          <w:szCs w:val="12"/>
          <w:color w:val="auto"/>
        </w:rPr>
      </w:pPr>
      <w:r>
        <w:rPr>
          <w:rFonts w:ascii="Arial" w:cs="Arial" w:eastAsia="Arial" w:hAnsi="Arial"/>
          <w:sz w:val="12"/>
          <w:szCs w:val="12"/>
          <w:color w:val="auto"/>
        </w:rPr>
        <w:t>Net revenues from “Digital online channels” include revenues from digitally-distributed subscriptions, downloadable content, microtransactions, and products, as well as licensing royalties.</w:t>
      </w:r>
    </w:p>
    <w:p>
      <w:pPr>
        <w:spacing w:after="0" w:line="189" w:lineRule="exact"/>
        <w:rPr>
          <w:rFonts w:ascii="Arial" w:cs="Arial" w:eastAsia="Arial" w:hAnsi="Arial"/>
          <w:sz w:val="12"/>
          <w:szCs w:val="12"/>
          <w:color w:val="auto"/>
        </w:rPr>
      </w:pPr>
    </w:p>
    <w:p>
      <w:pPr>
        <w:ind w:left="240" w:hanging="238"/>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revenues from “Other” include revenues from our Studios and Distribution businesses, as well as revenues from MLG and the Overwatch League.</w:t>
      </w:r>
    </w:p>
    <w:p>
      <w:pPr>
        <w:spacing w:after="0" w:line="166" w:lineRule="exact"/>
        <w:rPr>
          <w:rFonts w:ascii="Arial" w:cs="Arial" w:eastAsia="Arial" w:hAnsi="Arial"/>
          <w:sz w:val="14"/>
          <w:szCs w:val="14"/>
          <w:color w:val="auto"/>
        </w:rPr>
      </w:pPr>
    </w:p>
    <w:p>
      <w:pPr>
        <w:ind w:left="240" w:hanging="238"/>
        <w:spacing w:after="0"/>
        <w:tabs>
          <w:tab w:leader="none" w:pos="2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Intersegment revenues reflect licensing and service fees charged between segments.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60"/>
          </w:cols>
          <w:pgMar w:left="220" w:top="111" w:right="21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right="40" w:firstLine="245"/>
        <w:spacing w:after="0" w:line="262" w:lineRule="auto"/>
        <w:rPr>
          <w:sz w:val="20"/>
          <w:szCs w:val="20"/>
          <w:color w:val="auto"/>
        </w:rPr>
      </w:pPr>
      <w:r>
        <w:rPr>
          <w:rFonts w:ascii="Arial" w:cs="Arial" w:eastAsia="Arial" w:hAnsi="Arial"/>
          <w:sz w:val="14"/>
          <w:szCs w:val="14"/>
          <w:color w:val="auto"/>
        </w:rPr>
        <w:t>Geographic information presented below is based on the location of the paying customer. Net revenues by geographic region, including a reconciliation to each of our reportable segment’s net revenues, for the three months ended September 30, 2019 and 2018, were as follows (amounts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w w:val="89"/>
              </w:rPr>
              <w:t>Three Months Ended September 30, 2019</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Blizzard</w:t>
            </w:r>
          </w:p>
        </w:tc>
        <w:tc>
          <w:tcPr>
            <w:tcW w:w="24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segments</w:t>
            </w: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geographic region:</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Americas</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655</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452</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175</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1,282</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Americas</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Americas</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622</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426</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166</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500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1,214</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5"/>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w w:val="89"/>
              </w:rPr>
              <w:t>Three Months Ended September 30, 2018</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Blizzard</w:t>
            </w:r>
          </w:p>
        </w:tc>
        <w:tc>
          <w:tcPr>
            <w:tcW w:w="24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segments</w:t>
            </w: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geographic region:</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Americas</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774</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534</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204</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consolidated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505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1,512</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deferred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Americas</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76</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60</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146</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Americas</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850</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594</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214</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net revenues</w:t>
            </w:r>
          </w:p>
        </w:tc>
        <w:tc>
          <w:tcPr>
            <w:tcW w:w="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397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635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506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1,658</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650"/>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right="40" w:firstLine="245"/>
        <w:spacing w:after="0" w:line="262" w:lineRule="auto"/>
        <w:rPr>
          <w:sz w:val="20"/>
          <w:szCs w:val="20"/>
          <w:color w:val="auto"/>
        </w:rPr>
      </w:pPr>
      <w:r>
        <w:rPr>
          <w:rFonts w:ascii="Arial" w:cs="Arial" w:eastAsia="Arial" w:hAnsi="Arial"/>
          <w:sz w:val="14"/>
          <w:szCs w:val="14"/>
          <w:color w:val="auto"/>
        </w:rPr>
        <w:t>Geographic information presented below is based on the location of the paying customer. Net revenues by geographic region, including a reconciliation to each of our reportable segment’s net revenues, for the nine months ended September 30, 2019 and 2018, were as follows (amounts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9"/>
          </w:tcPr>
          <w:p>
            <w:pPr>
              <w:spacing w:after="0"/>
              <w:rPr>
                <w:sz w:val="20"/>
                <w:szCs w:val="20"/>
                <w:color w:val="auto"/>
              </w:rPr>
            </w:pPr>
            <w:r>
              <w:rPr>
                <w:rFonts w:ascii="Arial" w:cs="Arial" w:eastAsia="Arial" w:hAnsi="Arial"/>
                <w:sz w:val="14"/>
                <w:szCs w:val="14"/>
                <w:b w:val="1"/>
                <w:bCs w:val="1"/>
                <w:color w:val="auto"/>
                <w:w w:val="89"/>
              </w:rPr>
              <w:t>Nine Months Ended September 30, 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Activision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Blizzard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King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2"/>
              </w:rPr>
              <w:t>segments</w:t>
            </w:r>
          </w:p>
        </w:tc>
        <w:tc>
          <w:tcPr>
            <w:tcW w:w="1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intersegment revenues (2)</w:t>
            </w: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geographic region:</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Americas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613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946</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2,406</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457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1,525</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572</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consolidated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1,442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1,289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4,503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deferred revenues:</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Americas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(469)</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Americas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533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947</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1,937</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329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1,240</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502</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segment 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1,122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3,679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425"/>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9"/>
          </w:tcPr>
          <w:p>
            <w:pPr>
              <w:ind w:left="60"/>
              <w:spacing w:after="0"/>
              <w:rPr>
                <w:sz w:val="20"/>
                <w:szCs w:val="20"/>
                <w:color w:val="auto"/>
              </w:rPr>
            </w:pPr>
            <w:r>
              <w:rPr>
                <w:rFonts w:ascii="Arial" w:cs="Arial" w:eastAsia="Arial" w:hAnsi="Arial"/>
                <w:sz w:val="14"/>
                <w:szCs w:val="14"/>
                <w:b w:val="1"/>
                <w:bCs w:val="1"/>
                <w:color w:val="auto"/>
                <w:w w:val="87"/>
              </w:rPr>
              <w:t>Nine Months Ended September 30, 2018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Non-reportable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Activision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Blizzard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King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79"/>
              </w:rPr>
              <w:t>segments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geographic region:</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Americas</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1,074</w:t>
            </w:r>
          </w:p>
        </w:tc>
        <w:tc>
          <w:tcPr>
            <w:tcW w:w="12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5"/>
                <w:szCs w:val="15"/>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945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2,740</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497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448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1,774</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605</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consolidated net revenues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1,817</w:t>
            </w:r>
          </w:p>
        </w:tc>
        <w:tc>
          <w:tcPr>
            <w:tcW w:w="1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233</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5,119</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deferred revenues:</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Americas</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(439)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w w:val="81"/>
              </w:rPr>
              <w:t>(3)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(399)</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1"/>
              </w:rPr>
              <w:t>(2)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1"/>
              </w:rPr>
              <w:t>(5)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Americas</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635</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759</w:t>
            </w:r>
          </w:p>
        </w:tc>
        <w:tc>
          <w:tcPr>
            <w:tcW w:w="100" w:type="dxa"/>
            <w:vAlign w:val="bottom"/>
          </w:tcPr>
          <w:p>
            <w:pPr>
              <w:spacing w:after="0"/>
              <w:rPr>
                <w:sz w:val="15"/>
                <w:szCs w:val="15"/>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2,341</w:t>
            </w: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EMEA (1)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446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233</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1,532</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Asia Pacific</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554</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segment net revenues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w:t>
            </w:r>
          </w:p>
        </w:tc>
        <w:tc>
          <w:tcPr>
            <w:tcW w:w="1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4,427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323"/>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hanging="238"/>
        <w:spacing w:after="0"/>
        <w:tabs>
          <w:tab w:leader="none" w:pos="2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“EMEA” consists of the Europe, Middle East, and Africa geographic regions.</w:t>
      </w:r>
    </w:p>
    <w:p>
      <w:pPr>
        <w:spacing w:after="0" w:line="166" w:lineRule="exact"/>
        <w:rPr>
          <w:rFonts w:ascii="Arial" w:cs="Arial" w:eastAsia="Arial" w:hAnsi="Arial"/>
          <w:sz w:val="14"/>
          <w:szCs w:val="14"/>
          <w:color w:val="auto"/>
        </w:rPr>
      </w:pPr>
    </w:p>
    <w:p>
      <w:pPr>
        <w:ind w:left="240" w:hanging="238"/>
        <w:spacing w:after="0"/>
        <w:tabs>
          <w:tab w:leader="none" w:pos="2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Intersegment revenues reflect licensing and service fees charged between segments.</w:t>
      </w:r>
    </w:p>
    <w:p>
      <w:pPr>
        <w:spacing w:after="0" w:line="166" w:lineRule="exact"/>
        <w:rPr>
          <w:sz w:val="20"/>
          <w:szCs w:val="20"/>
          <w:color w:val="auto"/>
        </w:rPr>
      </w:pPr>
    </w:p>
    <w:p>
      <w:pPr>
        <w:ind w:right="380" w:firstLine="245"/>
        <w:spacing w:after="0" w:line="253" w:lineRule="auto"/>
        <w:rPr>
          <w:sz w:val="20"/>
          <w:szCs w:val="20"/>
          <w:color w:val="auto"/>
        </w:rPr>
      </w:pPr>
      <w:r>
        <w:rPr>
          <w:rFonts w:ascii="Arial" w:cs="Arial" w:eastAsia="Arial" w:hAnsi="Arial"/>
          <w:sz w:val="14"/>
          <w:szCs w:val="14"/>
          <w:color w:val="auto"/>
        </w:rPr>
        <w:t>The Company’s net revenues in the U.S. were 46% of consolidated net revenues for both the three months ended September 30, 2019 and 2018. The Company’s net revenues in the U.K. were 13% of consolidated net revenues for both the three months ended September 30, 2019 and 2018. No other country’s net revenues exceeded 10% of consolidated net revenues for either the three months ended September 30, 2019 or 2018.</w:t>
      </w:r>
    </w:p>
    <w:p>
      <w:pPr>
        <w:spacing w:after="0" w:line="145" w:lineRule="exact"/>
        <w:rPr>
          <w:sz w:val="20"/>
          <w:szCs w:val="20"/>
          <w:color w:val="auto"/>
        </w:rPr>
      </w:pPr>
    </w:p>
    <w:p>
      <w:pPr>
        <w:ind w:firstLine="245"/>
        <w:spacing w:after="0" w:line="253" w:lineRule="auto"/>
        <w:rPr>
          <w:sz w:val="20"/>
          <w:szCs w:val="20"/>
          <w:color w:val="auto"/>
        </w:rPr>
      </w:pPr>
      <w:r>
        <w:rPr>
          <w:rFonts w:ascii="Arial" w:cs="Arial" w:eastAsia="Arial" w:hAnsi="Arial"/>
          <w:sz w:val="14"/>
          <w:szCs w:val="14"/>
          <w:color w:val="auto"/>
        </w:rPr>
        <w:t>The Company’s net revenues in the U.S. were 48% and 47% of consolidated net revenues for the nine months ended September 30, 2019 and 2018, respectively. The Company’s net revenues in the U.K. were 10% and 11% of consolidated net revenues for the nine months ended September 30, 2019 and 2018, respectively. No other country’s net revenues exceeded 10% of consolidated net revenues for either the nine months ended September 30, 2019 or 2018.</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Net revenues by platform, including a reconciliation to each of our reportable segment’s net revenues, for the three months ended September 30, 2019 and 2018, were as follows (amounts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w w:val="89"/>
              </w:rPr>
              <w:t>Three Months Ended September 30, 2019</w:t>
            </w: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62"/>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Elimination of</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8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intersegment revenues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5"/>
        </w:trPr>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Blizzard</w:t>
            </w:r>
          </w:p>
        </w:tc>
        <w:tc>
          <w:tcPr>
            <w:tcW w:w="24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9"/>
              </w:rPr>
              <w:t>segments</w:t>
            </w:r>
          </w:p>
        </w:tc>
        <w:tc>
          <w:tcPr>
            <w:tcW w:w="80" w:type="dxa"/>
            <w:vAlign w:val="bottom"/>
          </w:tcPr>
          <w:p>
            <w:pPr>
              <w:spacing w:after="0"/>
              <w:rPr>
                <w:sz w:val="15"/>
                <w:szCs w:val="15"/>
                <w:color w:val="auto"/>
              </w:rPr>
            </w:pPr>
          </w:p>
        </w:tc>
        <w:tc>
          <w:tcPr>
            <w:tcW w:w="1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Total</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platform:</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Console</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241</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341</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525</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175</w:t>
            </w:r>
          </w:p>
        </w:tc>
      </w:tr>
      <w:tr>
        <w:trPr>
          <w:trHeight w:val="229"/>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consolidated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417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1,282</w:t>
            </w:r>
          </w:p>
        </w:tc>
      </w:tr>
      <w:tr>
        <w:trPr>
          <w:trHeight w:val="222"/>
        </w:trPr>
        <w:tc>
          <w:tcPr>
            <w:tcW w:w="3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Change in deferred revenues: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Console</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PC</w:t>
            </w:r>
          </w:p>
        </w:tc>
        <w:tc>
          <w:tcPr>
            <w:tcW w:w="20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Mobile and ancillary (1)</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3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9"/>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Console</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196</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320</w:t>
            </w: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523</w:t>
            </w:r>
          </w:p>
        </w:tc>
      </w:tr>
      <w:tr>
        <w:trPr>
          <w:trHeight w:val="21"/>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175</w:t>
            </w:r>
          </w:p>
        </w:tc>
      </w:tr>
      <w:tr>
        <w:trPr>
          <w:trHeight w:val="189"/>
        </w:trPr>
        <w:tc>
          <w:tcPr>
            <w:tcW w:w="3900" w:type="dxa"/>
            <w:vAlign w:val="bottom"/>
          </w:tcPr>
          <w:p>
            <w:pPr>
              <w:ind w:left="20"/>
              <w:spacing w:after="0"/>
              <w:rPr>
                <w:sz w:val="20"/>
                <w:szCs w:val="20"/>
                <w:color w:val="auto"/>
              </w:rPr>
            </w:pPr>
            <w:r>
              <w:rPr>
                <w:rFonts w:ascii="Arial" w:cs="Arial" w:eastAsia="Arial" w:hAnsi="Arial"/>
                <w:sz w:val="14"/>
                <w:szCs w:val="14"/>
                <w:color w:val="auto"/>
              </w:rPr>
              <w:t>Total segment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1,214</w:t>
            </w:r>
          </w:p>
        </w:tc>
      </w:tr>
      <w:tr>
        <w:trPr>
          <w:trHeight w:val="20"/>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87"/>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492"/>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80"/>
        </w:trPr>
        <w:tc>
          <w:tcPr>
            <w:tcW w:w="96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ind w:left="80"/>
              <w:spacing w:after="0"/>
              <w:rPr>
                <w:sz w:val="20"/>
                <w:szCs w:val="20"/>
                <w:color w:val="auto"/>
              </w:rPr>
            </w:pPr>
            <w:r>
              <w:rPr>
                <w:rFonts w:ascii="Arial" w:cs="Arial" w:eastAsia="Arial" w:hAnsi="Arial"/>
                <w:sz w:val="14"/>
                <w:szCs w:val="14"/>
                <w:b w:val="1"/>
                <w:bCs w:val="1"/>
                <w:color w:val="auto"/>
                <w:w w:val="87"/>
              </w:rPr>
              <w:t>Three Months Ended September 30, 2018</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2"/>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Elimination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9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Blizzard</w:t>
            </w:r>
          </w:p>
        </w:tc>
        <w:tc>
          <w:tcPr>
            <w:tcW w:w="22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segments</w:t>
            </w:r>
          </w:p>
        </w:tc>
        <w:tc>
          <w:tcPr>
            <w:tcW w:w="100" w:type="dxa"/>
            <w:vAlign w:val="bottom"/>
          </w:tcPr>
          <w:p>
            <w:pPr>
              <w:spacing w:after="0"/>
              <w:rPr>
                <w:sz w:val="15"/>
                <w:szCs w:val="15"/>
                <w:color w:val="auto"/>
              </w:rPr>
            </w:pPr>
          </w:p>
        </w:tc>
        <w:tc>
          <w:tcPr>
            <w:tcW w:w="1400" w:type="dxa"/>
            <w:vAlign w:val="bottom"/>
          </w:tcPr>
          <w:p>
            <w:pPr>
              <w:jc w:val="center"/>
              <w:ind w:right="32"/>
              <w:spacing w:after="0"/>
              <w:rPr>
                <w:sz w:val="20"/>
                <w:szCs w:val="20"/>
                <w:color w:val="auto"/>
              </w:rPr>
            </w:pPr>
            <w:r>
              <w:rPr>
                <w:rFonts w:ascii="Arial" w:cs="Arial" w:eastAsia="Arial" w:hAnsi="Arial"/>
                <w:sz w:val="14"/>
                <w:szCs w:val="14"/>
                <w:b w:val="1"/>
                <w:bCs w:val="1"/>
                <w:color w:val="auto"/>
                <w:w w:val="81"/>
              </w:rPr>
              <w:t>(3)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platform:</w:t>
            </w: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Console</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347</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482</w:t>
            </w: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523</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160</w:t>
            </w:r>
          </w:p>
        </w:tc>
      </w:tr>
      <w:tr>
        <w:trPr>
          <w:trHeight w:val="229"/>
        </w:trPr>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consolidated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538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505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1,512</w:t>
            </w:r>
          </w:p>
        </w:tc>
      </w:tr>
      <w:tr>
        <w:trPr>
          <w:trHeight w:val="222"/>
        </w:trPr>
        <w:tc>
          <w:tcPr>
            <w:tcW w:w="96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Change in deferred revenues: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Console</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PC</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117</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Mobile and ancillary (1)</w:t>
            </w: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w:t>
            </w: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146</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Console</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367</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PC</w:t>
            </w: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515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599</w:t>
            </w:r>
          </w:p>
        </w:tc>
      </w:tr>
      <w:tr>
        <w:trPr>
          <w:trHeight w:val="183"/>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Mobile and ancillary (1)</w:t>
            </w:r>
          </w:p>
        </w:tc>
        <w:tc>
          <w:tcPr>
            <w:tcW w:w="200" w:type="dxa"/>
            <w:vAlign w:val="bottom"/>
          </w:tcPr>
          <w:p>
            <w:pPr>
              <w:spacing w:after="0"/>
              <w:rPr>
                <w:sz w:val="15"/>
                <w:szCs w:val="15"/>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531</w:t>
            </w:r>
          </w:p>
        </w:tc>
      </w:tr>
      <w:tr>
        <w:trPr>
          <w:trHeight w:val="21"/>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(2)</w:t>
            </w: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161</w:t>
            </w:r>
          </w:p>
        </w:tc>
      </w:tr>
      <w:tr>
        <w:trPr>
          <w:trHeight w:val="189"/>
        </w:trPr>
        <w:tc>
          <w:tcPr>
            <w:tcW w:w="3780" w:type="dxa"/>
            <w:vAlign w:val="bottom"/>
            <w:gridSpan w:val="2"/>
          </w:tcPr>
          <w:p>
            <w:pPr>
              <w:ind w:left="20"/>
              <w:spacing w:after="0"/>
              <w:rPr>
                <w:sz w:val="20"/>
                <w:szCs w:val="20"/>
                <w:color w:val="auto"/>
              </w:rPr>
            </w:pPr>
            <w:r>
              <w:rPr>
                <w:rFonts w:ascii="Arial" w:cs="Arial" w:eastAsia="Arial" w:hAnsi="Arial"/>
                <w:sz w:val="14"/>
                <w:szCs w:val="14"/>
                <w:color w:val="auto"/>
              </w:rPr>
              <w:t>Total segment net revenues</w:t>
            </w: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1,658</w:t>
            </w:r>
          </w:p>
        </w:tc>
      </w:tr>
      <w:tr>
        <w:trPr>
          <w:trHeight w:val="20"/>
        </w:trPr>
        <w:tc>
          <w:tcPr>
            <w:tcW w:w="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50"/>
        </w:trPr>
        <w:tc>
          <w:tcPr>
            <w:tcW w:w="9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60"/>
          </w:cols>
          <w:pgMar w:left="220" w:top="111" w:right="21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Net revenues by platform, including a reconciliation to each of our reportable segment’s net revenues, for the nine months ended September 30, 2019 and 2018, were as follows (amounts in millions):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w w:val="88"/>
              </w:rPr>
              <w:t>Nine Months Ended September 30, 2019</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2"/>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Elimination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3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Blizzard</w:t>
            </w:r>
          </w:p>
        </w:tc>
        <w:tc>
          <w:tcPr>
            <w:tcW w:w="8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segments</w:t>
            </w: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platform:</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Console</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1,222</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1,324</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PC</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909</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1,196</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Mobile and ancillary (1)</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1,435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1,572</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(2)</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411</w:t>
            </w:r>
          </w:p>
        </w:tc>
      </w:tr>
      <w:tr>
        <w:trPr>
          <w:trHeight w:val="229"/>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consolidated net revenues</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1,442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1,289</w:t>
            </w:r>
          </w:p>
        </w:tc>
        <w:tc>
          <w:tcPr>
            <w:tcW w:w="1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1,527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254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4,503</w:t>
            </w:r>
          </w:p>
        </w:tc>
      </w:tr>
      <w:tr>
        <w:trPr>
          <w:trHeight w:val="222"/>
        </w:trPr>
        <w:tc>
          <w:tcPr>
            <w:tcW w:w="3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Change in deferred revenues: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Console</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(563)</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(589)</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PC</w:t>
            </w:r>
          </w:p>
        </w:tc>
        <w:tc>
          <w:tcPr>
            <w:tcW w:w="18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(218)</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Mobile and ancillary (1)</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Other (2)</w:t>
            </w:r>
          </w:p>
        </w:tc>
        <w:tc>
          <w:tcPr>
            <w:tcW w:w="1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(7)</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(648)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(824)</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3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Console</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735</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PC</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978</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rPr>
              <w:t>Mobile and ancillary (1)</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1,562</w:t>
            </w:r>
          </w:p>
        </w:tc>
      </w:tr>
      <w:tr>
        <w:trPr>
          <w:trHeight w:val="21"/>
        </w:trPr>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(2)</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404</w:t>
            </w:r>
          </w:p>
        </w:tc>
      </w:tr>
      <w:tr>
        <w:trPr>
          <w:trHeight w:val="189"/>
        </w:trPr>
        <w:tc>
          <w:tcPr>
            <w:tcW w:w="3780" w:type="dxa"/>
            <w:vAlign w:val="bottom"/>
          </w:tcPr>
          <w:p>
            <w:pPr>
              <w:ind w:left="20"/>
              <w:spacing w:after="0"/>
              <w:rPr>
                <w:sz w:val="20"/>
                <w:szCs w:val="20"/>
                <w:color w:val="auto"/>
              </w:rPr>
            </w:pPr>
            <w:r>
              <w:rPr>
                <w:rFonts w:ascii="Arial" w:cs="Arial" w:eastAsia="Arial" w:hAnsi="Arial"/>
                <w:sz w:val="14"/>
                <w:szCs w:val="14"/>
                <w:color w:val="auto"/>
              </w:rPr>
              <w:t>Total segment net revenues</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1,122</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1,527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3,679</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87"/>
        </w:trPr>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72"/>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80"/>
        </w:trPr>
        <w:tc>
          <w:tcPr>
            <w:tcW w:w="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b w:val="1"/>
                <w:bCs w:val="1"/>
                <w:color w:val="auto"/>
                <w:w w:val="88"/>
              </w:rPr>
              <w:t>Nine Months Ended September 30, 2018</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Elimination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Non-reportable</w:t>
            </w: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intersegment revenues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Activision</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Blizzard</w:t>
            </w:r>
          </w:p>
        </w:tc>
        <w:tc>
          <w:tcPr>
            <w:tcW w:w="80" w:type="dxa"/>
            <w:vAlign w:val="bottom"/>
          </w:tcPr>
          <w:p>
            <w:pPr>
              <w:spacing w:after="0"/>
              <w:rPr>
                <w:sz w:val="15"/>
                <w:szCs w:val="15"/>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King</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segments</w:t>
            </w:r>
          </w:p>
        </w:tc>
        <w:tc>
          <w:tcPr>
            <w:tcW w:w="200" w:type="dxa"/>
            <w:vAlign w:val="bottom"/>
          </w:tcPr>
          <w:p>
            <w:pPr>
              <w:spacing w:after="0"/>
              <w:rPr>
                <w:sz w:val="15"/>
                <w:szCs w:val="15"/>
                <w:color w:val="auto"/>
              </w:rPr>
            </w:pPr>
          </w:p>
        </w:tc>
        <w:tc>
          <w:tcPr>
            <w:tcW w:w="128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1"/>
        </w:trPr>
        <w:tc>
          <w:tcPr>
            <w:tcW w:w="20" w:type="dxa"/>
            <w:vAlign w:val="bottom"/>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 by platform:</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Console</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1,730</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PC</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1,140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1,452</w:t>
            </w: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Mobile and ancillary (1)</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1,580</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(2)</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357</w:t>
            </w:r>
          </w:p>
        </w:tc>
      </w:tr>
      <w:tr>
        <w:trPr>
          <w:trHeight w:val="229"/>
        </w:trPr>
        <w:tc>
          <w:tcPr>
            <w:tcW w:w="20" w:type="dxa"/>
            <w:vAlign w:val="bottom"/>
          </w:tcPr>
          <w:p>
            <w:pPr>
              <w:spacing w:after="0"/>
              <w:rPr>
                <w:sz w:val="19"/>
                <w:szCs w:val="19"/>
                <w:color w:val="auto"/>
              </w:rPr>
            </w:pPr>
          </w:p>
        </w:tc>
        <w:tc>
          <w:tcPr>
            <w:tcW w:w="3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consolidated net revenues</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1,817</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1,536</w:t>
            </w:r>
          </w:p>
        </w:tc>
        <w:tc>
          <w:tcPr>
            <w:tcW w:w="1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1,547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5,119</w:t>
            </w:r>
          </w:p>
        </w:tc>
      </w:tr>
      <w:tr>
        <w:trPr>
          <w:trHeight w:val="222"/>
        </w:trPr>
        <w:tc>
          <w:tcPr>
            <w:tcW w:w="20" w:type="dxa"/>
            <w:vAlign w:val="bottom"/>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Change in deferred revenues:</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Console</w:t>
            </w: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(695)</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(720)</w:t>
            </w: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PC</w:t>
            </w:r>
          </w:p>
        </w:tc>
        <w:tc>
          <w:tcPr>
            <w:tcW w:w="180" w:type="dxa"/>
            <w:vAlign w:val="bottom"/>
          </w:tcPr>
          <w:p>
            <w:pPr>
              <w:spacing w:after="0"/>
              <w:rPr>
                <w:sz w:val="15"/>
                <w:szCs w:val="15"/>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20</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Mobile and ancillary (1)</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w:t>
            </w: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Other (2)</w:t>
            </w:r>
          </w:p>
        </w:tc>
        <w:tc>
          <w:tcPr>
            <w:tcW w:w="1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14</w:t>
            </w:r>
          </w:p>
        </w:tc>
      </w:tr>
      <w:tr>
        <w:trPr>
          <w:trHeight w:val="21"/>
        </w:trPr>
        <w:tc>
          <w:tcPr>
            <w:tcW w:w="20" w:type="dxa"/>
            <w:vAlign w:val="bottom"/>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change in deferred revenues</w:t>
            </w:r>
          </w:p>
        </w:tc>
        <w:tc>
          <w:tcPr>
            <w:tcW w:w="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(692)</w:t>
            </w: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Segment net revenues:</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Console</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1,010</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PC</w:t>
            </w:r>
          </w:p>
        </w:tc>
        <w:tc>
          <w:tcPr>
            <w:tcW w:w="1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1,236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1,472</w:t>
            </w:r>
          </w:p>
        </w:tc>
      </w:tr>
      <w:tr>
        <w:trPr>
          <w:trHeight w:val="183"/>
        </w:trPr>
        <w:tc>
          <w:tcPr>
            <w:tcW w:w="20" w:type="dxa"/>
            <w:vAlign w:val="bottom"/>
          </w:tcPr>
          <w:p>
            <w:pPr>
              <w:spacing w:after="0"/>
              <w:rPr>
                <w:sz w:val="15"/>
                <w:szCs w:val="15"/>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Mobile and ancillary (1)</w:t>
            </w:r>
          </w:p>
        </w:tc>
        <w:tc>
          <w:tcPr>
            <w:tcW w:w="180" w:type="dxa"/>
            <w:vAlign w:val="bottom"/>
          </w:tcPr>
          <w:p>
            <w:pPr>
              <w:spacing w:after="0"/>
              <w:rPr>
                <w:sz w:val="15"/>
                <w:szCs w:val="15"/>
                <w:color w:val="auto"/>
              </w:rPr>
            </w:pPr>
          </w:p>
        </w:tc>
        <w:tc>
          <w:tcPr>
            <w:tcW w:w="98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1,574</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(2)</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371</w:t>
            </w:r>
          </w:p>
        </w:tc>
      </w:tr>
      <w:tr>
        <w:trPr>
          <w:trHeight w:val="189"/>
        </w:trPr>
        <w:tc>
          <w:tcPr>
            <w:tcW w:w="20" w:type="dxa"/>
            <w:vAlign w:val="bottom"/>
          </w:tcPr>
          <w:p>
            <w:pPr>
              <w:spacing w:after="0"/>
              <w:rPr>
                <w:sz w:val="16"/>
                <w:szCs w:val="16"/>
                <w:color w:val="auto"/>
              </w:rPr>
            </w:pP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Total segment net revenues</w:t>
            </w: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1,047</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4,427</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8"/>
        <w:spacing w:after="0"/>
        <w:tabs>
          <w:tab w:leader="none" w:pos="2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Net revenues from “Mobile and ancillary” include revenues from mobile devices, as well as non-platform specific game-related revenues, such as standalone sales of physical merchandise and accessories.</w:t>
      </w:r>
    </w:p>
    <w:p>
      <w:pPr>
        <w:spacing w:after="0" w:line="189" w:lineRule="exact"/>
        <w:rPr>
          <w:rFonts w:ascii="Arial" w:cs="Arial" w:eastAsia="Arial" w:hAnsi="Arial"/>
          <w:sz w:val="12"/>
          <w:szCs w:val="12"/>
          <w:color w:val="auto"/>
        </w:rPr>
      </w:pPr>
    </w:p>
    <w:p>
      <w:pPr>
        <w:ind w:left="240" w:hanging="238"/>
        <w:spacing w:after="0"/>
        <w:tabs>
          <w:tab w:leader="none" w:pos="2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revenues from “Other” include revenues from our Studios and Distribution businesses, as well as revenues from MLG and the Overwatch League.</w:t>
      </w:r>
    </w:p>
    <w:p>
      <w:pPr>
        <w:spacing w:after="0" w:line="166" w:lineRule="exact"/>
        <w:rPr>
          <w:rFonts w:ascii="Arial" w:cs="Arial" w:eastAsia="Arial" w:hAnsi="Arial"/>
          <w:sz w:val="14"/>
          <w:szCs w:val="14"/>
          <w:color w:val="auto"/>
        </w:rPr>
      </w:pPr>
    </w:p>
    <w:p>
      <w:pPr>
        <w:ind w:left="240" w:right="6640" w:hanging="238"/>
        <w:spacing w:after="0" w:line="531" w:lineRule="auto"/>
        <w:tabs>
          <w:tab w:leader="none" w:pos="2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Intersegment revenues reflect licensing and service fees charged between segments. Long-lived assets by geographic region were as follows (amounts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40" w:type="dxa"/>
            <w:vAlign w:val="bottom"/>
          </w:tcPr>
          <w:p>
            <w:pPr>
              <w:spacing w:after="0"/>
              <w:rPr>
                <w:sz w:val="15"/>
                <w:szCs w:val="15"/>
                <w:color w:val="auto"/>
              </w:rPr>
            </w:pPr>
          </w:p>
        </w:tc>
        <w:tc>
          <w:tcPr>
            <w:tcW w:w="1980" w:type="dxa"/>
            <w:vAlign w:val="bottom"/>
          </w:tcPr>
          <w:p>
            <w:pPr>
              <w:jc w:val="right"/>
              <w:ind w:right="52"/>
              <w:spacing w:after="0"/>
              <w:rPr>
                <w:sz w:val="20"/>
                <w:szCs w:val="20"/>
                <w:color w:val="auto"/>
              </w:rPr>
            </w:pPr>
            <w:r>
              <w:rPr>
                <w:rFonts w:ascii="Arial" w:cs="Arial" w:eastAsia="Arial" w:hAnsi="Arial"/>
                <w:sz w:val="14"/>
                <w:szCs w:val="14"/>
                <w:b w:val="1"/>
                <w:bCs w:val="1"/>
                <w:color w:val="auto"/>
              </w:rPr>
              <w:t>At September 30, 2019</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tcPr>
          <w:p>
            <w:pPr>
              <w:jc w:val="right"/>
              <w:ind w:right="492"/>
              <w:spacing w:after="0"/>
              <w:rPr>
                <w:sz w:val="20"/>
                <w:szCs w:val="20"/>
                <w:color w:val="auto"/>
              </w:rPr>
            </w:pPr>
            <w:r>
              <w:rPr>
                <w:rFonts w:ascii="Arial" w:cs="Arial" w:eastAsia="Arial" w:hAnsi="Arial"/>
                <w:sz w:val="14"/>
                <w:szCs w:val="14"/>
                <w:b w:val="1"/>
                <w:bCs w:val="1"/>
                <w:color w:val="auto"/>
              </w:rPr>
              <w:t>At December 31, 2018</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65"/>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Long-lived assets (1) by geographic region:</w:t>
            </w:r>
          </w:p>
        </w:tc>
        <w:tc>
          <w:tcPr>
            <w:tcW w:w="19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060" w:type="dxa"/>
            <w:vAlign w:val="bottom"/>
            <w:tcBorders>
              <w:bottom w:val="single" w:sz="8" w:color="CCEEFF"/>
            </w:tcBorders>
            <w:shd w:val="clear" w:color="auto" w:fill="CCEEFF"/>
          </w:tcPr>
          <w:p>
            <w:pPr>
              <w:spacing w:after="0"/>
              <w:rPr>
                <w:sz w:val="14"/>
                <w:szCs w:val="14"/>
                <w:color w:val="auto"/>
              </w:rPr>
            </w:pPr>
          </w:p>
        </w:tc>
      </w:tr>
      <w:tr>
        <w:trPr>
          <w:trHeight w:val="183"/>
        </w:trPr>
        <w:tc>
          <w:tcPr>
            <w:tcW w:w="6540" w:type="dxa"/>
            <w:vAlign w:val="bottom"/>
          </w:tcPr>
          <w:p>
            <w:pPr>
              <w:ind w:left="120"/>
              <w:spacing w:after="0"/>
              <w:rPr>
                <w:sz w:val="20"/>
                <w:szCs w:val="20"/>
                <w:color w:val="auto"/>
              </w:rPr>
            </w:pPr>
            <w:r>
              <w:rPr>
                <w:rFonts w:ascii="Arial" w:cs="Arial" w:eastAsia="Arial" w:hAnsi="Arial"/>
                <w:sz w:val="14"/>
                <w:szCs w:val="14"/>
                <w:color w:val="auto"/>
              </w:rPr>
              <w:t>Americas</w:t>
            </w:r>
          </w:p>
        </w:tc>
        <w:tc>
          <w:tcPr>
            <w:tcW w:w="1980" w:type="dxa"/>
            <w:vAlign w:val="bottom"/>
          </w:tcPr>
          <w:p>
            <w:pPr>
              <w:jc w:val="right"/>
              <w:ind w:right="1832"/>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5"/>
                <w:szCs w:val="15"/>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2060" w:type="dxa"/>
            <w:vAlign w:val="bottom"/>
          </w:tcPr>
          <w:p>
            <w:pPr>
              <w:jc w:val="right"/>
              <w:ind w:right="32"/>
              <w:spacing w:after="0"/>
              <w:rPr>
                <w:sz w:val="20"/>
                <w:szCs w:val="20"/>
                <w:color w:val="auto"/>
              </w:rPr>
            </w:pPr>
            <w:r>
              <w:rPr>
                <w:rFonts w:ascii="Arial" w:cs="Arial" w:eastAsia="Arial" w:hAnsi="Arial"/>
                <w:sz w:val="14"/>
                <w:szCs w:val="14"/>
                <w:color w:val="auto"/>
              </w:rPr>
              <w:t>203</w:t>
            </w:r>
          </w:p>
        </w:tc>
      </w:tr>
      <w:tr>
        <w:trPr>
          <w:trHeight w:val="21"/>
        </w:trPr>
        <w:tc>
          <w:tcPr>
            <w:tcW w:w="6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85"/>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EMEA</w:t>
            </w:r>
          </w:p>
        </w:tc>
        <w:tc>
          <w:tcPr>
            <w:tcW w:w="19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62</w:t>
            </w:r>
          </w:p>
        </w:tc>
      </w:tr>
      <w:tr>
        <w:trPr>
          <w:trHeight w:val="183"/>
        </w:trPr>
        <w:tc>
          <w:tcPr>
            <w:tcW w:w="6540" w:type="dxa"/>
            <w:vAlign w:val="bottom"/>
          </w:tcPr>
          <w:p>
            <w:pPr>
              <w:ind w:left="120"/>
              <w:spacing w:after="0"/>
              <w:rPr>
                <w:sz w:val="20"/>
                <w:szCs w:val="20"/>
                <w:color w:val="auto"/>
              </w:rPr>
            </w:pPr>
            <w:r>
              <w:rPr>
                <w:rFonts w:ascii="Arial" w:cs="Arial" w:eastAsia="Arial" w:hAnsi="Arial"/>
                <w:sz w:val="14"/>
                <w:szCs w:val="14"/>
                <w:color w:val="auto"/>
              </w:rPr>
              <w:t>Asia Pacific</w:t>
            </w:r>
          </w:p>
        </w:tc>
        <w:tc>
          <w:tcPr>
            <w:tcW w:w="198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60" w:type="dxa"/>
            <w:vAlign w:val="bottom"/>
          </w:tcPr>
          <w:p>
            <w:pPr>
              <w:jc w:val="right"/>
              <w:ind w:right="32"/>
              <w:spacing w:after="0"/>
              <w:rPr>
                <w:sz w:val="20"/>
                <w:szCs w:val="20"/>
                <w:color w:val="auto"/>
              </w:rPr>
            </w:pPr>
            <w:r>
              <w:rPr>
                <w:rFonts w:ascii="Arial" w:cs="Arial" w:eastAsia="Arial" w:hAnsi="Arial"/>
                <w:sz w:val="14"/>
                <w:szCs w:val="14"/>
                <w:color w:val="auto"/>
              </w:rPr>
              <w:t>17</w:t>
            </w:r>
          </w:p>
        </w:tc>
      </w:tr>
      <w:tr>
        <w:trPr>
          <w:trHeight w:val="21"/>
        </w:trPr>
        <w:tc>
          <w:tcPr>
            <w:tcW w:w="654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89"/>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long-lived assets by geographic region</w:t>
            </w:r>
          </w:p>
        </w:tc>
        <w:tc>
          <w:tcPr>
            <w:tcW w:w="1980" w:type="dxa"/>
            <w:vAlign w:val="bottom"/>
            <w:tcBorders>
              <w:bottom w:val="single" w:sz="8" w:color="auto"/>
            </w:tcBorders>
            <w:shd w:val="clear" w:color="auto" w:fill="CCEEFF"/>
          </w:tcPr>
          <w:p>
            <w:pPr>
              <w:jc w:val="right"/>
              <w:ind w:right="1832"/>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249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282</w:t>
            </w:r>
          </w:p>
        </w:tc>
      </w:tr>
      <w:tr>
        <w:trPr>
          <w:trHeight w:val="20"/>
        </w:trPr>
        <w:tc>
          <w:tcPr>
            <w:tcW w:w="654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40" w:hanging="238"/>
        <w:spacing w:after="0"/>
        <w:tabs>
          <w:tab w:leader="none" w:pos="2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only long-lived assets that we classify by region are our long-term tangible fixed assets, which consist of property, plant, and equipment assets; all other long-term assets are not allocated by location.</w:t>
      </w:r>
    </w:p>
    <w:p>
      <w:pPr>
        <w:spacing w:after="0" w:line="373" w:lineRule="exact"/>
        <w:rPr>
          <w:rFonts w:ascii="Arial" w:cs="Arial" w:eastAsia="Arial" w:hAnsi="Arial"/>
          <w:sz w:val="12"/>
          <w:szCs w:val="12"/>
          <w:color w:val="auto"/>
        </w:rPr>
      </w:pPr>
    </w:p>
    <w:p>
      <w:pPr>
        <w:ind w:left="5660"/>
        <w:spacing w:after="0"/>
        <w:rPr>
          <w:rFonts w:ascii="Arial" w:cs="Arial" w:eastAsia="Arial" w:hAnsi="Arial"/>
          <w:sz w:val="12"/>
          <w:szCs w:val="12"/>
          <w:color w:val="auto"/>
        </w:rPr>
      </w:pPr>
      <w:r>
        <w:rPr>
          <w:rFonts w:ascii="Arial" w:cs="Arial" w:eastAsia="Arial" w:hAnsi="Arial"/>
          <w:sz w:val="14"/>
          <w:szCs w:val="14"/>
          <w:color w:val="auto"/>
        </w:rPr>
        <w:t>33</w:t>
      </w:r>
    </w:p>
    <w:p>
      <w:pPr>
        <w:sectPr>
          <w:pgSz w:w="11900" w:h="16838" w:orient="portrait"/>
          <w:cols w:equalWidth="0" w:num="1">
            <w:col w:w="11460"/>
          </w:cols>
          <w:pgMar w:left="220" w:top="111" w:right="2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Restructuring</w:t>
      </w:r>
    </w:p>
    <w:p>
      <w:pPr>
        <w:spacing w:after="0" w:line="199" w:lineRule="exact"/>
        <w:rPr>
          <w:sz w:val="20"/>
          <w:szCs w:val="20"/>
          <w:color w:val="auto"/>
        </w:rPr>
      </w:pPr>
    </w:p>
    <w:p>
      <w:pPr>
        <w:ind w:right="120" w:firstLine="245"/>
        <w:spacing w:after="0" w:line="262" w:lineRule="auto"/>
        <w:rPr>
          <w:sz w:val="20"/>
          <w:szCs w:val="20"/>
          <w:color w:val="auto"/>
        </w:rPr>
      </w:pPr>
      <w:r>
        <w:rPr>
          <w:rFonts w:ascii="Arial" w:cs="Arial" w:eastAsia="Arial" w:hAnsi="Arial"/>
          <w:sz w:val="14"/>
          <w:szCs w:val="14"/>
          <w:color w:val="auto"/>
        </w:rPr>
        <w:t>On February 12, 2019, the Company committed to a Board-authorized restructuring plan under which the Company aims to refocus its resources on its largest opportunities and to remove unnecessary levels of complexity and duplication from certain parts of the business. We have been, and will continue:</w:t>
      </w:r>
    </w:p>
    <w:p>
      <w:pPr>
        <w:spacing w:after="0" w:line="139" w:lineRule="exact"/>
        <w:rPr>
          <w:sz w:val="20"/>
          <w:szCs w:val="20"/>
          <w:color w:val="auto"/>
        </w:rPr>
      </w:pPr>
    </w:p>
    <w:p>
      <w:pPr>
        <w:ind w:left="740" w:hanging="247"/>
        <w:spacing w:after="0"/>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increasing our investment in development for our largest, internally-owned franchises—across upfront releases, in-game content, mobile, and geographic expansion;</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reducing certain non-development and administrative-related costs across our business; and</w:t>
      </w:r>
    </w:p>
    <w:p>
      <w:pPr>
        <w:spacing w:after="0" w:line="166" w:lineRule="exact"/>
        <w:rPr>
          <w:rFonts w:ascii="Arial" w:cs="Arial" w:eastAsia="Arial" w:hAnsi="Arial"/>
          <w:sz w:val="14"/>
          <w:szCs w:val="14"/>
          <w:color w:val="auto"/>
        </w:rPr>
      </w:pPr>
    </w:p>
    <w:p>
      <w:pPr>
        <w:ind w:left="740" w:right="80" w:hanging="247"/>
        <w:spacing w:after="0" w:line="262" w:lineRule="auto"/>
        <w:tabs>
          <w:tab w:leader="none" w:pos="7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integrating our global and regional sales and “go-to-market,” partnerships, and sponsorships capabilities across the business, which we believe will enable us to provide better opportunities for talent, and greater expertise and scale on behalf of our business units.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restructuring actions are in process and are largely expected to be completed by the end of 2019, although the timing of cash payments may continue into 2020.</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following table summarizes accrued restructuring and related costs included in “Accrued expenses and other liabilities” in our condensed consolidated balance sheet (amounts in millions):</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164"/>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Severance and employee</w:t>
            </w: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5"/>
        </w:trPr>
        <w:tc>
          <w:tcPr>
            <w:tcW w:w="3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related costs</w:t>
            </w:r>
          </w:p>
        </w:tc>
        <w:tc>
          <w:tcPr>
            <w:tcW w:w="120" w:type="dxa"/>
            <w:vAlign w:val="bottom"/>
          </w:tcPr>
          <w:p>
            <w:pPr>
              <w:spacing w:after="0"/>
              <w:rPr>
                <w:sz w:val="15"/>
                <w:szCs w:val="15"/>
                <w:color w:val="auto"/>
              </w:rPr>
            </w:pPr>
          </w:p>
        </w:tc>
        <w:tc>
          <w:tcPr>
            <w:tcW w:w="1860" w:type="dxa"/>
            <w:vAlign w:val="bottom"/>
            <w:gridSpan w:val="2"/>
          </w:tcPr>
          <w:p>
            <w:pPr>
              <w:ind w:left="40"/>
              <w:spacing w:after="0"/>
              <w:rPr>
                <w:sz w:val="20"/>
                <w:szCs w:val="20"/>
                <w:color w:val="auto"/>
              </w:rPr>
            </w:pPr>
            <w:r>
              <w:rPr>
                <w:rFonts w:ascii="Arial" w:cs="Arial" w:eastAsia="Arial" w:hAnsi="Arial"/>
                <w:sz w:val="14"/>
                <w:szCs w:val="14"/>
                <w:b w:val="1"/>
                <w:bCs w:val="1"/>
                <w:color w:val="auto"/>
              </w:rPr>
              <w:t>Facilities and related costs</w:t>
            </w:r>
          </w:p>
        </w:tc>
        <w:tc>
          <w:tcPr>
            <w:tcW w:w="1420" w:type="dxa"/>
            <w:vAlign w:val="bottom"/>
          </w:tcPr>
          <w:p>
            <w:pPr>
              <w:jc w:val="right"/>
              <w:ind w:right="92"/>
              <w:spacing w:after="0"/>
              <w:rPr>
                <w:sz w:val="20"/>
                <w:szCs w:val="20"/>
                <w:color w:val="auto"/>
              </w:rPr>
            </w:pPr>
            <w:r>
              <w:rPr>
                <w:rFonts w:ascii="Arial" w:cs="Arial" w:eastAsia="Arial" w:hAnsi="Arial"/>
                <w:sz w:val="14"/>
                <w:szCs w:val="14"/>
                <w:b w:val="1"/>
                <w:bCs w:val="1"/>
                <w:color w:val="auto"/>
              </w:rPr>
              <w:t>Other costs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712"/>
              <w:spacing w:after="0"/>
              <w:rPr>
                <w:sz w:val="20"/>
                <w:szCs w:val="20"/>
                <w:color w:val="auto"/>
              </w:rPr>
            </w:pPr>
            <w:r>
              <w:rPr>
                <w:rFonts w:ascii="Arial" w:cs="Arial" w:eastAsia="Arial" w:hAnsi="Arial"/>
                <w:sz w:val="14"/>
                <w:szCs w:val="14"/>
                <w:b w:val="1"/>
                <w:bCs w:val="1"/>
                <w:color w:val="auto"/>
              </w:rPr>
              <w:t>Total</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3"/>
        </w:trPr>
        <w:tc>
          <w:tcPr>
            <w:tcW w:w="3180" w:type="dxa"/>
            <w:vAlign w:val="bottom"/>
          </w:tcPr>
          <w:p>
            <w:pPr>
              <w:ind w:left="120"/>
              <w:spacing w:after="0"/>
              <w:rPr>
                <w:sz w:val="20"/>
                <w:szCs w:val="20"/>
                <w:color w:val="auto"/>
              </w:rPr>
            </w:pPr>
            <w:r>
              <w:rPr>
                <w:rFonts w:ascii="Arial" w:cs="Arial" w:eastAsia="Arial" w:hAnsi="Arial"/>
                <w:sz w:val="14"/>
                <w:szCs w:val="14"/>
                <w:color w:val="auto"/>
              </w:rPr>
              <w:t>Costs charged to expense</w:t>
            </w:r>
          </w:p>
        </w:tc>
        <w:tc>
          <w:tcPr>
            <w:tcW w:w="140" w:type="dxa"/>
            <w:vAlign w:val="bottom"/>
          </w:tcPr>
          <w:p>
            <w:pPr>
              <w:spacing w:after="0"/>
              <w:rPr>
                <w:sz w:val="15"/>
                <w:szCs w:val="15"/>
                <w:color w:val="auto"/>
              </w:rPr>
            </w:pPr>
          </w:p>
        </w:tc>
        <w:tc>
          <w:tcPr>
            <w:tcW w:w="1720" w:type="dxa"/>
            <w:vAlign w:val="bottom"/>
          </w:tcPr>
          <w:p>
            <w:pPr>
              <w:jc w:val="right"/>
              <w:ind w:right="32"/>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32"/>
              <w:spacing w:after="0"/>
              <w:rPr>
                <w:sz w:val="20"/>
                <w:szCs w:val="20"/>
                <w:color w:val="auto"/>
              </w:rPr>
            </w:pPr>
            <w:r>
              <w:rPr>
                <w:rFonts w:ascii="Arial" w:cs="Arial" w:eastAsia="Arial" w:hAnsi="Arial"/>
                <w:sz w:val="14"/>
                <w:szCs w:val="14"/>
                <w:color w:val="auto"/>
              </w:rPr>
              <w:t>57</w:t>
            </w:r>
          </w:p>
        </w:tc>
      </w:tr>
      <w:tr>
        <w:trPr>
          <w:trHeight w:val="21"/>
        </w:trPr>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payments</w:t>
            </w:r>
          </w:p>
        </w:tc>
        <w:tc>
          <w:tcPr>
            <w:tcW w:w="1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3180" w:type="dxa"/>
            <w:vAlign w:val="bottom"/>
          </w:tcPr>
          <w:p>
            <w:pPr>
              <w:ind w:left="120"/>
              <w:spacing w:after="0"/>
              <w:rPr>
                <w:sz w:val="20"/>
                <w:szCs w:val="20"/>
                <w:color w:val="auto"/>
              </w:rPr>
            </w:pPr>
            <w:r>
              <w:rPr>
                <w:rFonts w:ascii="Arial" w:cs="Arial" w:eastAsia="Arial" w:hAnsi="Arial"/>
                <w:sz w:val="14"/>
                <w:szCs w:val="14"/>
                <w:color w:val="auto"/>
              </w:rPr>
              <w:t>Non-cash charge adjustment (1)</w:t>
            </w:r>
          </w:p>
        </w:tc>
        <w:tc>
          <w:tcPr>
            <w:tcW w:w="14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March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34</w:t>
            </w:r>
          </w:p>
        </w:tc>
      </w:tr>
      <w:tr>
        <w:trPr>
          <w:trHeight w:val="173"/>
        </w:trPr>
        <w:tc>
          <w:tcPr>
            <w:tcW w:w="3180" w:type="dxa"/>
            <w:vAlign w:val="bottom"/>
          </w:tcPr>
          <w:p>
            <w:pPr>
              <w:ind w:left="120"/>
              <w:spacing w:after="0"/>
              <w:rPr>
                <w:sz w:val="20"/>
                <w:szCs w:val="20"/>
                <w:color w:val="auto"/>
              </w:rPr>
            </w:pPr>
            <w:r>
              <w:rPr>
                <w:rFonts w:ascii="Arial" w:cs="Arial" w:eastAsia="Arial" w:hAnsi="Arial"/>
                <w:sz w:val="14"/>
                <w:szCs w:val="14"/>
                <w:color w:val="auto"/>
              </w:rPr>
              <w:t>Costs charged to expense</w:t>
            </w: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22</w:t>
            </w:r>
          </w:p>
        </w:tc>
      </w:tr>
      <w:tr>
        <w:trPr>
          <w:trHeight w:val="21"/>
        </w:trPr>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payments</w:t>
            </w:r>
          </w:p>
        </w:tc>
        <w:tc>
          <w:tcPr>
            <w:tcW w:w="1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3"/>
        </w:trPr>
        <w:tc>
          <w:tcPr>
            <w:tcW w:w="3180" w:type="dxa"/>
            <w:vAlign w:val="bottom"/>
          </w:tcPr>
          <w:p>
            <w:pPr>
              <w:ind w:left="120"/>
              <w:spacing w:after="0"/>
              <w:rPr>
                <w:sz w:val="20"/>
                <w:szCs w:val="20"/>
                <w:color w:val="auto"/>
              </w:rPr>
            </w:pPr>
            <w:r>
              <w:rPr>
                <w:rFonts w:ascii="Arial" w:cs="Arial" w:eastAsia="Arial" w:hAnsi="Arial"/>
                <w:sz w:val="14"/>
                <w:szCs w:val="14"/>
                <w:color w:val="auto"/>
              </w:rPr>
              <w:t>Non-cash charge adjustment (1)</w:t>
            </w:r>
          </w:p>
        </w:tc>
        <w:tc>
          <w:tcPr>
            <w:tcW w:w="14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760" w:type="dxa"/>
            <w:vAlign w:val="bottom"/>
          </w:tcPr>
          <w:p>
            <w:pPr>
              <w:jc w:val="right"/>
              <w:ind w:right="12"/>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5"/>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1272"/>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27</w:t>
            </w:r>
          </w:p>
        </w:tc>
      </w:tr>
      <w:tr>
        <w:trPr>
          <w:trHeight w:val="173"/>
        </w:trPr>
        <w:tc>
          <w:tcPr>
            <w:tcW w:w="3180" w:type="dxa"/>
            <w:vAlign w:val="bottom"/>
          </w:tcPr>
          <w:p>
            <w:pPr>
              <w:ind w:left="120"/>
              <w:spacing w:after="0"/>
              <w:rPr>
                <w:sz w:val="20"/>
                <w:szCs w:val="20"/>
                <w:color w:val="auto"/>
              </w:rPr>
            </w:pPr>
            <w:r>
              <w:rPr>
                <w:rFonts w:ascii="Arial" w:cs="Arial" w:eastAsia="Arial" w:hAnsi="Arial"/>
                <w:sz w:val="14"/>
                <w:szCs w:val="14"/>
                <w:color w:val="auto"/>
              </w:rPr>
              <w:t>Costs charged to expense</w:t>
            </w:r>
          </w:p>
        </w:tc>
        <w:tc>
          <w:tcPr>
            <w:tcW w:w="1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24</w:t>
            </w:r>
          </w:p>
        </w:tc>
      </w:tr>
      <w:tr>
        <w:trPr>
          <w:trHeight w:val="21"/>
        </w:trPr>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5"/>
        </w:trPr>
        <w:tc>
          <w:tcPr>
            <w:tcW w:w="3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Cash payments</w:t>
            </w:r>
          </w:p>
        </w:tc>
        <w:tc>
          <w:tcPr>
            <w:tcW w:w="1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3"/>
        </w:trPr>
        <w:tc>
          <w:tcPr>
            <w:tcW w:w="3180" w:type="dxa"/>
            <w:vAlign w:val="bottom"/>
          </w:tcPr>
          <w:p>
            <w:pPr>
              <w:ind w:left="120"/>
              <w:spacing w:after="0"/>
              <w:rPr>
                <w:sz w:val="20"/>
                <w:szCs w:val="20"/>
                <w:color w:val="auto"/>
              </w:rPr>
            </w:pPr>
            <w:r>
              <w:rPr>
                <w:rFonts w:ascii="Arial" w:cs="Arial" w:eastAsia="Arial" w:hAnsi="Arial"/>
                <w:sz w:val="14"/>
                <w:szCs w:val="14"/>
                <w:color w:val="auto"/>
              </w:rPr>
              <w:t>Non-cash charge adjustment (1)</w:t>
            </w:r>
          </w:p>
        </w:tc>
        <w:tc>
          <w:tcPr>
            <w:tcW w:w="14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760" w:type="dxa"/>
            <w:vAlign w:val="bottom"/>
          </w:tcPr>
          <w:p>
            <w:pPr>
              <w:jc w:val="right"/>
              <w:ind w:right="12"/>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1"/>
        </w:trPr>
        <w:tc>
          <w:tcPr>
            <w:tcW w:w="3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9"/>
        </w:trPr>
        <w:tc>
          <w:tcPr>
            <w:tcW w:w="3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September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272"/>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8"/>
        <w:spacing w:after="0" w:line="346" w:lineRule="auto"/>
        <w:tabs>
          <w:tab w:leader="none" w:pos="2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Adjustments relate to non-cash charges included in “Costs charged to expense” for the write-down of assets from canceled projects during the three months ended March 31, 2019, and the write-down of lease facility assets, inclusive of lease right-of-use assets and associated fixed assets, that were vacated during the three months ended June 30, 2019 and September 30, 2019.</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60"/>
          </w:cols>
          <w:pgMar w:left="220" w:top="129" w:right="4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67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57"/>
        </w:trPr>
        <w:tc>
          <w:tcPr>
            <w:tcW w:w="6780" w:type="dxa"/>
            <w:vAlign w:val="bottom"/>
            <w:gridSpan w:val="2"/>
          </w:tcPr>
          <w:p>
            <w:pPr>
              <w:ind w:left="240"/>
              <w:spacing w:after="0"/>
              <w:rPr>
                <w:sz w:val="20"/>
                <w:szCs w:val="20"/>
                <w:color w:val="auto"/>
              </w:rPr>
            </w:pPr>
            <w:r>
              <w:rPr>
                <w:rFonts w:ascii="Arial" w:cs="Arial" w:eastAsia="Arial" w:hAnsi="Arial"/>
                <w:sz w:val="14"/>
                <w:szCs w:val="14"/>
                <w:color w:val="auto"/>
              </w:rPr>
              <w:t>Total restructuring and related costs by segment are (amounts in millions):</w:t>
            </w: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75"/>
        </w:trPr>
        <w:tc>
          <w:tcPr>
            <w:tcW w:w="96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Pr>
          <w:p>
            <w:pPr>
              <w:spacing w:after="0"/>
              <w:rPr>
                <w:sz w:val="23"/>
                <w:szCs w:val="23"/>
                <w:color w:val="auto"/>
              </w:rPr>
            </w:pPr>
          </w:p>
        </w:tc>
        <w:tc>
          <w:tcPr>
            <w:tcW w:w="2160" w:type="dxa"/>
            <w:vAlign w:val="bottom"/>
          </w:tcPr>
          <w:p>
            <w:pPr>
              <w:jc w:val="right"/>
              <w:ind w:right="52"/>
              <w:spacing w:after="0"/>
              <w:rPr>
                <w:sz w:val="20"/>
                <w:szCs w:val="20"/>
                <w:color w:val="auto"/>
              </w:rPr>
            </w:pPr>
            <w:r>
              <w:rPr>
                <w:rFonts w:ascii="Arial" w:cs="Arial" w:eastAsia="Arial" w:hAnsi="Arial"/>
                <w:sz w:val="14"/>
                <w:szCs w:val="14"/>
                <w:b w:val="1"/>
                <w:bCs w:val="1"/>
                <w:color w:val="auto"/>
                <w:w w:val="87"/>
              </w:rPr>
              <w:t>Nine Months Ended September 30,</w:t>
            </w:r>
          </w:p>
        </w:tc>
      </w:tr>
      <w:tr>
        <w:trPr>
          <w:trHeight w:val="175"/>
        </w:trPr>
        <w:tc>
          <w:tcPr>
            <w:tcW w:w="96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jc w:val="right"/>
              <w:ind w:right="9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jc w:val="right"/>
              <w:ind w:right="932"/>
              <w:spacing w:after="0"/>
              <w:rPr>
                <w:sz w:val="20"/>
                <w:szCs w:val="20"/>
                <w:color w:val="auto"/>
              </w:rPr>
            </w:pPr>
            <w:r>
              <w:rPr>
                <w:rFonts w:ascii="Arial" w:cs="Arial" w:eastAsia="Arial" w:hAnsi="Arial"/>
                <w:sz w:val="14"/>
                <w:szCs w:val="14"/>
                <w:b w:val="1"/>
                <w:bCs w:val="1"/>
                <w:color w:val="auto"/>
              </w:rPr>
              <w:t>2019</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75"/>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Activision</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r>
      <w:tr>
        <w:trPr>
          <w:trHeight w:val="18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Blizzard</w:t>
            </w:r>
          </w:p>
        </w:tc>
        <w:tc>
          <w:tcPr>
            <w:tcW w:w="80" w:type="dxa"/>
            <w:vAlign w:val="bottom"/>
          </w:tcPr>
          <w:p>
            <w:pPr>
              <w:spacing w:after="0"/>
              <w:rPr>
                <w:sz w:val="15"/>
                <w:szCs w:val="15"/>
                <w:color w:val="auto"/>
              </w:rPr>
            </w:pPr>
          </w:p>
        </w:tc>
        <w:tc>
          <w:tcPr>
            <w:tcW w:w="222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jc w:val="right"/>
              <w:ind w:right="32"/>
              <w:spacing w:after="0"/>
              <w:rPr>
                <w:sz w:val="20"/>
                <w:szCs w:val="20"/>
                <w:color w:val="auto"/>
              </w:rPr>
            </w:pPr>
            <w:r>
              <w:rPr>
                <w:rFonts w:ascii="Arial" w:cs="Arial" w:eastAsia="Arial" w:hAnsi="Arial"/>
                <w:sz w:val="14"/>
                <w:szCs w:val="14"/>
                <w:color w:val="auto"/>
              </w:rPr>
              <w:t>52</w:t>
            </w:r>
          </w:p>
        </w:tc>
      </w:tr>
      <w:tr>
        <w:trPr>
          <w:trHeight w:val="21"/>
        </w:trPr>
        <w:tc>
          <w:tcPr>
            <w:tcW w:w="9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5"/>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King</w:t>
            </w:r>
          </w:p>
        </w:tc>
        <w:tc>
          <w:tcPr>
            <w:tcW w:w="80" w:type="dxa"/>
            <w:vAlign w:val="bottom"/>
            <w:tcBorders>
              <w:bottom w:val="single" w:sz="8" w:color="CCEEFF"/>
            </w:tcBorders>
            <w:shd w:val="clear" w:color="auto" w:fill="CCEEFF"/>
          </w:tcPr>
          <w:p>
            <w:pPr>
              <w:spacing w:after="0"/>
              <w:rPr>
                <w:sz w:val="16"/>
                <w:szCs w:val="16"/>
                <w:color w:val="auto"/>
              </w:rPr>
            </w:pPr>
          </w:p>
        </w:tc>
        <w:tc>
          <w:tcPr>
            <w:tcW w:w="2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w:t>
            </w:r>
          </w:p>
        </w:tc>
      </w:tr>
      <w:tr>
        <w:trPr>
          <w:trHeight w:val="183"/>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Other segments (1)</w:t>
            </w:r>
          </w:p>
        </w:tc>
        <w:tc>
          <w:tcPr>
            <w:tcW w:w="80" w:type="dxa"/>
            <w:vAlign w:val="bottom"/>
          </w:tcPr>
          <w:p>
            <w:pPr>
              <w:spacing w:after="0"/>
              <w:rPr>
                <w:sz w:val="15"/>
                <w:szCs w:val="15"/>
                <w:color w:val="auto"/>
              </w:rPr>
            </w:pPr>
          </w:p>
        </w:tc>
        <w:tc>
          <w:tcPr>
            <w:tcW w:w="2220" w:type="dxa"/>
            <w:vAlign w:val="bottom"/>
          </w:tcPr>
          <w:p>
            <w:pPr>
              <w:jc w:val="right"/>
              <w:ind w:right="52"/>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tcPr>
          <w:p>
            <w:pPr>
              <w:jc w:val="right"/>
              <w:ind w:right="32"/>
              <w:spacing w:after="0"/>
              <w:rPr>
                <w:sz w:val="20"/>
                <w:szCs w:val="20"/>
                <w:color w:val="auto"/>
              </w:rPr>
            </w:pPr>
            <w:r>
              <w:rPr>
                <w:rFonts w:ascii="Arial" w:cs="Arial" w:eastAsia="Arial" w:hAnsi="Arial"/>
                <w:sz w:val="14"/>
                <w:szCs w:val="14"/>
                <w:color w:val="auto"/>
              </w:rPr>
              <w:t>23</w:t>
            </w:r>
          </w:p>
        </w:tc>
      </w:tr>
      <w:tr>
        <w:trPr>
          <w:trHeight w:val="21"/>
        </w:trPr>
        <w:tc>
          <w:tcPr>
            <w:tcW w:w="96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89"/>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104</w:t>
            </w:r>
          </w:p>
        </w:tc>
      </w:tr>
      <w:tr>
        <w:trPr>
          <w:trHeight w:val="20"/>
        </w:trPr>
        <w:tc>
          <w:tcPr>
            <w:tcW w:w="9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right="420" w:hanging="238"/>
        <w:spacing w:after="0" w:line="262" w:lineRule="auto"/>
        <w:tabs>
          <w:tab w:leader="none" w:pos="2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charges related to operating segments managed outside the reportable segments, including our Studios and Distribution businesses. Also includes restructuring charges for our corporate and administrative functions.</w:t>
      </w:r>
    </w:p>
    <w:p>
      <w:pPr>
        <w:spacing w:after="0" w:line="139" w:lineRule="exact"/>
        <w:rPr>
          <w:sz w:val="20"/>
          <w:szCs w:val="20"/>
          <w:color w:val="auto"/>
        </w:rPr>
      </w:pPr>
    </w:p>
    <w:p>
      <w:pPr>
        <w:jc w:val="both"/>
        <w:ind w:right="220" w:firstLine="245"/>
        <w:spacing w:after="0" w:line="253" w:lineRule="auto"/>
        <w:rPr>
          <w:sz w:val="20"/>
          <w:szCs w:val="20"/>
          <w:color w:val="auto"/>
        </w:rPr>
      </w:pPr>
      <w:r>
        <w:rPr>
          <w:rFonts w:ascii="Arial" w:cs="Arial" w:eastAsia="Arial" w:hAnsi="Arial"/>
          <w:sz w:val="14"/>
          <w:szCs w:val="14"/>
          <w:color w:val="auto"/>
        </w:rPr>
        <w:t>During the three months ended September 30, 2019, we also recorded $4 million to write-down inventory resulting from changes to certain of our consumer product activities as part of our restructuring actions, whereby those activities will now operate under a licensing business model rather than being direct sales. This write-down is recorded within “Cost of revenues—product sales: Product costs” in our condensed consolidated statement of operations.</w:t>
      </w:r>
    </w:p>
    <w:p>
      <w:pPr>
        <w:spacing w:after="0" w:line="145" w:lineRule="exact"/>
        <w:rPr>
          <w:sz w:val="20"/>
          <w:szCs w:val="20"/>
          <w:color w:val="auto"/>
        </w:rPr>
      </w:pPr>
    </w:p>
    <w:p>
      <w:pPr>
        <w:ind w:right="40" w:firstLine="245"/>
        <w:spacing w:after="0" w:line="305" w:lineRule="auto"/>
        <w:rPr>
          <w:sz w:val="20"/>
          <w:szCs w:val="20"/>
          <w:color w:val="auto"/>
        </w:rPr>
      </w:pPr>
      <w:r>
        <w:rPr>
          <w:rFonts w:ascii="Arial" w:cs="Arial" w:eastAsia="Arial" w:hAnsi="Arial"/>
          <w:sz w:val="12"/>
          <w:szCs w:val="12"/>
          <w:color w:val="auto"/>
        </w:rPr>
        <w:t>We expect to incur aggregate pre-tax restructuring charges of approximately $150 million in 2019 associated with the restructuring plan, which includes the inventory write-down discussed above. These charges will primarily relate to severance (approximately 55% of the aggregate charge), including, in many cases, amounts above those that are legally required, facilities costs (approximately 20% of the aggregate charge), and other asset write-downs and costs (approximately 25% of the aggregate charge). A majority of the total pre-tax charge associated with the restructuring will be paid in cash using amounts on hand and the outlays are expected to be largely incurred throughout 2019, with the remainder continuing into 2020.</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total expected pre-tax restructuring charges related to the restructuring plan by segment, inclusive of amounts already incurred, are presented below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Year Ending December 31, 2019</w:t>
            </w:r>
          </w:p>
        </w:tc>
      </w:tr>
      <w:tr>
        <w:trPr>
          <w:trHeight w:val="21"/>
        </w:trPr>
        <w:tc>
          <w:tcPr>
            <w:tcW w:w="9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75"/>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Activision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w:t>
            </w:r>
          </w:p>
        </w:tc>
      </w:tr>
      <w:tr>
        <w:trPr>
          <w:trHeight w:val="183"/>
        </w:trPr>
        <w:tc>
          <w:tcPr>
            <w:tcW w:w="9180" w:type="dxa"/>
            <w:vAlign w:val="bottom"/>
          </w:tcPr>
          <w:p>
            <w:pPr>
              <w:ind w:left="20"/>
              <w:spacing w:after="0"/>
              <w:rPr>
                <w:sz w:val="20"/>
                <w:szCs w:val="20"/>
                <w:color w:val="auto"/>
              </w:rPr>
            </w:pPr>
            <w:r>
              <w:rPr>
                <w:rFonts w:ascii="Arial" w:cs="Arial" w:eastAsia="Arial" w:hAnsi="Arial"/>
                <w:sz w:val="14"/>
                <w:szCs w:val="14"/>
                <w:color w:val="auto"/>
              </w:rPr>
              <w:t>Blizzard</w:t>
            </w:r>
          </w:p>
        </w:tc>
        <w:tc>
          <w:tcPr>
            <w:tcW w:w="140" w:type="dxa"/>
            <w:vAlign w:val="bottom"/>
          </w:tcPr>
          <w:p>
            <w:pPr>
              <w:spacing w:after="0"/>
              <w:rPr>
                <w:sz w:val="15"/>
                <w:szCs w:val="15"/>
                <w:color w:val="auto"/>
              </w:rPr>
            </w:pPr>
          </w:p>
        </w:tc>
        <w:tc>
          <w:tcPr>
            <w:tcW w:w="2140" w:type="dxa"/>
            <w:vAlign w:val="bottom"/>
          </w:tcPr>
          <w:p>
            <w:pPr>
              <w:jc w:val="right"/>
              <w:ind w:right="32"/>
              <w:spacing w:after="0"/>
              <w:rPr>
                <w:sz w:val="20"/>
                <w:szCs w:val="20"/>
                <w:color w:val="auto"/>
              </w:rPr>
            </w:pPr>
            <w:r>
              <w:rPr>
                <w:rFonts w:ascii="Arial" w:cs="Arial" w:eastAsia="Arial" w:hAnsi="Arial"/>
                <w:sz w:val="14"/>
                <w:szCs w:val="14"/>
                <w:color w:val="auto"/>
              </w:rPr>
              <w:t>66</w:t>
            </w:r>
          </w:p>
        </w:tc>
      </w:tr>
      <w:tr>
        <w:trPr>
          <w:trHeight w:val="21"/>
        </w:trPr>
        <w:tc>
          <w:tcPr>
            <w:tcW w:w="9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85"/>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King</w:t>
            </w:r>
          </w:p>
        </w:tc>
        <w:tc>
          <w:tcPr>
            <w:tcW w:w="140" w:type="dxa"/>
            <w:vAlign w:val="bottom"/>
            <w:tcBorders>
              <w:bottom w:val="single" w:sz="8" w:color="CCEEFF"/>
            </w:tcBorders>
            <w:shd w:val="clear" w:color="auto" w:fill="CCEEFF"/>
          </w:tcPr>
          <w:p>
            <w:pPr>
              <w:spacing w:after="0"/>
              <w:rPr>
                <w:sz w:val="16"/>
                <w:szCs w:val="16"/>
                <w:color w:val="auto"/>
              </w:rPr>
            </w:pPr>
          </w:p>
        </w:tc>
        <w:tc>
          <w:tcPr>
            <w:tcW w:w="2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27</w:t>
            </w:r>
          </w:p>
        </w:tc>
      </w:tr>
      <w:tr>
        <w:trPr>
          <w:trHeight w:val="183"/>
        </w:trPr>
        <w:tc>
          <w:tcPr>
            <w:tcW w:w="9180" w:type="dxa"/>
            <w:vAlign w:val="bottom"/>
          </w:tcPr>
          <w:p>
            <w:pPr>
              <w:ind w:left="20"/>
              <w:spacing w:after="0"/>
              <w:rPr>
                <w:sz w:val="20"/>
                <w:szCs w:val="20"/>
                <w:color w:val="auto"/>
              </w:rPr>
            </w:pPr>
            <w:r>
              <w:rPr>
                <w:rFonts w:ascii="Arial" w:cs="Arial" w:eastAsia="Arial" w:hAnsi="Arial"/>
                <w:sz w:val="14"/>
                <w:szCs w:val="14"/>
                <w:color w:val="auto"/>
              </w:rPr>
              <w:t>Other segments (1)</w:t>
            </w:r>
          </w:p>
        </w:tc>
        <w:tc>
          <w:tcPr>
            <w:tcW w:w="140" w:type="dxa"/>
            <w:vAlign w:val="bottom"/>
          </w:tcPr>
          <w:p>
            <w:pPr>
              <w:spacing w:after="0"/>
              <w:rPr>
                <w:sz w:val="15"/>
                <w:szCs w:val="15"/>
                <w:color w:val="auto"/>
              </w:rPr>
            </w:pPr>
          </w:p>
        </w:tc>
        <w:tc>
          <w:tcPr>
            <w:tcW w:w="2140" w:type="dxa"/>
            <w:vAlign w:val="bottom"/>
          </w:tcPr>
          <w:p>
            <w:pPr>
              <w:jc w:val="right"/>
              <w:ind w:right="32"/>
              <w:spacing w:after="0"/>
              <w:rPr>
                <w:sz w:val="20"/>
                <w:szCs w:val="20"/>
                <w:color w:val="auto"/>
              </w:rPr>
            </w:pPr>
            <w:r>
              <w:rPr>
                <w:rFonts w:ascii="Arial" w:cs="Arial" w:eastAsia="Arial" w:hAnsi="Arial"/>
                <w:sz w:val="14"/>
                <w:szCs w:val="14"/>
                <w:color w:val="auto"/>
              </w:rPr>
              <w:t>42</w:t>
            </w:r>
          </w:p>
        </w:tc>
      </w:tr>
      <w:tr>
        <w:trPr>
          <w:trHeight w:val="21"/>
        </w:trPr>
        <w:tc>
          <w:tcPr>
            <w:tcW w:w="9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r>
        <w:trPr>
          <w:trHeight w:val="189"/>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150</w:t>
            </w:r>
          </w:p>
        </w:tc>
      </w:tr>
      <w:tr>
        <w:trPr>
          <w:trHeight w:val="20"/>
        </w:trPr>
        <w:tc>
          <w:tcPr>
            <w:tcW w:w="9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right="420" w:hanging="238"/>
        <w:spacing w:after="0" w:line="262" w:lineRule="auto"/>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charges related to operating segments managed outside the reportable segments, including our Studios and Distribution businesses. Also includes restructuring charges for our corporate and administrative functions.</w:t>
      </w:r>
    </w:p>
    <w:p>
      <w:pPr>
        <w:spacing w:after="0" w:line="137" w:lineRule="exact"/>
        <w:rPr>
          <w:sz w:val="20"/>
          <w:szCs w:val="20"/>
          <w:color w:val="auto"/>
        </w:rPr>
      </w:pPr>
    </w:p>
    <w:p>
      <w:pPr>
        <w:ind w:left="500" w:hanging="498"/>
        <w:spacing w:after="0"/>
        <w:tabs>
          <w:tab w:leader="none" w:pos="50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Interest and Other Expense (Income), Net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Interest and other expense (income), net is comprised of the following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3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For the Three Months Ended September 30,</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80" w:type="dxa"/>
            <w:vAlign w:val="bottom"/>
            <w:gridSpan w:val="4"/>
          </w:tcPr>
          <w:p>
            <w:pPr>
              <w:jc w:val="right"/>
              <w:ind w:right="552"/>
              <w:spacing w:after="0"/>
              <w:rPr>
                <w:sz w:val="20"/>
                <w:szCs w:val="20"/>
                <w:color w:val="auto"/>
              </w:rPr>
            </w:pPr>
            <w:r>
              <w:rPr>
                <w:rFonts w:ascii="Arial" w:cs="Arial" w:eastAsia="Arial" w:hAnsi="Arial"/>
                <w:sz w:val="14"/>
                <w:szCs w:val="14"/>
                <w:b w:val="1"/>
                <w:bCs w:val="1"/>
                <w:color w:val="auto"/>
                <w:w w:val="97"/>
              </w:rPr>
              <w:t>For the Nine Months Ended September 30,</w:t>
            </w:r>
          </w:p>
        </w:tc>
      </w:tr>
      <w:tr>
        <w:trPr>
          <w:trHeight w:val="21"/>
        </w:trPr>
        <w:tc>
          <w:tcPr>
            <w:tcW w:w="38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3"/>
        </w:trPr>
        <w:tc>
          <w:tcPr>
            <w:tcW w:w="3800" w:type="dxa"/>
            <w:vAlign w:val="bottom"/>
          </w:tcPr>
          <w:p>
            <w:pPr>
              <w:spacing w:after="0"/>
              <w:rPr>
                <w:sz w:val="15"/>
                <w:szCs w:val="15"/>
                <w:color w:val="auto"/>
              </w:rPr>
            </w:pP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5"/>
                <w:szCs w:val="15"/>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7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692"/>
              <w:spacing w:after="0"/>
              <w:rPr>
                <w:sz w:val="20"/>
                <w:szCs w:val="20"/>
                <w:color w:val="auto"/>
              </w:rPr>
            </w:pPr>
            <w:r>
              <w:rPr>
                <w:rFonts w:ascii="Arial" w:cs="Arial" w:eastAsia="Arial" w:hAnsi="Arial"/>
                <w:sz w:val="14"/>
                <w:szCs w:val="14"/>
                <w:b w:val="1"/>
                <w:bCs w:val="1"/>
                <w:color w:val="auto"/>
              </w:rPr>
              <w:t>2018</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7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300" w:type="dxa"/>
            <w:vAlign w:val="bottom"/>
            <w:tcBorders>
              <w:bottom w:val="single" w:sz="8" w:color="CCEEFF"/>
            </w:tcBorders>
            <w:shd w:val="clear" w:color="auto" w:fill="CCEEFF"/>
          </w:tcPr>
          <w:p>
            <w:pPr>
              <w:jc w:val="right"/>
              <w:ind w:right="1152"/>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(20)</w:t>
            </w:r>
          </w:p>
        </w:tc>
        <w:tc>
          <w:tcPr>
            <w:tcW w:w="1500" w:type="dxa"/>
            <w:vAlign w:val="bottom"/>
            <w:tcBorders>
              <w:bottom w:val="single" w:sz="8" w:color="CCEEFF"/>
            </w:tcBorders>
            <w:gridSpan w:val="2"/>
            <w:shd w:val="clear" w:color="auto" w:fill="CCEEFF"/>
          </w:tcPr>
          <w:p>
            <w:pPr>
              <w:jc w:val="right"/>
              <w:ind w:right="128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173"/>
        </w:trPr>
        <w:tc>
          <w:tcPr>
            <w:tcW w:w="3800" w:type="dxa"/>
            <w:vAlign w:val="bottom"/>
          </w:tcPr>
          <w:p>
            <w:pPr>
              <w:ind w:left="20"/>
              <w:spacing w:after="0"/>
              <w:rPr>
                <w:sz w:val="20"/>
                <w:szCs w:val="20"/>
                <w:color w:val="auto"/>
              </w:rPr>
            </w:pPr>
            <w:r>
              <w:rPr>
                <w:rFonts w:ascii="Arial" w:cs="Arial" w:eastAsia="Arial" w:hAnsi="Arial"/>
                <w:sz w:val="14"/>
                <w:szCs w:val="14"/>
                <w:color w:val="auto"/>
                <w:w w:val="93"/>
              </w:rPr>
              <w:t>Interest expense from debt and amortization of debt discount and</w:t>
            </w:r>
          </w:p>
        </w:tc>
        <w:tc>
          <w:tcPr>
            <w:tcW w:w="1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3"/>
        </w:trPr>
        <w:tc>
          <w:tcPr>
            <w:tcW w:w="3800" w:type="dxa"/>
            <w:vAlign w:val="bottom"/>
          </w:tcPr>
          <w:p>
            <w:pPr>
              <w:ind w:left="20"/>
              <w:spacing w:after="0"/>
              <w:rPr>
                <w:sz w:val="20"/>
                <w:szCs w:val="20"/>
                <w:color w:val="auto"/>
              </w:rPr>
            </w:pPr>
            <w:r>
              <w:rPr>
                <w:rFonts w:ascii="Arial" w:cs="Arial" w:eastAsia="Arial" w:hAnsi="Arial"/>
                <w:sz w:val="14"/>
                <w:szCs w:val="14"/>
                <w:color w:val="auto"/>
              </w:rPr>
              <w:t>deferred financing costs</w:t>
            </w:r>
          </w:p>
        </w:tc>
        <w:tc>
          <w:tcPr>
            <w:tcW w:w="130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52"/>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ind w:right="32"/>
              <w:spacing w:after="0"/>
              <w:rPr>
                <w:sz w:val="20"/>
                <w:szCs w:val="20"/>
                <w:color w:val="auto"/>
              </w:rPr>
            </w:pPr>
            <w:r>
              <w:rPr>
                <w:rFonts w:ascii="Arial" w:cs="Arial" w:eastAsia="Arial" w:hAnsi="Arial"/>
                <w:sz w:val="14"/>
                <w:szCs w:val="14"/>
                <w:color w:val="auto"/>
              </w:rPr>
              <w:t>118</w:t>
            </w:r>
          </w:p>
        </w:tc>
      </w:tr>
      <w:tr>
        <w:trPr>
          <w:trHeight w:val="21"/>
        </w:trPr>
        <w:tc>
          <w:tcPr>
            <w:tcW w:w="3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on equity investment</w:t>
            </w:r>
          </w:p>
        </w:tc>
        <w:tc>
          <w:tcPr>
            <w:tcW w:w="13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3"/>
        </w:trPr>
        <w:tc>
          <w:tcPr>
            <w:tcW w:w="3800" w:type="dxa"/>
            <w:vAlign w:val="bottom"/>
          </w:tcPr>
          <w:p>
            <w:pPr>
              <w:ind w:left="20"/>
              <w:spacing w:after="0"/>
              <w:rPr>
                <w:sz w:val="20"/>
                <w:szCs w:val="20"/>
                <w:color w:val="auto"/>
              </w:rPr>
            </w:pPr>
            <w:r>
              <w:rPr>
                <w:rFonts w:ascii="Arial" w:cs="Arial" w:eastAsia="Arial" w:hAnsi="Arial"/>
                <w:sz w:val="14"/>
                <w:szCs w:val="14"/>
                <w:color w:val="auto"/>
              </w:rPr>
              <w:t>Other expense (income), net</w:t>
            </w:r>
          </w:p>
        </w:tc>
        <w:tc>
          <w:tcPr>
            <w:tcW w:w="1300" w:type="dxa"/>
            <w:vAlign w:val="bottom"/>
          </w:tcPr>
          <w:p>
            <w:pPr>
              <w:spacing w:after="0"/>
              <w:rPr>
                <w:sz w:val="15"/>
                <w:szCs w:val="15"/>
                <w:color w:val="auto"/>
              </w:rPr>
            </w:pPr>
          </w:p>
        </w:tc>
        <w:tc>
          <w:tcPr>
            <w:tcW w:w="540" w:type="dxa"/>
            <w:vAlign w:val="bottom"/>
          </w:tcPr>
          <w:p>
            <w:pPr>
              <w:jc w:val="right"/>
              <w:ind w:right="1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
        </w:trPr>
        <w:tc>
          <w:tcPr>
            <w:tcW w:w="38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other expense (income), net</w:t>
            </w:r>
          </w:p>
        </w:tc>
        <w:tc>
          <w:tcPr>
            <w:tcW w:w="1300" w:type="dxa"/>
            <w:vAlign w:val="bottom"/>
            <w:shd w:val="clear" w:color="auto" w:fill="CCEEFF"/>
          </w:tcPr>
          <w:p>
            <w:pPr>
              <w:jc w:val="right"/>
              <w:ind w:right="1152"/>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w:t>
            </w:r>
          </w:p>
        </w:tc>
        <w:tc>
          <w:tcPr>
            <w:tcW w:w="1500" w:type="dxa"/>
            <w:vAlign w:val="bottom"/>
            <w:gridSpan w:val="2"/>
            <w:shd w:val="clear" w:color="auto" w:fill="CCEEFF"/>
          </w:tcPr>
          <w:p>
            <w:pPr>
              <w:jc w:val="right"/>
              <w:ind w:right="12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2"/>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67</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650"/>
        </w:trPr>
        <w:tc>
          <w:tcPr>
            <w:tcW w:w="3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gridSpan w:val="2"/>
          </w:tcPr>
          <w:p>
            <w:pPr>
              <w:jc w:val="right"/>
              <w:ind w:right="1340"/>
              <w:spacing w:after="0"/>
              <w:rPr>
                <w:sz w:val="20"/>
                <w:szCs w:val="20"/>
                <w:color w:val="auto"/>
              </w:rPr>
            </w:pPr>
            <w:r>
              <w:rPr>
                <w:rFonts w:ascii="Arial" w:cs="Arial" w:eastAsia="Arial" w:hAnsi="Arial"/>
                <w:sz w:val="14"/>
                <w:szCs w:val="14"/>
                <w:color w:val="auto"/>
                <w:w w:val="89"/>
              </w:rPr>
              <w:t>35</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60"/>
          </w:cols>
          <w:pgMar w:left="220" w:top="111" w:right="21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Income Taxes</w:t>
      </w:r>
    </w:p>
    <w:p>
      <w:pPr>
        <w:spacing w:after="0" w:line="199" w:lineRule="exact"/>
        <w:rPr>
          <w:sz w:val="20"/>
          <w:szCs w:val="20"/>
          <w:color w:val="auto"/>
        </w:rPr>
      </w:pPr>
    </w:p>
    <w:p>
      <w:pPr>
        <w:ind w:firstLine="245"/>
        <w:spacing w:after="0" w:line="294" w:lineRule="auto"/>
        <w:rPr>
          <w:sz w:val="20"/>
          <w:szCs w:val="20"/>
          <w:color w:val="auto"/>
        </w:rPr>
      </w:pPr>
      <w:r>
        <w:rPr>
          <w:rFonts w:ascii="Arial" w:cs="Arial" w:eastAsia="Arial" w:hAnsi="Arial"/>
          <w:sz w:val="12"/>
          <w:szCs w:val="12"/>
          <w:color w:val="auto"/>
        </w:rPr>
        <w:t xml:space="preserve">We account for our provision for income taxes in accordance with ASC 740, </w:t>
      </w:r>
      <w:r>
        <w:rPr>
          <w:rFonts w:ascii="Arial" w:cs="Arial" w:eastAsia="Arial" w:hAnsi="Arial"/>
          <w:sz w:val="12"/>
          <w:szCs w:val="12"/>
          <w:i w:val="1"/>
          <w:iCs w:val="1"/>
          <w:color w:val="auto"/>
        </w:rPr>
        <w:t>Income Taxes</w:t>
      </w:r>
      <w:r>
        <w:rPr>
          <w:rFonts w:ascii="Arial" w:cs="Arial" w:eastAsia="Arial" w:hAnsi="Arial"/>
          <w:sz w:val="12"/>
          <w:szCs w:val="12"/>
          <w:color w:val="auto"/>
        </w:rPr>
        <w:t>, which requires an estimate of the annual effective tax rate for the full year to be applied to the interim period, taking into account year-to-date amounts and projected results for the full year. The provision for income taxes represents federal, foreign, state, and local income taxes. 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26" w:lineRule="exact"/>
        <w:rPr>
          <w:sz w:val="20"/>
          <w:szCs w:val="20"/>
          <w:color w:val="auto"/>
        </w:rPr>
      </w:pPr>
    </w:p>
    <w:p>
      <w:pPr>
        <w:jc w:val="both"/>
        <w:ind w:right="60" w:firstLine="245"/>
        <w:spacing w:after="0" w:line="250" w:lineRule="auto"/>
        <w:rPr>
          <w:sz w:val="20"/>
          <w:szCs w:val="20"/>
          <w:color w:val="auto"/>
        </w:rPr>
      </w:pPr>
      <w:r>
        <w:rPr>
          <w:rFonts w:ascii="Arial" w:cs="Arial" w:eastAsia="Arial" w:hAnsi="Arial"/>
          <w:sz w:val="14"/>
          <w:szCs w:val="14"/>
          <w:color w:val="auto"/>
        </w:rPr>
        <w:t>The income tax expense of $45 million for the three months ended September 30, 2019, reflects an effective tax rate of 18%, which is higher than the effective tax rate of (23)% for the three months ended September 30, 2018. The increase is primarily due to a discrete tax benefit recognized in the prior year in connection with adjustments made to the provisional amounts initially recorded in connection with tax reform legislation known as the Tax Cuts and Jobs Act enacted in December 22, 2017 (the “U.S. Tax Reform Act”), lower excess tax benefits from share-based payments in the current year, and an increase in U.S. tax on foreign earnings.</w:t>
      </w:r>
    </w:p>
    <w:p>
      <w:pPr>
        <w:spacing w:after="0" w:line="147" w:lineRule="exact"/>
        <w:rPr>
          <w:sz w:val="20"/>
          <w:szCs w:val="20"/>
          <w:color w:val="auto"/>
        </w:rPr>
      </w:pPr>
    </w:p>
    <w:p>
      <w:pPr>
        <w:ind w:right="40" w:firstLine="245"/>
        <w:spacing w:after="0" w:line="305" w:lineRule="auto"/>
        <w:rPr>
          <w:sz w:val="20"/>
          <w:szCs w:val="20"/>
          <w:color w:val="auto"/>
        </w:rPr>
      </w:pPr>
      <w:r>
        <w:rPr>
          <w:rFonts w:ascii="Arial" w:cs="Arial" w:eastAsia="Arial" w:hAnsi="Arial"/>
          <w:sz w:val="12"/>
          <w:szCs w:val="12"/>
          <w:color w:val="auto"/>
        </w:rPr>
        <w:t>The income tax expense of $208 million for the nine months ended September 30, 2019, reflects an effective tax rate of 18%, which is higher than the effective tax rate of 2% for the nine months ended September 30, 2018. The increase is due to a discrete tax benefit recognized in the prior year in connection with an audit settlement with the Internal Revenue Service (“IRS”), a discrete tax benefit recognized in the prior year in connection with adjustments made to the provisional amounts initially recorded in connection with the U.S. Tax Reform Act, and lower excess tax benefits from share-based payments in the current year. This increase was partially offset by a valuation allowance recorded in the prior year with regard to California research and development credit carryforwards (“CA R&amp;D Credits”).</w:t>
      </w:r>
    </w:p>
    <w:p>
      <w:pPr>
        <w:spacing w:after="0" w:line="117" w:lineRule="exact"/>
        <w:rPr>
          <w:sz w:val="20"/>
          <w:szCs w:val="20"/>
          <w:color w:val="auto"/>
        </w:rPr>
      </w:pPr>
    </w:p>
    <w:p>
      <w:pPr>
        <w:ind w:right="120" w:firstLine="245"/>
        <w:spacing w:after="0" w:line="262" w:lineRule="auto"/>
        <w:rPr>
          <w:sz w:val="20"/>
          <w:szCs w:val="20"/>
          <w:color w:val="auto"/>
        </w:rPr>
      </w:pPr>
      <w:r>
        <w:rPr>
          <w:rFonts w:ascii="Arial" w:cs="Arial" w:eastAsia="Arial" w:hAnsi="Arial"/>
          <w:sz w:val="14"/>
          <w:szCs w:val="14"/>
          <w:color w:val="auto"/>
        </w:rPr>
        <w:t>The effective tax rate of 18% for both the three and nine months ended September 30, 2019, is lower than the U.S. statutory rate of 21%, primarily due to foreign earnings taxed at lower statutory rates as compared to domestic earnings, which is partially offset by U.S. tax on foreign earnings, and the recognition of federal research and development credits.</w:t>
      </w:r>
    </w:p>
    <w:p>
      <w:pPr>
        <w:spacing w:after="0" w:line="139" w:lineRule="exact"/>
        <w:rPr>
          <w:sz w:val="20"/>
          <w:szCs w:val="20"/>
          <w:color w:val="auto"/>
        </w:rPr>
      </w:pPr>
    </w:p>
    <w:p>
      <w:pPr>
        <w:ind w:right="120" w:firstLine="245"/>
        <w:spacing w:after="0" w:line="300" w:lineRule="auto"/>
        <w:rPr>
          <w:sz w:val="20"/>
          <w:szCs w:val="20"/>
          <w:color w:val="auto"/>
        </w:rPr>
      </w:pPr>
      <w:r>
        <w:rPr>
          <w:rFonts w:ascii="Arial" w:cs="Arial" w:eastAsia="Arial" w:hAnsi="Arial"/>
          <w:sz w:val="12"/>
          <w:szCs w:val="12"/>
          <w:color w:val="auto"/>
        </w:rPr>
        <w:t>Activision Blizzard’s 2009 through 2018 tax years remain open to examination by certain major taxing jurisdictions to which we are subject. The IRS is currently examining our federal tax returns for the 2012 through 2016 tax years. We also have several state and non-U.S. audits pending, including the French audit discussed below. In addition, we are currently seeking a multilateral agreement among the tax authorities in the U.K., Sweden, and other relevant jurisdictions with respect to King’s transfer pricing for tax years dating back to 2013. While the outcome of any discussions aimed at such an agreement remains uncertain, they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119" w:lineRule="exact"/>
        <w:rPr>
          <w:sz w:val="20"/>
          <w:szCs w:val="20"/>
          <w:color w:val="auto"/>
        </w:rPr>
      </w:pPr>
    </w:p>
    <w:p>
      <w:pPr>
        <w:ind w:firstLine="245"/>
        <w:spacing w:after="0" w:line="296" w:lineRule="auto"/>
        <w:rPr>
          <w:sz w:val="20"/>
          <w:szCs w:val="20"/>
          <w:color w:val="auto"/>
        </w:rPr>
      </w:pPr>
      <w:r>
        <w:rPr>
          <w:rFonts w:ascii="Arial" w:cs="Arial" w:eastAsia="Arial" w:hAnsi="Arial"/>
          <w:sz w:val="12"/>
          <w:szCs w:val="12"/>
          <w:color w:val="auto"/>
        </w:rPr>
        <w:t>In December 2018, we received a decision from the Swedish Tax Agency (“STA”) informing us of an audit assessment of a Swedish subsidiary of King for the 2016 tax year (“Initial Decision”). The Initial Decision described the basis for issuing a transfer pricing assessment of approximately 3.5kr billion (approximately $359 million), primarily concerning an alleged intercompany asset transfer. On June 17, 2019, we received a reassessment from the STA (“Reassessment”) which changed the Initial Decision based on a revision of the transfer pricing approach reflected in King’s 2016 Swedish tax return and removal of the alleged intercompany asset transfer that was the basis of the Initial Decision. The STA also, at the same time, reassessed the 2017 tax year on the same transfer pricing basis as 2016. The transfer pricing approach reflected in the Reassessment for both 2016 and 2017 remains subject to further review by taxing authorities in other jurisdictions. In July 2019, the Company made a payment to the STA for the Reassessment for the 2016 and 2017 tax years, which did not result in a significant impact to our condensed consolidated financial statements.</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20" w:top="129"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right="60" w:firstLine="245"/>
        <w:spacing w:after="0" w:line="305" w:lineRule="auto"/>
        <w:rPr>
          <w:sz w:val="20"/>
          <w:szCs w:val="20"/>
          <w:color w:val="auto"/>
        </w:rPr>
      </w:pPr>
      <w:r>
        <w:rPr>
          <w:rFonts w:ascii="Arial" w:cs="Arial" w:eastAsia="Arial" w:hAnsi="Arial"/>
          <w:sz w:val="12"/>
          <w:szCs w:val="12"/>
          <w:color w:val="auto"/>
        </w:rPr>
        <w:t>In December 2017, we received a Notice of Reassessment from the French Tax Authority (“FTA”) related to transfer pricing for intercompany transactions involving one of our French subsidiaries for the 2011 through 2013 tax years. The total assessment, including penalties and interest, was approximately €571 million (approximately $625 million). We disagree with the proposed assessment and continue to vigorously contest it. We believe our tax provisions at September 30, 2019, were appropriate. Until such time as this matter is ultimately resolved we could be subject to significant additional tax liabilities. In addition to the risk of additional tax for the 2011 through 2013 tax years, if the FTA were to seek adjustments of a similar nature for subsequent years, we could be subject to significant additional tax liabilities.</w:t>
      </w:r>
    </w:p>
    <w:p>
      <w:pPr>
        <w:spacing w:after="0" w:line="117" w:lineRule="exact"/>
        <w:rPr>
          <w:sz w:val="20"/>
          <w:szCs w:val="20"/>
          <w:color w:val="auto"/>
        </w:rPr>
      </w:pPr>
    </w:p>
    <w:p>
      <w:pPr>
        <w:ind w:right="20" w:firstLine="245"/>
        <w:spacing w:after="0" w:line="248" w:lineRule="auto"/>
        <w:rPr>
          <w:sz w:val="20"/>
          <w:szCs w:val="20"/>
          <w:color w:val="auto"/>
        </w:rPr>
      </w:pPr>
      <w:r>
        <w:rPr>
          <w:rFonts w:ascii="Arial" w:cs="Arial" w:eastAsia="Arial" w:hAnsi="Arial"/>
          <w:sz w:val="14"/>
          <w:szCs w:val="14"/>
          <w:color w:val="auto"/>
        </w:rPr>
        <w:t>In October 2019, we completed an intra-entity transfer of certain intellectual property rights to one of our subsidiaries in the U.K. The transfer did not result in a taxable gain; however, our U.K. subsidiary received a step-up in tax basis. We are currently assessing the tax impacts associated with this transfer, including its impact to deferred taxes. We expect to record a one-time benefit for the recognition of a deferred tax asset in the U.K. related to the amortizable tax basis in the transferred intellectual property, partially offset by a related deferred tax liability for U.S. taxes on foreign earnings. The net tax impact of this intra-entity asset transfer will be recorded in the quarter ending December 31, 2019. While this one-time impact may be material to our financial statements, we do not expect the transfer to materially affect cash taxes or operating cash flows in 2019.</w:t>
      </w:r>
    </w:p>
    <w:p>
      <w:pPr>
        <w:spacing w:after="0" w:line="150" w:lineRule="exact"/>
        <w:rPr>
          <w:sz w:val="20"/>
          <w:szCs w:val="20"/>
          <w:color w:val="auto"/>
        </w:rPr>
      </w:pPr>
    </w:p>
    <w:p>
      <w:pPr>
        <w:ind w:right="160" w:firstLine="245"/>
        <w:spacing w:after="0" w:line="305" w:lineRule="auto"/>
        <w:rPr>
          <w:sz w:val="20"/>
          <w:szCs w:val="20"/>
          <w:color w:val="auto"/>
        </w:rPr>
      </w:pPr>
      <w:r>
        <w:rPr>
          <w:rFonts w:ascii="Arial" w:cs="Arial" w:eastAsia="Arial" w:hAnsi="Arial"/>
          <w:sz w:val="12"/>
          <w:szCs w:val="12"/>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17" w:lineRule="exact"/>
        <w:rPr>
          <w:sz w:val="20"/>
          <w:szCs w:val="20"/>
          <w:color w:val="auto"/>
        </w:rPr>
      </w:pPr>
    </w:p>
    <w:p>
      <w:pPr>
        <w:ind w:right="40" w:firstLine="245"/>
        <w:spacing w:after="0" w:line="250" w:lineRule="auto"/>
        <w:rPr>
          <w:sz w:val="20"/>
          <w:szCs w:val="20"/>
          <w:color w:val="auto"/>
        </w:rPr>
      </w:pPr>
      <w:r>
        <w:rPr>
          <w:rFonts w:ascii="Arial" w:cs="Arial" w:eastAsia="Arial" w:hAnsi="Arial"/>
          <w:sz w:val="14"/>
          <w:szCs w:val="14"/>
          <w:color w:val="auto"/>
        </w:rPr>
        <w:t>We regularly assess the likelihood of adverse outcomes resulting from these examinations and monitor the progress of ongoing discussions with tax authorities in determining the appropriateness of our tax provisions. 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Computation of Basic/Diluted Earnings Per Common Share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sets forth the computation of basic and diluted earnings per common share (amounts in millions, except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31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 September 30,</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2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w w:val="95"/>
              </w:rPr>
              <w:t>For the Nine Months Ended September 30,</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2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
        </w:trPr>
        <w:tc>
          <w:tcPr>
            <w:tcW w:w="4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20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40" w:type="dxa"/>
            <w:vAlign w:val="bottom"/>
          </w:tcPr>
          <w:p>
            <w:pPr>
              <w:ind w:left="200"/>
              <w:spacing w:after="0"/>
              <w:rPr>
                <w:sz w:val="20"/>
                <w:szCs w:val="20"/>
                <w:color w:val="auto"/>
              </w:rPr>
            </w:pPr>
            <w:r>
              <w:rPr>
                <w:rFonts w:ascii="Arial" w:cs="Arial" w:eastAsia="Arial" w:hAnsi="Arial"/>
                <w:sz w:val="14"/>
                <w:szCs w:val="14"/>
                <w:color w:val="auto"/>
              </w:rPr>
              <w:t>Consolidated net income</w:t>
            </w:r>
          </w:p>
        </w:tc>
        <w:tc>
          <w:tcPr>
            <w:tcW w:w="1200" w:type="dxa"/>
            <w:vAlign w:val="bottom"/>
          </w:tcPr>
          <w:p>
            <w:pPr>
              <w:jc w:val="right"/>
              <w:ind w:right="1032"/>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1300" w:type="dxa"/>
            <w:vAlign w:val="bottom"/>
          </w:tcPr>
          <w:p>
            <w:pPr>
              <w:jc w:val="right"/>
              <w:ind w:right="1132"/>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32"/>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32"/>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15"/>
                <w:szCs w:val="15"/>
                <w:color w:val="auto"/>
              </w:rPr>
            </w:pP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12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200"/>
              <w:spacing w:after="0"/>
              <w:rPr>
                <w:sz w:val="20"/>
                <w:szCs w:val="20"/>
                <w:color w:val="auto"/>
              </w:rPr>
            </w:pPr>
            <w:r>
              <w:rPr>
                <w:rFonts w:ascii="Arial" w:cs="Arial" w:eastAsia="Arial" w:hAnsi="Arial"/>
                <w:sz w:val="14"/>
                <w:szCs w:val="14"/>
                <w:color w:val="auto"/>
                <w:w w:val="91"/>
              </w:rPr>
              <w:t>Denominator for basic earnings per common share—weighted-average</w:t>
            </w: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40" w:type="dxa"/>
            <w:vAlign w:val="bottom"/>
          </w:tcPr>
          <w:p>
            <w:pPr>
              <w:ind w:left="200"/>
              <w:spacing w:after="0"/>
              <w:rPr>
                <w:sz w:val="20"/>
                <w:szCs w:val="20"/>
                <w:color w:val="auto"/>
              </w:rPr>
            </w:pPr>
            <w:r>
              <w:rPr>
                <w:rFonts w:ascii="Arial" w:cs="Arial" w:eastAsia="Arial" w:hAnsi="Arial"/>
                <w:sz w:val="14"/>
                <w:szCs w:val="14"/>
                <w:color w:val="auto"/>
              </w:rPr>
              <w:t>common shares outstanding</w:t>
            </w:r>
          </w:p>
        </w:tc>
        <w:tc>
          <w:tcPr>
            <w:tcW w:w="120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color w:val="auto"/>
              </w:rPr>
              <w:t>763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32"/>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7"/>
              </w:rPr>
              <w:t>Effect of potential dilutive common shares under the treasury stock</w:t>
            </w:r>
          </w:p>
        </w:tc>
        <w:tc>
          <w:tcPr>
            <w:tcW w:w="1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method—employee stock options and awards</w:t>
            </w:r>
          </w:p>
        </w:tc>
        <w:tc>
          <w:tcPr>
            <w:tcW w:w="12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line="153" w:lineRule="exact"/>
              <w:rPr>
                <w:sz w:val="20"/>
                <w:szCs w:val="20"/>
                <w:color w:val="auto"/>
              </w:rPr>
            </w:pPr>
            <w:r>
              <w:rPr>
                <w:rFonts w:ascii="Arial" w:cs="Arial" w:eastAsia="Arial" w:hAnsi="Arial"/>
                <w:sz w:val="14"/>
                <w:szCs w:val="14"/>
                <w:color w:val="auto"/>
                <w:w w:val="95"/>
              </w:rPr>
              <w:t>Denominator for basic earnings per common share—weighted-average</w:t>
            </w:r>
          </w:p>
        </w:tc>
        <w:tc>
          <w:tcPr>
            <w:tcW w:w="1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dilutive common shares outstanding</w:t>
            </w: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240" w:type="dxa"/>
            <w:vAlign w:val="bottom"/>
          </w:tcPr>
          <w:p>
            <w:pPr>
              <w:ind w:left="20"/>
              <w:spacing w:after="0"/>
              <w:rPr>
                <w:sz w:val="20"/>
                <w:szCs w:val="20"/>
                <w:color w:val="auto"/>
              </w:rPr>
            </w:pPr>
            <w:r>
              <w:rPr>
                <w:rFonts w:ascii="Arial" w:cs="Arial" w:eastAsia="Arial" w:hAnsi="Arial"/>
                <w:sz w:val="14"/>
                <w:szCs w:val="14"/>
                <w:color w:val="auto"/>
              </w:rPr>
              <w:t>Basic earnings per common share</w:t>
            </w:r>
          </w:p>
        </w:tc>
        <w:tc>
          <w:tcPr>
            <w:tcW w:w="1200" w:type="dxa"/>
            <w:vAlign w:val="bottom"/>
          </w:tcPr>
          <w:p>
            <w:pPr>
              <w:jc w:val="right"/>
              <w:ind w:right="1032"/>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0.27</w:t>
            </w:r>
          </w:p>
        </w:tc>
        <w:tc>
          <w:tcPr>
            <w:tcW w:w="120" w:type="dxa"/>
            <w:vAlign w:val="bottom"/>
          </w:tcPr>
          <w:p>
            <w:pPr>
              <w:spacing w:after="0"/>
              <w:rPr>
                <w:sz w:val="15"/>
                <w:szCs w:val="15"/>
                <w:color w:val="auto"/>
              </w:rPr>
            </w:pPr>
          </w:p>
        </w:tc>
        <w:tc>
          <w:tcPr>
            <w:tcW w:w="1300" w:type="dxa"/>
            <w:vAlign w:val="bottom"/>
          </w:tcPr>
          <w:p>
            <w:pPr>
              <w:jc w:val="right"/>
              <w:ind w:right="1132"/>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32"/>
              <w:spacing w:after="0"/>
              <w:rPr>
                <w:sz w:val="20"/>
                <w:szCs w:val="20"/>
                <w:color w:val="auto"/>
              </w:rPr>
            </w:pPr>
            <w:r>
              <w:rPr>
                <w:rFonts w:ascii="Arial" w:cs="Arial" w:eastAsia="Arial" w:hAnsi="Arial"/>
                <w:sz w:val="14"/>
                <w:szCs w:val="14"/>
                <w:color w:val="auto"/>
              </w:rPr>
              <w:t>0.34</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32"/>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5"/>
                <w:szCs w:val="15"/>
                <w:color w:val="auto"/>
              </w:rPr>
            </w:pPr>
          </w:p>
        </w:tc>
        <w:tc>
          <w:tcPr>
            <w:tcW w:w="400" w:type="dxa"/>
            <w:vAlign w:val="bottom"/>
          </w:tcPr>
          <w:p>
            <w:pPr>
              <w:jc w:val="right"/>
              <w:ind w:right="252"/>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32"/>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common share</w:t>
            </w:r>
          </w:p>
        </w:tc>
        <w:tc>
          <w:tcPr>
            <w:tcW w:w="120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0.26</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1132"/>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674"/>
        </w:trPr>
        <w:tc>
          <w:tcPr>
            <w:tcW w:w="4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jc w:val="right"/>
              <w:ind w:right="112"/>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129" w:right="2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right="300" w:firstLine="245"/>
        <w:spacing w:after="0" w:line="315" w:lineRule="auto"/>
        <w:rPr>
          <w:sz w:val="20"/>
          <w:szCs w:val="20"/>
          <w:color w:val="auto"/>
        </w:rPr>
      </w:pPr>
      <w:r>
        <w:rPr>
          <w:rFonts w:ascii="Arial" w:cs="Arial" w:eastAsia="Arial" w:hAnsi="Arial"/>
          <w:sz w:val="12"/>
          <w:szCs w:val="12"/>
          <w:color w:val="auto"/>
        </w:rPr>
        <w:t>The vesting of certain of our employee-related restricted stock units and options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Weighted-average shares excluded from the computation of diluted earnings per share were as follows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32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For the Three Months Ended September 30,</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For the Nine Months Ended September 30,</w:t>
            </w:r>
          </w:p>
        </w:tc>
        <w:tc>
          <w:tcPr>
            <w:tcW w:w="340" w:type="dxa"/>
            <w:vAlign w:val="bottom"/>
          </w:tcPr>
          <w:p>
            <w:pPr>
              <w:spacing w:after="0"/>
              <w:rPr>
                <w:sz w:val="15"/>
                <w:szCs w:val="15"/>
                <w:color w:val="auto"/>
              </w:rPr>
            </w:pPr>
          </w:p>
        </w:tc>
      </w:tr>
      <w:tr>
        <w:trPr>
          <w:trHeight w:val="21"/>
        </w:trPr>
        <w:tc>
          <w:tcPr>
            <w:tcW w:w="4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73"/>
        </w:trPr>
        <w:tc>
          <w:tcPr>
            <w:tcW w:w="55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172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5"/>
                <w:szCs w:val="15"/>
                <w:color w:val="auto"/>
              </w:rPr>
            </w:pPr>
          </w:p>
        </w:tc>
      </w:tr>
      <w:tr>
        <w:trPr>
          <w:trHeight w:val="21"/>
        </w:trPr>
        <w:tc>
          <w:tcPr>
            <w:tcW w:w="42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75"/>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Restricted stock units and options with performance measures not yet met</w:t>
            </w:r>
          </w:p>
        </w:tc>
        <w:tc>
          <w:tcPr>
            <w:tcW w:w="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w:t>
            </w:r>
          </w:p>
        </w:tc>
      </w:tr>
      <w:tr>
        <w:trPr>
          <w:trHeight w:val="183"/>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Anti-dilutive employee stock options</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40" w:type="dxa"/>
            <w:vAlign w:val="bottom"/>
          </w:tcPr>
          <w:p>
            <w:pPr>
              <w:jc w:val="right"/>
              <w:ind w:right="32"/>
              <w:spacing w:after="0"/>
              <w:rPr>
                <w:sz w:val="20"/>
                <w:szCs w:val="20"/>
                <w:color w:val="auto"/>
              </w:rPr>
            </w:pPr>
            <w:r>
              <w:rPr>
                <w:rFonts w:ascii="Arial" w:cs="Arial" w:eastAsia="Arial" w:hAnsi="Arial"/>
                <w:sz w:val="14"/>
                <w:szCs w:val="14"/>
                <w:color w:val="auto"/>
              </w:rPr>
              <w:t>2</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Capital Transactions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Repurchase Program</w:t>
      </w:r>
    </w:p>
    <w:p>
      <w:pPr>
        <w:spacing w:after="0" w:line="166" w:lineRule="exact"/>
        <w:rPr>
          <w:sz w:val="20"/>
          <w:szCs w:val="20"/>
          <w:color w:val="auto"/>
        </w:rPr>
      </w:pPr>
    </w:p>
    <w:p>
      <w:pPr>
        <w:jc w:val="both"/>
        <w:ind w:right="120" w:firstLine="245"/>
        <w:spacing w:after="0" w:line="346" w:lineRule="auto"/>
        <w:rPr>
          <w:sz w:val="20"/>
          <w:szCs w:val="20"/>
          <w:color w:val="auto"/>
        </w:rPr>
      </w:pPr>
      <w:r>
        <w:rPr>
          <w:rFonts w:ascii="Arial" w:cs="Arial" w:eastAsia="Arial" w:hAnsi="Arial"/>
          <w:sz w:val="12"/>
          <w:szCs w:val="12"/>
          <w:color w:val="auto"/>
        </w:rPr>
        <w:t>On January 31, 2019, our Board of Directors authorized a stock repurchase program under which we are authorized to repurchase up to $1.5 billion of our common stock from February 14, 2019, until the earlier of February 13, 2021, and a determination by the Board of Directors to discontinue the repurchase program. As of September 30, 2019, we have not repurchased any shares under this program.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166" w:lineRule="exact"/>
        <w:rPr>
          <w:sz w:val="20"/>
          <w:szCs w:val="20"/>
          <w:color w:val="auto"/>
        </w:rPr>
      </w:pPr>
    </w:p>
    <w:p>
      <w:pPr>
        <w:ind w:right="360" w:firstLine="245"/>
        <w:spacing w:after="0" w:line="262" w:lineRule="auto"/>
        <w:rPr>
          <w:sz w:val="20"/>
          <w:szCs w:val="20"/>
          <w:color w:val="auto"/>
        </w:rPr>
      </w:pPr>
      <w:r>
        <w:rPr>
          <w:rFonts w:ascii="Arial" w:cs="Arial" w:eastAsia="Arial" w:hAnsi="Arial"/>
          <w:sz w:val="14"/>
          <w:szCs w:val="14"/>
          <w:color w:val="auto"/>
        </w:rPr>
        <w:t>On February 12, 2019, our Board of Directors declared a cash dividend of $0.37 per common share. On May 9, 2019, we made an aggregate cash dividend payment of $283 million to shareholders of record at the close of business on March 28, 2019.</w:t>
      </w:r>
    </w:p>
    <w:p>
      <w:pPr>
        <w:spacing w:after="0" w:line="139" w:lineRule="exact"/>
        <w:rPr>
          <w:sz w:val="20"/>
          <w:szCs w:val="20"/>
          <w:color w:val="auto"/>
        </w:rPr>
      </w:pPr>
    </w:p>
    <w:p>
      <w:pPr>
        <w:ind w:right="60" w:firstLine="245"/>
        <w:spacing w:after="0" w:line="262" w:lineRule="auto"/>
        <w:rPr>
          <w:sz w:val="20"/>
          <w:szCs w:val="20"/>
          <w:color w:val="auto"/>
        </w:rPr>
      </w:pPr>
      <w:r>
        <w:rPr>
          <w:rFonts w:ascii="Arial" w:cs="Arial" w:eastAsia="Arial" w:hAnsi="Arial"/>
          <w:sz w:val="14"/>
          <w:szCs w:val="14"/>
          <w:color w:val="auto"/>
        </w:rPr>
        <w:t>On February 8, 2018, our Board of Directors declared a cash dividend of $0.34 per common share. On May 9, 2018, we made an aggregate cash dividend payment of $259 million to shareholders of record at the close of business on March 30, 2018.</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19. Commitments and Contingencies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Proceedings</w:t>
      </w:r>
    </w:p>
    <w:p>
      <w:pPr>
        <w:spacing w:after="0" w:line="166" w:lineRule="exact"/>
        <w:rPr>
          <w:sz w:val="20"/>
          <w:szCs w:val="20"/>
          <w:color w:val="auto"/>
        </w:rPr>
      </w:pPr>
    </w:p>
    <w:p>
      <w:pPr>
        <w:ind w:right="20" w:firstLine="245"/>
        <w:spacing w:after="0" w:line="315" w:lineRule="auto"/>
        <w:rPr>
          <w:sz w:val="20"/>
          <w:szCs w:val="20"/>
          <w:color w:val="auto"/>
        </w:rPr>
      </w:pPr>
      <w:r>
        <w:rPr>
          <w:rFonts w:ascii="Arial" w:cs="Arial" w:eastAsia="Arial" w:hAnsi="Arial"/>
          <w:sz w:val="12"/>
          <w:szCs w:val="12"/>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60"/>
          </w:cols>
          <w:pgMar w:left="220" w:top="129" w:right="21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68" w:lineRule="exact"/>
        <w:rPr>
          <w:sz w:val="20"/>
          <w:szCs w:val="20"/>
          <w:color w:val="auto"/>
        </w:rPr>
      </w:pPr>
    </w:p>
    <w:p>
      <w:pPr>
        <w:ind w:right="140" w:firstLine="245"/>
        <w:spacing w:after="0" w:line="253" w:lineRule="auto"/>
        <w:rPr>
          <w:sz w:val="20"/>
          <w:szCs w:val="20"/>
          <w:color w:val="auto"/>
        </w:rPr>
      </w:pPr>
      <w:r>
        <w:rPr>
          <w:rFonts w:ascii="Arial" w:cs="Arial" w:eastAsia="Arial" w:hAnsi="Arial"/>
          <w:sz w:val="14"/>
          <w:szCs w:val="14"/>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events and create film and television content based on our intellectual property. The terms “Activision Blizzard,” the “Company,” “we,” “us,” and “our” are used to refer collectively to Activision Blizzard, Inc. and its subsidiaries.</w:t>
      </w:r>
    </w:p>
    <w:p>
      <w:pPr>
        <w:spacing w:after="0" w:line="145" w:lineRule="exact"/>
        <w:rPr>
          <w:sz w:val="20"/>
          <w:szCs w:val="20"/>
          <w:color w:val="auto"/>
        </w:rPr>
      </w:pPr>
    </w:p>
    <w:p>
      <w:pPr>
        <w:ind w:right="260" w:firstLine="245"/>
        <w:spacing w:after="0" w:line="346" w:lineRule="auto"/>
        <w:rPr>
          <w:sz w:val="20"/>
          <w:szCs w:val="20"/>
          <w:color w:val="auto"/>
        </w:rPr>
      </w:pPr>
      <w:r>
        <w:rPr>
          <w:rFonts w:ascii="Arial" w:cs="Arial" w:eastAsia="Arial" w:hAnsi="Arial"/>
          <w:sz w:val="12"/>
          <w:szCs w:val="12"/>
          <w:color w:val="auto"/>
        </w:rPr>
        <w:t>The Company was originally incorporated in California in 1979 and was reincorporated in Delaware in December 1992. In connection with the 2008 business combination by and among the Company (then known as Activision, Inc.), Vivendi S.A, and Vivendi Games, Inc., then an indirect wholly-owned subsidiary of Vivendi S.A., we were renamed Activision Blizzard, Inc.</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Segments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Based on our organizational structure, we conduct our business through three reportable segments, as follows: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 Activision Publishing, Inc.</w:t>
      </w:r>
    </w:p>
    <w:p>
      <w:pPr>
        <w:spacing w:after="0" w:line="166" w:lineRule="exact"/>
        <w:rPr>
          <w:sz w:val="20"/>
          <w:szCs w:val="20"/>
          <w:color w:val="auto"/>
        </w:rPr>
      </w:pPr>
    </w:p>
    <w:p>
      <w:pPr>
        <w:ind w:right="60" w:firstLine="245"/>
        <w:spacing w:after="0" w:line="230" w:lineRule="auto"/>
        <w:rPr>
          <w:sz w:val="20"/>
          <w:szCs w:val="20"/>
          <w:color w:val="auto"/>
        </w:rPr>
      </w:pPr>
      <w:r>
        <w:rPr>
          <w:rFonts w:ascii="Arial" w:cs="Arial" w:eastAsia="Arial" w:hAnsi="Arial"/>
          <w:sz w:val="14"/>
          <w:szCs w:val="14"/>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as well as some licensed properties. Activision’s key product franchise is Call of Duty</w:t>
      </w:r>
      <w:r>
        <w:rPr>
          <w:rFonts w:ascii="Arial" w:cs="Arial" w:eastAsia="Arial" w:hAnsi="Arial"/>
          <w:sz w:val="19"/>
          <w:szCs w:val="19"/>
          <w:color w:val="auto"/>
          <w:vertAlign w:val="superscript"/>
        </w:rPr>
        <w:t>®</w:t>
      </w:r>
      <w:r>
        <w:rPr>
          <w:rFonts w:ascii="Arial" w:cs="Arial" w:eastAsia="Arial" w:hAnsi="Arial"/>
          <w:sz w:val="14"/>
          <w:szCs w:val="14"/>
          <w:color w:val="auto"/>
        </w:rPr>
        <w:t xml:space="preserve">, a first-person shooter for the console and PC platforms. Also, on October 1, 2019, in collaboration with Tencent, Activision released </w:t>
      </w:r>
      <w:r>
        <w:rPr>
          <w:rFonts w:ascii="Arial" w:cs="Arial" w:eastAsia="Arial" w:hAnsi="Arial"/>
          <w:sz w:val="14"/>
          <w:szCs w:val="14"/>
          <w:i w:val="1"/>
          <w:iCs w:val="1"/>
          <w:color w:val="auto"/>
        </w:rPr>
        <w:t>Call of Duty: Mobile</w:t>
      </w:r>
      <w:r>
        <w:rPr>
          <w:rFonts w:ascii="Arial" w:cs="Arial" w:eastAsia="Arial" w:hAnsi="Arial"/>
          <w:sz w:val="14"/>
          <w:szCs w:val="14"/>
          <w:color w:val="auto"/>
        </w:rPr>
        <w:t xml:space="preserve"> for the mobile platform, including for Google Inc.’s (“Google”) Android and Apple Inc.’s (“Apple”) iOS.</w:t>
      </w:r>
    </w:p>
    <w:p>
      <w:pPr>
        <w:spacing w:after="0" w:line="165" w:lineRule="exact"/>
        <w:rPr>
          <w:sz w:val="20"/>
          <w:szCs w:val="20"/>
          <w:color w:val="auto"/>
        </w:rPr>
      </w:pPr>
    </w:p>
    <w:p>
      <w:pPr>
        <w:ind w:firstLine="245"/>
        <w:spacing w:after="0" w:line="333" w:lineRule="auto"/>
        <w:rPr>
          <w:sz w:val="20"/>
          <w:szCs w:val="20"/>
          <w:color w:val="auto"/>
        </w:rPr>
      </w:pPr>
      <w:r>
        <w:rPr>
          <w:rFonts w:ascii="Arial" w:cs="Arial" w:eastAsia="Arial" w:hAnsi="Arial"/>
          <w:sz w:val="12"/>
          <w:szCs w:val="12"/>
          <w:color w:val="auto"/>
        </w:rPr>
        <w:t>In 2010, Activision entered into an exclusive relationship with Bungie, Inc.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Activision no longer has any material rights or obligations related to the Destiny franchise.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(ii) Blizzard Entertainment, Inc.</w:t>
      </w:r>
    </w:p>
    <w:p>
      <w:pPr>
        <w:spacing w:after="0" w:line="166" w:lineRule="exact"/>
        <w:rPr>
          <w:sz w:val="20"/>
          <w:szCs w:val="20"/>
          <w:color w:val="auto"/>
        </w:rPr>
      </w:pPr>
    </w:p>
    <w:p>
      <w:pPr>
        <w:ind w:firstLine="245"/>
        <w:spacing w:after="0" w:line="230" w:lineRule="auto"/>
        <w:rPr>
          <w:sz w:val="20"/>
          <w:szCs w:val="20"/>
          <w:color w:val="auto"/>
        </w:rPr>
      </w:pPr>
      <w:r>
        <w:rPr>
          <w:rFonts w:ascii="Arial" w:cs="Arial" w:eastAsia="Arial" w:hAnsi="Arial"/>
          <w:sz w:val="13"/>
          <w:szCs w:val="13"/>
          <w:color w:val="auto"/>
        </w:rPr>
        <w:t>Blizzard Entertainment, Inc. (“Blizzard”)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Arial" w:cs="Arial" w:eastAsia="Arial" w:hAnsi="Arial"/>
          <w:sz w:val="18"/>
          <w:szCs w:val="18"/>
          <w:color w:val="auto"/>
          <w:vertAlign w:val="superscript"/>
        </w:rPr>
        <w:t>®</w:t>
      </w:r>
      <w:r>
        <w:rPr>
          <w:rFonts w:ascii="Arial" w:cs="Arial" w:eastAsia="Arial" w:hAnsi="Arial"/>
          <w:sz w:val="13"/>
          <w:szCs w:val="13"/>
          <w:color w:val="auto"/>
        </w:rPr>
        <w:t>, which facilitates digital distribution of Blizzard content and selected Activision content, online social connectivity, and the creation of user-generated content. Blizzard also includes the activities of the Overwatch League</w:t>
      </w:r>
      <w:r>
        <w:rPr>
          <w:rFonts w:ascii="Arial" w:cs="Arial" w:eastAsia="Arial" w:hAnsi="Arial"/>
          <w:sz w:val="18"/>
          <w:szCs w:val="18"/>
          <w:color w:val="auto"/>
          <w:vertAlign w:val="superscript"/>
        </w:rPr>
        <w:t>TM</w:t>
      </w:r>
      <w:r>
        <w:rPr>
          <w:rFonts w:ascii="Arial" w:cs="Arial" w:eastAsia="Arial" w:hAnsi="Arial"/>
          <w:sz w:val="13"/>
          <w:szCs w:val="13"/>
          <w:color w:val="auto"/>
        </w:rPr>
        <w:t>, the first major global professional esports league with city-based teams, and our Major League Gaming (“MLG”) business, which is responsible for various esports events and serves as a multi-platform network for Activision Blizzard esports content.</w:t>
      </w:r>
    </w:p>
    <w:p>
      <w:pPr>
        <w:spacing w:after="0" w:line="155" w:lineRule="exact"/>
        <w:rPr>
          <w:sz w:val="20"/>
          <w:szCs w:val="20"/>
          <w:color w:val="auto"/>
        </w:rPr>
      </w:pPr>
    </w:p>
    <w:p>
      <w:pPr>
        <w:ind w:right="20" w:firstLine="245"/>
        <w:spacing w:after="0" w:line="183" w:lineRule="auto"/>
        <w:rPr>
          <w:sz w:val="20"/>
          <w:szCs w:val="20"/>
          <w:color w:val="auto"/>
        </w:rPr>
      </w:pPr>
      <w:r>
        <w:rPr>
          <w:rFonts w:ascii="Arial" w:cs="Arial" w:eastAsia="Arial" w:hAnsi="Arial"/>
          <w:sz w:val="14"/>
          <w:szCs w:val="14"/>
          <w:color w:val="auto"/>
        </w:rPr>
        <w:t>Blizzard’s key product franchises include: World of Warcraft</w:t>
      </w:r>
      <w:r>
        <w:rPr>
          <w:rFonts w:ascii="Arial" w:cs="Arial" w:eastAsia="Arial" w:hAnsi="Arial"/>
          <w:sz w:val="19"/>
          <w:szCs w:val="19"/>
          <w:color w:val="auto"/>
          <w:vertAlign w:val="superscript"/>
        </w:rPr>
        <w:t>®</w:t>
      </w:r>
      <w:r>
        <w:rPr>
          <w:rFonts w:ascii="Arial" w:cs="Arial" w:eastAsia="Arial" w:hAnsi="Arial"/>
          <w:sz w:val="14"/>
          <w:szCs w:val="14"/>
          <w:color w:val="auto"/>
        </w:rPr>
        <w:t>, a subscription-based massive multi-player online role-playing game for the PC platform; StarCraft</w:t>
      </w:r>
      <w:r>
        <w:rPr>
          <w:rFonts w:ascii="Arial" w:cs="Arial" w:eastAsia="Arial" w:hAnsi="Arial"/>
          <w:sz w:val="19"/>
          <w:szCs w:val="19"/>
          <w:color w:val="auto"/>
          <w:vertAlign w:val="superscript"/>
        </w:rPr>
        <w:t>®</w:t>
      </w:r>
      <w:r>
        <w:rPr>
          <w:rFonts w:ascii="Arial" w:cs="Arial" w:eastAsia="Arial" w:hAnsi="Arial"/>
          <w:sz w:val="14"/>
          <w:szCs w:val="14"/>
          <w:color w:val="auto"/>
        </w:rPr>
        <w:t>, a real-time strategy franchise for the PC platform; Diablo</w:t>
      </w:r>
      <w:r>
        <w:rPr>
          <w:rFonts w:ascii="Arial" w:cs="Arial" w:eastAsia="Arial" w:hAnsi="Arial"/>
          <w:sz w:val="19"/>
          <w:szCs w:val="19"/>
          <w:color w:val="auto"/>
          <w:vertAlign w:val="superscript"/>
        </w:rPr>
        <w:t>®</w:t>
      </w:r>
      <w:r>
        <w:rPr>
          <w:rFonts w:ascii="Arial" w:cs="Arial" w:eastAsia="Arial" w:hAnsi="Arial"/>
          <w:sz w:val="14"/>
          <w:szCs w:val="14"/>
          <w:color w:val="auto"/>
        </w:rPr>
        <w:t>, an action role-playing franchise for the PC and console platforms; Hearthstone</w:t>
      </w:r>
      <w:r>
        <w:rPr>
          <w:rFonts w:ascii="Arial" w:cs="Arial" w:eastAsia="Arial" w:hAnsi="Arial"/>
          <w:sz w:val="19"/>
          <w:szCs w:val="19"/>
          <w:color w:val="auto"/>
          <w:vertAlign w:val="superscript"/>
        </w:rPr>
        <w:t>®</w:t>
      </w:r>
      <w:r>
        <w:rPr>
          <w:rFonts w:ascii="Arial" w:cs="Arial" w:eastAsia="Arial" w:hAnsi="Arial"/>
          <w:sz w:val="14"/>
          <w:szCs w:val="14"/>
          <w:color w:val="auto"/>
        </w:rPr>
        <w:t>, an online collectible card franchise for the PC and mobile platforms; and Overwatch</w:t>
      </w:r>
      <w:r>
        <w:rPr>
          <w:rFonts w:ascii="Arial" w:cs="Arial" w:eastAsia="Arial" w:hAnsi="Arial"/>
          <w:sz w:val="19"/>
          <w:szCs w:val="19"/>
          <w:color w:val="auto"/>
          <w:vertAlign w:val="superscript"/>
        </w:rPr>
        <w:t>®</w:t>
      </w:r>
      <w:r>
        <w:rPr>
          <w:rFonts w:ascii="Arial" w:cs="Arial" w:eastAsia="Arial" w:hAnsi="Arial"/>
          <w:sz w:val="14"/>
          <w:szCs w:val="14"/>
          <w:color w:val="auto"/>
        </w:rPr>
        <w:t>, a team-based first-person shooter for the PC and console platforms.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(iii) King Digital Entertainment</w:t>
      </w:r>
    </w:p>
    <w:p>
      <w:pPr>
        <w:spacing w:after="0" w:line="166" w:lineRule="exact"/>
        <w:rPr>
          <w:sz w:val="20"/>
          <w:szCs w:val="20"/>
          <w:color w:val="auto"/>
        </w:rPr>
      </w:pPr>
    </w:p>
    <w:p>
      <w:pPr>
        <w:ind w:firstLine="245"/>
        <w:spacing w:after="0" w:line="253" w:lineRule="auto"/>
        <w:rPr>
          <w:sz w:val="20"/>
          <w:szCs w:val="20"/>
          <w:color w:val="auto"/>
        </w:rPr>
      </w:pPr>
      <w:r>
        <w:rPr>
          <w:rFonts w:ascii="Arial" w:cs="Arial" w:eastAsia="Arial" w:hAnsi="Arial"/>
          <w:sz w:val="14"/>
          <w:szCs w:val="14"/>
          <w:color w:val="auto"/>
        </w:rPr>
        <w:t>King Digital Entertainment (“King”) is a leading global developer and publisher of interactive entertainment content and services, particularly for the mobile platform, including for Google’s Android and Apple’s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20" w:top="129"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right="140" w:firstLine="245"/>
        <w:spacing w:after="0" w:line="262" w:lineRule="auto"/>
        <w:rPr>
          <w:sz w:val="20"/>
          <w:szCs w:val="20"/>
          <w:color w:val="auto"/>
        </w:rPr>
      </w:pPr>
      <w:r>
        <w:rPr>
          <w:rFonts w:ascii="Arial" w:cs="Arial" w:eastAsia="Arial" w:hAnsi="Arial"/>
          <w:sz w:val="14"/>
          <w:szCs w:val="14"/>
          <w:color w:val="auto"/>
        </w:rPr>
        <w:t>King’s key product franchises, all of which are for the mobile and PC platforms, include: Candy Crush™, which features “match three” games; Farm Heroes™, which also features “match three” games; and Bubble Witch™, which features “bubble shooter” games.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also engage in other businesses that do not represent reportable segments, including:</w:t>
      </w:r>
    </w:p>
    <w:p>
      <w:pPr>
        <w:spacing w:after="0" w:line="166" w:lineRule="exact"/>
        <w:rPr>
          <w:sz w:val="20"/>
          <w:szCs w:val="20"/>
          <w:color w:val="auto"/>
        </w:rPr>
      </w:pPr>
    </w:p>
    <w:p>
      <w:pPr>
        <w:ind w:left="740" w:hanging="247"/>
        <w:spacing w:after="0" w:line="262" w:lineRule="auto"/>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the Activision Blizzard Studios (“Studios”) business, which is devoted to creating original film and television content based on our library of globally recognized intellectual properties, and which, in September 2018, released the third season of the animated TV series </w:t>
      </w:r>
      <w:r>
        <w:rPr>
          <w:rFonts w:ascii="Arial" w:cs="Arial" w:eastAsia="Arial" w:hAnsi="Arial"/>
          <w:sz w:val="14"/>
          <w:szCs w:val="14"/>
          <w:i w:val="1"/>
          <w:iCs w:val="1"/>
          <w:color w:val="auto"/>
        </w:rPr>
        <w:t>Skylanders™ Academy</w:t>
      </w:r>
      <w:r>
        <w:rPr>
          <w:rFonts w:ascii="Arial" w:cs="Arial" w:eastAsia="Arial" w:hAnsi="Arial"/>
          <w:sz w:val="14"/>
          <w:szCs w:val="14"/>
          <w:color w:val="auto"/>
        </w:rPr>
        <w:t xml:space="preserve"> on Netflix; and</w:t>
      </w:r>
    </w:p>
    <w:p>
      <w:pPr>
        <w:spacing w:after="0" w:line="139" w:lineRule="exact"/>
        <w:rPr>
          <w:rFonts w:ascii="Arial" w:cs="Arial" w:eastAsia="Arial" w:hAnsi="Arial"/>
          <w:sz w:val="14"/>
          <w:szCs w:val="14"/>
          <w:color w:val="auto"/>
        </w:rPr>
      </w:pPr>
    </w:p>
    <w:p>
      <w:pPr>
        <w:ind w:left="740" w:hanging="247"/>
        <w:spacing w:after="0" w:line="262" w:lineRule="auto"/>
        <w:tabs>
          <w:tab w:leader="none" w:pos="7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20" w:top="129"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Results and Highlights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Results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the three months ended September 30, 2019:</w:t>
      </w:r>
    </w:p>
    <w:p>
      <w:pPr>
        <w:spacing w:after="0" w:line="166" w:lineRule="exact"/>
        <w:rPr>
          <w:sz w:val="20"/>
          <w:szCs w:val="20"/>
          <w:color w:val="auto"/>
        </w:rPr>
      </w:pPr>
    </w:p>
    <w:p>
      <w:pPr>
        <w:ind w:left="740" w:right="380" w:hanging="247"/>
        <w:spacing w:after="0" w:line="262" w:lineRule="auto"/>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consolidated net revenues decreased 15% to $1.28 billion, and consolidated operating income decreased 7% to $247 million, as compared to consolidated net revenues of $1.51 billion and consolidated operating income of $265 million for the three months ended September 30, 2018;</w:t>
      </w:r>
    </w:p>
    <w:p>
      <w:pPr>
        <w:spacing w:after="0" w:line="139" w:lineRule="exact"/>
        <w:rPr>
          <w:rFonts w:ascii="Arial" w:cs="Arial" w:eastAsia="Arial" w:hAnsi="Arial"/>
          <w:sz w:val="14"/>
          <w:szCs w:val="14"/>
          <w:color w:val="auto"/>
        </w:rPr>
      </w:pPr>
    </w:p>
    <w:p>
      <w:pPr>
        <w:ind w:left="740" w:right="240" w:hanging="247"/>
        <w:spacing w:after="0" w:line="262" w:lineRule="auto"/>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revenues from digital online channels were $1.01 billion, or 79% of consolidated net revenues, as compared to $1.28 billion, or 84% of consolidated net revenues, for the three months ended September 30, 2018;</w:t>
      </w:r>
    </w:p>
    <w:p>
      <w:pPr>
        <w:spacing w:after="0" w:line="139" w:lineRule="exact"/>
        <w:rPr>
          <w:rFonts w:ascii="Arial" w:cs="Arial" w:eastAsia="Arial" w:hAnsi="Arial"/>
          <w:sz w:val="14"/>
          <w:szCs w:val="14"/>
          <w:color w:val="auto"/>
        </w:rPr>
      </w:pPr>
    </w:p>
    <w:p>
      <w:pPr>
        <w:ind w:left="740" w:hanging="247"/>
        <w:spacing w:after="0"/>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operating margin was 19.3%, which includes $28 million in restructuring and related costs, as compared to 17.5% for the three months ended September 30, 2018;</w:t>
      </w:r>
    </w:p>
    <w:p>
      <w:pPr>
        <w:spacing w:after="0" w:line="166" w:lineRule="exact"/>
        <w:rPr>
          <w:rFonts w:ascii="Arial" w:cs="Arial" w:eastAsia="Arial" w:hAnsi="Arial"/>
          <w:sz w:val="14"/>
          <w:szCs w:val="14"/>
          <w:color w:val="auto"/>
        </w:rPr>
      </w:pPr>
    </w:p>
    <w:p>
      <w:pPr>
        <w:ind w:left="740" w:hanging="247"/>
        <w:spacing w:after="0" w:line="346" w:lineRule="auto"/>
        <w:tabs>
          <w:tab w:leader="none" w:pos="7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consolidated net income decreased 22% to $204 million, as compared to $260 million for the three months ended September 30, 2018; net income for the 2018 period included $72 million of net tax benefits from discrete tax items primarily related to updates to our accounting for the Tax Cuts and Jobs Act (see “Consolidated Results” discussion below for additional details); and</w:t>
      </w:r>
    </w:p>
    <w:p>
      <w:pPr>
        <w:spacing w:after="0" w:line="93" w:lineRule="exact"/>
        <w:rPr>
          <w:rFonts w:ascii="Arial" w:cs="Arial" w:eastAsia="Arial" w:hAnsi="Arial"/>
          <w:sz w:val="12"/>
          <w:szCs w:val="12"/>
          <w:color w:val="auto"/>
        </w:rPr>
      </w:pPr>
    </w:p>
    <w:p>
      <w:pPr>
        <w:ind w:left="740" w:hanging="247"/>
        <w:spacing w:after="0"/>
        <w:tabs>
          <w:tab w:leader="none" w:pos="7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diluted earnings per common share decreased 24% to $0.26, as compared to $0.34 for the three months ended September 30,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For the nine months ended September 30, 2019:</w:t>
      </w:r>
    </w:p>
    <w:p>
      <w:pPr>
        <w:spacing w:after="0" w:line="166" w:lineRule="exact"/>
        <w:rPr>
          <w:sz w:val="20"/>
          <w:szCs w:val="20"/>
          <w:color w:val="auto"/>
        </w:rPr>
      </w:pPr>
    </w:p>
    <w:p>
      <w:pPr>
        <w:ind w:left="740" w:right="320" w:hanging="247"/>
        <w:spacing w:after="0" w:line="262"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consolidated net revenues decreased 12% to $4.50 billion, and consolidated operating income decreased 11% to $1.15 billion, as compared to consolidated net revenues of $5.12 billion and consolidated operating income of $1.29 billion for the nine months ended September 30, 2018;</w:t>
      </w:r>
    </w:p>
    <w:p>
      <w:pPr>
        <w:spacing w:after="0" w:line="139" w:lineRule="exact"/>
        <w:rPr>
          <w:rFonts w:ascii="Arial" w:cs="Arial" w:eastAsia="Arial" w:hAnsi="Arial"/>
          <w:sz w:val="14"/>
          <w:szCs w:val="14"/>
          <w:color w:val="auto"/>
        </w:rPr>
      </w:pPr>
    </w:p>
    <w:p>
      <w:pPr>
        <w:ind w:left="740" w:right="280" w:hanging="247"/>
        <w:spacing w:after="0" w:line="262"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revenues from digital online channels were $3.49 billion, or 78% of consolidated net revenues, as compared to $4.00 billion, or 78% of consolidated net revenues, for the nine months ended September 30, 2018;</w:t>
      </w:r>
    </w:p>
    <w:p>
      <w:pPr>
        <w:spacing w:after="0" w:line="139" w:lineRule="exact"/>
        <w:rPr>
          <w:rFonts w:ascii="Arial" w:cs="Arial" w:eastAsia="Arial" w:hAnsi="Arial"/>
          <w:sz w:val="14"/>
          <w:szCs w:val="14"/>
          <w:color w:val="auto"/>
        </w:rPr>
      </w:pPr>
    </w:p>
    <w:p>
      <w:pPr>
        <w:ind w:left="740" w:hanging="247"/>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operating margin was 25.6%, which includes $108 million in restructuring and related costs, as compared to 25.3% for the nine months ended September 30, 2018;</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cash flows from operating activities were $913 million, an increase of 15%, as compared to $791 million for the nine months ended September 30, 2018;</w:t>
      </w:r>
    </w:p>
    <w:p>
      <w:pPr>
        <w:spacing w:after="0" w:line="166" w:lineRule="exact"/>
        <w:rPr>
          <w:rFonts w:ascii="Arial" w:cs="Arial" w:eastAsia="Arial" w:hAnsi="Arial"/>
          <w:sz w:val="14"/>
          <w:szCs w:val="14"/>
          <w:color w:val="auto"/>
        </w:rPr>
      </w:pPr>
    </w:p>
    <w:p>
      <w:pPr>
        <w:ind w:left="740" w:right="40" w:hanging="247"/>
        <w:spacing w:after="0" w:line="262" w:lineRule="auto"/>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consolidated net income decreased 16% to $978 million, as compared to $1.16 billion for the nine months ended September 30, 2018; net income for the 2018 period included $97 million of net tax benefits from several discrete tax items (see “Consolidated Results” discussion below for additional details); and</w:t>
      </w:r>
    </w:p>
    <w:p>
      <w:pPr>
        <w:spacing w:after="0" w:line="139" w:lineRule="exact"/>
        <w:rPr>
          <w:rFonts w:ascii="Arial" w:cs="Arial" w:eastAsia="Arial" w:hAnsi="Arial"/>
          <w:sz w:val="14"/>
          <w:szCs w:val="14"/>
          <w:color w:val="auto"/>
        </w:rPr>
      </w:pPr>
    </w:p>
    <w:p>
      <w:pPr>
        <w:ind w:left="740" w:hanging="247"/>
        <w:spacing w:after="0"/>
        <w:tabs>
          <w:tab w:leader="none" w:pos="7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diluted earnings per common share decreased 16% to $1.27, as compared to $1.51 for the nine months ended September 30, 2018.</w:t>
      </w:r>
    </w:p>
    <w:p>
      <w:pPr>
        <w:spacing w:after="0" w:line="166" w:lineRule="exact"/>
        <w:rPr>
          <w:sz w:val="20"/>
          <w:szCs w:val="20"/>
          <w:color w:val="auto"/>
        </w:rPr>
      </w:pPr>
    </w:p>
    <w:p>
      <w:pPr>
        <w:ind w:firstLine="245"/>
        <w:spacing w:after="0" w:line="305" w:lineRule="auto"/>
        <w:rPr>
          <w:sz w:val="20"/>
          <w:szCs w:val="20"/>
          <w:color w:val="auto"/>
        </w:rPr>
      </w:pPr>
      <w:r>
        <w:rPr>
          <w:rFonts w:ascii="Arial" w:cs="Arial" w:eastAsia="Arial" w:hAnsi="Arial"/>
          <w:sz w:val="12"/>
          <w:szCs w:val="12"/>
          <w:color w:val="auto"/>
        </w:rPr>
        <w:t>Since certain of our games are hosted online or include significant online functionality that represents a separate performance obligation, we defer the transaction price allocable to the online functionality from the sale of these games and then recognize the attributable revenues over the relevant estimated service periods, which are generally less than a year. Net revenues and operating income for the three months ended September 30, 2019, include a net effect of $68 million and $53 million, respectively, from the recognition of deferred net revenues and related cost of revenues. Net revenues and operating income for the nine months ended September 30, 2019, include a net effect of $824 million and $629 million, respectively, from the recognition of deferred net revenues and related cost of revenues.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Content Release and Event Highlights</w:t>
      </w:r>
    </w:p>
    <w:p>
      <w:pPr>
        <w:spacing w:after="0" w:line="166" w:lineRule="exact"/>
        <w:rPr>
          <w:sz w:val="20"/>
          <w:szCs w:val="20"/>
          <w:color w:val="auto"/>
        </w:rPr>
      </w:pPr>
    </w:p>
    <w:p>
      <w:pPr>
        <w:ind w:right="40" w:firstLine="245"/>
        <w:spacing w:after="0" w:line="219" w:lineRule="auto"/>
        <w:rPr>
          <w:sz w:val="20"/>
          <w:szCs w:val="20"/>
          <w:color w:val="auto"/>
        </w:rPr>
      </w:pPr>
      <w:r>
        <w:rPr>
          <w:rFonts w:ascii="Arial" w:cs="Arial" w:eastAsia="Arial" w:hAnsi="Arial"/>
          <w:sz w:val="14"/>
          <w:szCs w:val="14"/>
          <w:color w:val="auto"/>
        </w:rPr>
        <w:t xml:space="preserve">During the three months ended September 30, 2019, Activision released </w:t>
      </w:r>
      <w:r>
        <w:rPr>
          <w:rFonts w:ascii="Arial" w:cs="Arial" w:eastAsia="Arial" w:hAnsi="Arial"/>
          <w:sz w:val="14"/>
          <w:szCs w:val="14"/>
          <w:i w:val="1"/>
          <w:iCs w:val="1"/>
          <w:color w:val="auto"/>
        </w:rPr>
        <w:t>Spyro</w:t>
      </w:r>
      <w:r>
        <w:rPr>
          <w:rFonts w:ascii="Arial" w:cs="Arial" w:eastAsia="Arial" w:hAnsi="Arial"/>
          <w:sz w:val="14"/>
          <w:szCs w:val="14"/>
          <w:color w:val="auto"/>
          <w:vertAlign w:val="superscript"/>
        </w:rPr>
        <w:t>TM</w:t>
      </w:r>
      <w:r>
        <w:rPr>
          <w:rFonts w:ascii="Arial" w:cs="Arial" w:eastAsia="Arial" w:hAnsi="Arial"/>
          <w:sz w:val="14"/>
          <w:szCs w:val="14"/>
          <w:color w:val="auto"/>
        </w:rPr>
        <w:t xml:space="preserve"> </w:t>
      </w:r>
      <w:r>
        <w:rPr>
          <w:rFonts w:ascii="Arial" w:cs="Arial" w:eastAsia="Arial" w:hAnsi="Arial"/>
          <w:sz w:val="14"/>
          <w:szCs w:val="14"/>
          <w:i w:val="1"/>
          <w:iCs w:val="1"/>
          <w:color w:val="auto"/>
        </w:rPr>
        <w:t>Reignited Trilogy</w:t>
      </w:r>
      <w:r>
        <w:rPr>
          <w:rFonts w:ascii="Arial" w:cs="Arial" w:eastAsia="Arial" w:hAnsi="Arial"/>
          <w:sz w:val="14"/>
          <w:szCs w:val="14"/>
          <w:color w:val="auto"/>
        </w:rPr>
        <w:t xml:space="preserve"> on Nintendo Switch and PC, and Blizzard released </w:t>
      </w:r>
      <w:r>
        <w:rPr>
          <w:rFonts w:ascii="Arial" w:cs="Arial" w:eastAsia="Arial" w:hAnsi="Arial"/>
          <w:sz w:val="14"/>
          <w:szCs w:val="14"/>
          <w:i w:val="1"/>
          <w:iCs w:val="1"/>
          <w:color w:val="auto"/>
        </w:rPr>
        <w:t>World of Warcraft</w:t>
      </w:r>
      <w:r>
        <w:rPr>
          <w:rFonts w:ascii="Arial" w:cs="Arial" w:eastAsia="Arial" w:hAnsi="Arial"/>
          <w:sz w:val="19"/>
          <w:szCs w:val="19"/>
          <w:i w:val="1"/>
          <w:iCs w:val="1"/>
          <w:color w:val="auto"/>
          <w:vertAlign w:val="superscript"/>
        </w:rPr>
        <w:t>®</w:t>
      </w:r>
      <w:r>
        <w:rPr>
          <w:rFonts w:ascii="Arial" w:cs="Arial" w:eastAsia="Arial" w:hAnsi="Arial"/>
          <w:sz w:val="14"/>
          <w:szCs w:val="14"/>
          <w:color w:val="auto"/>
        </w:rPr>
        <w:t xml:space="preserve"> </w:t>
      </w:r>
      <w:r>
        <w:rPr>
          <w:rFonts w:ascii="Arial" w:cs="Arial" w:eastAsia="Arial" w:hAnsi="Arial"/>
          <w:sz w:val="14"/>
          <w:szCs w:val="14"/>
          <w:i w:val="1"/>
          <w:iCs w:val="1"/>
          <w:color w:val="auto"/>
        </w:rPr>
        <w:t>Classic,</w:t>
      </w:r>
      <w:r>
        <w:rPr>
          <w:rFonts w:ascii="Arial" w:cs="Arial" w:eastAsia="Arial" w:hAnsi="Arial"/>
          <w:sz w:val="14"/>
          <w:szCs w:val="14"/>
          <w:color w:val="auto"/>
        </w:rPr>
        <w:t xml:space="preserve"> a re-creation of the pre-expansion version of the game, and the latest expansions to </w:t>
      </w:r>
      <w:r>
        <w:rPr>
          <w:rFonts w:ascii="Arial" w:cs="Arial" w:eastAsia="Arial" w:hAnsi="Arial"/>
          <w:sz w:val="14"/>
          <w:szCs w:val="14"/>
          <w:i w:val="1"/>
          <w:iCs w:val="1"/>
          <w:color w:val="auto"/>
        </w:rPr>
        <w:t>Hearthstone</w:t>
      </w:r>
      <w:r>
        <w:rPr>
          <w:rFonts w:ascii="Arial" w:cs="Arial" w:eastAsia="Arial" w:hAnsi="Arial"/>
          <w:sz w:val="14"/>
          <w:szCs w:val="14"/>
          <w:color w:val="auto"/>
        </w:rPr>
        <w:t>—</w:t>
      </w:r>
      <w:r>
        <w:rPr>
          <w:rFonts w:ascii="Arial" w:cs="Arial" w:eastAsia="Arial" w:hAnsi="Arial"/>
          <w:sz w:val="14"/>
          <w:szCs w:val="14"/>
          <w:i w:val="1"/>
          <w:iCs w:val="1"/>
          <w:color w:val="auto"/>
        </w:rPr>
        <w:t>Saviors of Uldum</w:t>
      </w:r>
      <w:r>
        <w:rPr>
          <w:rFonts w:ascii="Arial" w:cs="Arial" w:eastAsia="Arial" w:hAnsi="Arial"/>
          <w:sz w:val="14"/>
          <w:szCs w:val="14"/>
          <w:color w:val="auto"/>
          <w:vertAlign w:val="superscript"/>
        </w:rPr>
        <w:t>TM</w:t>
      </w:r>
      <w:r>
        <w:rPr>
          <w:rFonts w:ascii="Arial" w:cs="Arial" w:eastAsia="Arial" w:hAnsi="Arial"/>
          <w:sz w:val="14"/>
          <w:szCs w:val="14"/>
          <w:color w:val="auto"/>
        </w:rPr>
        <w:t xml:space="preserve"> and </w:t>
      </w:r>
      <w:r>
        <w:rPr>
          <w:rFonts w:ascii="Arial" w:cs="Arial" w:eastAsia="Arial" w:hAnsi="Arial"/>
          <w:sz w:val="14"/>
          <w:szCs w:val="14"/>
          <w:i w:val="1"/>
          <w:iCs w:val="1"/>
          <w:color w:val="auto"/>
        </w:rPr>
        <w:t>Tombs of Terror</w:t>
      </w:r>
      <w:r>
        <w:rPr>
          <w:rFonts w:ascii="Arial" w:cs="Arial" w:eastAsia="Arial" w:hAnsi="Arial"/>
          <w:sz w:val="14"/>
          <w:szCs w:val="14"/>
          <w:color w:val="auto"/>
          <w:vertAlign w:val="superscript"/>
        </w:rPr>
        <w:t>TM</w:t>
      </w:r>
      <w:r>
        <w:rPr>
          <w:rFonts w:ascii="Arial" w:cs="Arial" w:eastAsia="Arial" w:hAnsi="Arial"/>
          <w:sz w:val="14"/>
          <w:szCs w:val="14"/>
          <w:color w:val="auto"/>
        </w:rPr>
        <w:t xml:space="preserve"> .</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320"/>
          </w:cols>
          <w:pgMar w:left="220" w:top="129" w:right="3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Metrics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operating metrics are key performance indicators that we use to evaluate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bookings and In-game net bookings</w:t>
      </w:r>
    </w:p>
    <w:p>
      <w:pPr>
        <w:spacing w:after="0" w:line="166" w:lineRule="exact"/>
        <w:rPr>
          <w:sz w:val="20"/>
          <w:szCs w:val="20"/>
          <w:color w:val="auto"/>
        </w:rPr>
      </w:pPr>
    </w:p>
    <w:p>
      <w:pPr>
        <w:ind w:right="120" w:firstLine="245"/>
        <w:spacing w:after="0" w:line="315" w:lineRule="auto"/>
        <w:rPr>
          <w:sz w:val="20"/>
          <w:szCs w:val="20"/>
          <w:color w:val="auto"/>
        </w:rPr>
      </w:pPr>
      <w:r>
        <w:rPr>
          <w:rFonts w:ascii="Arial" w:cs="Arial" w:eastAsia="Arial" w:hAnsi="Arial"/>
          <w:sz w:val="12"/>
          <w:szCs w:val="12"/>
          <w:color w:val="auto"/>
        </w:rPr>
        <w:t>We monitor net bookings as a key operating metric in evaluating the performance of our business.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downloadable content and microtransactions sold during the period, and is equal to in-game net revenues excluding the impact from deferrals.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Net bookings and in-game net bookings were as follows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2019</w:t>
            </w:r>
          </w:p>
        </w:tc>
        <w:tc>
          <w:tcPr>
            <w:tcW w:w="300" w:type="dxa"/>
            <w:vAlign w:val="bottom"/>
          </w:tcPr>
          <w:p>
            <w:pPr>
              <w:spacing w:after="0"/>
              <w:rPr>
                <w:sz w:val="15"/>
                <w:szCs w:val="15"/>
                <w:color w:val="auto"/>
              </w:rPr>
            </w:pPr>
          </w:p>
        </w:tc>
        <w:tc>
          <w:tcPr>
            <w:tcW w:w="198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 2018</w:t>
            </w:r>
          </w:p>
        </w:tc>
        <w:tc>
          <w:tcPr>
            <w:tcW w:w="300" w:type="dxa"/>
            <w:vAlign w:val="bottom"/>
          </w:tcPr>
          <w:p>
            <w:pPr>
              <w:spacing w:after="0"/>
              <w:rPr>
                <w:sz w:val="15"/>
                <w:szCs w:val="15"/>
                <w:color w:val="auto"/>
              </w:rPr>
            </w:pPr>
          </w:p>
        </w:tc>
        <w:tc>
          <w:tcPr>
            <w:tcW w:w="1860" w:type="dxa"/>
            <w:vAlign w:val="bottom"/>
          </w:tcPr>
          <w:p>
            <w:pPr>
              <w:jc w:val="right"/>
              <w:ind w:right="452"/>
              <w:spacing w:after="0"/>
              <w:rPr>
                <w:sz w:val="20"/>
                <w:szCs w:val="20"/>
                <w:color w:val="auto"/>
              </w:rPr>
            </w:pPr>
            <w:r>
              <w:rPr>
                <w:rFonts w:ascii="Arial" w:cs="Arial" w:eastAsia="Arial" w:hAnsi="Arial"/>
                <w:sz w:val="14"/>
                <w:szCs w:val="14"/>
                <w:b w:val="1"/>
                <w:bCs w:val="1"/>
                <w:color w:val="auto"/>
                <w:w w:val="99"/>
              </w:rPr>
              <w:t>Increase (Decrease)</w:t>
            </w: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bookings</w:t>
            </w:r>
          </w:p>
        </w:tc>
        <w:tc>
          <w:tcPr>
            <w:tcW w:w="32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Three Months Ended</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52"/>
              <w:spacing w:after="0"/>
              <w:rPr>
                <w:sz w:val="20"/>
                <w:szCs w:val="20"/>
                <w:color w:val="auto"/>
              </w:rPr>
            </w:pPr>
            <w:r>
              <w:rPr>
                <w:rFonts w:ascii="Arial" w:cs="Arial" w:eastAsia="Arial" w:hAnsi="Arial"/>
                <w:sz w:val="14"/>
                <w:szCs w:val="14"/>
                <w:color w:val="auto"/>
              </w:rPr>
              <w:t>1,214</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ind w:right="32"/>
              <w:spacing w:after="0"/>
              <w:rPr>
                <w:sz w:val="20"/>
                <w:szCs w:val="20"/>
                <w:color w:val="auto"/>
              </w:rPr>
            </w:pPr>
            <w:r>
              <w:rPr>
                <w:rFonts w:ascii="Arial" w:cs="Arial" w:eastAsia="Arial" w:hAnsi="Arial"/>
                <w:sz w:val="14"/>
                <w:szCs w:val="14"/>
                <w:color w:val="auto"/>
              </w:rPr>
              <w:t>1,658</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(444)</w:t>
            </w: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Nine Months Ended</w:t>
            </w:r>
          </w:p>
        </w:tc>
        <w:tc>
          <w:tcPr>
            <w:tcW w:w="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3,679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4,427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In-game net bookings</w:t>
            </w:r>
          </w:p>
        </w:tc>
        <w:tc>
          <w:tcPr>
            <w:tcW w:w="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3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709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1,032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Nine Months Ended</w:t>
            </w: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52"/>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ind w:right="32"/>
              <w:spacing w:after="0"/>
              <w:rPr>
                <w:sz w:val="20"/>
                <w:szCs w:val="20"/>
                <w:color w:val="auto"/>
              </w:rPr>
            </w:pPr>
            <w:r>
              <w:rPr>
                <w:rFonts w:ascii="Arial" w:cs="Arial" w:eastAsia="Arial" w:hAnsi="Arial"/>
                <w:sz w:val="14"/>
                <w:szCs w:val="14"/>
                <w:color w:val="auto"/>
              </w:rPr>
              <w:t>2,999</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(718)</w:t>
            </w:r>
          </w:p>
        </w:tc>
      </w:tr>
    </w:tbl>
    <w:p>
      <w:pPr>
        <w:spacing w:after="0" w:line="174"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Net bookings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net bookings for the three months ended September 30, 2019, as compared to the three months ended September 30, 2018, was primarily due to:</w:t>
      </w:r>
    </w:p>
    <w:p>
      <w:pPr>
        <w:spacing w:after="0" w:line="166" w:lineRule="exact"/>
        <w:rPr>
          <w:sz w:val="20"/>
          <w:szCs w:val="20"/>
          <w:color w:val="auto"/>
        </w:rPr>
      </w:pPr>
    </w:p>
    <w:p>
      <w:pPr>
        <w:ind w:left="740" w:right="60" w:hanging="247"/>
        <w:spacing w:after="0" w:line="250" w:lineRule="auto"/>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a decrease in Blizzard net bookings of $241 million driven by (1) overall lower net bookings from </w:t>
      </w:r>
      <w:r>
        <w:rPr>
          <w:rFonts w:ascii="Arial" w:cs="Arial" w:eastAsia="Arial" w:hAnsi="Arial"/>
          <w:sz w:val="14"/>
          <w:szCs w:val="14"/>
          <w:i w:val="1"/>
          <w:iCs w:val="1"/>
          <w:color w:val="auto"/>
        </w:rPr>
        <w:t>World of Warcraft</w:t>
      </w:r>
      <w:r>
        <w:rPr>
          <w:rFonts w:ascii="Arial" w:cs="Arial" w:eastAsia="Arial" w:hAnsi="Arial"/>
          <w:sz w:val="14"/>
          <w:szCs w:val="14"/>
          <w:color w:val="auto"/>
        </w:rPr>
        <w:t xml:space="preserve"> expansion and in-game content sales</w:t>
      </w:r>
      <w:r>
        <w:rPr>
          <w:rFonts w:ascii="Arial" w:cs="Arial" w:eastAsia="Arial" w:hAnsi="Arial"/>
          <w:sz w:val="14"/>
          <w:szCs w:val="14"/>
          <w:i w:val="1"/>
          <w:iCs w:val="1"/>
          <w:color w:val="auto"/>
        </w:rPr>
        <w:t>,</w:t>
      </w:r>
      <w:r>
        <w:rPr>
          <w:rFonts w:ascii="Arial" w:cs="Arial" w:eastAsia="Arial" w:hAnsi="Arial"/>
          <w:sz w:val="14"/>
          <w:szCs w:val="14"/>
          <w:color w:val="auto"/>
        </w:rPr>
        <w:t xml:space="preserve"> primarily due to </w:t>
      </w:r>
      <w:r>
        <w:rPr>
          <w:rFonts w:ascii="Arial" w:cs="Arial" w:eastAsia="Arial" w:hAnsi="Arial"/>
          <w:sz w:val="14"/>
          <w:szCs w:val="14"/>
          <w:i w:val="1"/>
          <w:iCs w:val="1"/>
          <w:color w:val="auto"/>
        </w:rPr>
        <w:t>World of Warcraft:</w:t>
      </w:r>
      <w:r>
        <w:rPr>
          <w:rFonts w:ascii="Arial" w:cs="Arial" w:eastAsia="Arial" w:hAnsi="Arial"/>
          <w:sz w:val="14"/>
          <w:szCs w:val="14"/>
          <w:color w:val="auto"/>
        </w:rPr>
        <w:t xml:space="preserve"> </w:t>
      </w:r>
      <w:r>
        <w:rPr>
          <w:rFonts w:ascii="Arial" w:cs="Arial" w:eastAsia="Arial" w:hAnsi="Arial"/>
          <w:sz w:val="14"/>
          <w:szCs w:val="14"/>
          <w:i w:val="1"/>
          <w:iCs w:val="1"/>
          <w:color w:val="auto"/>
        </w:rPr>
        <w:t>Battle for Azeroth</w:t>
      </w:r>
      <w:r>
        <w:rPr>
          <w:rFonts w:ascii="Arial" w:cs="Arial" w:eastAsia="Arial" w:hAnsi="Arial"/>
          <w:sz w:val="14"/>
          <w:szCs w:val="14"/>
          <w:color w:val="auto"/>
        </w:rPr>
        <w:t>, which was released in August 2018, with no comparable release in 2019, (although subscription revenues remained relatively comparable to the prior-year period due to the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release of </w:t>
      </w:r>
      <w:r>
        <w:rPr>
          <w:rFonts w:ascii="Arial" w:cs="Arial" w:eastAsia="Arial" w:hAnsi="Arial"/>
          <w:sz w:val="14"/>
          <w:szCs w:val="14"/>
          <w:i w:val="1"/>
          <w:iCs w:val="1"/>
          <w:color w:val="auto"/>
        </w:rPr>
        <w:t>World of Warcraft Classic</w:t>
      </w:r>
      <w:r>
        <w:rPr>
          <w:rFonts w:ascii="Arial" w:cs="Arial" w:eastAsia="Arial" w:hAnsi="Arial"/>
          <w:sz w:val="14"/>
          <w:szCs w:val="14"/>
          <w:color w:val="auto"/>
        </w:rPr>
        <w:t xml:space="preserve"> in August 2019), and (2) lower net bookings from </w:t>
      </w:r>
      <w:r>
        <w:rPr>
          <w:rFonts w:ascii="Arial" w:cs="Arial" w:eastAsia="Arial" w:hAnsi="Arial"/>
          <w:sz w:val="14"/>
          <w:szCs w:val="14"/>
          <w:i w:val="1"/>
          <w:iCs w:val="1"/>
          <w:color w:val="auto"/>
        </w:rPr>
        <w:t>Hearthstone</w:t>
      </w:r>
      <w:r>
        <w:rPr>
          <w:rFonts w:ascii="Arial" w:cs="Arial" w:eastAsia="Arial" w:hAnsi="Arial"/>
          <w:sz w:val="14"/>
          <w:szCs w:val="14"/>
          <w:color w:val="auto"/>
        </w:rPr>
        <w:t xml:space="preserve">, primarily due to lower net bookings from the </w:t>
      </w:r>
      <w:r>
        <w:rPr>
          <w:rFonts w:ascii="Arial" w:cs="Arial" w:eastAsia="Arial" w:hAnsi="Arial"/>
          <w:sz w:val="14"/>
          <w:szCs w:val="14"/>
          <w:i w:val="1"/>
          <w:iCs w:val="1"/>
          <w:color w:val="auto"/>
        </w:rPr>
        <w:t>Saviors of Uldum</w:t>
      </w:r>
      <w:r>
        <w:rPr>
          <w:rFonts w:ascii="Arial" w:cs="Arial" w:eastAsia="Arial" w:hAnsi="Arial"/>
          <w:sz w:val="14"/>
          <w:szCs w:val="14"/>
          <w:color w:val="auto"/>
        </w:rPr>
        <w:t xml:space="preserve"> expansion, which was released in August 2019, as compared to the </w:t>
      </w:r>
      <w:r>
        <w:rPr>
          <w:rFonts w:ascii="Arial" w:cs="Arial" w:eastAsia="Arial" w:hAnsi="Arial"/>
          <w:sz w:val="14"/>
          <w:szCs w:val="14"/>
          <w:i w:val="1"/>
          <w:iCs w:val="1"/>
          <w:color w:val="auto"/>
        </w:rPr>
        <w:t>Boomsday</w:t>
      </w:r>
      <w:r>
        <w:rPr>
          <w:rFonts w:ascii="Arial" w:cs="Arial" w:eastAsia="Arial" w:hAnsi="Arial"/>
          <w:sz w:val="14"/>
          <w:szCs w:val="14"/>
          <w:color w:val="auto"/>
        </w:rPr>
        <w:t>™ expansion, which was released in August 2018; and</w:t>
      </w:r>
    </w:p>
    <w:p>
      <w:pPr>
        <w:spacing w:after="0" w:line="147" w:lineRule="exact"/>
        <w:rPr>
          <w:rFonts w:ascii="Arial" w:cs="Arial" w:eastAsia="Arial" w:hAnsi="Arial"/>
          <w:sz w:val="14"/>
          <w:szCs w:val="14"/>
          <w:color w:val="auto"/>
        </w:rPr>
      </w:pPr>
    </w:p>
    <w:p>
      <w:pPr>
        <w:ind w:left="740" w:right="160" w:hanging="247"/>
        <w:spacing w:after="0" w:line="262" w:lineRule="auto"/>
        <w:tabs>
          <w:tab w:leader="none" w:pos="7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 decrease in Activision net bookings of $188 million driven by (1) lower net bookings from the Destiny franchise (reflecting our sale of the publishing rights for Destiny to Bungie in December 2018), and (2) lower net bookings from the Call of Duty franchise catalog titles.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net bookings for the nine months ended September 30, 2019, as compared to the nine months ended September 30, 2018, was primarily due to:</w:t>
      </w:r>
    </w:p>
    <w:p>
      <w:pPr>
        <w:spacing w:after="0" w:line="166" w:lineRule="exact"/>
        <w:rPr>
          <w:sz w:val="20"/>
          <w:szCs w:val="20"/>
          <w:color w:val="auto"/>
        </w:rPr>
      </w:pPr>
    </w:p>
    <w:p>
      <w:pPr>
        <w:ind w:left="740" w:right="20" w:hanging="247"/>
        <w:spacing w:after="0" w:line="262" w:lineRule="auto"/>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a decrease in Blizzard net bookings of $484 million driven by (1) lower net bookings from </w:t>
      </w:r>
      <w:r>
        <w:rPr>
          <w:rFonts w:ascii="Arial" w:cs="Arial" w:eastAsia="Arial" w:hAnsi="Arial"/>
          <w:sz w:val="14"/>
          <w:szCs w:val="14"/>
          <w:i w:val="1"/>
          <w:iCs w:val="1"/>
          <w:color w:val="auto"/>
        </w:rPr>
        <w:t>World of Warcraft,</w:t>
      </w:r>
      <w:r>
        <w:rPr>
          <w:rFonts w:ascii="Arial" w:cs="Arial" w:eastAsia="Arial" w:hAnsi="Arial"/>
          <w:sz w:val="14"/>
          <w:szCs w:val="14"/>
          <w:color w:val="auto"/>
        </w:rPr>
        <w:t xml:space="preserve"> primarily due to the launch of </w:t>
      </w:r>
      <w:r>
        <w:rPr>
          <w:rFonts w:ascii="Arial" w:cs="Arial" w:eastAsia="Arial" w:hAnsi="Arial"/>
          <w:sz w:val="14"/>
          <w:szCs w:val="14"/>
          <w:i w:val="1"/>
          <w:iCs w:val="1"/>
          <w:color w:val="auto"/>
        </w:rPr>
        <w:t>World of Warcraft: Battle for Azeroth</w:t>
      </w:r>
      <w:r>
        <w:rPr>
          <w:rFonts w:ascii="Arial" w:cs="Arial" w:eastAsia="Arial" w:hAnsi="Arial"/>
          <w:sz w:val="14"/>
          <w:szCs w:val="14"/>
          <w:color w:val="auto"/>
        </w:rPr>
        <w:t xml:space="preserve">, and (2) lower net bookings from </w:t>
      </w:r>
      <w:r>
        <w:rPr>
          <w:rFonts w:ascii="Arial" w:cs="Arial" w:eastAsia="Arial" w:hAnsi="Arial"/>
          <w:sz w:val="14"/>
          <w:szCs w:val="14"/>
          <w:i w:val="1"/>
          <w:iCs w:val="1"/>
          <w:color w:val="auto"/>
        </w:rPr>
        <w:t>Overwatch</w:t>
      </w:r>
      <w:r>
        <w:rPr>
          <w:rFonts w:ascii="Arial" w:cs="Arial" w:eastAsia="Arial" w:hAnsi="Arial"/>
          <w:sz w:val="14"/>
          <w:szCs w:val="14"/>
          <w:color w:val="auto"/>
        </w:rPr>
        <w:t>; and</w:t>
      </w:r>
    </w:p>
    <w:p>
      <w:pPr>
        <w:spacing w:after="0" w:line="139" w:lineRule="exact"/>
        <w:rPr>
          <w:rFonts w:ascii="Arial" w:cs="Arial" w:eastAsia="Arial" w:hAnsi="Arial"/>
          <w:sz w:val="14"/>
          <w:szCs w:val="14"/>
          <w:color w:val="auto"/>
        </w:rPr>
      </w:pPr>
    </w:p>
    <w:p>
      <w:pPr>
        <w:ind w:left="740" w:right="480" w:hanging="247"/>
        <w:spacing w:after="0" w:line="276" w:lineRule="auto"/>
        <w:tabs>
          <w:tab w:leader="none" w:pos="7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a decrease in Activision net bookings of $253 million driven by (1) lower net bookings from the Destiny franchise and (2) lower net bookings from the Call of Duty franchise catalog titles, partially offset by net bookings from </w:t>
      </w:r>
      <w:r>
        <w:rPr>
          <w:rFonts w:ascii="Arial" w:cs="Arial" w:eastAsia="Arial" w:hAnsi="Arial"/>
          <w:sz w:val="14"/>
          <w:szCs w:val="14"/>
          <w:i w:val="1"/>
          <w:iCs w:val="1"/>
          <w:color w:val="auto"/>
        </w:rPr>
        <w:t>Sekiro</w:t>
      </w:r>
      <w:r>
        <w:rPr>
          <w:rFonts w:ascii="Arial" w:cs="Arial" w:eastAsia="Arial" w:hAnsi="Arial"/>
          <w:sz w:val="14"/>
          <w:szCs w:val="14"/>
          <w:color w:val="auto"/>
          <w:vertAlign w:val="superscript"/>
        </w:rPr>
        <w:t>TM</w:t>
      </w:r>
      <w:r>
        <w:rPr>
          <w:rFonts w:ascii="Arial" w:cs="Arial" w:eastAsia="Arial" w:hAnsi="Arial"/>
          <w:sz w:val="14"/>
          <w:szCs w:val="14"/>
          <w:i w:val="1"/>
          <w:iCs w:val="1"/>
          <w:color w:val="auto"/>
        </w:rPr>
        <w:t>: Shadows Die Twice</w:t>
      </w:r>
      <w:r>
        <w:rPr>
          <w:rFonts w:ascii="Arial" w:cs="Arial" w:eastAsia="Arial" w:hAnsi="Arial"/>
          <w:sz w:val="14"/>
          <w:szCs w:val="14"/>
          <w:color w:val="auto"/>
        </w:rPr>
        <w:t>, which was released in March 2019.</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60"/>
          </w:cols>
          <w:pgMar w:left="220" w:top="129" w:right="21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In-game net bookings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right="540" w:firstLine="245"/>
        <w:spacing w:after="0" w:line="262" w:lineRule="auto"/>
        <w:rPr>
          <w:sz w:val="20"/>
          <w:szCs w:val="20"/>
          <w:color w:val="auto"/>
        </w:rPr>
      </w:pPr>
      <w:r>
        <w:rPr>
          <w:rFonts w:ascii="Arial" w:cs="Arial" w:eastAsia="Arial" w:hAnsi="Arial"/>
          <w:sz w:val="14"/>
          <w:szCs w:val="14"/>
          <w:color w:val="auto"/>
        </w:rPr>
        <w:t>The decrease in in-game net bookings for the three months ended September 30, 2019, as compared to the three months ended September 30, 2018, was primarily due to a decrease in Blizzard and Activision in-game net bookings of $183 million and $113 million, respectively, due to the same drivers discussed for net bookings above.</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in-game net bookings for the nine months ended September 30, 2019, as compared to the nine months ended September 30, 2018, was primarily due to:</w:t>
      </w:r>
    </w:p>
    <w:p>
      <w:pPr>
        <w:spacing w:after="0" w:line="166" w:lineRule="exact"/>
        <w:rPr>
          <w:sz w:val="20"/>
          <w:szCs w:val="20"/>
          <w:color w:val="auto"/>
        </w:rPr>
      </w:pPr>
    </w:p>
    <w:p>
      <w:pPr>
        <w:ind w:left="740" w:right="20" w:hanging="247"/>
        <w:spacing w:after="0" w:line="262" w:lineRule="auto"/>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a decrease in Blizzard in-game net bookings of $400 million driven by (1) lower in-game net bookings from </w:t>
      </w:r>
      <w:r>
        <w:rPr>
          <w:rFonts w:ascii="Arial" w:cs="Arial" w:eastAsia="Arial" w:hAnsi="Arial"/>
          <w:sz w:val="14"/>
          <w:szCs w:val="14"/>
          <w:i w:val="1"/>
          <w:iCs w:val="1"/>
          <w:color w:val="auto"/>
        </w:rPr>
        <w:t>World of Warcraft,</w:t>
      </w:r>
      <w:r>
        <w:rPr>
          <w:rFonts w:ascii="Arial" w:cs="Arial" w:eastAsia="Arial" w:hAnsi="Arial"/>
          <w:sz w:val="14"/>
          <w:szCs w:val="14"/>
          <w:color w:val="auto"/>
        </w:rPr>
        <w:t xml:space="preserve"> primarily due to the launch of </w:t>
      </w:r>
      <w:r>
        <w:rPr>
          <w:rFonts w:ascii="Arial" w:cs="Arial" w:eastAsia="Arial" w:hAnsi="Arial"/>
          <w:sz w:val="14"/>
          <w:szCs w:val="14"/>
          <w:i w:val="1"/>
          <w:iCs w:val="1"/>
          <w:color w:val="auto"/>
        </w:rPr>
        <w:t>World of Warcraft: Battle for Azeroth</w:t>
      </w:r>
      <w:r>
        <w:rPr>
          <w:rFonts w:ascii="Arial" w:cs="Arial" w:eastAsia="Arial" w:hAnsi="Arial"/>
          <w:sz w:val="14"/>
          <w:szCs w:val="14"/>
          <w:color w:val="auto"/>
        </w:rPr>
        <w:t xml:space="preserve">, and (2) lower in-game net bookings from </w:t>
      </w:r>
      <w:r>
        <w:rPr>
          <w:rFonts w:ascii="Arial" w:cs="Arial" w:eastAsia="Arial" w:hAnsi="Arial"/>
          <w:sz w:val="14"/>
          <w:szCs w:val="14"/>
          <w:i w:val="1"/>
          <w:iCs w:val="1"/>
          <w:color w:val="auto"/>
        </w:rPr>
        <w:t>Overwatch</w:t>
      </w:r>
      <w:r>
        <w:rPr>
          <w:rFonts w:ascii="Arial" w:cs="Arial" w:eastAsia="Arial" w:hAnsi="Arial"/>
          <w:sz w:val="14"/>
          <w:szCs w:val="14"/>
          <w:color w:val="auto"/>
        </w:rPr>
        <w:t xml:space="preserve"> and </w:t>
      </w:r>
      <w:r>
        <w:rPr>
          <w:rFonts w:ascii="Arial" w:cs="Arial" w:eastAsia="Arial" w:hAnsi="Arial"/>
          <w:sz w:val="14"/>
          <w:szCs w:val="14"/>
          <w:i w:val="1"/>
          <w:iCs w:val="1"/>
          <w:color w:val="auto"/>
        </w:rPr>
        <w:t>Hearthstone</w:t>
      </w:r>
      <w:r>
        <w:rPr>
          <w:rFonts w:ascii="Arial" w:cs="Arial" w:eastAsia="Arial" w:hAnsi="Arial"/>
          <w:sz w:val="14"/>
          <w:szCs w:val="14"/>
          <w:color w:val="auto"/>
        </w:rPr>
        <w:t>; and</w:t>
      </w:r>
    </w:p>
    <w:p>
      <w:pPr>
        <w:spacing w:after="0" w:line="139" w:lineRule="exact"/>
        <w:rPr>
          <w:rFonts w:ascii="Arial" w:cs="Arial" w:eastAsia="Arial" w:hAnsi="Arial"/>
          <w:sz w:val="14"/>
          <w:szCs w:val="14"/>
          <w:color w:val="auto"/>
        </w:rPr>
      </w:pPr>
    </w:p>
    <w:p>
      <w:pPr>
        <w:ind w:left="740" w:right="320" w:hanging="247"/>
        <w:spacing w:after="0" w:line="262" w:lineRule="auto"/>
        <w:tabs>
          <w:tab w:leader="none" w:pos="7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 decrease in Activision in-game net bookings of $254 million driven by (1) lower in-game net bookings from the Destiny franchise and (2) lower in-game net bookings from the Call of Duty franchise, primarily driven by catalog titles.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Monthly Active Users</w:t>
      </w:r>
    </w:p>
    <w:p>
      <w:pPr>
        <w:spacing w:after="0" w:line="166" w:lineRule="exact"/>
        <w:rPr>
          <w:sz w:val="20"/>
          <w:szCs w:val="20"/>
          <w:color w:val="auto"/>
        </w:rPr>
      </w:pPr>
    </w:p>
    <w:p>
      <w:pPr>
        <w:ind w:right="140" w:firstLine="245"/>
        <w:spacing w:after="0" w:line="305" w:lineRule="auto"/>
        <w:rPr>
          <w:sz w:val="20"/>
          <w:szCs w:val="20"/>
          <w:color w:val="auto"/>
        </w:rPr>
      </w:pPr>
      <w:r>
        <w:rPr>
          <w:rFonts w:ascii="Arial" w:cs="Arial" w:eastAsia="Arial" w:hAnsi="Arial"/>
          <w:sz w:val="12"/>
          <w:szCs w:val="12"/>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p>
    <w:p>
      <w:pPr>
        <w:spacing w:after="0" w:line="117" w:lineRule="exact"/>
        <w:rPr>
          <w:sz w:val="20"/>
          <w:szCs w:val="20"/>
          <w:color w:val="auto"/>
        </w:rPr>
      </w:pPr>
    </w:p>
    <w:p>
      <w:pPr>
        <w:jc w:val="both"/>
        <w:ind w:right="120" w:firstLine="245"/>
        <w:spacing w:after="0" w:line="253" w:lineRule="auto"/>
        <w:rPr>
          <w:sz w:val="20"/>
          <w:szCs w:val="20"/>
          <w:color w:val="auto"/>
        </w:rPr>
      </w:pPr>
      <w:r>
        <w:rPr>
          <w:rFonts w:ascii="Arial" w:cs="Arial" w:eastAsia="Arial" w:hAnsi="Arial"/>
          <w:sz w:val="14"/>
          <w:szCs w:val="14"/>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180" w:type="dxa"/>
            <w:vAlign w:val="bottom"/>
          </w:tcPr>
          <w:p>
            <w:pPr>
              <w:spacing w:after="0"/>
              <w:rPr>
                <w:sz w:val="15"/>
                <w:szCs w:val="15"/>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2019</w:t>
            </w:r>
          </w:p>
        </w:tc>
        <w:tc>
          <w:tcPr>
            <w:tcW w:w="150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 2019</w:t>
            </w: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March 31, 2019</w:t>
            </w:r>
          </w:p>
        </w:tc>
        <w:tc>
          <w:tcPr>
            <w:tcW w:w="16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2018</w:t>
            </w: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rPr>
              <w:t>June 30, 2018</w:t>
            </w:r>
          </w:p>
        </w:tc>
      </w:tr>
      <w:tr>
        <w:trPr>
          <w:trHeight w:val="21"/>
        </w:trPr>
        <w:tc>
          <w:tcPr>
            <w:tcW w:w="21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Activision</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45</w:t>
            </w:r>
          </w:p>
        </w:tc>
      </w:tr>
      <w:tr>
        <w:trPr>
          <w:trHeight w:val="183"/>
        </w:trPr>
        <w:tc>
          <w:tcPr>
            <w:tcW w:w="2180" w:type="dxa"/>
            <w:vAlign w:val="bottom"/>
          </w:tcPr>
          <w:p>
            <w:pPr>
              <w:ind w:left="20"/>
              <w:spacing w:after="0"/>
              <w:rPr>
                <w:sz w:val="20"/>
                <w:szCs w:val="20"/>
                <w:color w:val="auto"/>
              </w:rPr>
            </w:pPr>
            <w:r>
              <w:rPr>
                <w:rFonts w:ascii="Arial" w:cs="Arial" w:eastAsia="Arial" w:hAnsi="Arial"/>
                <w:sz w:val="14"/>
                <w:szCs w:val="14"/>
                <w:color w:val="auto"/>
              </w:rPr>
              <w:t>Blizzard</w:t>
            </w: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140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50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1480" w:type="dxa"/>
            <w:vAlign w:val="bottom"/>
          </w:tcPr>
          <w:p>
            <w:pPr>
              <w:jc w:val="right"/>
              <w:ind w:right="32"/>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37</w:t>
            </w:r>
          </w:p>
        </w:tc>
      </w:tr>
      <w:tr>
        <w:trPr>
          <w:trHeight w:val="21"/>
        </w:trPr>
        <w:tc>
          <w:tcPr>
            <w:tcW w:w="2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5"/>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King</w:t>
            </w: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272</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268</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262</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270</w:t>
            </w:r>
          </w:p>
        </w:tc>
      </w:tr>
      <w:tr>
        <w:trPr>
          <w:trHeight w:val="189"/>
        </w:trPr>
        <w:tc>
          <w:tcPr>
            <w:tcW w:w="2180" w:type="dxa"/>
            <w:vAlign w:val="bottom"/>
          </w:tcPr>
          <w:p>
            <w:pPr>
              <w:ind w:left="20"/>
              <w:spacing w:after="0"/>
              <w:rPr>
                <w:sz w:val="20"/>
                <w:szCs w:val="20"/>
                <w:color w:val="auto"/>
              </w:rPr>
            </w:pPr>
            <w:r>
              <w:rPr>
                <w:rFonts w:ascii="Arial" w:cs="Arial" w:eastAsia="Arial" w:hAnsi="Arial"/>
                <w:sz w:val="14"/>
                <w:szCs w:val="14"/>
                <w:color w:val="auto"/>
              </w:rPr>
              <w:t>Total</w:t>
            </w: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6"/>
                <w:szCs w:val="16"/>
                <w:color w:val="auto"/>
              </w:rPr>
            </w:pPr>
          </w:p>
        </w:tc>
        <w:tc>
          <w:tcPr>
            <w:tcW w:w="14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15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6"/>
                <w:szCs w:val="16"/>
                <w:color w:val="auto"/>
              </w:rPr>
            </w:pP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352</w:t>
            </w:r>
          </w:p>
        </w:tc>
      </w:tr>
      <w:tr>
        <w:trPr>
          <w:trHeight w:val="20"/>
        </w:trPr>
        <w:tc>
          <w:tcPr>
            <w:tcW w:w="2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ind w:right="60" w:firstLine="245"/>
        <w:spacing w:after="0" w:line="253" w:lineRule="auto"/>
        <w:rPr>
          <w:sz w:val="20"/>
          <w:szCs w:val="20"/>
          <w:color w:val="auto"/>
        </w:rPr>
      </w:pPr>
      <w:r>
        <w:rPr>
          <w:rFonts w:ascii="Arial" w:cs="Arial" w:eastAsia="Arial" w:hAnsi="Arial"/>
          <w:sz w:val="14"/>
          <w:szCs w:val="14"/>
          <w:color w:val="auto"/>
        </w:rPr>
        <w:t xml:space="preserve">Average MAUs decreased by 11 million, or 3%, for the three months ended September 30, 2019, as compared to the three months ended June 30, 2019, primarily driven by a decrease in average MAUs for King. The decrease in King’s average MAUs is primarily due to decreases from the Candy Crush franchise. The slight increase in Blizzard’s average MAUs is due to an increase in average MAUs for </w:t>
      </w:r>
      <w:r>
        <w:rPr>
          <w:rFonts w:ascii="Arial" w:cs="Arial" w:eastAsia="Arial" w:hAnsi="Arial"/>
          <w:sz w:val="14"/>
          <w:szCs w:val="14"/>
          <w:i w:val="1"/>
          <w:iCs w:val="1"/>
          <w:color w:val="auto"/>
        </w:rPr>
        <w:t>World of</w:t>
      </w:r>
      <w:r>
        <w:rPr>
          <w:rFonts w:ascii="Arial" w:cs="Arial" w:eastAsia="Arial" w:hAnsi="Arial"/>
          <w:sz w:val="14"/>
          <w:szCs w:val="14"/>
          <w:color w:val="auto"/>
        </w:rPr>
        <w:t xml:space="preserve"> </w:t>
      </w:r>
      <w:r>
        <w:rPr>
          <w:rFonts w:ascii="Arial" w:cs="Arial" w:eastAsia="Arial" w:hAnsi="Arial"/>
          <w:sz w:val="14"/>
          <w:szCs w:val="14"/>
          <w:i w:val="1"/>
          <w:iCs w:val="1"/>
          <w:color w:val="auto"/>
        </w:rPr>
        <w:t>Warcraft</w:t>
      </w:r>
      <w:r>
        <w:rPr>
          <w:rFonts w:ascii="Arial" w:cs="Arial" w:eastAsia="Arial" w:hAnsi="Arial"/>
          <w:sz w:val="14"/>
          <w:szCs w:val="14"/>
          <w:color w:val="auto"/>
        </w:rPr>
        <w:t>, largely offset by lower average MAUs for</w:t>
      </w:r>
      <w:r>
        <w:rPr>
          <w:rFonts w:ascii="Arial" w:cs="Arial" w:eastAsia="Arial" w:hAnsi="Arial"/>
          <w:sz w:val="14"/>
          <w:szCs w:val="14"/>
          <w:i w:val="1"/>
          <w:iCs w:val="1"/>
          <w:color w:val="auto"/>
        </w:rPr>
        <w:t xml:space="preserve"> Hearthstone</w:t>
      </w:r>
      <w:r>
        <w:rPr>
          <w:rFonts w:ascii="Arial" w:cs="Arial" w:eastAsia="Arial" w:hAnsi="Arial"/>
          <w:sz w:val="14"/>
          <w:szCs w:val="14"/>
          <w:color w:val="auto"/>
        </w:rPr>
        <w:t>.</w:t>
      </w:r>
    </w:p>
    <w:p>
      <w:pPr>
        <w:spacing w:after="0" w:line="145" w:lineRule="exact"/>
        <w:rPr>
          <w:sz w:val="20"/>
          <w:szCs w:val="20"/>
          <w:color w:val="auto"/>
        </w:rPr>
      </w:pPr>
    </w:p>
    <w:p>
      <w:pPr>
        <w:ind w:right="20" w:firstLine="245"/>
        <w:spacing w:after="0" w:line="262" w:lineRule="auto"/>
        <w:rPr>
          <w:sz w:val="20"/>
          <w:szCs w:val="20"/>
          <w:color w:val="auto"/>
        </w:rPr>
      </w:pPr>
      <w:r>
        <w:rPr>
          <w:rFonts w:ascii="Arial" w:cs="Arial" w:eastAsia="Arial" w:hAnsi="Arial"/>
          <w:sz w:val="14"/>
          <w:szCs w:val="14"/>
          <w:color w:val="auto"/>
        </w:rPr>
        <w:t>Average MAUs decreased by 29 million, or 8%, for the three months ended September 30, 2019, as compared to the three months ended September 30, 2018. The year-over-year decrease in average MAUs is due to:</w:t>
      </w:r>
    </w:p>
    <w:p>
      <w:pPr>
        <w:spacing w:after="0" w:line="139" w:lineRule="exact"/>
        <w:rPr>
          <w:sz w:val="20"/>
          <w:szCs w:val="20"/>
          <w:color w:val="auto"/>
        </w:rPr>
      </w:pPr>
    </w:p>
    <w:p>
      <w:pPr>
        <w:ind w:left="740" w:right="180" w:hanging="247"/>
        <w:spacing w:after="0" w:line="276" w:lineRule="auto"/>
        <w:tabs>
          <w:tab w:leader="none" w:pos="7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decreases across King’s various franchises, other than Candy Crush, primarily from less engaged users leaving the network, partially offset by an increase in average MAUs for the Candy Crush franchise, primarily driven by the launch of </w:t>
      </w:r>
      <w:r>
        <w:rPr>
          <w:rFonts w:ascii="Arial" w:cs="Arial" w:eastAsia="Arial" w:hAnsi="Arial"/>
          <w:sz w:val="14"/>
          <w:szCs w:val="14"/>
          <w:i w:val="1"/>
          <w:iCs w:val="1"/>
          <w:color w:val="auto"/>
        </w:rPr>
        <w:t>Candy Crush Friends Saga</w:t>
      </w:r>
      <w:r>
        <w:rPr>
          <w:rFonts w:ascii="Arial" w:cs="Arial" w:eastAsia="Arial" w:hAnsi="Arial"/>
          <w:sz w:val="14"/>
          <w:szCs w:val="14"/>
          <w:color w:val="auto"/>
          <w:vertAlign w:val="superscript"/>
        </w:rPr>
        <w:t>TM</w:t>
      </w:r>
      <w:r>
        <w:rPr>
          <w:rFonts w:ascii="Arial" w:cs="Arial" w:eastAsia="Arial" w:hAnsi="Arial"/>
          <w:sz w:val="14"/>
          <w:szCs w:val="14"/>
          <w:color w:val="auto"/>
        </w:rPr>
        <w:t xml:space="preserve"> in the fourth quarter of 2018;</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60"/>
          </w:cols>
          <w:pgMar w:left="220" w:top="129" w:right="21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740" w:hanging="247"/>
        <w:spacing w:after="0"/>
        <w:tabs>
          <w:tab w:leader="none" w:pos="7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lower average MAUs for Activision, primarily due to the absence of Destiny MAUs in our operating metric and lower average MAUs from the Call of Duty franchise;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lower average MAUs for Blizzard, primarily due to lower average MAUs for </w:t>
      </w:r>
      <w:r>
        <w:rPr>
          <w:rFonts w:ascii="Arial" w:cs="Arial" w:eastAsia="Arial" w:hAnsi="Arial"/>
          <w:sz w:val="14"/>
          <w:szCs w:val="14"/>
          <w:i w:val="1"/>
          <w:iCs w:val="1"/>
          <w:color w:val="auto"/>
        </w:rPr>
        <w:t>Hearthstone</w:t>
      </w:r>
      <w:r>
        <w:rPr>
          <w:rFonts w:ascii="Arial" w:cs="Arial" w:eastAsia="Arial" w:hAnsi="Arial"/>
          <w:sz w:val="14"/>
          <w:szCs w:val="14"/>
          <w:color w:val="auto"/>
        </w:rPr>
        <w:t xml:space="preserve"> and </w:t>
      </w:r>
      <w:r>
        <w:rPr>
          <w:rFonts w:ascii="Arial" w:cs="Arial" w:eastAsia="Arial" w:hAnsi="Arial"/>
          <w:sz w:val="14"/>
          <w:szCs w:val="14"/>
          <w:i w:val="1"/>
          <w:iCs w:val="1"/>
          <w:color w:val="auto"/>
        </w:rPr>
        <w:t>Overwatch</w:t>
      </w:r>
      <w:r>
        <w:rPr>
          <w:rFonts w:ascii="Arial" w:cs="Arial" w:eastAsia="Arial" w:hAnsi="Arial"/>
          <w:sz w:val="14"/>
          <w:szCs w:val="14"/>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Overview of Business Trends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Interactive Entertainment and Mobile Gaming Growth</w:t>
      </w:r>
    </w:p>
    <w:p>
      <w:pPr>
        <w:spacing w:after="0" w:line="166" w:lineRule="exact"/>
        <w:rPr>
          <w:sz w:val="20"/>
          <w:szCs w:val="20"/>
          <w:color w:val="auto"/>
        </w:rPr>
      </w:pPr>
    </w:p>
    <w:p>
      <w:pPr>
        <w:ind w:firstLine="245"/>
        <w:spacing w:after="0" w:line="253" w:lineRule="auto"/>
        <w:rPr>
          <w:sz w:val="20"/>
          <w:szCs w:val="20"/>
          <w:color w:val="auto"/>
        </w:rPr>
      </w:pPr>
      <w:r>
        <w:rPr>
          <w:rFonts w:ascii="Arial" w:cs="Arial" w:eastAsia="Arial" w:hAnsi="Arial"/>
          <w:sz w:val="14"/>
          <w:szCs w:val="14"/>
          <w:color w:val="auto"/>
        </w:rPr>
        <w:t>Our business participates in the global interactive entertainment industry. Games have become an increasingly popular form of entertainment, and we estimate the total industry has grown, on average, 18% annually from 2015 to 2018. The industry continues to benefit from additional players entering the market as interactive entertainment becomes more commonplace across age groups and as more developing regions gain access to this form of entertainment.</w:t>
      </w:r>
    </w:p>
    <w:p>
      <w:pPr>
        <w:spacing w:after="0" w:line="145" w:lineRule="exact"/>
        <w:rPr>
          <w:sz w:val="20"/>
          <w:szCs w:val="20"/>
          <w:color w:val="auto"/>
        </w:rPr>
      </w:pPr>
    </w:p>
    <w:p>
      <w:pPr>
        <w:jc w:val="both"/>
        <w:ind w:right="40" w:firstLine="245"/>
        <w:spacing w:after="0" w:line="250" w:lineRule="auto"/>
        <w:rPr>
          <w:sz w:val="20"/>
          <w:szCs w:val="20"/>
          <w:color w:val="auto"/>
        </w:rPr>
      </w:pPr>
      <w:r>
        <w:rPr>
          <w:rFonts w:ascii="Arial" w:cs="Arial" w:eastAsia="Arial" w:hAnsi="Arial"/>
          <w:sz w:val="14"/>
          <w:szCs w:val="14"/>
          <w:color w:val="auto"/>
        </w:rPr>
        <w:t xml:space="preserve">The wide adoption of smart phones globally and the free-to-play business model on those platforms has increased the total addressable audience for gaming significantly by introducing gaming to new age groups and new regions and allowing gaming to occur more widely outside the home. Mobile gaming is estimated to be larger than console and PC gaming, and continues to grow at a significant rate. King is a leading developer of mobile and free-to-play games, and our other business units have mobile efforts underway that present the opportunity for us to expand the reach of, and drive additional player investment from our franchises, such as the October 2019 launch of </w:t>
      </w:r>
      <w:r>
        <w:rPr>
          <w:rFonts w:ascii="Arial" w:cs="Arial" w:eastAsia="Arial" w:hAnsi="Arial"/>
          <w:sz w:val="14"/>
          <w:szCs w:val="14"/>
          <w:i w:val="1"/>
          <w:iCs w:val="1"/>
          <w:color w:val="auto"/>
        </w:rPr>
        <w:t>Call of Duty: Mobile</w:t>
      </w:r>
      <w:r>
        <w:rPr>
          <w:rFonts w:ascii="Arial" w:cs="Arial" w:eastAsia="Arial" w:hAnsi="Arial"/>
          <w:sz w:val="14"/>
          <w:szCs w:val="14"/>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Opportunities to Expand Franchises Outside of Games</w:t>
      </w:r>
    </w:p>
    <w:p>
      <w:pPr>
        <w:spacing w:after="0" w:line="166" w:lineRule="exact"/>
        <w:rPr>
          <w:sz w:val="20"/>
          <w:szCs w:val="20"/>
          <w:color w:val="auto"/>
        </w:rPr>
      </w:pPr>
    </w:p>
    <w:p>
      <w:pPr>
        <w:jc w:val="both"/>
        <w:ind w:right="200" w:firstLine="245"/>
        <w:spacing w:after="0" w:line="253" w:lineRule="auto"/>
        <w:rPr>
          <w:sz w:val="20"/>
          <w:szCs w:val="20"/>
          <w:color w:val="auto"/>
        </w:rPr>
      </w:pPr>
      <w:r>
        <w:rPr>
          <w:rFonts w:ascii="Arial" w:cs="Arial" w:eastAsia="Arial" w:hAnsi="Arial"/>
          <w:sz w:val="14"/>
          <w:szCs w:val="14"/>
          <w:color w:val="auto"/>
        </w:rPr>
        <w:t>Our fans spend significant time investing in our franchises through purchases of our game content, whether through purchases of full games or downloadable content or via microtransactions. Given the passion our players have for our franchises, we believe there are emerging opportunities to drive additional engagement and investment in our franchises outside of games. Our efforts to build these adjacent opportunities are still relatively nascent, but we view them as potentially significant sources of future revenues.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For example, as part of our efforts to take advantage of esports opportunities, we have sold rights for 20 teams that are participating in the Overwatch League, which recently completed its second season.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Additionally, we have sold the first 12 teams for the Call of Duty League.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Concentration of Sales Among the Most Popular Franchises</w:t>
      </w:r>
    </w:p>
    <w:p>
      <w:pPr>
        <w:spacing w:after="0" w:line="166" w:lineRule="exact"/>
        <w:rPr>
          <w:sz w:val="20"/>
          <w:szCs w:val="20"/>
          <w:color w:val="auto"/>
        </w:rPr>
      </w:pPr>
    </w:p>
    <w:p>
      <w:pPr>
        <w:ind w:firstLine="245"/>
        <w:spacing w:after="0" w:line="250" w:lineRule="auto"/>
        <w:rPr>
          <w:sz w:val="20"/>
          <w:szCs w:val="20"/>
          <w:color w:val="auto"/>
        </w:rPr>
      </w:pPr>
      <w:r>
        <w:rPr>
          <w:rFonts w:ascii="Arial" w:cs="Arial" w:eastAsia="Arial" w:hAnsi="Arial"/>
          <w:sz w:val="14"/>
          <w:szCs w:val="14"/>
          <w:color w:val="auto"/>
        </w:rPr>
        <w:t>The concentration of retail revenues among key titles has continued as a trend in the overall interactive entertainment industry. According to The NPD Group, the top 10 titles accounted for 38% of the retail sales in the U.S. interactive entertainment industry in 2018. Similarly, a significant portion of our revenues historically has been derived from video games based on a few popular franchises, and these video games have been responsible for a disproportionately high percentage of our profits. For example, the Call of Duty, Candy Crush, and World of Warcraft franchises, collectively, accounted for 58% of our consolidated net revenues—and a significantly higher percentage of our operating income—for 2018.</w:t>
      </w:r>
    </w:p>
    <w:p>
      <w:pPr>
        <w:spacing w:after="0" w:line="147" w:lineRule="exact"/>
        <w:rPr>
          <w:sz w:val="20"/>
          <w:szCs w:val="20"/>
          <w:color w:val="auto"/>
        </w:rPr>
      </w:pPr>
    </w:p>
    <w:p>
      <w:pPr>
        <w:ind w:right="20" w:firstLine="245"/>
        <w:spacing w:after="0" w:line="254" w:lineRule="auto"/>
        <w:rPr>
          <w:sz w:val="20"/>
          <w:szCs w:val="20"/>
          <w:color w:val="auto"/>
        </w:rPr>
      </w:pPr>
      <w:r>
        <w:rPr>
          <w:rFonts w:ascii="Arial" w:cs="Arial" w:eastAsia="Arial" w:hAnsi="Arial"/>
          <w:sz w:val="14"/>
          <w:szCs w:val="14"/>
          <w:color w:val="auto"/>
        </w:rPr>
        <w:t xml:space="preserve">In addition to investing in, and developing sequels and content for, our top franchises, we are continually exploring additional ways to expand those franchises. Further, while there is no guarantee of success, we invest in new properties in an effort to develop future top franchises. For example, in 2014, we released </w:t>
      </w:r>
      <w:r>
        <w:rPr>
          <w:rFonts w:ascii="Arial" w:cs="Arial" w:eastAsia="Arial" w:hAnsi="Arial"/>
          <w:sz w:val="14"/>
          <w:szCs w:val="14"/>
          <w:i w:val="1"/>
          <w:iCs w:val="1"/>
          <w:color w:val="auto"/>
        </w:rPr>
        <w:t>Hearthstone</w:t>
      </w:r>
      <w:r>
        <w:rPr>
          <w:rFonts w:ascii="Arial" w:cs="Arial" w:eastAsia="Arial" w:hAnsi="Arial"/>
          <w:sz w:val="14"/>
          <w:szCs w:val="14"/>
          <w:color w:val="auto"/>
        </w:rPr>
        <w:t xml:space="preserve">, and in 2016, we released </w:t>
      </w:r>
      <w:r>
        <w:rPr>
          <w:rFonts w:ascii="Arial" w:cs="Arial" w:eastAsia="Arial" w:hAnsi="Arial"/>
          <w:sz w:val="14"/>
          <w:szCs w:val="14"/>
          <w:i w:val="1"/>
          <w:iCs w:val="1"/>
          <w:color w:val="auto"/>
        </w:rPr>
        <w:t>Overwatch</w:t>
      </w:r>
      <w:r>
        <w:rPr>
          <w:rFonts w:ascii="Arial" w:cs="Arial" w:eastAsia="Arial" w:hAnsi="Arial"/>
          <w:sz w:val="14"/>
          <w:szCs w:val="14"/>
          <w:color w:val="auto"/>
        </w:rPr>
        <w:t xml:space="preserve">. Additionally, to diversify our portfolio of key franchises and increase our presence on the mobile platform, in 2016, we acquired King. We also have mobile titles in development based on Activision’s and Blizzard’s intellectual property, such as the recently released </w:t>
      </w:r>
      <w:r>
        <w:rPr>
          <w:rFonts w:ascii="Arial" w:cs="Arial" w:eastAsia="Arial" w:hAnsi="Arial"/>
          <w:sz w:val="14"/>
          <w:szCs w:val="14"/>
          <w:i w:val="1"/>
          <w:iCs w:val="1"/>
          <w:color w:val="auto"/>
        </w:rPr>
        <w:t>Call of Duty: Mobile</w:t>
      </w:r>
      <w:r>
        <w:rPr>
          <w:rFonts w:ascii="Arial" w:cs="Arial" w:eastAsia="Arial" w:hAnsi="Arial"/>
          <w:sz w:val="14"/>
          <w:szCs w:val="14"/>
          <w:color w:val="auto"/>
        </w:rPr>
        <w:t xml:space="preserve"> and previously announced </w:t>
      </w:r>
      <w:r>
        <w:rPr>
          <w:rFonts w:ascii="Arial" w:cs="Arial" w:eastAsia="Arial" w:hAnsi="Arial"/>
          <w:sz w:val="14"/>
          <w:szCs w:val="14"/>
          <w:i w:val="1"/>
          <w:iCs w:val="1"/>
          <w:color w:val="auto"/>
        </w:rPr>
        <w:t>Diablo Immortal</w:t>
      </w:r>
      <w:r>
        <w:rPr>
          <w:rFonts w:ascii="Arial" w:cs="Arial" w:eastAsia="Arial" w:hAnsi="Arial"/>
          <w:sz w:val="14"/>
          <w:szCs w:val="14"/>
          <w:color w:val="auto"/>
          <w:vertAlign w:val="superscript"/>
        </w:rPr>
        <w:t>TM</w:t>
      </w:r>
      <w:r>
        <w:rPr>
          <w:rFonts w:ascii="Arial" w:cs="Arial" w:eastAsia="Arial" w:hAnsi="Arial"/>
          <w:sz w:val="14"/>
          <w:szCs w:val="14"/>
          <w:color w:val="auto"/>
        </w:rPr>
        <w:t>.</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Overall, we do expect that a limited number of popular franchises will continue to produce a disproportionately high percentage of our, and the industry’s, revenues and profits in the near future.</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Accordingly, our ability to maintain our top franchises and our ability to successfully compete against our competitors’ top franchises can significantly impact our performance.</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20" w:top="129"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Recurring Revenue Business Models</w:t>
      </w:r>
    </w:p>
    <w:p>
      <w:pPr>
        <w:spacing w:after="0" w:line="166" w:lineRule="exact"/>
        <w:rPr>
          <w:sz w:val="20"/>
          <w:szCs w:val="20"/>
          <w:color w:val="auto"/>
        </w:rPr>
      </w:pPr>
    </w:p>
    <w:p>
      <w:pPr>
        <w:ind w:right="60" w:firstLine="245"/>
        <w:spacing w:after="0" w:line="315" w:lineRule="auto"/>
        <w:rPr>
          <w:sz w:val="20"/>
          <w:szCs w:val="20"/>
          <w:color w:val="auto"/>
        </w:rPr>
      </w:pPr>
      <w:r>
        <w:rPr>
          <w:rFonts w:ascii="Arial" w:cs="Arial" w:eastAsia="Arial" w:hAnsi="Arial"/>
          <w:sz w:val="12"/>
          <w:szCs w:val="12"/>
          <w:color w:val="auto"/>
        </w:rPr>
        <w:t>Increased consumer online connectivity has allowed us to offer players new investment opportunities and to shift our business further towards a more consistently recurring and year-round model. Offering downloadable content and microtransactions, in addition to full games, allows our players to access and invest in new content throughout the year. This incremental content not only provides additional high-margin revenues, it can also increase player engagement. Also, mobile games, and free-to-play games more broadly, are generally less seasonal than games developed primarily for the console or PC platforms.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Operations Data</w:t>
      </w:r>
    </w:p>
    <w:p>
      <w:pPr>
        <w:spacing w:after="0" w:line="168" w:lineRule="exact"/>
        <w:rPr>
          <w:sz w:val="20"/>
          <w:szCs w:val="20"/>
          <w:color w:val="auto"/>
        </w:rPr>
      </w:pPr>
    </w:p>
    <w:p>
      <w:pPr>
        <w:ind w:right="260" w:firstLine="245"/>
        <w:spacing w:after="0" w:line="262" w:lineRule="auto"/>
        <w:rPr>
          <w:sz w:val="20"/>
          <w:szCs w:val="20"/>
          <w:color w:val="auto"/>
        </w:rPr>
      </w:pPr>
      <w:r>
        <w:rPr>
          <w:rFonts w:ascii="Arial" w:cs="Arial" w:eastAsia="Arial" w:hAnsi="Arial"/>
          <w:sz w:val="14"/>
          <w:szCs w:val="14"/>
          <w:color w:val="auto"/>
        </w:rPr>
        <w:t>The following table sets forth condensed consolidated statements of operations data for the periods indicated (amounts in millions) and as a percentage of total net revenues, except for cost of revenues, which are presented as a percentage of associated revenues: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5"/>
          </w:tcPr>
          <w:p>
            <w:pPr>
              <w:jc w:val="right"/>
              <w:ind w:right="52"/>
              <w:spacing w:after="0"/>
              <w:rPr>
                <w:sz w:val="20"/>
                <w:szCs w:val="20"/>
                <w:color w:val="auto"/>
              </w:rPr>
            </w:pPr>
            <w:r>
              <w:rPr>
                <w:rFonts w:ascii="Arial" w:cs="Arial" w:eastAsia="Arial" w:hAnsi="Arial"/>
                <w:sz w:val="14"/>
                <w:szCs w:val="14"/>
                <w:b w:val="1"/>
                <w:bCs w:val="1"/>
                <w:color w:val="auto"/>
              </w:rPr>
              <w:t>For the Three Months Ended September 30,</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2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rPr>
              <w:t>For the Nine Months Ended September 30,</w:t>
            </w:r>
          </w:p>
        </w:tc>
        <w:tc>
          <w:tcPr>
            <w:tcW w:w="500" w:type="dxa"/>
            <w:vAlign w:val="bottom"/>
          </w:tcPr>
          <w:p>
            <w:pPr>
              <w:spacing w:after="0"/>
              <w:rPr>
                <w:sz w:val="15"/>
                <w:szCs w:val="15"/>
                <w:color w:val="auto"/>
              </w:rPr>
            </w:pPr>
          </w:p>
        </w:tc>
      </w:tr>
      <w:tr>
        <w:trPr>
          <w:trHeight w:val="21"/>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73"/>
        </w:trPr>
        <w:tc>
          <w:tcPr>
            <w:tcW w:w="3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5"/>
                <w:szCs w:val="15"/>
                <w:color w:val="auto"/>
              </w:rPr>
            </w:pP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7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revenues</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r>
      <w:tr>
        <w:trPr>
          <w:trHeight w:val="183"/>
        </w:trPr>
        <w:tc>
          <w:tcPr>
            <w:tcW w:w="3700" w:type="dxa"/>
            <w:vAlign w:val="bottom"/>
          </w:tcPr>
          <w:p>
            <w:pPr>
              <w:ind w:left="120"/>
              <w:spacing w:after="0"/>
              <w:rPr>
                <w:sz w:val="20"/>
                <w:szCs w:val="20"/>
                <w:color w:val="auto"/>
              </w:rPr>
            </w:pPr>
            <w:r>
              <w:rPr>
                <w:rFonts w:ascii="Arial" w:cs="Arial" w:eastAsia="Arial" w:hAnsi="Arial"/>
                <w:sz w:val="14"/>
                <w:szCs w:val="14"/>
                <w:color w:val="auto"/>
              </w:rPr>
              <w:t>Product sales</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32"/>
              <w:spacing w:after="0"/>
              <w:rPr>
                <w:sz w:val="20"/>
                <w:szCs w:val="20"/>
                <w:color w:val="auto"/>
              </w:rPr>
            </w:pPr>
            <w:r>
              <w:rPr>
                <w:rFonts w:ascii="Arial" w:cs="Arial" w:eastAsia="Arial" w:hAnsi="Arial"/>
                <w:sz w:val="14"/>
                <w:szCs w:val="14"/>
                <w:color w:val="auto"/>
              </w:rPr>
              <w:t>260</w:t>
            </w:r>
          </w:p>
        </w:tc>
        <w:tc>
          <w:tcPr>
            <w:tcW w:w="58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5"/>
                <w:szCs w:val="15"/>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92"/>
              <w:spacing w:after="0"/>
              <w:rPr>
                <w:sz w:val="20"/>
                <w:szCs w:val="20"/>
                <w:color w:val="auto"/>
              </w:rPr>
            </w:pPr>
            <w:r>
              <w:rPr>
                <w:rFonts w:ascii="Arial" w:cs="Arial" w:eastAsia="Arial" w:hAnsi="Arial"/>
                <w:sz w:val="14"/>
                <w:szCs w:val="14"/>
                <w:color w:val="auto"/>
              </w:rPr>
              <w:t>263</w:t>
            </w:r>
          </w:p>
        </w:tc>
        <w:tc>
          <w:tcPr>
            <w:tcW w:w="50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5"/>
                <w:szCs w:val="15"/>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1,276</w:t>
            </w:r>
          </w:p>
        </w:tc>
        <w:tc>
          <w:tcPr>
            <w:tcW w:w="600" w:type="dxa"/>
            <w:vAlign w:val="bottom"/>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5"/>
                <w:szCs w:val="15"/>
                <w:color w:val="auto"/>
              </w:rPr>
            </w:pP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72"/>
              <w:spacing w:after="0"/>
              <w:rPr>
                <w:sz w:val="20"/>
                <w:szCs w:val="20"/>
                <w:color w:val="auto"/>
              </w:rPr>
            </w:pPr>
            <w:r>
              <w:rPr>
                <w:rFonts w:ascii="Arial" w:cs="Arial" w:eastAsia="Arial" w:hAnsi="Arial"/>
                <w:sz w:val="14"/>
                <w:szCs w:val="14"/>
                <w:color w:val="auto"/>
              </w:rPr>
              <w:t>1,447</w:t>
            </w:r>
          </w:p>
        </w:tc>
        <w:tc>
          <w:tcPr>
            <w:tcW w:w="5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Subscription, licensing, and other revenues</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1,022</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1,249</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3,227</w:t>
            </w: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3,672</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72</w:t>
            </w:r>
          </w:p>
        </w:tc>
      </w:tr>
      <w:tr>
        <w:trPr>
          <w:trHeight w:val="173"/>
        </w:trPr>
        <w:tc>
          <w:tcPr>
            <w:tcW w:w="3700" w:type="dxa"/>
            <w:vAlign w:val="bottom"/>
          </w:tcPr>
          <w:p>
            <w:pPr>
              <w:ind w:left="20"/>
              <w:spacing w:after="0"/>
              <w:rPr>
                <w:sz w:val="20"/>
                <w:szCs w:val="20"/>
                <w:color w:val="auto"/>
              </w:rPr>
            </w:pPr>
            <w:r>
              <w:rPr>
                <w:rFonts w:ascii="Arial" w:cs="Arial" w:eastAsia="Arial" w:hAnsi="Arial"/>
                <w:sz w:val="14"/>
                <w:szCs w:val="14"/>
                <w:color w:val="auto"/>
              </w:rPr>
              <w:t>Total net revenues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color w:val="auto"/>
              </w:rPr>
              <w:t>1,282</w:t>
            </w:r>
          </w:p>
        </w:tc>
        <w:tc>
          <w:tcPr>
            <w:tcW w:w="5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color w:val="auto"/>
              </w:rPr>
              <w:t>1,512</w:t>
            </w:r>
          </w:p>
        </w:tc>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color w:val="auto"/>
              </w:rPr>
              <w:t>4,503</w:t>
            </w:r>
          </w:p>
        </w:tc>
        <w:tc>
          <w:tcPr>
            <w:tcW w:w="6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color w:val="auto"/>
              </w:rPr>
              <w:t>5,119</w:t>
            </w:r>
          </w:p>
        </w:tc>
        <w:tc>
          <w:tcPr>
            <w:tcW w:w="5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100</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4"/>
        </w:trPr>
        <w:tc>
          <w:tcPr>
            <w:tcW w:w="3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5"/>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Cost of revenues—product sales:</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r>
      <w:tr>
        <w:trPr>
          <w:trHeight w:val="183"/>
        </w:trPr>
        <w:tc>
          <w:tcPr>
            <w:tcW w:w="3700" w:type="dxa"/>
            <w:vAlign w:val="bottom"/>
          </w:tcPr>
          <w:p>
            <w:pPr>
              <w:ind w:left="200"/>
              <w:spacing w:after="0"/>
              <w:rPr>
                <w:sz w:val="20"/>
                <w:szCs w:val="20"/>
                <w:color w:val="auto"/>
              </w:rPr>
            </w:pPr>
            <w:r>
              <w:rPr>
                <w:rFonts w:ascii="Arial" w:cs="Arial" w:eastAsia="Arial" w:hAnsi="Arial"/>
                <w:sz w:val="14"/>
                <w:szCs w:val="14"/>
                <w:color w:val="auto"/>
              </w:rPr>
              <w:t>Product costs</w:t>
            </w:r>
          </w:p>
        </w:tc>
        <w:tc>
          <w:tcPr>
            <w:tcW w:w="28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color w:val="auto"/>
              </w:rPr>
              <w:t>137</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color w:val="auto"/>
              </w:rPr>
              <w:t>127</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388</w:t>
            </w: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color w:val="auto"/>
              </w:rPr>
              <w:t>416</w:t>
            </w: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29</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3"/>
        </w:trPr>
        <w:tc>
          <w:tcPr>
            <w:tcW w:w="370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8"/>
              </w:rPr>
              <w:t>Software royalties, amortization, and intellectual property</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r>
      <w:tr>
        <w:trPr>
          <w:trHeight w:val="175"/>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licenses</w:t>
            </w:r>
          </w:p>
        </w:tc>
        <w:tc>
          <w:tcPr>
            <w:tcW w:w="2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9</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20</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171</w:t>
            </w: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214</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15</w:t>
            </w:r>
          </w:p>
        </w:tc>
      </w:tr>
      <w:tr>
        <w:trPr>
          <w:trHeight w:val="183"/>
        </w:trPr>
        <w:tc>
          <w:tcPr>
            <w:tcW w:w="3700" w:type="dxa"/>
            <w:vAlign w:val="bottom"/>
          </w:tcPr>
          <w:p>
            <w:pPr>
              <w:ind w:left="120"/>
              <w:spacing w:after="0"/>
              <w:rPr>
                <w:sz w:val="20"/>
                <w:szCs w:val="20"/>
                <w:color w:val="auto"/>
              </w:rPr>
            </w:pPr>
            <w:r>
              <w:rPr>
                <w:rFonts w:ascii="Arial" w:cs="Arial" w:eastAsia="Arial" w:hAnsi="Arial"/>
                <w:sz w:val="14"/>
                <w:szCs w:val="14"/>
                <w:color w:val="auto"/>
                <w:w w:val="91"/>
              </w:rPr>
              <w:t>Cost of revenues—subscription, licensing, and other revenues: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5"/>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Game operations and distribution costs</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246</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257</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714</w:t>
            </w: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777</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21</w:t>
            </w:r>
          </w:p>
        </w:tc>
      </w:tr>
      <w:tr>
        <w:trPr>
          <w:trHeight w:val="173"/>
        </w:trPr>
        <w:tc>
          <w:tcPr>
            <w:tcW w:w="3700" w:type="dxa"/>
            <w:vAlign w:val="bottom"/>
          </w:tcPr>
          <w:p>
            <w:pPr>
              <w:ind w:left="200"/>
              <w:spacing w:after="0"/>
              <w:rPr>
                <w:sz w:val="20"/>
                <w:szCs w:val="20"/>
                <w:color w:val="auto"/>
              </w:rPr>
            </w:pPr>
            <w:r>
              <w:rPr>
                <w:rFonts w:ascii="Arial" w:cs="Arial" w:eastAsia="Arial" w:hAnsi="Arial"/>
                <w:sz w:val="14"/>
                <w:szCs w:val="14"/>
                <w:color w:val="auto"/>
                <w:w w:val="98"/>
              </w:rPr>
              <w:t>Software royalties, amortization, and intellectual property</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3"/>
        </w:trPr>
        <w:tc>
          <w:tcPr>
            <w:tcW w:w="3700" w:type="dxa"/>
            <w:vAlign w:val="bottom"/>
          </w:tcPr>
          <w:p>
            <w:pPr>
              <w:ind w:left="200"/>
              <w:spacing w:after="0"/>
              <w:rPr>
                <w:sz w:val="20"/>
                <w:szCs w:val="20"/>
                <w:color w:val="auto"/>
              </w:rPr>
            </w:pPr>
            <w:r>
              <w:rPr>
                <w:rFonts w:ascii="Arial" w:cs="Arial" w:eastAsia="Arial" w:hAnsi="Arial"/>
                <w:sz w:val="14"/>
                <w:szCs w:val="14"/>
                <w:color w:val="auto"/>
              </w:rPr>
              <w:t>licenses</w:t>
            </w:r>
          </w:p>
        </w:tc>
        <w:tc>
          <w:tcPr>
            <w:tcW w:w="28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color w:val="auto"/>
              </w:rPr>
              <w:t>50</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color w:val="auto"/>
              </w:rPr>
              <w:t>109</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164</w:t>
            </w: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color w:val="auto"/>
              </w:rPr>
              <w:t>278</w:t>
            </w: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8</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5"/>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Product development</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210</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263</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702</w:t>
            </w: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776</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15</w:t>
            </w:r>
          </w:p>
        </w:tc>
      </w:tr>
      <w:tr>
        <w:trPr>
          <w:trHeight w:val="183"/>
        </w:trPr>
        <w:tc>
          <w:tcPr>
            <w:tcW w:w="370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color w:val="auto"/>
              </w:rPr>
              <w:t>182</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color w:val="auto"/>
              </w:rPr>
              <w:t>263</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580</w:t>
            </w: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color w:val="auto"/>
              </w:rPr>
              <w:t>741</w:t>
            </w: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14</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85"/>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177</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208</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527</w:t>
            </w: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623</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12</w:t>
            </w:r>
          </w:p>
        </w:tc>
      </w:tr>
      <w:tr>
        <w:trPr>
          <w:trHeight w:val="183"/>
        </w:trPr>
        <w:tc>
          <w:tcPr>
            <w:tcW w:w="3700" w:type="dxa"/>
            <w:vAlign w:val="bottom"/>
          </w:tcPr>
          <w:p>
            <w:pPr>
              <w:ind w:left="1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5"/>
                <w:szCs w:val="15"/>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color w:val="auto"/>
              </w:rPr>
              <w:t>24</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color w:val="auto"/>
              </w:rPr>
              <w:t>104</w:t>
            </w: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21"/>
        </w:trPr>
        <w:tc>
          <w:tcPr>
            <w:tcW w:w="3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9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1,035</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1,247</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3,350</w:t>
            </w: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3,825</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75</w:t>
            </w:r>
          </w:p>
        </w:tc>
      </w:tr>
      <w:tr>
        <w:trPr>
          <w:trHeight w:val="164"/>
        </w:trPr>
        <w:tc>
          <w:tcPr>
            <w:tcW w:w="37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r>
      <w:tr>
        <w:trPr>
          <w:trHeight w:val="18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247</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265</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1,153</w:t>
            </w: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1,294</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25</w:t>
            </w: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color w:val="auto"/>
              </w:rPr>
              <w:t>Interest and other expense (income), net</w:t>
            </w:r>
          </w:p>
        </w:tc>
        <w:tc>
          <w:tcPr>
            <w:tcW w:w="280" w:type="dxa"/>
            <w:vAlign w:val="bottom"/>
          </w:tcPr>
          <w:p>
            <w:pPr>
              <w:spacing w:after="0"/>
              <w:rPr>
                <w:sz w:val="15"/>
                <w:szCs w:val="15"/>
                <w:color w:val="auto"/>
              </w:rPr>
            </w:pPr>
          </w:p>
        </w:tc>
        <w:tc>
          <w:tcPr>
            <w:tcW w:w="1000" w:type="dxa"/>
            <w:vAlign w:val="bottom"/>
          </w:tcPr>
          <w:p>
            <w:pPr>
              <w:jc w:val="right"/>
              <w:ind w:right="392"/>
              <w:spacing w:after="0"/>
              <w:rPr>
                <w:sz w:val="20"/>
                <w:szCs w:val="20"/>
                <w:color w:val="auto"/>
              </w:rPr>
            </w:pPr>
            <w:r>
              <w:rPr>
                <w:rFonts w:ascii="Arial" w:cs="Arial" w:eastAsia="Arial" w:hAnsi="Arial"/>
                <w:sz w:val="14"/>
                <w:szCs w:val="14"/>
                <w:color w:val="auto"/>
              </w:rPr>
              <w:t>(2)</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ind w:right="492"/>
              <w:spacing w:after="0"/>
              <w:rPr>
                <w:sz w:val="20"/>
                <w:szCs w:val="20"/>
                <w:color w:val="auto"/>
              </w:rPr>
            </w:pPr>
            <w:r>
              <w:rPr>
                <w:rFonts w:ascii="Arial" w:cs="Arial" w:eastAsia="Arial" w:hAnsi="Arial"/>
                <w:sz w:val="14"/>
                <w:szCs w:val="14"/>
                <w:color w:val="auto"/>
              </w:rPr>
              <w:t>13</w:t>
            </w:r>
          </w:p>
        </w:tc>
        <w:tc>
          <w:tcPr>
            <w:tcW w:w="500" w:type="dxa"/>
            <w:vAlign w:val="bottom"/>
          </w:tcPr>
          <w:p>
            <w:pPr>
              <w:jc w:val="right"/>
              <w:ind w:right="9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372"/>
              <w:spacing w:after="0"/>
              <w:rPr>
                <w:sz w:val="20"/>
                <w:szCs w:val="20"/>
                <w:color w:val="auto"/>
              </w:rPr>
            </w:pPr>
            <w:r>
              <w:rPr>
                <w:rFonts w:ascii="Arial" w:cs="Arial" w:eastAsia="Arial" w:hAnsi="Arial"/>
                <w:sz w:val="14"/>
                <w:szCs w:val="14"/>
                <w:color w:val="auto"/>
              </w:rPr>
              <w:t>(33)</w:t>
            </w:r>
          </w:p>
        </w:tc>
        <w:tc>
          <w:tcPr>
            <w:tcW w:w="600" w:type="dxa"/>
            <w:vAlign w:val="bottom"/>
          </w:tcPr>
          <w:p>
            <w:pPr>
              <w:jc w:val="right"/>
              <w:ind w:right="7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color w:val="auto"/>
              </w:rPr>
              <w:t>67</w:t>
            </w: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1</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extinguishment of debt (1)</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92"/>
              <w:spacing w:after="0"/>
              <w:rPr>
                <w:sz w:val="20"/>
                <w:szCs w:val="20"/>
                <w:color w:val="auto"/>
              </w:rPr>
            </w:pPr>
            <w:r>
              <w:rPr>
                <w:rFonts w:ascii="Arial" w:cs="Arial" w:eastAsia="Arial" w:hAnsi="Arial"/>
                <w:sz w:val="14"/>
                <w:szCs w:val="14"/>
                <w:color w:val="auto"/>
              </w:rPr>
              <w:t>40</w:t>
            </w:r>
          </w:p>
        </w:tc>
        <w:tc>
          <w:tcPr>
            <w:tcW w:w="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40</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w:t>
            </w:r>
          </w:p>
        </w:tc>
      </w:tr>
      <w:tr>
        <w:trPr>
          <w:trHeight w:val="173"/>
        </w:trPr>
        <w:tc>
          <w:tcPr>
            <w:tcW w:w="3700" w:type="dxa"/>
            <w:vAlign w:val="bottom"/>
          </w:tcPr>
          <w:p>
            <w:pPr>
              <w:ind w:left="20"/>
              <w:spacing w:after="0"/>
              <w:rPr>
                <w:sz w:val="20"/>
                <w:szCs w:val="20"/>
                <w:color w:val="auto"/>
              </w:rPr>
            </w:pPr>
            <w:r>
              <w:rPr>
                <w:rFonts w:ascii="Arial" w:cs="Arial" w:eastAsia="Arial" w:hAnsi="Arial"/>
                <w:sz w:val="14"/>
                <w:szCs w:val="14"/>
                <w:color w:val="auto"/>
              </w:rPr>
              <w:t>Income before income tax expense (benefit)</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color w:val="auto"/>
              </w:rPr>
              <w:t>249</w:t>
            </w:r>
          </w:p>
        </w:tc>
        <w:tc>
          <w:tcPr>
            <w:tcW w:w="5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92"/>
              <w:spacing w:after="0"/>
              <w:rPr>
                <w:sz w:val="20"/>
                <w:szCs w:val="20"/>
                <w:color w:val="auto"/>
              </w:rPr>
            </w:pPr>
            <w:r>
              <w:rPr>
                <w:rFonts w:ascii="Arial" w:cs="Arial" w:eastAsia="Arial" w:hAnsi="Arial"/>
                <w:sz w:val="14"/>
                <w:szCs w:val="14"/>
                <w:color w:val="auto"/>
              </w:rPr>
              <w:t>212</w:t>
            </w:r>
          </w:p>
        </w:tc>
        <w:tc>
          <w:tcPr>
            <w:tcW w:w="5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color w:val="auto"/>
              </w:rPr>
              <w:t>1,186</w:t>
            </w:r>
          </w:p>
        </w:tc>
        <w:tc>
          <w:tcPr>
            <w:tcW w:w="60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72"/>
              <w:spacing w:after="0"/>
              <w:rPr>
                <w:sz w:val="20"/>
                <w:szCs w:val="20"/>
                <w:color w:val="auto"/>
              </w:rPr>
            </w:pPr>
            <w:r>
              <w:rPr>
                <w:rFonts w:ascii="Arial" w:cs="Arial" w:eastAsia="Arial" w:hAnsi="Arial"/>
                <w:sz w:val="14"/>
                <w:szCs w:val="14"/>
                <w:color w:val="auto"/>
              </w:rPr>
              <w:t>1,187</w:t>
            </w:r>
          </w:p>
        </w:tc>
        <w:tc>
          <w:tcPr>
            <w:tcW w:w="5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color w:val="auto"/>
              </w:rPr>
              <w:t>23</w:t>
            </w:r>
          </w:p>
        </w:tc>
      </w:tr>
      <w:tr>
        <w:trPr>
          <w:trHeight w:val="21"/>
        </w:trPr>
        <w:tc>
          <w:tcPr>
            <w:tcW w:w="3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5"/>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432"/>
              <w:spacing w:after="0"/>
              <w:rPr>
                <w:sz w:val="20"/>
                <w:szCs w:val="20"/>
                <w:color w:val="auto"/>
              </w:rPr>
            </w:pPr>
            <w:r>
              <w:rPr>
                <w:rFonts w:ascii="Arial" w:cs="Arial" w:eastAsia="Arial" w:hAnsi="Arial"/>
                <w:sz w:val="14"/>
                <w:szCs w:val="14"/>
                <w:color w:val="auto"/>
              </w:rPr>
              <w:t>45</w:t>
            </w:r>
          </w:p>
        </w:tc>
        <w:tc>
          <w:tcPr>
            <w:tcW w:w="5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4"/>
                <w:szCs w:val="14"/>
                <w:color w:val="auto"/>
              </w:rPr>
              <w:t>(48)</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4"/>
                <w:szCs w:val="14"/>
                <w:color w:val="auto"/>
              </w:rPr>
              <w:t>208</w:t>
            </w:r>
          </w:p>
        </w:tc>
        <w:tc>
          <w:tcPr>
            <w:tcW w:w="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4"/>
                <w:szCs w:val="14"/>
                <w:color w:val="auto"/>
              </w:rPr>
              <w:t>25</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r>
      <w:tr>
        <w:trPr>
          <w:trHeight w:val="189"/>
        </w:trPr>
        <w:tc>
          <w:tcPr>
            <w:tcW w:w="37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color w:val="auto"/>
              </w:rPr>
              <w:t>204</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color w:val="auto"/>
              </w:rPr>
              <w:t>260</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color w:val="auto"/>
              </w:rPr>
              <w:t>978</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color w:val="auto"/>
              </w:rPr>
              <w:t>1,162</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
        </w:trPr>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right="40" w:hanging="238"/>
        <w:spacing w:after="0" w:line="262" w:lineRule="auto"/>
        <w:tabs>
          <w:tab w:leader="none" w:pos="2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loss on extinguishment of debt we recognized in connection with our debt financing activities during the nine months ended September 30, 2018. The loss on extinguishment is comprised of a $25 million premium payment and a $15 million write-off of unamortized discount and deferred financing costs.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60"/>
          </w:cols>
          <w:pgMar w:left="220" w:top="129" w:right="21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Net Revenues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summarizes our consolidated net revenues, in-game net revenues, and increase (decrease) in deferred net revenues recognized (amounts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80" w:type="dxa"/>
            <w:vAlign w:val="bottom"/>
            <w:gridSpan w:val="9"/>
          </w:tcPr>
          <w:p>
            <w:pPr>
              <w:ind w:left="40"/>
              <w:spacing w:after="0"/>
              <w:rPr>
                <w:sz w:val="20"/>
                <w:szCs w:val="20"/>
                <w:color w:val="auto"/>
              </w:rPr>
            </w:pPr>
            <w:r>
              <w:rPr>
                <w:rFonts w:ascii="Arial" w:cs="Arial" w:eastAsia="Arial" w:hAnsi="Arial"/>
                <w:sz w:val="14"/>
                <w:szCs w:val="14"/>
                <w:b w:val="1"/>
                <w:bCs w:val="1"/>
                <w:color w:val="auto"/>
                <w:w w:val="90"/>
              </w:rPr>
              <w:t>For the Three Months Ended September 30,</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60" w:type="dxa"/>
            <w:vAlign w:val="bottom"/>
            <w:gridSpan w:val="8"/>
          </w:tcPr>
          <w:p>
            <w:pPr>
              <w:ind w:left="60"/>
              <w:spacing w:after="0"/>
              <w:rPr>
                <w:sz w:val="20"/>
                <w:szCs w:val="20"/>
                <w:color w:val="auto"/>
              </w:rPr>
            </w:pPr>
            <w:r>
              <w:rPr>
                <w:rFonts w:ascii="Arial" w:cs="Arial" w:eastAsia="Arial" w:hAnsi="Arial"/>
                <w:sz w:val="14"/>
                <w:szCs w:val="14"/>
                <w:b w:val="1"/>
                <w:bCs w:val="1"/>
                <w:color w:val="auto"/>
                <w:w w:val="88"/>
              </w:rPr>
              <w:t>For the Nine Months Ended September 30,</w:t>
            </w:r>
          </w:p>
        </w:tc>
        <w:tc>
          <w:tcPr>
            <w:tcW w:w="980" w:type="dxa"/>
            <w:vAlign w:val="bottom"/>
          </w:tcPr>
          <w:p>
            <w:pPr>
              <w:spacing w:after="0"/>
              <w:rPr>
                <w:sz w:val="15"/>
                <w:szCs w:val="15"/>
                <w:color w:val="auto"/>
              </w:rPr>
            </w:pPr>
          </w:p>
        </w:tc>
      </w:tr>
      <w:tr>
        <w:trPr>
          <w:trHeight w:val="21"/>
        </w:trPr>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2"/>
        </w:trPr>
        <w:tc>
          <w:tcPr>
            <w:tcW w:w="2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Increase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Increase</w:t>
            </w:r>
          </w:p>
        </w:tc>
        <w:tc>
          <w:tcPr>
            <w:tcW w:w="980" w:type="dxa"/>
            <w:vAlign w:val="bottom"/>
          </w:tcPr>
          <w:p>
            <w:pPr>
              <w:spacing w:after="0"/>
              <w:rPr>
                <w:sz w:val="14"/>
                <w:szCs w:val="14"/>
                <w:color w:val="auto"/>
              </w:rPr>
            </w:pPr>
          </w:p>
        </w:tc>
      </w:tr>
      <w:tr>
        <w:trPr>
          <w:trHeight w:val="175"/>
        </w:trPr>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(Decrease)</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(Decrease)</w:t>
            </w: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 Change</w:t>
            </w: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5"/>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net revenues</w:t>
            </w:r>
          </w:p>
        </w:tc>
        <w:tc>
          <w:tcPr>
            <w:tcW w:w="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1,282</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1,512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4"/>
                <w:szCs w:val="14"/>
                <w:color w:val="auto"/>
              </w:rPr>
              <w:t>(15)%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4,503</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5,119</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(616)</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3"/>
        </w:trPr>
        <w:tc>
          <w:tcPr>
            <w:tcW w:w="2360" w:type="dxa"/>
            <w:vAlign w:val="bottom"/>
          </w:tcPr>
          <w:p>
            <w:pPr>
              <w:ind w:left="20"/>
              <w:spacing w:after="0"/>
              <w:rPr>
                <w:sz w:val="20"/>
                <w:szCs w:val="20"/>
                <w:color w:val="auto"/>
              </w:rPr>
            </w:pPr>
            <w:r>
              <w:rPr>
                <w:rFonts w:ascii="Arial" w:cs="Arial" w:eastAsia="Arial" w:hAnsi="Arial"/>
                <w:sz w:val="14"/>
                <w:szCs w:val="14"/>
                <w:color w:val="auto"/>
              </w:rPr>
              <w:t>In-game net revenues (1)</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ind w:left="500"/>
              <w:spacing w:after="0"/>
              <w:rPr>
                <w:sz w:val="20"/>
                <w:szCs w:val="20"/>
                <w:color w:val="auto"/>
              </w:rPr>
            </w:pPr>
            <w:r>
              <w:rPr>
                <w:rFonts w:ascii="Arial" w:cs="Arial" w:eastAsia="Arial" w:hAnsi="Arial"/>
                <w:sz w:val="14"/>
                <w:szCs w:val="14"/>
                <w:color w:val="auto"/>
                <w:w w:val="96"/>
              </w:rPr>
              <w:t>(26)%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3,016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2"/>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1"/>
        </w:trPr>
        <w:tc>
          <w:tcPr>
            <w:tcW w:w="2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3"/>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Net effect from recognition (deferral) of</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3"/>
        </w:trPr>
        <w:tc>
          <w:tcPr>
            <w:tcW w:w="2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net revenues</w:t>
            </w: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
        </w:trPr>
        <w:tc>
          <w:tcPr>
            <w:tcW w:w="2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In-game net revenues primarily includes the net amount of revenue recognized for downloadable content and microtransactions during the period.</w:t>
      </w: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Net Revenues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consolidated net revenues and in-game net revenues for the three months ended September 30, 2019, as compared to the three months ended September 30, 2018, was primarily due to:</w:t>
      </w:r>
    </w:p>
    <w:p>
      <w:pPr>
        <w:spacing w:after="0" w:line="189" w:lineRule="exact"/>
        <w:rPr>
          <w:sz w:val="20"/>
          <w:szCs w:val="20"/>
          <w:color w:val="auto"/>
        </w:rPr>
      </w:pPr>
    </w:p>
    <w:p>
      <w:pPr>
        <w:ind w:left="740" w:hanging="247"/>
        <w:spacing w:after="0"/>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a decrease in Blizzard revenues recognized of $121 million, primarily due to lower revenues recognized from </w:t>
      </w:r>
      <w:r>
        <w:rPr>
          <w:rFonts w:ascii="Arial" w:cs="Arial" w:eastAsia="Arial" w:hAnsi="Arial"/>
          <w:sz w:val="14"/>
          <w:szCs w:val="14"/>
          <w:i w:val="1"/>
          <w:iCs w:val="1"/>
          <w:color w:val="auto"/>
        </w:rPr>
        <w:t>World of Warcraft</w:t>
      </w:r>
      <w:r>
        <w:rPr>
          <w:rFonts w:ascii="Arial" w:cs="Arial" w:eastAsia="Arial" w:hAnsi="Arial"/>
          <w:sz w:val="14"/>
          <w:szCs w:val="14"/>
          <w:color w:val="auto"/>
        </w:rPr>
        <w:t>; and</w:t>
      </w:r>
    </w:p>
    <w:p>
      <w:pPr>
        <w:spacing w:after="0" w:line="166" w:lineRule="exact"/>
        <w:rPr>
          <w:rFonts w:ascii="Arial" w:cs="Arial" w:eastAsia="Arial" w:hAnsi="Arial"/>
          <w:sz w:val="14"/>
          <w:szCs w:val="14"/>
          <w:color w:val="auto"/>
        </w:rPr>
      </w:pPr>
    </w:p>
    <w:p>
      <w:pPr>
        <w:ind w:left="740" w:right="300" w:hanging="247"/>
        <w:spacing w:after="0" w:line="262" w:lineRule="auto"/>
        <w:tabs>
          <w:tab w:leader="none" w:pos="7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 decrease in Activision revenues recognized of $100 million, primarily due to lower revenues recognized from the Destiny franchise (reflecting our sale of the publishing rights for Destiny to Bungie in December 2018).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consolidated net revenues and in-game net revenues for the nine months ended September 30, 2019, as compared to the nine months ended September 30, 2018, was primarily due to:</w:t>
      </w:r>
    </w:p>
    <w:p>
      <w:pPr>
        <w:spacing w:after="0" w:line="189" w:lineRule="exact"/>
        <w:rPr>
          <w:sz w:val="20"/>
          <w:szCs w:val="20"/>
          <w:color w:val="auto"/>
        </w:rPr>
      </w:pPr>
    </w:p>
    <w:p>
      <w:pPr>
        <w:ind w:left="1220" w:right="120" w:hanging="727"/>
        <w:spacing w:after="0" w:line="262" w:lineRule="auto"/>
        <w:tabs>
          <w:tab w:leader="none" w:pos="729"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a decrease in Activision revenues recognized of $375 million, primarily due to (1) lower revenues recognized from the Destiny franchise and (2) lower revenues recognized from the Call of Duty franchise catalog titles, partially offset by revenues from </w:t>
      </w:r>
      <w:r>
        <w:rPr>
          <w:rFonts w:ascii="Arial" w:cs="Arial" w:eastAsia="Arial" w:hAnsi="Arial"/>
          <w:sz w:val="14"/>
          <w:szCs w:val="14"/>
          <w:i w:val="1"/>
          <w:iCs w:val="1"/>
          <w:color w:val="auto"/>
        </w:rPr>
        <w:t>Sekiro: Shadows Die Twice</w:t>
      </w:r>
      <w:r>
        <w:rPr>
          <w:rFonts w:ascii="Arial" w:cs="Arial" w:eastAsia="Arial" w:hAnsi="Arial"/>
          <w:sz w:val="14"/>
          <w:szCs w:val="14"/>
          <w:color w:val="auto"/>
        </w:rPr>
        <w:t>, which was released in March 2019; and</w:t>
      </w:r>
    </w:p>
    <w:p>
      <w:pPr>
        <w:spacing w:after="0" w:line="139" w:lineRule="exact"/>
        <w:rPr>
          <w:rFonts w:ascii="Arial" w:cs="Arial" w:eastAsia="Arial" w:hAnsi="Arial"/>
          <w:sz w:val="14"/>
          <w:szCs w:val="14"/>
          <w:color w:val="auto"/>
        </w:rPr>
      </w:pPr>
    </w:p>
    <w:p>
      <w:pPr>
        <w:ind w:left="740" w:hanging="247"/>
        <w:spacing w:after="0"/>
        <w:tabs>
          <w:tab w:leader="none" w:pos="7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a decrease in Blizzard revenues recognized of $247 million, primarily due to lower revenues recognized from </w:t>
      </w:r>
      <w:r>
        <w:rPr>
          <w:rFonts w:ascii="Arial" w:cs="Arial" w:eastAsia="Arial" w:hAnsi="Arial"/>
          <w:sz w:val="14"/>
          <w:szCs w:val="14"/>
          <w:i w:val="1"/>
          <w:iCs w:val="1"/>
          <w:color w:val="auto"/>
        </w:rPr>
        <w:t>Overwatch</w:t>
      </w:r>
      <w:r>
        <w:rPr>
          <w:rFonts w:ascii="Arial" w:cs="Arial" w:eastAsia="Arial" w:hAnsi="Arial"/>
          <w:sz w:val="14"/>
          <w:szCs w:val="14"/>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In-game Net Revenues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right="560" w:firstLine="245"/>
        <w:spacing w:after="0" w:line="346" w:lineRule="auto"/>
        <w:rPr>
          <w:sz w:val="20"/>
          <w:szCs w:val="20"/>
          <w:color w:val="auto"/>
        </w:rPr>
      </w:pPr>
      <w:r>
        <w:rPr>
          <w:rFonts w:ascii="Arial" w:cs="Arial" w:eastAsia="Arial" w:hAnsi="Arial"/>
          <w:sz w:val="12"/>
          <w:szCs w:val="12"/>
          <w:color w:val="auto"/>
        </w:rPr>
        <w:t>The decrease in in-game net revenues for the three months ended September 30, 2019, as compared to the three months ended September 30, 2018, was primarily due to a decrease in Blizzard and Activision in-game revenues recognized of $121 million and $116 million, respectively, due to the same drivers discussed for consolidated net revenues above.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129" w:right="21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0"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in-game net revenues for the nine months ended September 30, 2019, as compared to the nine months ended September 30, 2018, was primarily due to:</w:t>
      </w:r>
    </w:p>
    <w:p>
      <w:pPr>
        <w:spacing w:after="0" w:line="166" w:lineRule="exact"/>
        <w:rPr>
          <w:sz w:val="20"/>
          <w:szCs w:val="20"/>
          <w:color w:val="auto"/>
        </w:rPr>
      </w:pPr>
    </w:p>
    <w:p>
      <w:pPr>
        <w:ind w:left="740" w:hanging="247"/>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a decrease in Blizzard in-game revenues recognized of $250 million, primarily due to lower in-game revenues recognized from </w:t>
      </w:r>
      <w:r>
        <w:rPr>
          <w:rFonts w:ascii="Arial" w:cs="Arial" w:eastAsia="Arial" w:hAnsi="Arial"/>
          <w:sz w:val="14"/>
          <w:szCs w:val="14"/>
          <w:i w:val="1"/>
          <w:iCs w:val="1"/>
          <w:color w:val="auto"/>
        </w:rPr>
        <w:t>Overwatch</w:t>
      </w:r>
      <w:r>
        <w:rPr>
          <w:rFonts w:ascii="Arial" w:cs="Arial" w:eastAsia="Arial" w:hAnsi="Arial"/>
          <w:sz w:val="14"/>
          <w:szCs w:val="14"/>
          <w:color w:val="auto"/>
        </w:rPr>
        <w:t xml:space="preserve"> and </w:t>
      </w:r>
      <w:r>
        <w:rPr>
          <w:rFonts w:ascii="Arial" w:cs="Arial" w:eastAsia="Arial" w:hAnsi="Arial"/>
          <w:sz w:val="14"/>
          <w:szCs w:val="14"/>
          <w:i w:val="1"/>
          <w:iCs w:val="1"/>
          <w:color w:val="auto"/>
        </w:rPr>
        <w:t>Hearthstone</w:t>
      </w:r>
      <w:r>
        <w:rPr>
          <w:rFonts w:ascii="Arial" w:cs="Arial" w:eastAsia="Arial" w:hAnsi="Arial"/>
          <w:sz w:val="14"/>
          <w:szCs w:val="14"/>
          <w:color w:val="auto"/>
        </w:rPr>
        <w:t>;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decrease in Activision in-game revenues recognized of $219 million, primarily due to lower in-game revenues recognized from the Destiny franchise.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Deferred Revenues Recognized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right="120" w:firstLine="245"/>
        <w:spacing w:after="0" w:line="305" w:lineRule="auto"/>
        <w:rPr>
          <w:sz w:val="20"/>
          <w:szCs w:val="20"/>
          <w:color w:val="auto"/>
        </w:rPr>
      </w:pPr>
      <w:r>
        <w:rPr>
          <w:rFonts w:ascii="Arial" w:cs="Arial" w:eastAsia="Arial" w:hAnsi="Arial"/>
          <w:sz w:val="12"/>
          <w:szCs w:val="12"/>
          <w:color w:val="auto"/>
        </w:rPr>
        <w:t xml:space="preserve">The increase in net deferred revenues recognized for the three months ended September 30, 2019, as compared to the three months ended September 30, 2018, was primarily due to (1) an increase of $120 million in net deferred revenues recognized from Blizzard, primarily due to the prior year period including a net deferral of revenues from </w:t>
      </w:r>
      <w:r>
        <w:rPr>
          <w:rFonts w:ascii="Arial" w:cs="Arial" w:eastAsia="Arial" w:hAnsi="Arial"/>
          <w:sz w:val="12"/>
          <w:szCs w:val="12"/>
          <w:i w:val="1"/>
          <w:iCs w:val="1"/>
          <w:color w:val="auto"/>
        </w:rPr>
        <w:t>World of Warcraft</w:t>
      </w:r>
      <w:r>
        <w:rPr>
          <w:rFonts w:ascii="Arial" w:cs="Arial" w:eastAsia="Arial" w:hAnsi="Arial"/>
          <w:sz w:val="12"/>
          <w:szCs w:val="12"/>
          <w:color w:val="auto"/>
        </w:rPr>
        <w:t xml:space="preserve">, driven by </w:t>
      </w:r>
      <w:r>
        <w:rPr>
          <w:rFonts w:ascii="Arial" w:cs="Arial" w:eastAsia="Arial" w:hAnsi="Arial"/>
          <w:sz w:val="12"/>
          <w:szCs w:val="12"/>
          <w:i w:val="1"/>
          <w:iCs w:val="1"/>
          <w:color w:val="auto"/>
        </w:rPr>
        <w:t>World of Warcraft: Battle for Azeroth</w:t>
      </w:r>
      <w:r>
        <w:rPr>
          <w:rFonts w:ascii="Arial" w:cs="Arial" w:eastAsia="Arial" w:hAnsi="Arial"/>
          <w:sz w:val="12"/>
          <w:szCs w:val="12"/>
          <w:color w:val="auto"/>
        </w:rPr>
        <w:t>, which was released in August 2018, with no comparable release in 2019 and (2) an increase of $88 million in net deferred revenues recognized from Activision, primarily due to lower net deferral of revenues from the Destiny franchise (reflecting our sale of the publishing rights for Destiny to Bungie in December 2018).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firstLine="245"/>
        <w:spacing w:after="0" w:line="250" w:lineRule="auto"/>
        <w:rPr>
          <w:sz w:val="20"/>
          <w:szCs w:val="20"/>
          <w:color w:val="auto"/>
        </w:rPr>
      </w:pPr>
      <w:r>
        <w:rPr>
          <w:rFonts w:ascii="Arial" w:cs="Arial" w:eastAsia="Arial" w:hAnsi="Arial"/>
          <w:sz w:val="14"/>
          <w:szCs w:val="14"/>
          <w:color w:val="auto"/>
        </w:rPr>
        <w:t xml:space="preserve">The increase in net deferred revenues recognized for the nine months ended September 30, 2019, as compared to the nine months ended September 30, 2018, was primarily due to an increase of $237 million in net deferred revenues recognized from Blizzard, primarily due to higher net deferred revenues recognized for </w:t>
      </w:r>
      <w:r>
        <w:rPr>
          <w:rFonts w:ascii="Arial" w:cs="Arial" w:eastAsia="Arial" w:hAnsi="Arial"/>
          <w:sz w:val="14"/>
          <w:szCs w:val="14"/>
          <w:i w:val="1"/>
          <w:iCs w:val="1"/>
          <w:color w:val="auto"/>
        </w:rPr>
        <w:t>World of Warcraft</w:t>
      </w:r>
      <w:r>
        <w:rPr>
          <w:rFonts w:ascii="Arial" w:cs="Arial" w:eastAsia="Arial" w:hAnsi="Arial"/>
          <w:sz w:val="14"/>
          <w:szCs w:val="14"/>
          <w:color w:val="auto"/>
        </w:rPr>
        <w:t xml:space="preserve">, driven by </w:t>
      </w:r>
      <w:r>
        <w:rPr>
          <w:rFonts w:ascii="Arial" w:cs="Arial" w:eastAsia="Arial" w:hAnsi="Arial"/>
          <w:sz w:val="14"/>
          <w:szCs w:val="14"/>
          <w:i w:val="1"/>
          <w:iCs w:val="1"/>
          <w:color w:val="auto"/>
        </w:rPr>
        <w:t>World of Warcraft: Battle for Azeroth</w:t>
      </w:r>
      <w:r>
        <w:rPr>
          <w:rFonts w:ascii="Arial" w:cs="Arial" w:eastAsia="Arial" w:hAnsi="Arial"/>
          <w:sz w:val="14"/>
          <w:szCs w:val="14"/>
          <w:color w:val="auto"/>
        </w:rPr>
        <w:t>, which was released in August 2018, with no comparable release in 2017. The increase from Blizzard was partially offset by a decrease of $122 million in net deferred revenues recognized from Activision, primarily due to lower net deferred revenues recognized from the Destiny franchise.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Exchange Impact</w:t>
      </w:r>
    </w:p>
    <w:p>
      <w:pPr>
        <w:spacing w:after="0" w:line="166" w:lineRule="exact"/>
        <w:rPr>
          <w:sz w:val="20"/>
          <w:szCs w:val="20"/>
          <w:color w:val="auto"/>
        </w:rPr>
      </w:pPr>
    </w:p>
    <w:p>
      <w:pPr>
        <w:ind w:right="480" w:firstLine="245"/>
        <w:spacing w:after="0" w:line="346" w:lineRule="auto"/>
        <w:rPr>
          <w:sz w:val="20"/>
          <w:szCs w:val="20"/>
          <w:color w:val="auto"/>
        </w:rPr>
      </w:pPr>
      <w:r>
        <w:rPr>
          <w:rFonts w:ascii="Arial" w:cs="Arial" w:eastAsia="Arial" w:hAnsi="Arial"/>
          <w:sz w:val="12"/>
          <w:szCs w:val="12"/>
          <w:color w:val="auto"/>
        </w:rPr>
        <w:t>Changes in foreign exchange rates had a negative impact of $27 million and $133 million on our consolidated net revenues for the three and nine months ended September 30, 2019, respectively, as compared to the same period in the previous year. The changes are primarily due to changes in the value of the U.S. dollar relative to the euro and the British pound.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Segment Results</w:t>
      </w:r>
    </w:p>
    <w:p>
      <w:pPr>
        <w:spacing w:after="0" w:line="168" w:lineRule="exact"/>
        <w:rPr>
          <w:sz w:val="20"/>
          <w:szCs w:val="20"/>
          <w:color w:val="auto"/>
        </w:rPr>
      </w:pPr>
    </w:p>
    <w:p>
      <w:pPr>
        <w:ind w:firstLine="245"/>
        <w:spacing w:after="0" w:line="300" w:lineRule="auto"/>
        <w:rPr>
          <w:sz w:val="20"/>
          <w:szCs w:val="20"/>
          <w:color w:val="auto"/>
        </w:rPr>
      </w:pPr>
      <w:r>
        <w:rPr>
          <w:rFonts w:ascii="Arial" w:cs="Arial" w:eastAsia="Arial" w:hAnsi="Arial"/>
          <w:sz w:val="12"/>
          <w:szCs w:val="12"/>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operating segments are also consistent with our internal organizational structure, the way we assess operating performance and allocate resources, and the availability of separate financial information.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We do not aggregate operating segments.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60"/>
          </w:cols>
          <w:pgMar w:left="220" w:top="129" w:right="21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Information on reportable segment net revenues and operating income for the three and nine months ended September 30, 2019 and 2018, are presented below (amounts in millions):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300" w:type="dxa"/>
            <w:vAlign w:val="bottom"/>
            <w:gridSpan w:val="8"/>
          </w:tcPr>
          <w:p>
            <w:pPr>
              <w:jc w:val="center"/>
              <w:ind w:right="40"/>
              <w:spacing w:after="0"/>
              <w:rPr>
                <w:sz w:val="20"/>
                <w:szCs w:val="20"/>
                <w:color w:val="auto"/>
              </w:rPr>
            </w:pPr>
            <w:r>
              <w:rPr>
                <w:rFonts w:ascii="Arial" w:cs="Arial" w:eastAsia="Arial" w:hAnsi="Arial"/>
                <w:sz w:val="12"/>
                <w:szCs w:val="12"/>
                <w:b w:val="1"/>
                <w:bCs w:val="1"/>
                <w:color w:val="auto"/>
                <w:w w:val="93"/>
              </w:rPr>
              <w:t>Three Months Ended September 30, 2019</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gridSpan w:val="5"/>
          </w:tcPr>
          <w:p>
            <w:pPr>
              <w:ind w:left="180"/>
              <w:spacing w:after="0"/>
              <w:rPr>
                <w:sz w:val="20"/>
                <w:szCs w:val="20"/>
                <w:color w:val="auto"/>
              </w:rPr>
            </w:pPr>
            <w:r>
              <w:rPr>
                <w:rFonts w:ascii="Arial" w:cs="Arial" w:eastAsia="Arial" w:hAnsi="Arial"/>
                <w:sz w:val="12"/>
                <w:szCs w:val="12"/>
                <w:b w:val="1"/>
                <w:bCs w:val="1"/>
                <w:color w:val="auto"/>
              </w:rPr>
              <w:t>$ Increase / (Decrease)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5"/>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9"/>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19"/>
              <w:spacing w:after="0"/>
              <w:rPr>
                <w:sz w:val="20"/>
                <w:szCs w:val="20"/>
                <w:color w:val="auto"/>
              </w:rPr>
            </w:pPr>
            <w:r>
              <w:rPr>
                <w:rFonts w:ascii="Arial" w:cs="Arial" w:eastAsia="Arial" w:hAnsi="Arial"/>
                <w:sz w:val="12"/>
                <w:szCs w:val="12"/>
                <w:b w:val="1"/>
                <w:bCs w:val="1"/>
                <w:color w:val="auto"/>
              </w:rPr>
              <w:t>Activision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Blizzard</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King</w:t>
            </w: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Activision</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Blizzard</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King</w:t>
            </w: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Arial" w:cs="Arial" w:eastAsia="Arial" w:hAnsi="Arial"/>
                <w:sz w:val="12"/>
                <w:szCs w:val="12"/>
                <w:b w:val="1"/>
                <w:bCs w:val="1"/>
                <w:color w:val="auto"/>
              </w:rPr>
              <w:t>Total</w:t>
            </w: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Segment Net Revenues</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9"/>
        </w:trPr>
        <w:tc>
          <w:tcPr>
            <w:tcW w:w="3100" w:type="dxa"/>
            <w:vAlign w:val="bottom"/>
          </w:tcPr>
          <w:p>
            <w:pPr>
              <w:ind w:left="120"/>
              <w:spacing w:after="0"/>
              <w:rPr>
                <w:sz w:val="20"/>
                <w:szCs w:val="20"/>
                <w:color w:val="auto"/>
              </w:rPr>
            </w:pPr>
            <w:r>
              <w:rPr>
                <w:rFonts w:ascii="Arial" w:cs="Arial" w:eastAsia="Arial" w:hAnsi="Arial"/>
                <w:sz w:val="12"/>
                <w:szCs w:val="12"/>
                <w:color w:val="auto"/>
              </w:rPr>
              <w:t>Net revenues from external customers</w:t>
            </w: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209</w:t>
            </w:r>
          </w:p>
        </w:tc>
        <w:tc>
          <w:tcPr>
            <w:tcW w:w="380" w:type="dxa"/>
            <w:vAlign w:val="bottom"/>
            <w:gridSpan w:val="3"/>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392</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2"/>
                <w:szCs w:val="12"/>
                <w:color w:val="auto"/>
              </w:rPr>
              <w:t>500</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1,101</w:t>
            </w:r>
          </w:p>
        </w:tc>
        <w:tc>
          <w:tcPr>
            <w:tcW w:w="28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(188)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(235)</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(429)</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5"/>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Intersegment net revenues (1)</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217"/>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Segment net revenues</w:t>
            </w: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209</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394</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500</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rPr>
              <w:t>1,103</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(188)</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(241)</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(435)</w:t>
            </w:r>
          </w:p>
        </w:tc>
      </w:tr>
      <w:tr>
        <w:trPr>
          <w:trHeight w:val="162"/>
        </w:trPr>
        <w:tc>
          <w:tcPr>
            <w:tcW w:w="3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2"/>
                <w:szCs w:val="12"/>
                <w:b w:val="1"/>
                <w:bCs w:val="1"/>
                <w:color w:val="auto"/>
              </w:rPr>
              <w:t>Segment operating income</w:t>
            </w: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26</w:t>
            </w:r>
          </w:p>
        </w:tc>
        <w:tc>
          <w:tcPr>
            <w:tcW w:w="380" w:type="dxa"/>
            <w:vAlign w:val="bottom"/>
            <w:gridSpan w:val="3"/>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74</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2"/>
                <w:szCs w:val="12"/>
                <w:color w:val="auto"/>
              </w:rPr>
              <w:t>194</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294</w:t>
            </w:r>
          </w:p>
        </w:tc>
        <w:tc>
          <w:tcPr>
            <w:tcW w:w="28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(191)</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2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02"/>
        </w:trPr>
        <w:tc>
          <w:tcPr>
            <w:tcW w:w="3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shd w:val="clear" w:color="auto" w:fill="CCEEFF"/>
          </w:tcPr>
          <w:p>
            <w:pPr>
              <w:spacing w:after="0"/>
              <w:rPr>
                <w:sz w:val="8"/>
                <w:szCs w:val="8"/>
                <w:color w:val="auto"/>
              </w:rPr>
            </w:pPr>
          </w:p>
        </w:tc>
        <w:tc>
          <w:tcPr>
            <w:tcW w:w="1020" w:type="dxa"/>
            <w:vAlign w:val="bottom"/>
            <w:gridSpan w:val="3"/>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r>
      <w:tr>
        <w:trPr>
          <w:trHeight w:val="179"/>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00" w:type="dxa"/>
            <w:vAlign w:val="bottom"/>
            <w:gridSpan w:val="8"/>
          </w:tcPr>
          <w:p>
            <w:pPr>
              <w:jc w:val="center"/>
              <w:ind w:right="40"/>
              <w:spacing w:after="0"/>
              <w:rPr>
                <w:sz w:val="20"/>
                <w:szCs w:val="20"/>
                <w:color w:val="auto"/>
              </w:rPr>
            </w:pPr>
            <w:r>
              <w:rPr>
                <w:rFonts w:ascii="Arial" w:cs="Arial" w:eastAsia="Arial" w:hAnsi="Arial"/>
                <w:sz w:val="12"/>
                <w:szCs w:val="12"/>
                <w:b w:val="1"/>
                <w:bCs w:val="1"/>
                <w:color w:val="auto"/>
                <w:w w:val="93"/>
              </w:rPr>
              <w:t>Three Months Ended September 30, 2018</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95"/>
        </w:trPr>
        <w:tc>
          <w:tcPr>
            <w:tcW w:w="3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2"/>
                <w:szCs w:val="12"/>
                <w:b w:val="1"/>
                <w:bCs w:val="1"/>
                <w:color w:val="auto"/>
              </w:rPr>
              <w:t>Activision</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Blizzard</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King</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69"/>
        </w:trPr>
        <w:tc>
          <w:tcPr>
            <w:tcW w:w="3100" w:type="dxa"/>
            <w:vAlign w:val="bottom"/>
          </w:tcPr>
          <w:p>
            <w:pPr>
              <w:ind w:left="20"/>
              <w:spacing w:after="0"/>
              <w:rPr>
                <w:sz w:val="20"/>
                <w:szCs w:val="20"/>
                <w:color w:val="auto"/>
              </w:rPr>
            </w:pPr>
            <w:r>
              <w:rPr>
                <w:rFonts w:ascii="Arial" w:cs="Arial" w:eastAsia="Arial" w:hAnsi="Arial"/>
                <w:sz w:val="12"/>
                <w:szCs w:val="12"/>
                <w:b w:val="1"/>
                <w:bCs w:val="1"/>
                <w:color w:val="auto"/>
              </w:rPr>
              <w:t>Segment Net Revenues</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5"/>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revenues from external customers</w:t>
            </w: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627</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506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1,530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79"/>
        </w:trPr>
        <w:tc>
          <w:tcPr>
            <w:tcW w:w="3100" w:type="dxa"/>
            <w:vAlign w:val="bottom"/>
          </w:tcPr>
          <w:p>
            <w:pPr>
              <w:ind w:left="120"/>
              <w:spacing w:after="0"/>
              <w:rPr>
                <w:sz w:val="20"/>
                <w:szCs w:val="20"/>
                <w:color w:val="auto"/>
              </w:rPr>
            </w:pPr>
            <w:r>
              <w:rPr>
                <w:rFonts w:ascii="Arial" w:cs="Arial" w:eastAsia="Arial" w:hAnsi="Arial"/>
                <w:sz w:val="12"/>
                <w:szCs w:val="12"/>
                <w:color w:val="auto"/>
              </w:rPr>
              <w:t>Intersegment net revenues (1)</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77"/>
        </w:trPr>
        <w:tc>
          <w:tcPr>
            <w:tcW w:w="31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Segment net revenues</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635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506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1,538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Segment operating income</w:t>
            </w: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112</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189</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184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485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445"/>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00" w:type="dxa"/>
            <w:vAlign w:val="bottom"/>
            <w:gridSpan w:val="8"/>
          </w:tcPr>
          <w:p>
            <w:pPr>
              <w:jc w:val="center"/>
              <w:ind w:right="40"/>
              <w:spacing w:after="0"/>
              <w:rPr>
                <w:sz w:val="20"/>
                <w:szCs w:val="20"/>
                <w:color w:val="auto"/>
              </w:rPr>
            </w:pPr>
            <w:r>
              <w:rPr>
                <w:rFonts w:ascii="Arial" w:cs="Arial" w:eastAsia="Arial" w:hAnsi="Arial"/>
                <w:sz w:val="12"/>
                <w:szCs w:val="12"/>
                <w:b w:val="1"/>
                <w:bCs w:val="1"/>
                <w:color w:val="auto"/>
                <w:w w:val="92"/>
              </w:rPr>
              <w:t>Nine Months Ended September 30, 2019</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5"/>
          </w:tcPr>
          <w:p>
            <w:pPr>
              <w:ind w:left="180"/>
              <w:spacing w:after="0"/>
              <w:rPr>
                <w:sz w:val="20"/>
                <w:szCs w:val="20"/>
                <w:color w:val="auto"/>
              </w:rPr>
            </w:pPr>
            <w:r>
              <w:rPr>
                <w:rFonts w:ascii="Arial" w:cs="Arial" w:eastAsia="Arial" w:hAnsi="Arial"/>
                <w:sz w:val="12"/>
                <w:szCs w:val="12"/>
                <w:b w:val="1"/>
                <w:bCs w:val="1"/>
                <w:color w:val="auto"/>
              </w:rPr>
              <w:t>$ Increase / (Decrease)</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9"/>
        </w:trPr>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19"/>
              <w:spacing w:after="0"/>
              <w:rPr>
                <w:sz w:val="20"/>
                <w:szCs w:val="20"/>
                <w:color w:val="auto"/>
              </w:rPr>
            </w:pPr>
            <w:r>
              <w:rPr>
                <w:rFonts w:ascii="Arial" w:cs="Arial" w:eastAsia="Arial" w:hAnsi="Arial"/>
                <w:sz w:val="12"/>
                <w:szCs w:val="12"/>
                <w:b w:val="1"/>
                <w:bCs w:val="1"/>
                <w:color w:val="auto"/>
              </w:rPr>
              <w:t>Activision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Blizzard</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King</w:t>
            </w: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Arial" w:cs="Arial" w:eastAsia="Arial" w:hAnsi="Arial"/>
                <w:sz w:val="12"/>
                <w:szCs w:val="12"/>
                <w:b w:val="1"/>
                <w:bCs w:val="1"/>
                <w:color w:val="auto"/>
              </w:rPr>
              <w:t>Total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Activision</w:t>
            </w:r>
          </w:p>
        </w:tc>
        <w:tc>
          <w:tcPr>
            <w:tcW w:w="14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Blizzard</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King</w:t>
            </w:r>
          </w:p>
        </w:tc>
        <w:tc>
          <w:tcPr>
            <w:tcW w:w="200" w:type="dxa"/>
            <w:vAlign w:val="bottom"/>
          </w:tcPr>
          <w:p>
            <w:pPr>
              <w:spacing w:after="0"/>
              <w:rPr>
                <w:sz w:val="14"/>
                <w:szCs w:val="14"/>
                <w:color w:val="auto"/>
              </w:rPr>
            </w:pPr>
          </w:p>
        </w:tc>
        <w:tc>
          <w:tcPr>
            <w:tcW w:w="700" w:type="dxa"/>
            <w:vAlign w:val="bottom"/>
          </w:tcPr>
          <w:p>
            <w:pPr>
              <w:jc w:val="right"/>
              <w:ind w:right="259"/>
              <w:spacing w:after="0"/>
              <w:rPr>
                <w:sz w:val="20"/>
                <w:szCs w:val="20"/>
                <w:color w:val="auto"/>
              </w:rPr>
            </w:pPr>
            <w:r>
              <w:rPr>
                <w:rFonts w:ascii="Arial" w:cs="Arial" w:eastAsia="Arial" w:hAnsi="Arial"/>
                <w:sz w:val="12"/>
                <w:szCs w:val="12"/>
                <w:b w:val="1"/>
                <w:bCs w:val="1"/>
                <w:color w:val="auto"/>
              </w:rPr>
              <w:t>Total</w:t>
            </w: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Segment Net Revenues</w:t>
            </w: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179"/>
        </w:trPr>
        <w:tc>
          <w:tcPr>
            <w:tcW w:w="3100" w:type="dxa"/>
            <w:vAlign w:val="bottom"/>
          </w:tcPr>
          <w:p>
            <w:pPr>
              <w:ind w:left="120"/>
              <w:spacing w:after="0"/>
              <w:rPr>
                <w:sz w:val="20"/>
                <w:szCs w:val="20"/>
                <w:color w:val="auto"/>
              </w:rPr>
            </w:pPr>
            <w:r>
              <w:rPr>
                <w:rFonts w:ascii="Arial" w:cs="Arial" w:eastAsia="Arial" w:hAnsi="Arial"/>
                <w:sz w:val="12"/>
                <w:szCs w:val="12"/>
                <w:color w:val="auto"/>
              </w:rPr>
              <w:t>Net revenues from external customers</w:t>
            </w: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794</w:t>
            </w:r>
          </w:p>
        </w:tc>
        <w:tc>
          <w:tcPr>
            <w:tcW w:w="380" w:type="dxa"/>
            <w:vAlign w:val="bottom"/>
            <w:gridSpan w:val="3"/>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1,113</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2"/>
                <w:szCs w:val="12"/>
                <w:color w:val="auto"/>
              </w:rPr>
              <w:t>1,527</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3,434</w:t>
            </w:r>
          </w:p>
        </w:tc>
        <w:tc>
          <w:tcPr>
            <w:tcW w:w="28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(253)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(479)</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(747)</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05"/>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Intersegment net revenues (1)</w:t>
            </w: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w:t>
            </w:r>
          </w:p>
        </w:tc>
      </w:tr>
      <w:tr>
        <w:trPr>
          <w:trHeight w:val="217"/>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Segment net revenues</w:t>
            </w:r>
          </w:p>
        </w:tc>
        <w:tc>
          <w:tcPr>
            <w:tcW w:w="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794</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1,122</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1,527</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rPr>
              <w:t>3,443</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(253)</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2"/>
                <w:szCs w:val="12"/>
                <w:color w:val="auto"/>
              </w:rPr>
              <w:t>(484)</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(752)</w:t>
            </w:r>
          </w:p>
        </w:tc>
      </w:tr>
      <w:tr>
        <w:trPr>
          <w:trHeight w:val="162"/>
        </w:trPr>
        <w:tc>
          <w:tcPr>
            <w:tcW w:w="3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79"/>
        </w:trPr>
        <w:tc>
          <w:tcPr>
            <w:tcW w:w="3100" w:type="dxa"/>
            <w:vAlign w:val="bottom"/>
          </w:tcPr>
          <w:p>
            <w:pPr>
              <w:ind w:left="20"/>
              <w:spacing w:after="0"/>
              <w:rPr>
                <w:sz w:val="20"/>
                <w:szCs w:val="20"/>
                <w:color w:val="auto"/>
              </w:rPr>
            </w:pPr>
            <w:r>
              <w:rPr>
                <w:rFonts w:ascii="Arial" w:cs="Arial" w:eastAsia="Arial" w:hAnsi="Arial"/>
                <w:sz w:val="12"/>
                <w:szCs w:val="12"/>
                <w:b w:val="1"/>
                <w:bCs w:val="1"/>
                <w:color w:val="auto"/>
              </w:rPr>
              <w:t>Segment operating income</w:t>
            </w:r>
          </w:p>
        </w:tc>
        <w:tc>
          <w:tcPr>
            <w:tcW w:w="180" w:type="dxa"/>
            <w:vAlign w:val="bottom"/>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153</w:t>
            </w:r>
          </w:p>
        </w:tc>
        <w:tc>
          <w:tcPr>
            <w:tcW w:w="380" w:type="dxa"/>
            <w:vAlign w:val="bottom"/>
            <w:gridSpan w:val="3"/>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204</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2"/>
                <w:szCs w:val="12"/>
                <w:color w:val="auto"/>
              </w:rPr>
              <w:t>543</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900</w:t>
            </w:r>
          </w:p>
        </w:tc>
        <w:tc>
          <w:tcPr>
            <w:tcW w:w="28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9"/>
              <w:spacing w:after="0"/>
              <w:rPr>
                <w:sz w:val="20"/>
                <w:szCs w:val="20"/>
                <w:color w:val="auto"/>
              </w:rPr>
            </w:pPr>
            <w:r>
              <w:rPr>
                <w:rFonts w:ascii="Arial" w:cs="Arial" w:eastAsia="Arial" w:hAnsi="Arial"/>
                <w:sz w:val="12"/>
                <w:szCs w:val="12"/>
                <w:color w:val="auto"/>
              </w:rPr>
              <w:t>(135)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(240)</w:t>
            </w:r>
          </w:p>
        </w:tc>
        <w:tc>
          <w:tcPr>
            <w:tcW w:w="120" w:type="dxa"/>
            <w:vAlign w:val="bottom"/>
          </w:tcPr>
          <w:p>
            <w:pPr>
              <w:spacing w:after="0"/>
              <w:rPr>
                <w:sz w:val="15"/>
                <w:szCs w:val="15"/>
                <w:color w:val="auto"/>
              </w:rPr>
            </w:pP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(375)</w:t>
            </w: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300" w:type="dxa"/>
            <w:vAlign w:val="bottom"/>
            <w:gridSpan w:val="8"/>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02"/>
        </w:trPr>
        <w:tc>
          <w:tcPr>
            <w:tcW w:w="3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300" w:type="dxa"/>
            <w:vAlign w:val="bottom"/>
            <w:gridSpan w:val="8"/>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r>
      <w:tr>
        <w:trPr>
          <w:trHeight w:val="179"/>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00" w:type="dxa"/>
            <w:vAlign w:val="bottom"/>
            <w:gridSpan w:val="8"/>
          </w:tcPr>
          <w:p>
            <w:pPr>
              <w:jc w:val="center"/>
              <w:ind w:right="40"/>
              <w:spacing w:after="0"/>
              <w:rPr>
                <w:sz w:val="20"/>
                <w:szCs w:val="20"/>
                <w:color w:val="auto"/>
              </w:rPr>
            </w:pPr>
            <w:r>
              <w:rPr>
                <w:rFonts w:ascii="Arial" w:cs="Arial" w:eastAsia="Arial" w:hAnsi="Arial"/>
                <w:sz w:val="12"/>
                <w:szCs w:val="12"/>
                <w:b w:val="1"/>
                <w:bCs w:val="1"/>
                <w:color w:val="auto"/>
                <w:w w:val="92"/>
              </w:rPr>
              <w:t>Nine Months Ended September 30, 2018</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95"/>
        </w:trPr>
        <w:tc>
          <w:tcPr>
            <w:tcW w:w="3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2"/>
                <w:szCs w:val="12"/>
                <w:b w:val="1"/>
                <w:bCs w:val="1"/>
                <w:color w:val="auto"/>
              </w:rPr>
              <w:t>Activision</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2"/>
                <w:szCs w:val="12"/>
                <w:b w:val="1"/>
                <w:bCs w:val="1"/>
                <w:color w:val="auto"/>
              </w:rPr>
              <w:t>Blizzard</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2"/>
                <w:szCs w:val="12"/>
                <w:b w:val="1"/>
                <w:bCs w:val="1"/>
                <w:color w:val="auto"/>
              </w:rPr>
              <w:t>King</w:t>
            </w: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69"/>
        </w:trPr>
        <w:tc>
          <w:tcPr>
            <w:tcW w:w="3100" w:type="dxa"/>
            <w:vAlign w:val="bottom"/>
          </w:tcPr>
          <w:p>
            <w:pPr>
              <w:ind w:left="20"/>
              <w:spacing w:after="0"/>
              <w:rPr>
                <w:sz w:val="20"/>
                <w:szCs w:val="20"/>
                <w:color w:val="auto"/>
              </w:rPr>
            </w:pPr>
            <w:r>
              <w:rPr>
                <w:rFonts w:ascii="Arial" w:cs="Arial" w:eastAsia="Arial" w:hAnsi="Arial"/>
                <w:sz w:val="12"/>
                <w:szCs w:val="12"/>
                <w:b w:val="1"/>
                <w:bCs w:val="1"/>
                <w:color w:val="auto"/>
              </w:rPr>
              <w:t>Segment Net Revenues</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5"/>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5"/>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Net revenues from external customers</w:t>
            </w:r>
          </w:p>
        </w:tc>
        <w:tc>
          <w:tcPr>
            <w:tcW w:w="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1,047</w:t>
            </w:r>
          </w:p>
        </w:tc>
        <w:tc>
          <w:tcPr>
            <w:tcW w:w="3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1,592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1,542</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4,181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179"/>
        </w:trPr>
        <w:tc>
          <w:tcPr>
            <w:tcW w:w="3100" w:type="dxa"/>
            <w:vAlign w:val="bottom"/>
          </w:tcPr>
          <w:p>
            <w:pPr>
              <w:ind w:left="120"/>
              <w:spacing w:after="0"/>
              <w:rPr>
                <w:sz w:val="20"/>
                <w:szCs w:val="20"/>
                <w:color w:val="auto"/>
              </w:rPr>
            </w:pPr>
            <w:r>
              <w:rPr>
                <w:rFonts w:ascii="Arial" w:cs="Arial" w:eastAsia="Arial" w:hAnsi="Arial"/>
                <w:sz w:val="12"/>
                <w:szCs w:val="12"/>
                <w:color w:val="auto"/>
              </w:rPr>
              <w:t>Intersegment net revenues (1)</w:t>
            </w: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5"/>
                <w:szCs w:val="15"/>
                <w:color w:val="auto"/>
              </w:rPr>
            </w:pPr>
          </w:p>
        </w:tc>
        <w:tc>
          <w:tcPr>
            <w:tcW w:w="700" w:type="dxa"/>
            <w:vAlign w:val="bottom"/>
          </w:tcPr>
          <w:p>
            <w:pPr>
              <w:jc w:val="right"/>
              <w:ind w:right="39"/>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5"/>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r>
      <w:tr>
        <w:trPr>
          <w:trHeight w:val="177"/>
        </w:trPr>
        <w:tc>
          <w:tcPr>
            <w:tcW w:w="3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2"/>
                <w:szCs w:val="12"/>
                <w:color w:val="auto"/>
              </w:rPr>
              <w:t>Segment net revenues</w:t>
            </w:r>
          </w:p>
        </w:tc>
        <w:tc>
          <w:tcPr>
            <w:tcW w:w="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1,047</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1,606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rPr>
              <w:t>1,542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2"/>
                <w:szCs w:val="12"/>
                <w:color w:val="auto"/>
              </w:rPr>
              <w:t>4,195</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2"/>
        </w:trPr>
        <w:tc>
          <w:tcPr>
            <w:tcW w:w="3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9"/>
        </w:trPr>
        <w:tc>
          <w:tcPr>
            <w:tcW w:w="31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Segment operating income</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38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444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rPr>
              <w:t>543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2"/>
                <w:szCs w:val="12"/>
                <w:color w:val="auto"/>
              </w:rPr>
              <w:t>1,275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5"/>
        </w:trPr>
        <w:tc>
          <w:tcPr>
            <w:tcW w:w="3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Intersegment revenues reflect licensing and service fees charged between segments.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60"/>
          </w:cols>
          <w:pgMar w:left="220" w:top="129" w:right="21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right="520" w:firstLine="245"/>
        <w:spacing w:after="0" w:line="262" w:lineRule="auto"/>
        <w:rPr>
          <w:sz w:val="20"/>
          <w:szCs w:val="20"/>
          <w:color w:val="auto"/>
        </w:rPr>
      </w:pPr>
      <w:r>
        <w:rPr>
          <w:rFonts w:ascii="Arial" w:cs="Arial" w:eastAsia="Arial" w:hAnsi="Arial"/>
          <w:sz w:val="14"/>
          <w:szCs w:val="14"/>
          <w:color w:val="auto"/>
        </w:rPr>
        <w:t>Reconciliations of total segment net revenues and total segment operating income to consolidated net revenues and consolidated income before income tax expense are presented in the table below (amounts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2900" w:type="dxa"/>
            <w:vAlign w:val="bottom"/>
            <w:gridSpan w:val="4"/>
          </w:tcPr>
          <w:p>
            <w:pPr>
              <w:jc w:val="right"/>
              <w:spacing w:after="0"/>
              <w:rPr>
                <w:sz w:val="20"/>
                <w:szCs w:val="20"/>
                <w:color w:val="auto"/>
              </w:rPr>
            </w:pPr>
            <w:r>
              <w:rPr>
                <w:rFonts w:ascii="Arial" w:cs="Arial" w:eastAsia="Arial" w:hAnsi="Arial"/>
                <w:sz w:val="12"/>
                <w:szCs w:val="12"/>
                <w:b w:val="1"/>
                <w:bCs w:val="1"/>
                <w:color w:val="auto"/>
              </w:rPr>
              <w:t>For the Three Months Ended September 30,</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80" w:type="dxa"/>
            <w:vAlign w:val="bottom"/>
            <w:gridSpan w:val="4"/>
          </w:tcPr>
          <w:p>
            <w:pPr>
              <w:jc w:val="right"/>
              <w:ind w:right="459"/>
              <w:spacing w:after="0"/>
              <w:rPr>
                <w:sz w:val="20"/>
                <w:szCs w:val="20"/>
                <w:color w:val="auto"/>
              </w:rPr>
            </w:pPr>
            <w:r>
              <w:rPr>
                <w:rFonts w:ascii="Arial" w:cs="Arial" w:eastAsia="Arial" w:hAnsi="Arial"/>
                <w:sz w:val="12"/>
                <w:szCs w:val="12"/>
                <w:b w:val="1"/>
                <w:bCs w:val="1"/>
                <w:color w:val="auto"/>
              </w:rPr>
              <w:t>For the Nine Months Ended September 30,</w:t>
            </w:r>
          </w:p>
        </w:tc>
      </w:tr>
      <w:tr>
        <w:trPr>
          <w:trHeight w:val="25"/>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9"/>
        </w:trPr>
        <w:tc>
          <w:tcPr>
            <w:tcW w:w="4700" w:type="dxa"/>
            <w:vAlign w:val="bottom"/>
          </w:tcPr>
          <w:p>
            <w:pPr>
              <w:spacing w:after="0"/>
              <w:rPr>
                <w:sz w:val="14"/>
                <w:szCs w:val="14"/>
                <w:color w:val="auto"/>
              </w:rPr>
            </w:pPr>
          </w:p>
        </w:tc>
        <w:tc>
          <w:tcPr>
            <w:tcW w:w="1080" w:type="dxa"/>
            <w:vAlign w:val="bottom"/>
          </w:tcPr>
          <w:p>
            <w:pPr>
              <w:jc w:val="right"/>
              <w:ind w:right="79"/>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159"/>
              <w:spacing w:after="0"/>
              <w:rPr>
                <w:sz w:val="20"/>
                <w:szCs w:val="20"/>
                <w:color w:val="auto"/>
              </w:rPr>
            </w:pPr>
            <w:r>
              <w:rPr>
                <w:rFonts w:ascii="Arial" w:cs="Arial" w:eastAsia="Arial" w:hAnsi="Arial"/>
                <w:sz w:val="12"/>
                <w:szCs w:val="12"/>
                <w:b w:val="1"/>
                <w:bCs w:val="1"/>
                <w:color w:val="auto"/>
              </w:rPr>
              <w:t>2018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jc w:val="right"/>
              <w:ind w:right="619"/>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99"/>
              <w:spacing w:after="0"/>
              <w:rPr>
                <w:sz w:val="20"/>
                <w:szCs w:val="20"/>
                <w:color w:val="auto"/>
              </w:rPr>
            </w:pPr>
            <w:r>
              <w:rPr>
                <w:rFonts w:ascii="Arial" w:cs="Arial" w:eastAsia="Arial" w:hAnsi="Arial"/>
                <w:sz w:val="12"/>
                <w:szCs w:val="12"/>
                <w:b w:val="1"/>
                <w:bCs w:val="1"/>
                <w:color w:val="auto"/>
              </w:rPr>
              <w:t>2018</w:t>
            </w:r>
          </w:p>
        </w:tc>
      </w:tr>
      <w:tr>
        <w:trPr>
          <w:trHeight w:val="25"/>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Reconciliation to consolidated net revenues:</w:t>
            </w:r>
          </w:p>
        </w:tc>
        <w:tc>
          <w:tcPr>
            <w:tcW w:w="10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179"/>
        </w:trPr>
        <w:tc>
          <w:tcPr>
            <w:tcW w:w="4700" w:type="dxa"/>
            <w:vAlign w:val="bottom"/>
          </w:tcPr>
          <w:p>
            <w:pPr>
              <w:ind w:left="20"/>
              <w:spacing w:after="0"/>
              <w:rPr>
                <w:sz w:val="20"/>
                <w:szCs w:val="20"/>
                <w:color w:val="auto"/>
              </w:rPr>
            </w:pPr>
            <w:r>
              <w:rPr>
                <w:rFonts w:ascii="Arial" w:cs="Arial" w:eastAsia="Arial" w:hAnsi="Arial"/>
                <w:sz w:val="12"/>
                <w:szCs w:val="12"/>
                <w:color w:val="auto"/>
              </w:rPr>
              <w:t>Segment net revenues</w:t>
            </w:r>
          </w:p>
        </w:tc>
        <w:tc>
          <w:tcPr>
            <w:tcW w:w="1080" w:type="dxa"/>
            <w:vAlign w:val="bottom"/>
          </w:tcPr>
          <w:p>
            <w:pPr>
              <w:jc w:val="right"/>
              <w:ind w:right="939"/>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79"/>
              <w:spacing w:after="0"/>
              <w:rPr>
                <w:sz w:val="20"/>
                <w:szCs w:val="20"/>
                <w:color w:val="auto"/>
              </w:rPr>
            </w:pPr>
            <w:r>
              <w:rPr>
                <w:rFonts w:ascii="Arial" w:cs="Arial" w:eastAsia="Arial" w:hAnsi="Arial"/>
                <w:sz w:val="12"/>
                <w:szCs w:val="12"/>
                <w:color w:val="auto"/>
              </w:rPr>
              <w:t>1,103</w:t>
            </w:r>
          </w:p>
        </w:tc>
        <w:tc>
          <w:tcPr>
            <w:tcW w:w="120" w:type="dxa"/>
            <w:vAlign w:val="bottom"/>
          </w:tcPr>
          <w:p>
            <w:pPr>
              <w:spacing w:after="0"/>
              <w:rPr>
                <w:sz w:val="15"/>
                <w:szCs w:val="15"/>
                <w:color w:val="auto"/>
              </w:rPr>
            </w:pPr>
          </w:p>
        </w:tc>
        <w:tc>
          <w:tcPr>
            <w:tcW w:w="1140" w:type="dxa"/>
            <w:vAlign w:val="bottom"/>
          </w:tcPr>
          <w:p>
            <w:pPr>
              <w:jc w:val="right"/>
              <w:ind w:right="999"/>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1,538</w:t>
            </w:r>
          </w:p>
        </w:tc>
        <w:tc>
          <w:tcPr>
            <w:tcW w:w="100" w:type="dxa"/>
            <w:vAlign w:val="bottom"/>
          </w:tcPr>
          <w:p>
            <w:pPr>
              <w:spacing w:after="0"/>
              <w:rPr>
                <w:sz w:val="15"/>
                <w:szCs w:val="15"/>
                <w:color w:val="auto"/>
              </w:rPr>
            </w:pPr>
          </w:p>
        </w:tc>
        <w:tc>
          <w:tcPr>
            <w:tcW w:w="320" w:type="dxa"/>
            <w:vAlign w:val="bottom"/>
          </w:tcPr>
          <w:p>
            <w:pPr>
              <w:jc w:val="right"/>
              <w:ind w:right="179"/>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2"/>
                <w:szCs w:val="12"/>
                <w:color w:val="auto"/>
              </w:rPr>
              <w:t>3,443</w:t>
            </w:r>
          </w:p>
        </w:tc>
        <w:tc>
          <w:tcPr>
            <w:tcW w:w="120" w:type="dxa"/>
            <w:vAlign w:val="bottom"/>
          </w:tcPr>
          <w:p>
            <w:pPr>
              <w:spacing w:after="0"/>
              <w:rPr>
                <w:sz w:val="15"/>
                <w:szCs w:val="15"/>
                <w:color w:val="auto"/>
              </w:rPr>
            </w:pPr>
          </w:p>
        </w:tc>
        <w:tc>
          <w:tcPr>
            <w:tcW w:w="360" w:type="dxa"/>
            <w:vAlign w:val="bottom"/>
          </w:tcPr>
          <w:p>
            <w:pPr>
              <w:jc w:val="right"/>
              <w:ind w:right="219"/>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2"/>
                <w:szCs w:val="12"/>
                <w:color w:val="auto"/>
              </w:rPr>
              <w:t>4,195</w:t>
            </w:r>
          </w:p>
        </w:tc>
      </w:tr>
      <w:tr>
        <w:trPr>
          <w:trHeight w:val="25"/>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Revenues from non-reportable segments (1)</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rPr>
              <w:t>113</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128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245</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246</w:t>
            </w:r>
          </w:p>
        </w:tc>
      </w:tr>
      <w:tr>
        <w:trPr>
          <w:trHeight w:val="179"/>
        </w:trPr>
        <w:tc>
          <w:tcPr>
            <w:tcW w:w="4700" w:type="dxa"/>
            <w:vAlign w:val="bottom"/>
          </w:tcPr>
          <w:p>
            <w:pPr>
              <w:ind w:left="20"/>
              <w:spacing w:after="0"/>
              <w:rPr>
                <w:sz w:val="20"/>
                <w:szCs w:val="20"/>
                <w:color w:val="auto"/>
              </w:rPr>
            </w:pPr>
            <w:r>
              <w:rPr>
                <w:rFonts w:ascii="Arial" w:cs="Arial" w:eastAsia="Arial" w:hAnsi="Arial"/>
                <w:sz w:val="12"/>
                <w:szCs w:val="12"/>
                <w:color w:val="auto"/>
              </w:rPr>
              <w:t>Net effect from recognition (deferral) of deferred net revenues</w:t>
            </w:r>
          </w:p>
        </w:tc>
        <w:tc>
          <w:tcPr>
            <w:tcW w:w="1080" w:type="dxa"/>
            <w:vAlign w:val="bottom"/>
          </w:tcPr>
          <w:p>
            <w:pPr>
              <w:spacing w:after="0"/>
              <w:rPr>
                <w:sz w:val="15"/>
                <w:szCs w:val="15"/>
                <w:color w:val="auto"/>
              </w:rPr>
            </w:pPr>
          </w:p>
        </w:tc>
        <w:tc>
          <w:tcPr>
            <w:tcW w:w="560" w:type="dxa"/>
            <w:vAlign w:val="bottom"/>
          </w:tcPr>
          <w:p>
            <w:pPr>
              <w:jc w:val="right"/>
              <w:ind w:right="79"/>
              <w:spacing w:after="0"/>
              <w:rPr>
                <w:sz w:val="20"/>
                <w:szCs w:val="20"/>
                <w:color w:val="auto"/>
              </w:rPr>
            </w:pPr>
            <w:r>
              <w:rPr>
                <w:rFonts w:ascii="Arial" w:cs="Arial" w:eastAsia="Arial" w:hAnsi="Arial"/>
                <w:sz w:val="12"/>
                <w:szCs w:val="12"/>
                <w:color w:val="auto"/>
              </w:rPr>
              <w:t>68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(146)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59"/>
              <w:spacing w:after="0"/>
              <w:rPr>
                <w:sz w:val="20"/>
                <w:szCs w:val="20"/>
                <w:color w:val="auto"/>
              </w:rPr>
            </w:pPr>
            <w:r>
              <w:rPr>
                <w:rFonts w:ascii="Arial" w:cs="Arial" w:eastAsia="Arial" w:hAnsi="Arial"/>
                <w:sz w:val="12"/>
                <w:szCs w:val="12"/>
                <w:color w:val="auto"/>
              </w:rPr>
              <w:t>824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9"/>
              <w:spacing w:after="0"/>
              <w:rPr>
                <w:sz w:val="20"/>
                <w:szCs w:val="20"/>
                <w:color w:val="auto"/>
              </w:rPr>
            </w:pPr>
            <w:r>
              <w:rPr>
                <w:rFonts w:ascii="Arial" w:cs="Arial" w:eastAsia="Arial" w:hAnsi="Arial"/>
                <w:sz w:val="12"/>
                <w:szCs w:val="12"/>
                <w:color w:val="auto"/>
              </w:rPr>
              <w:t>692</w:t>
            </w:r>
          </w:p>
        </w:tc>
      </w:tr>
      <w:tr>
        <w:trPr>
          <w:trHeight w:val="25"/>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Elimination of intersegment revenues (2)</w:t>
            </w:r>
          </w:p>
        </w:tc>
        <w:tc>
          <w:tcPr>
            <w:tcW w:w="10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217"/>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Consolidated net revenues</w:t>
            </w:r>
          </w:p>
        </w:tc>
        <w:tc>
          <w:tcPr>
            <w:tcW w:w="108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2"/>
                <w:szCs w:val="12"/>
                <w:color w:val="auto"/>
              </w:rPr>
              <w:t>1,282</w:t>
            </w:r>
          </w:p>
        </w:tc>
        <w:tc>
          <w:tcPr>
            <w:tcW w:w="1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1,512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4,503</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rPr>
              <w:t>5,119</w:t>
            </w:r>
          </w:p>
        </w:tc>
      </w:tr>
      <w:tr>
        <w:trPr>
          <w:trHeight w:val="81"/>
        </w:trPr>
        <w:tc>
          <w:tcPr>
            <w:tcW w:w="47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r>
      <w:tr>
        <w:trPr>
          <w:trHeight w:val="179"/>
        </w:trPr>
        <w:tc>
          <w:tcPr>
            <w:tcW w:w="4700" w:type="dxa"/>
            <w:vAlign w:val="bottom"/>
          </w:tcPr>
          <w:p>
            <w:pPr>
              <w:ind w:left="20"/>
              <w:spacing w:after="0"/>
              <w:rPr>
                <w:sz w:val="20"/>
                <w:szCs w:val="20"/>
                <w:color w:val="auto"/>
              </w:rPr>
            </w:pPr>
            <w:r>
              <w:rPr>
                <w:rFonts w:ascii="Arial" w:cs="Arial" w:eastAsia="Arial" w:hAnsi="Arial"/>
                <w:sz w:val="12"/>
                <w:szCs w:val="12"/>
                <w:b w:val="1"/>
                <w:bCs w:val="1"/>
                <w:color w:val="auto"/>
              </w:rPr>
              <w:t>Reconciliation to consolidated income before income tax expense:</w:t>
            </w: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5"/>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Segment operating income</w:t>
            </w:r>
          </w:p>
        </w:tc>
        <w:tc>
          <w:tcPr>
            <w:tcW w:w="108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rPr>
              <w:t>294</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485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900</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1,275</w:t>
            </w:r>
          </w:p>
        </w:tc>
      </w:tr>
      <w:tr>
        <w:trPr>
          <w:trHeight w:val="179"/>
        </w:trPr>
        <w:tc>
          <w:tcPr>
            <w:tcW w:w="4700" w:type="dxa"/>
            <w:vAlign w:val="bottom"/>
          </w:tcPr>
          <w:p>
            <w:pPr>
              <w:ind w:left="20"/>
              <w:spacing w:after="0"/>
              <w:rPr>
                <w:sz w:val="20"/>
                <w:szCs w:val="20"/>
                <w:color w:val="auto"/>
              </w:rPr>
            </w:pPr>
            <w:r>
              <w:rPr>
                <w:rFonts w:ascii="Arial" w:cs="Arial" w:eastAsia="Arial" w:hAnsi="Arial"/>
                <w:sz w:val="12"/>
                <w:szCs w:val="12"/>
                <w:color w:val="auto"/>
              </w:rPr>
              <w:t>Operating income (loss) from non-reportable segments (1)</w:t>
            </w:r>
          </w:p>
        </w:tc>
        <w:tc>
          <w:tcPr>
            <w:tcW w:w="1080" w:type="dxa"/>
            <w:vAlign w:val="bottom"/>
          </w:tcPr>
          <w:p>
            <w:pPr>
              <w:spacing w:after="0"/>
              <w:rPr>
                <w:sz w:val="15"/>
                <w:szCs w:val="15"/>
                <w:color w:val="auto"/>
              </w:rPr>
            </w:pPr>
          </w:p>
        </w:tc>
        <w:tc>
          <w:tcPr>
            <w:tcW w:w="560" w:type="dxa"/>
            <w:vAlign w:val="bottom"/>
          </w:tcPr>
          <w:p>
            <w:pPr>
              <w:jc w:val="right"/>
              <w:ind w:right="79"/>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59"/>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25"/>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96"/>
              </w:rPr>
              <w:t>Net effect from recognition (deferral) of deferred net revenues and related cost of revenues</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629</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468</w:t>
            </w:r>
          </w:p>
        </w:tc>
      </w:tr>
      <w:tr>
        <w:trPr>
          <w:trHeight w:val="179"/>
        </w:trPr>
        <w:tc>
          <w:tcPr>
            <w:tcW w:w="4700" w:type="dxa"/>
            <w:vAlign w:val="bottom"/>
          </w:tcPr>
          <w:p>
            <w:pPr>
              <w:ind w:left="20"/>
              <w:spacing w:after="0"/>
              <w:rPr>
                <w:sz w:val="20"/>
                <w:szCs w:val="20"/>
                <w:color w:val="auto"/>
              </w:rPr>
            </w:pPr>
            <w:r>
              <w:rPr>
                <w:rFonts w:ascii="Arial" w:cs="Arial" w:eastAsia="Arial" w:hAnsi="Arial"/>
                <w:sz w:val="12"/>
                <w:szCs w:val="12"/>
                <w:color w:val="auto"/>
              </w:rPr>
              <w:t>Share-based compensation expense</w:t>
            </w:r>
          </w:p>
        </w:tc>
        <w:tc>
          <w:tcPr>
            <w:tcW w:w="1080" w:type="dxa"/>
            <w:vAlign w:val="bottom"/>
          </w:tcPr>
          <w:p>
            <w:pPr>
              <w:spacing w:after="0"/>
              <w:rPr>
                <w:sz w:val="15"/>
                <w:szCs w:val="15"/>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jc w:val="right"/>
              <w:ind w:right="19"/>
              <w:spacing w:after="0"/>
              <w:rPr>
                <w:sz w:val="20"/>
                <w:szCs w:val="20"/>
                <w:color w:val="auto"/>
              </w:rPr>
            </w:pPr>
            <w:r>
              <w:rPr>
                <w:rFonts w:ascii="Arial" w:cs="Arial" w:eastAsia="Arial" w:hAnsi="Arial"/>
                <w:sz w:val="12"/>
                <w:szCs w:val="12"/>
                <w:color w:val="auto"/>
              </w:rPr>
              <w:t>(55)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19"/>
              <w:spacing w:after="0"/>
              <w:rPr>
                <w:sz w:val="20"/>
                <w:szCs w:val="20"/>
                <w:color w:val="auto"/>
              </w:rPr>
            </w:pPr>
            <w:r>
              <w:rPr>
                <w:rFonts w:ascii="Arial" w:cs="Arial" w:eastAsia="Arial" w:hAnsi="Arial"/>
                <w:sz w:val="12"/>
                <w:szCs w:val="12"/>
                <w:color w:val="auto"/>
              </w:rPr>
              <w:t>(127)</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(166)</w:t>
            </w:r>
          </w:p>
        </w:tc>
      </w:tr>
      <w:tr>
        <w:trPr>
          <w:trHeight w:val="25"/>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Amortization of intangible assets</w:t>
            </w:r>
          </w:p>
        </w:tc>
        <w:tc>
          <w:tcPr>
            <w:tcW w:w="10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(50)</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(83)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2"/>
                <w:szCs w:val="12"/>
                <w:color w:val="auto"/>
              </w:rPr>
              <w:t>(151)</w:t>
            </w:r>
          </w:p>
        </w:tc>
        <w:tc>
          <w:tcPr>
            <w:tcW w:w="1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(279)</w:t>
            </w:r>
          </w:p>
        </w:tc>
      </w:tr>
      <w:tr>
        <w:trPr>
          <w:trHeight w:val="179"/>
        </w:trPr>
        <w:tc>
          <w:tcPr>
            <w:tcW w:w="4700" w:type="dxa"/>
            <w:vAlign w:val="bottom"/>
          </w:tcPr>
          <w:p>
            <w:pPr>
              <w:ind w:left="20"/>
              <w:spacing w:after="0"/>
              <w:rPr>
                <w:sz w:val="20"/>
                <w:szCs w:val="20"/>
                <w:color w:val="auto"/>
              </w:rPr>
            </w:pPr>
            <w:r>
              <w:rPr>
                <w:rFonts w:ascii="Arial" w:cs="Arial" w:eastAsia="Arial" w:hAnsi="Arial"/>
                <w:sz w:val="12"/>
                <w:szCs w:val="12"/>
                <w:color w:val="auto"/>
              </w:rPr>
              <w:t>Restructuring and related costs (3)</w:t>
            </w:r>
          </w:p>
        </w:tc>
        <w:tc>
          <w:tcPr>
            <w:tcW w:w="1080" w:type="dxa"/>
            <w:vAlign w:val="bottom"/>
          </w:tcPr>
          <w:p>
            <w:pPr>
              <w:spacing w:after="0"/>
              <w:rPr>
                <w:sz w:val="15"/>
                <w:szCs w:val="15"/>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(28)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280" w:type="dxa"/>
            <w:vAlign w:val="bottom"/>
          </w:tcPr>
          <w:p>
            <w:pPr>
              <w:jc w:val="right"/>
              <w:ind w:right="19"/>
              <w:spacing w:after="0"/>
              <w:rPr>
                <w:sz w:val="20"/>
                <w:szCs w:val="20"/>
                <w:color w:val="auto"/>
              </w:rPr>
            </w:pPr>
            <w:r>
              <w:rPr>
                <w:rFonts w:ascii="Arial" w:cs="Arial" w:eastAsia="Arial" w:hAnsi="Arial"/>
                <w:sz w:val="12"/>
                <w:szCs w:val="12"/>
                <w:color w:val="auto"/>
              </w:rPr>
              <w:t>(108)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9"/>
              <w:spacing w:after="0"/>
              <w:rPr>
                <w:sz w:val="20"/>
                <w:szCs w:val="20"/>
                <w:color w:val="auto"/>
              </w:rPr>
            </w:pPr>
            <w:r>
              <w:rPr>
                <w:rFonts w:ascii="Arial" w:cs="Arial" w:eastAsia="Arial" w:hAnsi="Arial"/>
                <w:sz w:val="12"/>
                <w:szCs w:val="12"/>
                <w:color w:val="auto"/>
              </w:rPr>
              <w:t>—</w:t>
            </w:r>
          </w:p>
        </w:tc>
      </w:tr>
      <w:tr>
        <w:trPr>
          <w:trHeight w:val="25"/>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Consolidated operating income</w:t>
            </w:r>
          </w:p>
        </w:tc>
        <w:tc>
          <w:tcPr>
            <w:tcW w:w="10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2"/>
                <w:szCs w:val="12"/>
                <w:color w:val="auto"/>
              </w:rPr>
              <w:t>247</w:t>
            </w: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265</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1,153</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1,294</w:t>
            </w:r>
          </w:p>
        </w:tc>
      </w:tr>
      <w:tr>
        <w:trPr>
          <w:trHeight w:val="179"/>
        </w:trPr>
        <w:tc>
          <w:tcPr>
            <w:tcW w:w="4700" w:type="dxa"/>
            <w:vAlign w:val="bottom"/>
          </w:tcPr>
          <w:p>
            <w:pPr>
              <w:ind w:left="20"/>
              <w:spacing w:after="0"/>
              <w:rPr>
                <w:sz w:val="20"/>
                <w:szCs w:val="20"/>
                <w:color w:val="auto"/>
              </w:rPr>
            </w:pPr>
            <w:r>
              <w:rPr>
                <w:rFonts w:ascii="Arial" w:cs="Arial" w:eastAsia="Arial" w:hAnsi="Arial"/>
                <w:sz w:val="12"/>
                <w:szCs w:val="12"/>
                <w:color w:val="auto"/>
              </w:rPr>
              <w:t>Interest and other expense (income), net</w:t>
            </w:r>
          </w:p>
        </w:tc>
        <w:tc>
          <w:tcPr>
            <w:tcW w:w="1080" w:type="dxa"/>
            <w:vAlign w:val="bottom"/>
          </w:tcPr>
          <w:p>
            <w:pPr>
              <w:spacing w:after="0"/>
              <w:rPr>
                <w:sz w:val="15"/>
                <w:szCs w:val="15"/>
                <w:color w:val="auto"/>
              </w:rPr>
            </w:pPr>
          </w:p>
        </w:tc>
        <w:tc>
          <w:tcPr>
            <w:tcW w:w="560" w:type="dxa"/>
            <w:vAlign w:val="bottom"/>
          </w:tcPr>
          <w:p>
            <w:pPr>
              <w:jc w:val="right"/>
              <w:ind w:right="19"/>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jc w:val="right"/>
              <w:ind w:right="59"/>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ind w:right="19"/>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39"/>
              <w:spacing w:after="0"/>
              <w:rPr>
                <w:sz w:val="20"/>
                <w:szCs w:val="20"/>
                <w:color w:val="auto"/>
              </w:rPr>
            </w:pPr>
            <w:r>
              <w:rPr>
                <w:rFonts w:ascii="Arial" w:cs="Arial" w:eastAsia="Arial" w:hAnsi="Arial"/>
                <w:sz w:val="12"/>
                <w:szCs w:val="12"/>
                <w:color w:val="auto"/>
              </w:rPr>
              <w:t>67</w:t>
            </w:r>
          </w:p>
        </w:tc>
      </w:tr>
      <w:tr>
        <w:trPr>
          <w:trHeight w:val="25"/>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Loss on extinguishment of debt</w:t>
            </w:r>
          </w:p>
        </w:tc>
        <w:tc>
          <w:tcPr>
            <w:tcW w:w="10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2"/>
                <w:szCs w:val="12"/>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2"/>
                <w:szCs w:val="12"/>
                <w:color w:val="auto"/>
              </w:rPr>
              <w:t>40</w:t>
            </w:r>
          </w:p>
        </w:tc>
      </w:tr>
      <w:tr>
        <w:trPr>
          <w:trHeight w:val="177"/>
        </w:trPr>
        <w:tc>
          <w:tcPr>
            <w:tcW w:w="4700" w:type="dxa"/>
            <w:vAlign w:val="bottom"/>
          </w:tcPr>
          <w:p>
            <w:pPr>
              <w:ind w:left="20"/>
              <w:spacing w:after="0"/>
              <w:rPr>
                <w:sz w:val="20"/>
                <w:szCs w:val="20"/>
                <w:color w:val="auto"/>
              </w:rPr>
            </w:pPr>
            <w:r>
              <w:rPr>
                <w:rFonts w:ascii="Arial" w:cs="Arial" w:eastAsia="Arial" w:hAnsi="Arial"/>
                <w:sz w:val="12"/>
                <w:szCs w:val="12"/>
                <w:color w:val="auto"/>
              </w:rPr>
              <w:t>Consolidated income before income tax expense</w:t>
            </w:r>
          </w:p>
        </w:tc>
        <w:tc>
          <w:tcPr>
            <w:tcW w:w="108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2"/>
                <w:szCs w:val="12"/>
                <w:color w:val="auto"/>
              </w:rPr>
              <w:t>249</w:t>
            </w:r>
          </w:p>
        </w:tc>
        <w:tc>
          <w:tcPr>
            <w:tcW w:w="1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212</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2"/>
                <w:szCs w:val="12"/>
                <w:color w:val="auto"/>
              </w:rPr>
              <w:t>1,186</w:t>
            </w:r>
          </w:p>
        </w:tc>
        <w:tc>
          <w:tcPr>
            <w:tcW w:w="12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2"/>
                <w:szCs w:val="12"/>
                <w:color w:val="auto"/>
              </w:rPr>
              <w:t>1,187</w:t>
            </w:r>
          </w:p>
        </w:tc>
      </w:tr>
      <w:tr>
        <w:trPr>
          <w:trHeight w:val="20"/>
        </w:trPr>
        <w:tc>
          <w:tcPr>
            <w:tcW w:w="47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240" w:right="100" w:hanging="238"/>
        <w:spacing w:after="0" w:line="262" w:lineRule="auto"/>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other income and expenses from operating segments managed outside the reportable segments, including our Studios and Distribution businesses. Also includes unallocated corporate income and expenses.</w:t>
      </w:r>
    </w:p>
    <w:p>
      <w:pPr>
        <w:spacing w:after="0" w:line="180" w:lineRule="exact"/>
        <w:rPr>
          <w:rFonts w:ascii="Arial" w:cs="Arial" w:eastAsia="Arial" w:hAnsi="Arial"/>
          <w:sz w:val="14"/>
          <w:szCs w:val="14"/>
          <w:color w:val="auto"/>
        </w:rPr>
      </w:pPr>
    </w:p>
    <w:p>
      <w:pPr>
        <w:ind w:left="240" w:hanging="238"/>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Intersegment revenues reflect licensing and service fees charged between segments.</w:t>
      </w:r>
    </w:p>
    <w:p>
      <w:pPr>
        <w:spacing w:after="0" w:line="207" w:lineRule="exact"/>
        <w:rPr>
          <w:rFonts w:ascii="Arial" w:cs="Arial" w:eastAsia="Arial" w:hAnsi="Arial"/>
          <w:sz w:val="14"/>
          <w:szCs w:val="14"/>
          <w:color w:val="auto"/>
        </w:rPr>
      </w:pPr>
    </w:p>
    <w:p>
      <w:pPr>
        <w:ind w:left="240" w:hanging="238"/>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restructuring initiatives, primarily severance and other restructuring-related costs.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Net Revenues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Activision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Activision’s net revenues for the three months ended September 30, 2019, as compared to the three months ended September 30, 2018, was primarily due to:</w:t>
      </w:r>
    </w:p>
    <w:p>
      <w:pPr>
        <w:spacing w:after="0" w:line="166" w:lineRule="exact"/>
        <w:rPr>
          <w:sz w:val="20"/>
          <w:szCs w:val="20"/>
          <w:color w:val="auto"/>
        </w:rPr>
      </w:pPr>
    </w:p>
    <w:p>
      <w:pPr>
        <w:ind w:left="740" w:hanging="247"/>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lower revenues from the Destiny franchise (reflecting our sale of the publishing rights for Destiny to Bungie in December 2018);</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lower revenues from the Call of Duty franchise catalog titles; and</w:t>
      </w:r>
    </w:p>
    <w:p>
      <w:pPr>
        <w:spacing w:after="0" w:line="166" w:lineRule="exact"/>
        <w:rPr>
          <w:rFonts w:ascii="Arial" w:cs="Arial" w:eastAsia="Arial" w:hAnsi="Arial"/>
          <w:sz w:val="14"/>
          <w:szCs w:val="14"/>
          <w:color w:val="auto"/>
        </w:rPr>
      </w:pPr>
    </w:p>
    <w:p>
      <w:pPr>
        <w:ind w:left="240" w:right="3300" w:firstLine="253"/>
        <w:spacing w:after="0" w:line="487" w:lineRule="auto"/>
        <w:tabs>
          <w:tab w:leader="none" w:pos="731"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Crash Bandicoot™ N. Sane Trilogy</w:t>
      </w:r>
      <w:r>
        <w:rPr>
          <w:rFonts w:ascii="Arial" w:cs="Arial" w:eastAsia="Arial" w:hAnsi="Arial"/>
          <w:sz w:val="14"/>
          <w:szCs w:val="14"/>
          <w:color w:val="auto"/>
        </w:rPr>
        <w:t>, which was released on the Xbox One, PC, and Nintendo Switch in June 2018. The decrease was partially offset by:</w:t>
      </w:r>
    </w:p>
    <w:p>
      <w:pPr>
        <w:spacing w:after="0" w:line="1" w:lineRule="exact"/>
        <w:rPr>
          <w:rFonts w:ascii="Arial" w:cs="Arial" w:eastAsia="Arial" w:hAnsi="Arial"/>
          <w:sz w:val="14"/>
          <w:szCs w:val="14"/>
          <w:color w:val="auto"/>
        </w:rPr>
      </w:pPr>
    </w:p>
    <w:p>
      <w:pPr>
        <w:ind w:left="740" w:hanging="247"/>
        <w:spacing w:after="0"/>
        <w:tabs>
          <w:tab w:leader="none" w:pos="7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revenues from </w:t>
      </w:r>
      <w:r>
        <w:rPr>
          <w:rFonts w:ascii="Arial" w:cs="Arial" w:eastAsia="Arial" w:hAnsi="Arial"/>
          <w:sz w:val="14"/>
          <w:szCs w:val="14"/>
          <w:i w:val="1"/>
          <w:iCs w:val="1"/>
          <w:color w:val="auto"/>
        </w:rPr>
        <w:t>Crash Team Racing Nitro-Fueled</w:t>
      </w:r>
      <w:r>
        <w:rPr>
          <w:rFonts w:ascii="Arial" w:cs="Arial" w:eastAsia="Arial" w:hAnsi="Arial"/>
          <w:sz w:val="14"/>
          <w:szCs w:val="14"/>
          <w:color w:val="auto"/>
        </w:rPr>
        <w:t>, which was released in June 2019; and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60"/>
          </w:cols>
          <w:pgMar w:left="220" w:top="129" w:right="21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right="240" w:firstLine="253"/>
        <w:spacing w:after="0" w:line="487" w:lineRule="auto"/>
        <w:tabs>
          <w:tab w:leader="none" w:pos="731"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higher revenues from the </w:t>
      </w:r>
      <w:r>
        <w:rPr>
          <w:rFonts w:ascii="Arial" w:cs="Arial" w:eastAsia="Arial" w:hAnsi="Arial"/>
          <w:sz w:val="14"/>
          <w:szCs w:val="14"/>
          <w:i w:val="1"/>
          <w:iCs w:val="1"/>
          <w:color w:val="auto"/>
        </w:rPr>
        <w:t>Spyro Reignited Trilogy</w:t>
      </w:r>
      <w:r>
        <w:rPr>
          <w:rFonts w:ascii="Arial" w:cs="Arial" w:eastAsia="Arial" w:hAnsi="Arial"/>
          <w:sz w:val="14"/>
          <w:szCs w:val="14"/>
          <w:color w:val="auto"/>
        </w:rPr>
        <w:t xml:space="preserve">, which was released on Nintendo Switch in September 2019, after having been released on Playstation 4 and Xbox One in November 2018. </w:t>
      </w:r>
      <w:r>
        <w:rPr>
          <w:rFonts w:ascii="Arial" w:cs="Arial" w:eastAsia="Arial" w:hAnsi="Arial"/>
          <w:sz w:val="14"/>
          <w:szCs w:val="14"/>
          <w:u w:val="single" w:color="auto"/>
          <w:color w:val="auto"/>
        </w:rPr>
        <w:t>YTD Q3 2019 vs. YTD Q3 2018</w:t>
      </w:r>
    </w:p>
    <w:p>
      <w:pPr>
        <w:spacing w:after="0" w:line="1"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4"/>
          <w:szCs w:val="14"/>
          <w:color w:val="auto"/>
        </w:rPr>
        <w:t>The decrease in Activision’s net revenues for the nine months ended September 30, 2019, as compared to the nine months ended September 30, 2018, was primarily due to:</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lower revenues from the Destiny franchise;</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lower revenues from Call of Duty franchise catalog titles;</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Call of Duty: Black Ops 4</w:t>
      </w:r>
      <w:r>
        <w:rPr>
          <w:rFonts w:ascii="Arial" w:cs="Arial" w:eastAsia="Arial" w:hAnsi="Arial"/>
          <w:sz w:val="14"/>
          <w:szCs w:val="14"/>
          <w:color w:val="auto"/>
        </w:rPr>
        <w:t xml:space="preserve">, which was released in October 2018, as compared to </w:t>
      </w:r>
      <w:r>
        <w:rPr>
          <w:rFonts w:ascii="Arial" w:cs="Arial" w:eastAsia="Arial" w:hAnsi="Arial"/>
          <w:sz w:val="14"/>
          <w:szCs w:val="14"/>
          <w:i w:val="1"/>
          <w:iCs w:val="1"/>
          <w:color w:val="auto"/>
        </w:rPr>
        <w:t>Call of Duty: WWII</w:t>
      </w:r>
      <w:r>
        <w:rPr>
          <w:rFonts w:ascii="Arial" w:cs="Arial" w:eastAsia="Arial" w:hAnsi="Arial"/>
          <w:sz w:val="14"/>
          <w:szCs w:val="14"/>
          <w:color w:val="auto"/>
        </w:rPr>
        <w:t>, which was released in November 2017;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Crash Bandicoot N. Sane Trilogy</w:t>
      </w:r>
      <w:r>
        <w:rPr>
          <w:rFonts w:ascii="Arial" w:cs="Arial" w:eastAsia="Arial" w:hAnsi="Arial"/>
          <w:sz w:val="14"/>
          <w:szCs w:val="14"/>
          <w:color w:val="auto"/>
        </w:rPr>
        <w: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The decrease was partially offset by revenues from </w:t>
      </w:r>
      <w:r>
        <w:rPr>
          <w:rFonts w:ascii="Arial" w:cs="Arial" w:eastAsia="Arial" w:hAnsi="Arial"/>
          <w:sz w:val="14"/>
          <w:szCs w:val="14"/>
          <w:i w:val="1"/>
          <w:iCs w:val="1"/>
          <w:color w:val="auto"/>
        </w:rPr>
        <w:t>Sekiro: Shadows Die Twice</w:t>
      </w:r>
      <w:r>
        <w:rPr>
          <w:rFonts w:ascii="Arial" w:cs="Arial" w:eastAsia="Arial" w:hAnsi="Arial"/>
          <w:sz w:val="14"/>
          <w:szCs w:val="14"/>
          <w:color w:val="auto"/>
        </w:rPr>
        <w:t xml:space="preserve">, which was released in March 2019, and </w:t>
      </w:r>
      <w:r>
        <w:rPr>
          <w:rFonts w:ascii="Arial" w:cs="Arial" w:eastAsia="Arial" w:hAnsi="Arial"/>
          <w:sz w:val="14"/>
          <w:szCs w:val="14"/>
          <w:i w:val="1"/>
          <w:iCs w:val="1"/>
          <w:color w:val="auto"/>
        </w:rPr>
        <w:t>Crash Team Racing Nitro-Fueled</w:t>
      </w:r>
      <w:r>
        <w:rPr>
          <w:rFonts w:ascii="Arial" w:cs="Arial" w:eastAsia="Arial" w:hAnsi="Arial"/>
          <w:sz w:val="14"/>
          <w:szCs w:val="14"/>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Blizzard</w:t>
      </w:r>
    </w:p>
    <w:p>
      <w:pPr>
        <w:spacing w:after="0" w:line="200" w:lineRule="exact"/>
        <w:rPr>
          <w:sz w:val="20"/>
          <w:szCs w:val="20"/>
          <w:color w:val="auto"/>
        </w:rPr>
      </w:pPr>
    </w:p>
    <w:p>
      <w:pPr>
        <w:spacing w:after="0" w:line="294"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Blizzard’s net revenues for the three months ended September 30, 2019, as compared to the three months ended September 30, 2018, was primarily due to:</w:t>
      </w:r>
    </w:p>
    <w:p>
      <w:pPr>
        <w:spacing w:after="0" w:line="166" w:lineRule="exact"/>
        <w:rPr>
          <w:sz w:val="20"/>
          <w:szCs w:val="20"/>
          <w:color w:val="auto"/>
        </w:rPr>
      </w:pPr>
    </w:p>
    <w:p>
      <w:pPr>
        <w:ind w:left="740" w:right="460" w:hanging="247"/>
        <w:spacing w:after="0" w:line="346" w:lineRule="auto"/>
        <w:tabs>
          <w:tab w:leader="none" w:pos="7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overall lower revenues from </w:t>
      </w:r>
      <w:r>
        <w:rPr>
          <w:rFonts w:ascii="Arial" w:cs="Arial" w:eastAsia="Arial" w:hAnsi="Arial"/>
          <w:sz w:val="12"/>
          <w:szCs w:val="12"/>
          <w:i w:val="1"/>
          <w:iCs w:val="1"/>
          <w:color w:val="auto"/>
        </w:rPr>
        <w:t>World of Warcraft,</w:t>
      </w:r>
      <w:r>
        <w:rPr>
          <w:rFonts w:ascii="Arial" w:cs="Arial" w:eastAsia="Arial" w:hAnsi="Arial"/>
          <w:sz w:val="12"/>
          <w:szCs w:val="12"/>
          <w:color w:val="auto"/>
        </w:rPr>
        <w:t xml:space="preserve"> primarily due to </w:t>
      </w:r>
      <w:r>
        <w:rPr>
          <w:rFonts w:ascii="Arial" w:cs="Arial" w:eastAsia="Arial" w:hAnsi="Arial"/>
          <w:sz w:val="12"/>
          <w:szCs w:val="12"/>
          <w:i w:val="1"/>
          <w:iCs w:val="1"/>
          <w:color w:val="auto"/>
        </w:rPr>
        <w:t>World of Warcraft: Battle for Azeroth</w:t>
      </w:r>
      <w:r>
        <w:rPr>
          <w:rFonts w:ascii="Arial" w:cs="Arial" w:eastAsia="Arial" w:hAnsi="Arial"/>
          <w:sz w:val="12"/>
          <w:szCs w:val="12"/>
          <w:color w:val="auto"/>
        </w:rPr>
        <w:t xml:space="preserve">, which was released in August 2018, with no comparable release in 2019 (although subscription revenues remained relatively comparable to the prior-year period due to the release of </w:t>
      </w:r>
      <w:r>
        <w:rPr>
          <w:rFonts w:ascii="Arial" w:cs="Arial" w:eastAsia="Arial" w:hAnsi="Arial"/>
          <w:sz w:val="12"/>
          <w:szCs w:val="12"/>
          <w:i w:val="1"/>
          <w:iCs w:val="1"/>
          <w:color w:val="auto"/>
        </w:rPr>
        <w:t>World of Warcraft Classic</w:t>
      </w:r>
      <w:r>
        <w:rPr>
          <w:rFonts w:ascii="Arial" w:cs="Arial" w:eastAsia="Arial" w:hAnsi="Arial"/>
          <w:sz w:val="12"/>
          <w:szCs w:val="12"/>
          <w:color w:val="auto"/>
        </w:rPr>
        <w:t xml:space="preserve"> in August 2019);</w:t>
      </w:r>
    </w:p>
    <w:p>
      <w:pPr>
        <w:spacing w:after="0" w:line="93" w:lineRule="exact"/>
        <w:rPr>
          <w:rFonts w:ascii="Arial" w:cs="Arial" w:eastAsia="Arial" w:hAnsi="Arial"/>
          <w:sz w:val="12"/>
          <w:szCs w:val="12"/>
          <w:color w:val="auto"/>
        </w:rPr>
      </w:pPr>
    </w:p>
    <w:p>
      <w:pPr>
        <w:ind w:left="740" w:right="40" w:hanging="247"/>
        <w:spacing w:after="0" w:line="262" w:lineRule="auto"/>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Hearthstone</w:t>
      </w:r>
      <w:r>
        <w:rPr>
          <w:rFonts w:ascii="Arial" w:cs="Arial" w:eastAsia="Arial" w:hAnsi="Arial"/>
          <w:sz w:val="14"/>
          <w:szCs w:val="14"/>
          <w:color w:val="auto"/>
        </w:rPr>
        <w:t xml:space="preserve">, primarily due to lower revenues from the </w:t>
      </w:r>
      <w:r>
        <w:rPr>
          <w:rFonts w:ascii="Arial" w:cs="Arial" w:eastAsia="Arial" w:hAnsi="Arial"/>
          <w:sz w:val="14"/>
          <w:szCs w:val="14"/>
          <w:i w:val="1"/>
          <w:iCs w:val="1"/>
          <w:color w:val="auto"/>
        </w:rPr>
        <w:t>Saviors of Uldum</w:t>
      </w:r>
      <w:r>
        <w:rPr>
          <w:rFonts w:ascii="Arial" w:cs="Arial" w:eastAsia="Arial" w:hAnsi="Arial"/>
          <w:sz w:val="14"/>
          <w:szCs w:val="14"/>
          <w:color w:val="auto"/>
        </w:rPr>
        <w:t xml:space="preserve"> expansion, which was released in August 2019, as compared to the </w:t>
      </w:r>
      <w:r>
        <w:rPr>
          <w:rFonts w:ascii="Arial" w:cs="Arial" w:eastAsia="Arial" w:hAnsi="Arial"/>
          <w:sz w:val="14"/>
          <w:szCs w:val="14"/>
          <w:i w:val="1"/>
          <w:iCs w:val="1"/>
          <w:color w:val="auto"/>
        </w:rPr>
        <w:t>Boomsday™</w:t>
      </w:r>
      <w:r>
        <w:rPr>
          <w:rFonts w:ascii="Arial" w:cs="Arial" w:eastAsia="Arial" w:hAnsi="Arial"/>
          <w:sz w:val="14"/>
          <w:szCs w:val="14"/>
          <w:color w:val="auto"/>
        </w:rPr>
        <w:t xml:space="preserve"> expansion, which was released in August 2018; and</w:t>
      </w:r>
    </w:p>
    <w:p>
      <w:pPr>
        <w:spacing w:after="0" w:line="139" w:lineRule="exact"/>
        <w:rPr>
          <w:rFonts w:ascii="Arial" w:cs="Arial" w:eastAsia="Arial" w:hAnsi="Arial"/>
          <w:sz w:val="14"/>
          <w:szCs w:val="14"/>
          <w:color w:val="auto"/>
        </w:rPr>
      </w:pPr>
    </w:p>
    <w:p>
      <w:pPr>
        <w:ind w:left="740" w:hanging="247"/>
        <w:spacing w:after="0"/>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Overwatch</w:t>
      </w:r>
      <w:r>
        <w:rPr>
          <w:rFonts w:ascii="Arial" w:cs="Arial" w:eastAsia="Arial" w:hAnsi="Arial"/>
          <w:sz w:val="14"/>
          <w:szCs w:val="14"/>
          <w:color w:val="auto"/>
        </w:rPr>
        <w: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was partially offset by higher revenues from the Overwatch League.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Blizzard’s net revenues for the nine months ended September 30, 2019, as compared to the nine months ended September 30, 2018, was primarily due to:</w:t>
      </w:r>
    </w:p>
    <w:p>
      <w:pPr>
        <w:spacing w:after="0" w:line="166" w:lineRule="exact"/>
        <w:rPr>
          <w:sz w:val="20"/>
          <w:szCs w:val="20"/>
          <w:color w:val="auto"/>
        </w:rPr>
      </w:pPr>
    </w:p>
    <w:p>
      <w:pPr>
        <w:ind w:left="740" w:hanging="247"/>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World of Warcraft</w:t>
      </w:r>
      <w:r>
        <w:rPr>
          <w:rFonts w:ascii="Arial" w:cs="Arial" w:eastAsia="Arial" w:hAnsi="Arial"/>
          <w:sz w:val="14"/>
          <w:szCs w:val="14"/>
          <w:color w:val="auto"/>
        </w:rPr>
        <w:t xml:space="preserve">, primarily due to </w:t>
      </w:r>
      <w:r>
        <w:rPr>
          <w:rFonts w:ascii="Arial" w:cs="Arial" w:eastAsia="Arial" w:hAnsi="Arial"/>
          <w:sz w:val="14"/>
          <w:szCs w:val="14"/>
          <w:i w:val="1"/>
          <w:iCs w:val="1"/>
          <w:color w:val="auto"/>
        </w:rPr>
        <w:t>World of Warcraft: Battle for Azeroth;</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Overwatch</w:t>
      </w:r>
      <w:r>
        <w:rPr>
          <w:rFonts w:ascii="Arial" w:cs="Arial" w:eastAsia="Arial" w:hAnsi="Arial"/>
          <w:sz w:val="14"/>
          <w:szCs w:val="14"/>
          <w:color w:val="auto"/>
        </w:rPr>
        <w:t>;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Hearthstone</w:t>
      </w:r>
      <w:r>
        <w:rPr>
          <w:rFonts w:ascii="Arial" w:cs="Arial" w:eastAsia="Arial" w:hAnsi="Arial"/>
          <w:sz w:val="14"/>
          <w:szCs w:val="14"/>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King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firstLine="245"/>
        <w:spacing w:after="0" w:line="262" w:lineRule="auto"/>
        <w:rPr>
          <w:sz w:val="20"/>
          <w:szCs w:val="20"/>
          <w:color w:val="auto"/>
        </w:rPr>
      </w:pPr>
      <w:r>
        <w:rPr>
          <w:rFonts w:ascii="Arial" w:cs="Arial" w:eastAsia="Arial" w:hAnsi="Arial"/>
          <w:sz w:val="14"/>
          <w:szCs w:val="14"/>
          <w:color w:val="auto"/>
        </w:rPr>
        <w:t>King’s net revenues for the three months ended September 30, 2019, were roughly equal to net revenues for the three months ended September 30, 2018, as lower in-game revenues from player purchases were largely offset by an increase in advertising revenues.</w:t>
      </w: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320"/>
          </w:cols>
          <w:pgMar w:left="220" w:top="129" w:right="3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firstLine="245"/>
        <w:spacing w:after="0" w:line="262" w:lineRule="auto"/>
        <w:rPr>
          <w:sz w:val="20"/>
          <w:szCs w:val="20"/>
          <w:color w:val="auto"/>
        </w:rPr>
      </w:pPr>
      <w:r>
        <w:rPr>
          <w:rFonts w:ascii="Arial" w:cs="Arial" w:eastAsia="Arial" w:hAnsi="Arial"/>
          <w:sz w:val="14"/>
          <w:szCs w:val="14"/>
          <w:color w:val="auto"/>
        </w:rPr>
        <w:t>King’s net revenues for the nine months ended September 30, 2019, were roughly equal to net revenues for the nine months ended September 30, 2018 due to the same driver and offsetting factor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Income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Activision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right="460" w:firstLine="245"/>
        <w:spacing w:after="0" w:line="346" w:lineRule="auto"/>
        <w:rPr>
          <w:sz w:val="20"/>
          <w:szCs w:val="20"/>
          <w:color w:val="auto"/>
        </w:rPr>
      </w:pPr>
      <w:r>
        <w:rPr>
          <w:rFonts w:ascii="Arial" w:cs="Arial" w:eastAsia="Arial" w:hAnsi="Arial"/>
          <w:sz w:val="12"/>
          <w:szCs w:val="12"/>
          <w:color w:val="auto"/>
        </w:rPr>
        <w:t>The decrease in Activision’s operating income for the three months ended September 30, 2019, as compared to the three months ended September 30, 2018, was primarily due to lower revenues, as discussed above. The decrease was partially offset by lower operating costs associated with the Destiny franchise (reflecting our sale of the publishing rights for Destiny to Bungie in December 2018).</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Activision’s operating income for the nine months ended September 30, 2019, as compared to the nine months ended September 30, 2018, was primarily due to:</w:t>
      </w:r>
    </w:p>
    <w:p>
      <w:pPr>
        <w:spacing w:after="0" w:line="166" w:lineRule="exact"/>
        <w:rPr>
          <w:sz w:val="20"/>
          <w:szCs w:val="20"/>
          <w:color w:val="auto"/>
        </w:rPr>
      </w:pPr>
    </w:p>
    <w:p>
      <w:pPr>
        <w:ind w:left="740" w:hanging="247"/>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lower revenues, as discussed above;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 increase in bad debt provisions.</w:t>
      </w:r>
    </w:p>
    <w:p>
      <w:pPr>
        <w:spacing w:after="0" w:line="166" w:lineRule="exact"/>
        <w:rPr>
          <w:sz w:val="20"/>
          <w:szCs w:val="20"/>
          <w:color w:val="auto"/>
        </w:rPr>
      </w:pPr>
    </w:p>
    <w:p>
      <w:pPr>
        <w:ind w:right="160" w:firstLine="245"/>
        <w:spacing w:after="0" w:line="262" w:lineRule="auto"/>
        <w:rPr>
          <w:sz w:val="20"/>
          <w:szCs w:val="20"/>
          <w:color w:val="auto"/>
        </w:rPr>
      </w:pPr>
      <w:r>
        <w:rPr>
          <w:rFonts w:ascii="Arial" w:cs="Arial" w:eastAsia="Arial" w:hAnsi="Arial"/>
          <w:sz w:val="14"/>
          <w:szCs w:val="14"/>
          <w:color w:val="auto"/>
        </w:rPr>
        <w:t xml:space="preserve">The decrease was partially offset by lower cost of revenues and operating costs, primarily associated with the Destiny franchise, which were partially offset by costs related to the current year releases of </w:t>
      </w:r>
      <w:r>
        <w:rPr>
          <w:rFonts w:ascii="Arial" w:cs="Arial" w:eastAsia="Arial" w:hAnsi="Arial"/>
          <w:sz w:val="14"/>
          <w:szCs w:val="14"/>
          <w:i w:val="1"/>
          <w:iCs w:val="1"/>
          <w:color w:val="auto"/>
        </w:rPr>
        <w:t xml:space="preserve">Sekiro: Shadows Die Twice </w:t>
      </w:r>
      <w:r>
        <w:rPr>
          <w:rFonts w:ascii="Arial" w:cs="Arial" w:eastAsia="Arial" w:hAnsi="Arial"/>
          <w:sz w:val="14"/>
          <w:szCs w:val="14"/>
          <w:color w:val="auto"/>
        </w:rPr>
        <w:t>and</w:t>
      </w:r>
      <w:r>
        <w:rPr>
          <w:rFonts w:ascii="Arial" w:cs="Arial" w:eastAsia="Arial" w:hAnsi="Arial"/>
          <w:sz w:val="14"/>
          <w:szCs w:val="14"/>
          <w:i w:val="1"/>
          <w:iCs w:val="1"/>
          <w:color w:val="auto"/>
        </w:rPr>
        <w:t xml:space="preserve"> Crash Team Racing Nitro-Fueled </w:t>
      </w:r>
      <w:r>
        <w:rPr>
          <w:rFonts w:ascii="Arial" w:cs="Arial" w:eastAsia="Arial" w:hAnsi="Arial"/>
          <w:sz w:val="14"/>
          <w:szCs w:val="14"/>
          <w:color w:val="auto"/>
        </w:rPr>
        <w:t>in March and June 2019,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Blizzard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firstLine="245"/>
        <w:spacing w:after="0" w:line="262" w:lineRule="auto"/>
        <w:rPr>
          <w:sz w:val="20"/>
          <w:szCs w:val="20"/>
          <w:color w:val="auto"/>
        </w:rPr>
      </w:pPr>
      <w:r>
        <w:rPr>
          <w:rFonts w:ascii="Arial" w:cs="Arial" w:eastAsia="Arial" w:hAnsi="Arial"/>
          <w:sz w:val="14"/>
          <w:szCs w:val="14"/>
          <w:color w:val="auto"/>
        </w:rPr>
        <w:t>The decrease in Blizzard’s operating income for the three months ended September 30, 2019, as compared to the three months ended September 30, 2018, was primarily due to lower revenues, as discussed above. The decrease is partially offset by:</w:t>
      </w:r>
    </w:p>
    <w:p>
      <w:pPr>
        <w:spacing w:after="0" w:line="139" w:lineRule="exact"/>
        <w:rPr>
          <w:sz w:val="20"/>
          <w:szCs w:val="20"/>
          <w:color w:val="auto"/>
        </w:rPr>
      </w:pPr>
    </w:p>
    <w:p>
      <w:pPr>
        <w:ind w:left="740" w:hanging="247"/>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lower spending on sales and marketing, primarily driven by lower marketing for esports initiatives and </w:t>
      </w:r>
      <w:r>
        <w:rPr>
          <w:rFonts w:ascii="Arial" w:cs="Arial" w:eastAsia="Arial" w:hAnsi="Arial"/>
          <w:sz w:val="14"/>
          <w:szCs w:val="14"/>
          <w:i w:val="1"/>
          <w:iCs w:val="1"/>
          <w:color w:val="auto"/>
        </w:rPr>
        <w:t>World of Warcraft</w:t>
      </w:r>
      <w:r>
        <w:rPr>
          <w:rFonts w:ascii="Arial" w:cs="Arial" w:eastAsia="Arial" w:hAnsi="Arial"/>
          <w:sz w:val="14"/>
          <w:szCs w:val="14"/>
          <w:color w:val="auto"/>
        </w:rPr>
        <w:t>;</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 xml:space="preserve">lower software amortization from </w:t>
      </w:r>
      <w:r>
        <w:rPr>
          <w:rFonts w:ascii="Arial" w:cs="Arial" w:eastAsia="Arial" w:hAnsi="Arial"/>
          <w:sz w:val="12"/>
          <w:szCs w:val="12"/>
          <w:i w:val="1"/>
          <w:iCs w:val="1"/>
          <w:color w:val="auto"/>
        </w:rPr>
        <w:t>World of Warcraft</w:t>
      </w:r>
      <w:r>
        <w:rPr>
          <w:rFonts w:ascii="Arial" w:cs="Arial" w:eastAsia="Arial" w:hAnsi="Arial"/>
          <w:sz w:val="12"/>
          <w:szCs w:val="12"/>
          <w:color w:val="auto"/>
        </w:rPr>
        <w:t xml:space="preserve">, primarily due to </w:t>
      </w:r>
      <w:r>
        <w:rPr>
          <w:rFonts w:ascii="Arial" w:cs="Arial" w:eastAsia="Arial" w:hAnsi="Arial"/>
          <w:sz w:val="12"/>
          <w:szCs w:val="12"/>
          <w:i w:val="1"/>
          <w:iCs w:val="1"/>
          <w:color w:val="auto"/>
        </w:rPr>
        <w:t>World of Warcraft: Battle for Azeroth</w:t>
      </w:r>
      <w:r>
        <w:rPr>
          <w:rFonts w:ascii="Arial" w:cs="Arial" w:eastAsia="Arial" w:hAnsi="Arial"/>
          <w:sz w:val="12"/>
          <w:szCs w:val="12"/>
          <w:color w:val="auto"/>
        </w:rPr>
        <w:t>, which was released in August 2018, with no comparable release in 2019; and</w:t>
      </w:r>
    </w:p>
    <w:p>
      <w:pPr>
        <w:spacing w:after="0" w:line="189" w:lineRule="exact"/>
        <w:rPr>
          <w:rFonts w:ascii="Arial" w:cs="Arial" w:eastAsia="Arial" w:hAnsi="Arial"/>
          <w:sz w:val="12"/>
          <w:szCs w:val="12"/>
          <w:color w:val="auto"/>
        </w:rPr>
      </w:pPr>
    </w:p>
    <w:p>
      <w:pPr>
        <w:ind w:left="740" w:hanging="247"/>
        <w:spacing w:after="0"/>
        <w:tabs>
          <w:tab w:leader="none" w:pos="7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higher capitalization of software development costs due to the timing of game development cycles.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right="80" w:firstLine="245"/>
        <w:spacing w:after="0" w:line="262" w:lineRule="auto"/>
        <w:rPr>
          <w:sz w:val="20"/>
          <w:szCs w:val="20"/>
          <w:color w:val="auto"/>
        </w:rPr>
      </w:pPr>
      <w:r>
        <w:rPr>
          <w:rFonts w:ascii="Arial" w:cs="Arial" w:eastAsia="Arial" w:hAnsi="Arial"/>
          <w:sz w:val="14"/>
          <w:szCs w:val="14"/>
          <w:color w:val="auto"/>
        </w:rPr>
        <w:t>The decrease in Blizzard’s operating income for the nine months ended September 30, 2019, as compared to the nine months ended September 30, 2018, was primarily due to lower revenues, as discussed above. The decrease is partially offset by:</w:t>
      </w:r>
    </w:p>
    <w:p>
      <w:pPr>
        <w:spacing w:after="0" w:line="139" w:lineRule="exact"/>
        <w:rPr>
          <w:sz w:val="20"/>
          <w:szCs w:val="20"/>
          <w:color w:val="auto"/>
        </w:rPr>
      </w:pPr>
    </w:p>
    <w:p>
      <w:pPr>
        <w:ind w:left="740" w:hanging="247"/>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lower spending on sales and marketing, primarily driven by lower marketing for esports initiatives, </w:t>
      </w:r>
      <w:r>
        <w:rPr>
          <w:rFonts w:ascii="Arial" w:cs="Arial" w:eastAsia="Arial" w:hAnsi="Arial"/>
          <w:sz w:val="14"/>
          <w:szCs w:val="14"/>
          <w:i w:val="1"/>
          <w:iCs w:val="1"/>
          <w:color w:val="auto"/>
        </w:rPr>
        <w:t>Overwatch</w:t>
      </w:r>
      <w:r>
        <w:rPr>
          <w:rFonts w:ascii="Arial" w:cs="Arial" w:eastAsia="Arial" w:hAnsi="Arial"/>
          <w:sz w:val="14"/>
          <w:szCs w:val="14"/>
          <w:color w:val="auto"/>
        </w:rPr>
        <w:t xml:space="preserve">, and </w:t>
      </w:r>
      <w:r>
        <w:rPr>
          <w:rFonts w:ascii="Arial" w:cs="Arial" w:eastAsia="Arial" w:hAnsi="Arial"/>
          <w:sz w:val="14"/>
          <w:szCs w:val="14"/>
          <w:i w:val="1"/>
          <w:iCs w:val="1"/>
          <w:color w:val="auto"/>
        </w:rPr>
        <w:t>World of Warcraft</w:t>
      </w:r>
      <w:r>
        <w:rPr>
          <w:rFonts w:ascii="Arial" w:cs="Arial" w:eastAsia="Arial" w:hAnsi="Arial"/>
          <w:sz w:val="14"/>
          <w:szCs w:val="14"/>
          <w:color w:val="auto"/>
        </w:rPr>
        <w:t>;</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lower personnel costs;</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lower software amortization from </w:t>
      </w:r>
      <w:r>
        <w:rPr>
          <w:rFonts w:ascii="Arial" w:cs="Arial" w:eastAsia="Arial" w:hAnsi="Arial"/>
          <w:sz w:val="14"/>
          <w:szCs w:val="14"/>
          <w:i w:val="1"/>
          <w:iCs w:val="1"/>
          <w:color w:val="auto"/>
        </w:rPr>
        <w:t>World of Warcraft</w:t>
      </w:r>
      <w:r>
        <w:rPr>
          <w:rFonts w:ascii="Arial" w:cs="Arial" w:eastAsia="Arial" w:hAnsi="Arial"/>
          <w:sz w:val="14"/>
          <w:szCs w:val="14"/>
          <w:color w:val="auto"/>
        </w:rPr>
        <w:t xml:space="preserve">, primarily due to </w:t>
      </w:r>
      <w:r>
        <w:rPr>
          <w:rFonts w:ascii="Arial" w:cs="Arial" w:eastAsia="Arial" w:hAnsi="Arial"/>
          <w:sz w:val="14"/>
          <w:szCs w:val="14"/>
          <w:i w:val="1"/>
          <w:iCs w:val="1"/>
          <w:color w:val="auto"/>
        </w:rPr>
        <w:t>World of Warcraft: Battle for Azeroth;</w:t>
      </w:r>
      <w:r>
        <w:rPr>
          <w:rFonts w:ascii="Arial" w:cs="Arial" w:eastAsia="Arial" w:hAnsi="Arial"/>
          <w:sz w:val="14"/>
          <w:szCs w:val="14"/>
          <w:color w:val="auto"/>
        </w:rPr>
        <w:t xml:space="preserve"> and</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20" w:top="129" w:right="25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740" w:hanging="247"/>
        <w:spacing w:after="0"/>
        <w:tabs>
          <w:tab w:leader="none" w:pos="7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lower service provider fees, such as digital storefront fees (e.g. fees retained by Apple and Google for our sales on their platforms), payment processor fees, and server bandwidth fees.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King</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firstLine="245"/>
        <w:spacing w:after="0" w:line="262" w:lineRule="auto"/>
        <w:rPr>
          <w:sz w:val="20"/>
          <w:szCs w:val="20"/>
          <w:color w:val="auto"/>
        </w:rPr>
      </w:pPr>
      <w:r>
        <w:rPr>
          <w:rFonts w:ascii="Arial" w:cs="Arial" w:eastAsia="Arial" w:hAnsi="Arial"/>
          <w:sz w:val="14"/>
          <w:szCs w:val="14"/>
          <w:color w:val="auto"/>
        </w:rPr>
        <w:t>The increase in King’s operating income for the three months ended September 30, 2019, as compared to the three months ended September 30, 2018, despite the slight decrease in revenues, was primarily due to:</w:t>
      </w:r>
    </w:p>
    <w:p>
      <w:pPr>
        <w:spacing w:after="0" w:line="139" w:lineRule="exact"/>
        <w:rPr>
          <w:sz w:val="20"/>
          <w:szCs w:val="20"/>
          <w:color w:val="auto"/>
        </w:rPr>
      </w:pPr>
    </w:p>
    <w:p>
      <w:pPr>
        <w:ind w:left="740" w:hanging="247"/>
        <w:spacing w:after="0"/>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lower service provider fees, primarily digital storefront fees (e.g. fees retained by Apple and Google for our sales on their platforms);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lower product development costs.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King’s operating income for the nine months ended September 30, 2019, was flat as compared to the nine months ended September 30, 2018, due to:</w:t>
      </w:r>
    </w:p>
    <w:p>
      <w:pPr>
        <w:spacing w:after="0" w:line="166" w:lineRule="exact"/>
        <w:rPr>
          <w:sz w:val="20"/>
          <w:szCs w:val="20"/>
          <w:color w:val="auto"/>
        </w:rPr>
      </w:pPr>
    </w:p>
    <w:p>
      <w:pPr>
        <w:ind w:left="740" w:hanging="247"/>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lower revenues, as discussed above; and</w:t>
      </w:r>
    </w:p>
    <w:p>
      <w:pPr>
        <w:spacing w:after="0" w:line="166" w:lineRule="exact"/>
        <w:rPr>
          <w:rFonts w:ascii="Arial" w:cs="Arial" w:eastAsia="Arial" w:hAnsi="Arial"/>
          <w:sz w:val="14"/>
          <w:szCs w:val="14"/>
          <w:color w:val="auto"/>
        </w:rPr>
      </w:pPr>
    </w:p>
    <w:p>
      <w:pPr>
        <w:ind w:left="240" w:right="2820" w:firstLine="253"/>
        <w:spacing w:after="0" w:line="487" w:lineRule="auto"/>
        <w:tabs>
          <w:tab w:leader="none" w:pos="731"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higher sales and marketing costs driven by the Candy Crush franchise, in part due to the launch of </w:t>
      </w:r>
      <w:r>
        <w:rPr>
          <w:rFonts w:ascii="Arial" w:cs="Arial" w:eastAsia="Arial" w:hAnsi="Arial"/>
          <w:sz w:val="14"/>
          <w:szCs w:val="14"/>
          <w:i w:val="1"/>
          <w:iCs w:val="1"/>
          <w:color w:val="auto"/>
        </w:rPr>
        <w:t>Candy Crush Friends Saga</w:t>
      </w:r>
      <w:r>
        <w:rPr>
          <w:rFonts w:ascii="Arial" w:cs="Arial" w:eastAsia="Arial" w:hAnsi="Arial"/>
          <w:sz w:val="14"/>
          <w:szCs w:val="14"/>
          <w:color w:val="auto"/>
        </w:rPr>
        <w:t xml:space="preserve"> in October 2018. The impacts from above were offset by:</w:t>
      </w:r>
    </w:p>
    <w:p>
      <w:pPr>
        <w:spacing w:after="0" w:line="1" w:lineRule="exact"/>
        <w:rPr>
          <w:rFonts w:ascii="Arial" w:cs="Arial" w:eastAsia="Arial" w:hAnsi="Arial"/>
          <w:sz w:val="14"/>
          <w:szCs w:val="14"/>
          <w:color w:val="auto"/>
        </w:rPr>
      </w:pPr>
    </w:p>
    <w:p>
      <w:pPr>
        <w:ind w:left="740" w:hanging="247"/>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lower service provider fees, such as digital storefront fees (e.g. fees retained by Apple and Google for our sales on their platforms), payment processor fees, and server bandwidth fees; and</w:t>
      </w:r>
    </w:p>
    <w:p>
      <w:pPr>
        <w:spacing w:after="0" w:line="189" w:lineRule="exact"/>
        <w:rPr>
          <w:rFonts w:ascii="Arial" w:cs="Arial" w:eastAsia="Arial" w:hAnsi="Arial"/>
          <w:sz w:val="12"/>
          <w:szCs w:val="12"/>
          <w:color w:val="auto"/>
        </w:rPr>
      </w:pPr>
    </w:p>
    <w:p>
      <w:pPr>
        <w:ind w:left="740" w:hanging="247"/>
        <w:spacing w:after="0"/>
        <w:tabs>
          <w:tab w:leader="none" w:pos="7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lower personnel costs.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Exchange Impact</w:t>
      </w:r>
    </w:p>
    <w:p>
      <w:pPr>
        <w:spacing w:after="0" w:line="166" w:lineRule="exact"/>
        <w:rPr>
          <w:sz w:val="20"/>
          <w:szCs w:val="20"/>
          <w:color w:val="auto"/>
        </w:rPr>
      </w:pPr>
    </w:p>
    <w:p>
      <w:pPr>
        <w:ind w:right="340" w:firstLine="245"/>
        <w:spacing w:after="0" w:line="346" w:lineRule="auto"/>
        <w:rPr>
          <w:sz w:val="20"/>
          <w:szCs w:val="20"/>
          <w:color w:val="auto"/>
        </w:rPr>
      </w:pPr>
      <w:r>
        <w:rPr>
          <w:rFonts w:ascii="Arial" w:cs="Arial" w:eastAsia="Arial" w:hAnsi="Arial"/>
          <w:sz w:val="12"/>
          <w:szCs w:val="12"/>
          <w:color w:val="auto"/>
        </w:rPr>
        <w:t>Changes in foreign exchange rates had a negative impact of $20 million and $92 million on reportable segment net revenues for the three and nine months ended September 30, 2019, respectively, as compared to the same periods in the previous year. The changes are primarily due to changes in the value of the U.S. dollar relative to the euro and the British pound.</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380"/>
          </w:cols>
          <w:pgMar w:left="220" w:top="129" w:right="29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Results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Revenues by Distribution Channel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details our consolidated net revenues by distribution channel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gridSpan w:val="8"/>
          </w:tcPr>
          <w:p>
            <w:pPr>
              <w:ind w:left="80"/>
              <w:spacing w:after="0"/>
              <w:rPr>
                <w:sz w:val="20"/>
                <w:szCs w:val="20"/>
                <w:color w:val="auto"/>
              </w:rPr>
            </w:pPr>
            <w:r>
              <w:rPr>
                <w:rFonts w:ascii="Arial" w:cs="Arial" w:eastAsia="Arial" w:hAnsi="Arial"/>
                <w:sz w:val="12"/>
                <w:szCs w:val="12"/>
                <w:b w:val="1"/>
                <w:bCs w:val="1"/>
                <w:color w:val="auto"/>
              </w:rPr>
              <w:t>For the Three Months Ended September 30,</w:t>
            </w:r>
          </w:p>
        </w:tc>
        <w:tc>
          <w:tcPr>
            <w:tcW w:w="780" w:type="dxa"/>
            <w:vAlign w:val="bottom"/>
          </w:tcPr>
          <w:p>
            <w:pPr>
              <w:spacing w:after="0"/>
              <w:rPr>
                <w:sz w:val="13"/>
                <w:szCs w:val="13"/>
                <w:color w:val="auto"/>
              </w:rPr>
            </w:pPr>
          </w:p>
        </w:tc>
        <w:tc>
          <w:tcPr>
            <w:tcW w:w="3180" w:type="dxa"/>
            <w:vAlign w:val="bottom"/>
            <w:gridSpan w:val="7"/>
          </w:tcPr>
          <w:p>
            <w:pPr>
              <w:jc w:val="right"/>
              <w:ind w:right="773"/>
              <w:spacing w:after="0"/>
              <w:rPr>
                <w:sz w:val="20"/>
                <w:szCs w:val="20"/>
                <w:color w:val="auto"/>
              </w:rPr>
            </w:pPr>
            <w:r>
              <w:rPr>
                <w:rFonts w:ascii="Arial" w:cs="Arial" w:eastAsia="Arial" w:hAnsi="Arial"/>
                <w:sz w:val="12"/>
                <w:szCs w:val="12"/>
                <w:b w:val="1"/>
                <w:bCs w:val="1"/>
                <w:color w:val="auto"/>
                <w:w w:val="96"/>
              </w:rPr>
              <w:t>For the Nine Months Ended September 30,</w:t>
            </w:r>
          </w:p>
        </w:tc>
      </w:tr>
      <w:tr>
        <w:trPr>
          <w:trHeight w:val="25"/>
        </w:trPr>
        <w:tc>
          <w:tcPr>
            <w:tcW w:w="3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3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53"/>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Increase (Decrease)</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33"/>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Arial" w:cs="Arial" w:eastAsia="Arial" w:hAnsi="Arial"/>
                <w:sz w:val="12"/>
                <w:szCs w:val="12"/>
                <w:b w:val="1"/>
                <w:bCs w:val="1"/>
                <w:color w:val="auto"/>
                <w:w w:val="89"/>
              </w:rPr>
              <w:t>Increase (Decrease)</w:t>
            </w:r>
          </w:p>
        </w:tc>
      </w:tr>
      <w:tr>
        <w:trPr>
          <w:trHeight w:val="25"/>
        </w:trPr>
        <w:tc>
          <w:tcPr>
            <w:tcW w:w="3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 by distribution channel:</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3340" w:type="dxa"/>
            <w:vAlign w:val="bottom"/>
          </w:tcPr>
          <w:p>
            <w:pPr>
              <w:ind w:left="120"/>
              <w:spacing w:after="0"/>
              <w:rPr>
                <w:sz w:val="20"/>
                <w:szCs w:val="20"/>
                <w:color w:val="auto"/>
              </w:rPr>
            </w:pPr>
            <w:r>
              <w:rPr>
                <w:rFonts w:ascii="Arial" w:cs="Arial" w:eastAsia="Arial" w:hAnsi="Arial"/>
                <w:sz w:val="14"/>
                <w:szCs w:val="14"/>
                <w:color w:val="auto"/>
              </w:rPr>
              <w:t>Digital online channels (1)</w:t>
            </w:r>
          </w:p>
        </w:tc>
        <w:tc>
          <w:tcPr>
            <w:tcW w:w="800" w:type="dxa"/>
            <w:vAlign w:val="bottom"/>
          </w:tcPr>
          <w:p>
            <w:pPr>
              <w:jc w:val="right"/>
              <w:ind w:right="654"/>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53"/>
              <w:spacing w:after="0"/>
              <w:rPr>
                <w:sz w:val="20"/>
                <w:szCs w:val="20"/>
                <w:color w:val="auto"/>
              </w:rPr>
            </w:pPr>
            <w:r>
              <w:rPr>
                <w:rFonts w:ascii="Arial" w:cs="Arial" w:eastAsia="Arial" w:hAnsi="Arial"/>
                <w:sz w:val="14"/>
                <w:szCs w:val="14"/>
                <w:color w:val="auto"/>
                <w:w w:val="96"/>
              </w:rPr>
              <w:t>1,014</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1,276</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5"/>
                <w:szCs w:val="15"/>
                <w:color w:val="auto"/>
              </w:rPr>
            </w:pPr>
          </w:p>
        </w:tc>
        <w:tc>
          <w:tcPr>
            <w:tcW w:w="780" w:type="dxa"/>
            <w:vAlign w:val="bottom"/>
          </w:tcPr>
          <w:p>
            <w:pPr>
              <w:jc w:val="right"/>
              <w:ind w:right="634"/>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33"/>
              <w:spacing w:after="0"/>
              <w:rPr>
                <w:sz w:val="20"/>
                <w:szCs w:val="20"/>
                <w:color w:val="auto"/>
              </w:rPr>
            </w:pPr>
            <w:r>
              <w:rPr>
                <w:rFonts w:ascii="Arial" w:cs="Arial" w:eastAsia="Arial" w:hAnsi="Arial"/>
                <w:sz w:val="14"/>
                <w:szCs w:val="14"/>
                <w:color w:val="auto"/>
                <w:w w:val="96"/>
              </w:rPr>
              <w:t>3,493</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3,998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(505)</w:t>
            </w:r>
          </w:p>
        </w:tc>
      </w:tr>
      <w:tr>
        <w:trPr>
          <w:trHeight w:val="21"/>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Retail channels</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599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764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w:t>
            </w:r>
          </w:p>
        </w:tc>
      </w:tr>
      <w:tr>
        <w:trPr>
          <w:trHeight w:val="183"/>
        </w:trPr>
        <w:tc>
          <w:tcPr>
            <w:tcW w:w="3340" w:type="dxa"/>
            <w:vAlign w:val="bottom"/>
          </w:tcPr>
          <w:p>
            <w:pPr>
              <w:ind w:left="120"/>
              <w:spacing w:after="0"/>
              <w:rPr>
                <w:sz w:val="20"/>
                <w:szCs w:val="20"/>
                <w:color w:val="auto"/>
              </w:rPr>
            </w:pPr>
            <w:r>
              <w:rPr>
                <w:rFonts w:ascii="Arial" w:cs="Arial" w:eastAsia="Arial" w:hAnsi="Arial"/>
                <w:sz w:val="14"/>
                <w:szCs w:val="14"/>
                <w:color w:val="auto"/>
              </w:rPr>
              <w:t>Other (2)</w:t>
            </w:r>
          </w:p>
        </w:tc>
        <w:tc>
          <w:tcPr>
            <w:tcW w:w="8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54</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consolidated net revenues</w:t>
            </w: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w w:val="96"/>
              </w:rPr>
              <w:t>1,282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1,512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96"/>
              </w:rPr>
              <w:t>4,503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5,119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8"/>
        <w:spacing w:after="0"/>
        <w:tabs>
          <w:tab w:leader="none" w:pos="2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Net revenues from “Digital online channels” include revenues from digitally-distributed subscriptions, downloadable content, microtransactions, and products, as well as licensing royalties.</w:t>
      </w:r>
    </w:p>
    <w:p>
      <w:pPr>
        <w:spacing w:after="0" w:line="189" w:lineRule="exact"/>
        <w:rPr>
          <w:rFonts w:ascii="Arial" w:cs="Arial" w:eastAsia="Arial" w:hAnsi="Arial"/>
          <w:sz w:val="12"/>
          <w:szCs w:val="12"/>
          <w:color w:val="auto"/>
        </w:rPr>
      </w:pPr>
    </w:p>
    <w:p>
      <w:pPr>
        <w:ind w:left="240" w:hanging="238"/>
        <w:spacing w:after="0"/>
        <w:tabs>
          <w:tab w:leader="none" w:pos="2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Net revenues from “Other” include revenues from our Studios and Distribution businesses, as well as revenues from MLG and the Overwatch League.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net revenues from digital online channels for the three months ended September 30, 2019, as compared to the three months ended September 30, 2018, was primarily due to:</w:t>
      </w:r>
    </w:p>
    <w:p>
      <w:pPr>
        <w:spacing w:after="0" w:line="189" w:lineRule="exact"/>
        <w:rPr>
          <w:sz w:val="20"/>
          <w:szCs w:val="20"/>
          <w:color w:val="auto"/>
        </w:rPr>
      </w:pPr>
    </w:p>
    <w:p>
      <w:pPr>
        <w:ind w:left="740" w:hanging="247"/>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lower revenues recognized from the Destiny franchise (reflecting our sale of the publishing rights for Destiny to Bungie in December 2018);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World of Warcraft</w:t>
      </w:r>
      <w:r>
        <w:rPr>
          <w:rFonts w:ascii="Arial" w:cs="Arial" w:eastAsia="Arial" w:hAnsi="Arial"/>
          <w:sz w:val="14"/>
          <w:szCs w:val="14"/>
          <w:color w:val="auto"/>
        </w:rPr>
        <w: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net revenues from digital online channels for the nine months ended September 30, 2019, as compared to the nine months ended September 30, 2018, was primarily due to:</w:t>
      </w:r>
    </w:p>
    <w:p>
      <w:pPr>
        <w:spacing w:after="0" w:line="189" w:lineRule="exact"/>
        <w:rPr>
          <w:sz w:val="20"/>
          <w:szCs w:val="20"/>
          <w:color w:val="auto"/>
        </w:rPr>
      </w:pPr>
    </w:p>
    <w:p>
      <w:pPr>
        <w:ind w:left="740" w:hanging="247"/>
        <w:spacing w:after="0"/>
        <w:tabs>
          <w:tab w:leader="none" w:pos="7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lower revenues recognized from the Destiny franchise;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Overwatch</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increase in net revenues from retail channels for the three months ended September 30, 2019, as compared to the three months ended September 30, 2018, was primarily due to:</w:t>
      </w:r>
    </w:p>
    <w:p>
      <w:pPr>
        <w:spacing w:after="0" w:line="189" w:lineRule="exact"/>
        <w:rPr>
          <w:sz w:val="20"/>
          <w:szCs w:val="20"/>
          <w:color w:val="auto"/>
        </w:rPr>
      </w:pPr>
    </w:p>
    <w:p>
      <w:pPr>
        <w:ind w:left="740" w:hanging="247"/>
        <w:spacing w:after="0"/>
        <w:tabs>
          <w:tab w:leader="none" w:pos="7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 xml:space="preserve">revenues recognized from </w:t>
      </w:r>
      <w:r>
        <w:rPr>
          <w:rFonts w:ascii="Arial" w:cs="Arial" w:eastAsia="Arial" w:hAnsi="Arial"/>
          <w:sz w:val="14"/>
          <w:szCs w:val="14"/>
          <w:i w:val="1"/>
          <w:iCs w:val="1"/>
          <w:color w:val="auto"/>
        </w:rPr>
        <w:t>Crash Team Racing Nitro-Fueled</w:t>
      </w:r>
      <w:r>
        <w:rPr>
          <w:rFonts w:ascii="Arial" w:cs="Arial" w:eastAsia="Arial" w:hAnsi="Arial"/>
          <w:sz w:val="14"/>
          <w:szCs w:val="14"/>
          <w:color w:val="auto"/>
        </w:rPr>
        <w:t>, which was released in June 2019;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 xml:space="preserve">higher revenues from the </w:t>
      </w:r>
      <w:r>
        <w:rPr>
          <w:rFonts w:ascii="Arial" w:cs="Arial" w:eastAsia="Arial" w:hAnsi="Arial"/>
          <w:sz w:val="12"/>
          <w:szCs w:val="12"/>
          <w:i w:val="1"/>
          <w:iCs w:val="1"/>
          <w:color w:val="auto"/>
        </w:rPr>
        <w:t>Spyro Reignited Trilogy</w:t>
      </w:r>
      <w:r>
        <w:rPr>
          <w:rFonts w:ascii="Arial" w:cs="Arial" w:eastAsia="Arial" w:hAnsi="Arial"/>
          <w:sz w:val="12"/>
          <w:szCs w:val="12"/>
          <w:color w:val="auto"/>
        </w:rPr>
        <w:t>, which was released on Nintendo Switch in September 2019, after having been released on Playstation 4 and Xbox One in November 2018.</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460"/>
          </w:cols>
          <w:pgMar w:left="220" w:top="129" w:right="21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net revenues from retail channels for the nine months ended September 30, 2019, as compared to the nine months ended September 30, 2018, was primarily due to:</w:t>
      </w:r>
    </w:p>
    <w:p>
      <w:pPr>
        <w:spacing w:after="0" w:line="189" w:lineRule="exact"/>
        <w:rPr>
          <w:sz w:val="20"/>
          <w:szCs w:val="20"/>
          <w:color w:val="auto"/>
        </w:rPr>
      </w:pPr>
    </w:p>
    <w:p>
      <w:pPr>
        <w:ind w:left="740" w:hanging="247"/>
        <w:spacing w:after="0"/>
        <w:tabs>
          <w:tab w:leader="none" w:pos="7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Call of Duty: Black Ops 4</w:t>
      </w:r>
      <w:r>
        <w:rPr>
          <w:rFonts w:ascii="Arial" w:cs="Arial" w:eastAsia="Arial" w:hAnsi="Arial"/>
          <w:sz w:val="14"/>
          <w:szCs w:val="14"/>
          <w:color w:val="auto"/>
        </w:rPr>
        <w:t xml:space="preserve">, which was released in October 2018, as compared to </w:t>
      </w:r>
      <w:r>
        <w:rPr>
          <w:rFonts w:ascii="Arial" w:cs="Arial" w:eastAsia="Arial" w:hAnsi="Arial"/>
          <w:sz w:val="14"/>
          <w:szCs w:val="14"/>
          <w:i w:val="1"/>
          <w:iCs w:val="1"/>
          <w:color w:val="auto"/>
        </w:rPr>
        <w:t>Call of Duty: WWII</w:t>
      </w:r>
      <w:r>
        <w:rPr>
          <w:rFonts w:ascii="Arial" w:cs="Arial" w:eastAsia="Arial" w:hAnsi="Arial"/>
          <w:sz w:val="14"/>
          <w:szCs w:val="14"/>
          <w:color w:val="auto"/>
        </w:rPr>
        <w:t>, which was released in November 2017;</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lower revenues recognized from the Destiny franchise (reflecting our sale of the publishing rights for Destiny to Bungie in December 2018);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Crash Bandicoot N. Sane Trilogy</w:t>
      </w:r>
      <w:r>
        <w:rPr>
          <w:rFonts w:ascii="Arial" w:cs="Arial" w:eastAsia="Arial" w:hAnsi="Arial"/>
          <w:sz w:val="14"/>
          <w:szCs w:val="14"/>
          <w:color w:val="auto"/>
        </w:rPr>
        <w:t>, which was released on the Xbox One, PC, and Nintendo Switch in June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was partially offset by:</w:t>
      </w:r>
    </w:p>
    <w:p>
      <w:pPr>
        <w:spacing w:after="0" w:line="166" w:lineRule="exact"/>
        <w:rPr>
          <w:sz w:val="20"/>
          <w:szCs w:val="20"/>
          <w:color w:val="auto"/>
        </w:rPr>
      </w:pPr>
    </w:p>
    <w:p>
      <w:pPr>
        <w:ind w:left="740" w:hanging="247"/>
        <w:spacing w:after="0"/>
        <w:tabs>
          <w:tab w:leader="none" w:pos="740" w:val="left"/>
        </w:tabs>
        <w:numPr>
          <w:ilvl w:val="0"/>
          <w:numId w:val="45"/>
        </w:numPr>
        <w:rPr>
          <w:rFonts w:ascii="Arial" w:cs="Arial" w:eastAsia="Arial" w:hAnsi="Arial"/>
          <w:sz w:val="14"/>
          <w:szCs w:val="14"/>
          <w:i w:val="1"/>
          <w:iCs w:val="1"/>
          <w:color w:val="auto"/>
        </w:rPr>
      </w:pPr>
      <w:r>
        <w:rPr>
          <w:rFonts w:ascii="Arial" w:cs="Arial" w:eastAsia="Arial" w:hAnsi="Arial"/>
          <w:sz w:val="14"/>
          <w:szCs w:val="14"/>
          <w:color w:val="auto"/>
        </w:rPr>
        <w:t xml:space="preserve">revenues from </w:t>
      </w:r>
      <w:r>
        <w:rPr>
          <w:rFonts w:ascii="Arial" w:cs="Arial" w:eastAsia="Arial" w:hAnsi="Arial"/>
          <w:sz w:val="14"/>
          <w:szCs w:val="14"/>
          <w:i w:val="1"/>
          <w:iCs w:val="1"/>
          <w:color w:val="auto"/>
        </w:rPr>
        <w:t>Sekiro: Shadows Die Twice</w:t>
      </w:r>
      <w:r>
        <w:rPr>
          <w:rFonts w:ascii="Arial" w:cs="Arial" w:eastAsia="Arial" w:hAnsi="Arial"/>
          <w:sz w:val="14"/>
          <w:szCs w:val="14"/>
          <w:color w:val="auto"/>
        </w:rPr>
        <w:t>, which was released in March 2019; and</w:t>
      </w:r>
    </w:p>
    <w:p>
      <w:pPr>
        <w:spacing w:after="0" w:line="166" w:lineRule="exact"/>
        <w:rPr>
          <w:rFonts w:ascii="Arial" w:cs="Arial" w:eastAsia="Arial" w:hAnsi="Arial"/>
          <w:sz w:val="14"/>
          <w:szCs w:val="14"/>
          <w:i w:val="1"/>
          <w:iCs w:val="1"/>
          <w:color w:val="auto"/>
        </w:rPr>
      </w:pPr>
    </w:p>
    <w:p>
      <w:pPr>
        <w:ind w:left="740" w:hanging="247"/>
        <w:spacing w:after="0"/>
        <w:tabs>
          <w:tab w:leader="none" w:pos="7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revenues recognized from </w:t>
      </w:r>
      <w:r>
        <w:rPr>
          <w:rFonts w:ascii="Arial" w:cs="Arial" w:eastAsia="Arial" w:hAnsi="Arial"/>
          <w:sz w:val="14"/>
          <w:szCs w:val="14"/>
          <w:i w:val="1"/>
          <w:iCs w:val="1"/>
          <w:color w:val="auto"/>
        </w:rPr>
        <w:t>Crash Team Racing Nitro-Fueled</w:t>
      </w:r>
      <w:r>
        <w:rPr>
          <w:rFonts w:ascii="Arial" w:cs="Arial" w:eastAsia="Arial" w:hAnsi="Arial"/>
          <w:sz w:val="14"/>
          <w:szCs w:val="14"/>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Revenues by Geographic Region</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details our consolidated net revenues by geographic region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gridSpan w:val="8"/>
          </w:tcPr>
          <w:p>
            <w:pPr>
              <w:ind w:left="80"/>
              <w:spacing w:after="0"/>
              <w:rPr>
                <w:sz w:val="20"/>
                <w:szCs w:val="20"/>
                <w:color w:val="auto"/>
              </w:rPr>
            </w:pPr>
            <w:r>
              <w:rPr>
                <w:rFonts w:ascii="Arial" w:cs="Arial" w:eastAsia="Arial" w:hAnsi="Arial"/>
                <w:sz w:val="12"/>
                <w:szCs w:val="12"/>
                <w:b w:val="1"/>
                <w:bCs w:val="1"/>
                <w:color w:val="auto"/>
              </w:rPr>
              <w:t>For the Three Months Ended September 30,</w:t>
            </w:r>
          </w:p>
        </w:tc>
        <w:tc>
          <w:tcPr>
            <w:tcW w:w="780" w:type="dxa"/>
            <w:vAlign w:val="bottom"/>
          </w:tcPr>
          <w:p>
            <w:pPr>
              <w:spacing w:after="0"/>
              <w:rPr>
                <w:sz w:val="13"/>
                <w:szCs w:val="13"/>
                <w:color w:val="auto"/>
              </w:rPr>
            </w:pPr>
          </w:p>
        </w:tc>
        <w:tc>
          <w:tcPr>
            <w:tcW w:w="3180" w:type="dxa"/>
            <w:vAlign w:val="bottom"/>
            <w:gridSpan w:val="7"/>
          </w:tcPr>
          <w:p>
            <w:pPr>
              <w:jc w:val="right"/>
              <w:ind w:right="773"/>
              <w:spacing w:after="0"/>
              <w:rPr>
                <w:sz w:val="20"/>
                <w:szCs w:val="20"/>
                <w:color w:val="auto"/>
              </w:rPr>
            </w:pPr>
            <w:r>
              <w:rPr>
                <w:rFonts w:ascii="Arial" w:cs="Arial" w:eastAsia="Arial" w:hAnsi="Arial"/>
                <w:sz w:val="12"/>
                <w:szCs w:val="12"/>
                <w:b w:val="1"/>
                <w:bCs w:val="1"/>
                <w:color w:val="auto"/>
                <w:w w:val="96"/>
              </w:rPr>
              <w:t>For the Nine Months Ended September 30,</w:t>
            </w:r>
          </w:p>
        </w:tc>
      </w:tr>
      <w:tr>
        <w:trPr>
          <w:trHeight w:val="25"/>
        </w:trPr>
        <w:tc>
          <w:tcPr>
            <w:tcW w:w="3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3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Increase (Decrease)</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33"/>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Arial" w:cs="Arial" w:eastAsia="Arial" w:hAnsi="Arial"/>
                <w:sz w:val="12"/>
                <w:szCs w:val="12"/>
                <w:b w:val="1"/>
                <w:bCs w:val="1"/>
                <w:color w:val="auto"/>
                <w:w w:val="89"/>
              </w:rPr>
              <w:t>Increase (Decrease)</w:t>
            </w:r>
          </w:p>
        </w:tc>
      </w:tr>
      <w:tr>
        <w:trPr>
          <w:trHeight w:val="25"/>
        </w:trPr>
        <w:tc>
          <w:tcPr>
            <w:tcW w:w="3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 by geographic region:</w:t>
            </w:r>
          </w:p>
        </w:tc>
        <w:tc>
          <w:tcPr>
            <w:tcW w:w="8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83"/>
        </w:trPr>
        <w:tc>
          <w:tcPr>
            <w:tcW w:w="3340" w:type="dxa"/>
            <w:vAlign w:val="bottom"/>
          </w:tcPr>
          <w:p>
            <w:pPr>
              <w:ind w:left="120"/>
              <w:spacing w:after="0"/>
              <w:rPr>
                <w:sz w:val="20"/>
                <w:szCs w:val="20"/>
                <w:color w:val="auto"/>
              </w:rPr>
            </w:pPr>
            <w:r>
              <w:rPr>
                <w:rFonts w:ascii="Arial" w:cs="Arial" w:eastAsia="Arial" w:hAnsi="Arial"/>
                <w:sz w:val="14"/>
                <w:szCs w:val="14"/>
                <w:color w:val="auto"/>
              </w:rPr>
              <w:t>Americas</w:t>
            </w:r>
          </w:p>
        </w:tc>
        <w:tc>
          <w:tcPr>
            <w:tcW w:w="800" w:type="dxa"/>
            <w:vAlign w:val="bottom"/>
          </w:tcPr>
          <w:p>
            <w:pPr>
              <w:jc w:val="right"/>
              <w:ind w:right="654"/>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15"/>
                <w:szCs w:val="15"/>
                <w:color w:val="auto"/>
              </w:rPr>
            </w:pPr>
          </w:p>
        </w:tc>
        <w:tc>
          <w:tcPr>
            <w:tcW w:w="800" w:type="dxa"/>
            <w:vAlign w:val="bottom"/>
          </w:tcPr>
          <w:p>
            <w:pPr>
              <w:jc w:val="right"/>
              <w:ind w:right="654"/>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780" w:type="dxa"/>
            <w:vAlign w:val="bottom"/>
          </w:tcPr>
          <w:p>
            <w:pPr>
              <w:jc w:val="right"/>
              <w:ind w:right="634"/>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33"/>
              <w:spacing w:after="0"/>
              <w:rPr>
                <w:sz w:val="20"/>
                <w:szCs w:val="20"/>
                <w:color w:val="auto"/>
              </w:rPr>
            </w:pPr>
            <w:r>
              <w:rPr>
                <w:rFonts w:ascii="Arial" w:cs="Arial" w:eastAsia="Arial" w:hAnsi="Arial"/>
                <w:sz w:val="14"/>
                <w:szCs w:val="14"/>
                <w:color w:val="auto"/>
                <w:w w:val="96"/>
              </w:rPr>
              <w:t>2,406</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2,740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(334)</w:t>
            </w:r>
          </w:p>
        </w:tc>
      </w:tr>
      <w:tr>
        <w:trPr>
          <w:trHeight w:val="21"/>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EMEA (1)</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452</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w w:val="96"/>
              </w:rPr>
              <w:t>1,525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1,774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w:t>
            </w:r>
          </w:p>
        </w:tc>
      </w:tr>
      <w:tr>
        <w:trPr>
          <w:trHeight w:val="183"/>
        </w:trPr>
        <w:tc>
          <w:tcPr>
            <w:tcW w:w="3340" w:type="dxa"/>
            <w:vAlign w:val="bottom"/>
          </w:tcPr>
          <w:p>
            <w:pPr>
              <w:ind w:left="120"/>
              <w:spacing w:after="0"/>
              <w:rPr>
                <w:sz w:val="20"/>
                <w:szCs w:val="20"/>
                <w:color w:val="auto"/>
              </w:rPr>
            </w:pPr>
            <w:r>
              <w:rPr>
                <w:rFonts w:ascii="Arial" w:cs="Arial" w:eastAsia="Arial" w:hAnsi="Arial"/>
                <w:sz w:val="14"/>
                <w:szCs w:val="14"/>
                <w:color w:val="auto"/>
              </w:rPr>
              <w:t>Asia Pacific</w:t>
            </w:r>
          </w:p>
        </w:tc>
        <w:tc>
          <w:tcPr>
            <w:tcW w:w="8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1"/>
        </w:trPr>
        <w:tc>
          <w:tcPr>
            <w:tcW w:w="3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Consolidated net revenues</w:t>
            </w: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w w:val="96"/>
              </w:rPr>
              <w:t>1,282</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1,512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96"/>
              </w:rPr>
              <w:t>4,503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5,119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w:t>
            </w: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(1) “EMEA” consists of the Europe, Middle East, and Africa geographic regions.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Americas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right="200" w:firstLine="245"/>
        <w:spacing w:after="0" w:line="262" w:lineRule="auto"/>
        <w:rPr>
          <w:sz w:val="20"/>
          <w:szCs w:val="20"/>
          <w:color w:val="auto"/>
        </w:rPr>
      </w:pPr>
      <w:r>
        <w:rPr>
          <w:rFonts w:ascii="Arial" w:cs="Arial" w:eastAsia="Arial" w:hAnsi="Arial"/>
          <w:sz w:val="14"/>
          <w:szCs w:val="14"/>
          <w:color w:val="auto"/>
        </w:rPr>
        <w:t>The decrease in net revenues from the Americas region for the three months ended September 30, 2019, as compared to the three months ended September 30, 2018, was primarily due to lower revenues recognized from the Destiny franchise (reflecting our sale of the publishing rights for Destiny to Bungie in December 2018).</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right="280" w:firstLine="245"/>
        <w:spacing w:after="0" w:line="262" w:lineRule="auto"/>
        <w:rPr>
          <w:sz w:val="20"/>
          <w:szCs w:val="20"/>
          <w:color w:val="auto"/>
        </w:rPr>
      </w:pPr>
      <w:r>
        <w:rPr>
          <w:rFonts w:ascii="Arial" w:cs="Arial" w:eastAsia="Arial" w:hAnsi="Arial"/>
          <w:sz w:val="14"/>
          <w:szCs w:val="14"/>
          <w:color w:val="auto"/>
        </w:rPr>
        <w:t>The decrease in net revenues from the Americas region for the nine months ended September 30, 2019, as compared to the nine months ended September 30, 2018, was primarily due to lower revenues recognized from the Destiny franchise.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EMEA</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net revenues from the EMEA region for the three months ended September 30, 2019, as compared to the three months ended September 30, 2018, was primarily due to:</w:t>
      </w:r>
    </w:p>
    <w:p>
      <w:pPr>
        <w:spacing w:after="0" w:line="189" w:lineRule="exact"/>
        <w:rPr>
          <w:sz w:val="20"/>
          <w:szCs w:val="20"/>
          <w:color w:val="auto"/>
        </w:rPr>
      </w:pPr>
    </w:p>
    <w:p>
      <w:pPr>
        <w:ind w:left="740" w:hanging="247"/>
        <w:spacing w:after="0"/>
        <w:tabs>
          <w:tab w:leader="none" w:pos="7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lower revenues recognized from the Destiny franchise;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129" w:right="21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0" w:lineRule="exact"/>
        <w:rPr>
          <w:sz w:val="20"/>
          <w:szCs w:val="20"/>
          <w:color w:val="auto"/>
        </w:rPr>
      </w:pPr>
    </w:p>
    <w:p>
      <w:pPr>
        <w:ind w:left="240" w:right="7920" w:firstLine="253"/>
        <w:spacing w:after="0" w:line="487" w:lineRule="auto"/>
        <w:tabs>
          <w:tab w:leader="none" w:pos="731" w:val="left"/>
        </w:tabs>
        <w:numPr>
          <w:ilvl w:val="0"/>
          <w:numId w:val="47"/>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World of Warcraft</w:t>
      </w:r>
      <w:r>
        <w:rPr>
          <w:rFonts w:ascii="Arial" w:cs="Arial" w:eastAsia="Arial" w:hAnsi="Arial"/>
          <w:sz w:val="14"/>
          <w:szCs w:val="14"/>
          <w:color w:val="auto"/>
        </w:rPr>
        <w:t xml:space="preserve">. </w:t>
      </w:r>
      <w:r>
        <w:rPr>
          <w:rFonts w:ascii="Arial" w:cs="Arial" w:eastAsia="Arial" w:hAnsi="Arial"/>
          <w:sz w:val="14"/>
          <w:szCs w:val="14"/>
          <w:u w:val="single" w:color="auto"/>
          <w:color w:val="auto"/>
        </w:rPr>
        <w:t>YTD Q3 2019 vs. YTD Q3 2018</w:t>
      </w:r>
    </w:p>
    <w:p>
      <w:pPr>
        <w:spacing w:after="0" w:line="1"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2"/>
          <w:szCs w:val="12"/>
          <w:color w:val="auto"/>
        </w:rPr>
        <w:t>The decrease in net revenues from the EMEA region for the nine months ended September 30, 2019, as compared to the nine months ended September 30, 2018, was primarily due to:</w:t>
      </w:r>
    </w:p>
    <w:p>
      <w:pPr>
        <w:spacing w:after="0" w:line="189" w:lineRule="exact"/>
        <w:rPr>
          <w:rFonts w:ascii="Arial" w:cs="Arial" w:eastAsia="Arial" w:hAnsi="Arial"/>
          <w:sz w:val="14"/>
          <w:szCs w:val="14"/>
          <w:color w:val="auto"/>
        </w:rPr>
      </w:pPr>
    </w:p>
    <w:p>
      <w:pPr>
        <w:ind w:left="740" w:hanging="247"/>
        <w:spacing w:after="0"/>
        <w:tabs>
          <w:tab w:leader="none" w:pos="7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lower revenues recognized from the Destiny franchise;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 xml:space="preserve">lower revenues recognized from the Call of Duty franchise, primarily driven by lower revenues recognized from </w:t>
      </w:r>
      <w:r>
        <w:rPr>
          <w:rFonts w:ascii="Arial" w:cs="Arial" w:eastAsia="Arial" w:hAnsi="Arial"/>
          <w:sz w:val="12"/>
          <w:szCs w:val="12"/>
          <w:i w:val="1"/>
          <w:iCs w:val="1"/>
          <w:color w:val="auto"/>
        </w:rPr>
        <w:t>Call of Duty: Black Ops 4</w:t>
      </w:r>
      <w:r>
        <w:rPr>
          <w:rFonts w:ascii="Arial" w:cs="Arial" w:eastAsia="Arial" w:hAnsi="Arial"/>
          <w:sz w:val="12"/>
          <w:szCs w:val="12"/>
          <w:color w:val="auto"/>
        </w:rPr>
        <w:t>, which was released in October 2018, as compared to</w:t>
      </w:r>
    </w:p>
    <w:p>
      <w:pPr>
        <w:spacing w:after="0" w:line="35" w:lineRule="exact"/>
        <w:rPr>
          <w:rFonts w:ascii="Arial" w:cs="Arial" w:eastAsia="Arial" w:hAnsi="Arial"/>
          <w:sz w:val="12"/>
          <w:szCs w:val="12"/>
          <w:color w:val="auto"/>
        </w:rPr>
      </w:pPr>
    </w:p>
    <w:p>
      <w:pPr>
        <w:ind w:left="740"/>
        <w:spacing w:after="0"/>
        <w:rPr>
          <w:rFonts w:ascii="Arial" w:cs="Arial" w:eastAsia="Arial" w:hAnsi="Arial"/>
          <w:sz w:val="12"/>
          <w:szCs w:val="12"/>
          <w:color w:val="auto"/>
        </w:rPr>
      </w:pPr>
      <w:r>
        <w:rPr>
          <w:rFonts w:ascii="Arial" w:cs="Arial" w:eastAsia="Arial" w:hAnsi="Arial"/>
          <w:sz w:val="14"/>
          <w:szCs w:val="14"/>
          <w:i w:val="1"/>
          <w:iCs w:val="1"/>
          <w:color w:val="auto"/>
        </w:rPr>
        <w:t>Call of Duty: WWII</w:t>
      </w:r>
      <w:r>
        <w:rPr>
          <w:rFonts w:ascii="Arial" w:cs="Arial" w:eastAsia="Arial" w:hAnsi="Arial"/>
          <w:sz w:val="14"/>
          <w:szCs w:val="14"/>
          <w:color w:val="auto"/>
        </w:rPr>
        <w:t>, which was released in November 2017.</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Asia Pacific</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right="60" w:firstLine="245"/>
        <w:spacing w:after="0" w:line="262" w:lineRule="auto"/>
        <w:rPr>
          <w:sz w:val="20"/>
          <w:szCs w:val="20"/>
          <w:color w:val="auto"/>
        </w:rPr>
      </w:pPr>
      <w:r>
        <w:rPr>
          <w:rFonts w:ascii="Arial" w:cs="Arial" w:eastAsia="Arial" w:hAnsi="Arial"/>
          <w:sz w:val="14"/>
          <w:szCs w:val="14"/>
          <w:color w:val="auto"/>
        </w:rPr>
        <w:t xml:space="preserve">The decrease in net revenues from the Asia Pacific region for the three months ended September 30, 2019, as compared to the three months ended September 30, 2018, was primarily due to lower revenues recognized from </w:t>
      </w:r>
      <w:r>
        <w:rPr>
          <w:rFonts w:ascii="Arial" w:cs="Arial" w:eastAsia="Arial" w:hAnsi="Arial"/>
          <w:sz w:val="14"/>
          <w:szCs w:val="14"/>
          <w:i w:val="1"/>
          <w:iCs w:val="1"/>
          <w:color w:val="auto"/>
        </w:rPr>
        <w:t>Hearthstone</w:t>
      </w:r>
      <w:r>
        <w:rPr>
          <w:rFonts w:ascii="Arial" w:cs="Arial" w:eastAsia="Arial" w:hAnsi="Arial"/>
          <w:sz w:val="14"/>
          <w:szCs w:val="14"/>
          <w:color w:val="auto"/>
        </w:rPr>
        <w:t>.</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right="140" w:firstLine="245"/>
        <w:spacing w:after="0" w:line="262" w:lineRule="auto"/>
        <w:rPr>
          <w:sz w:val="20"/>
          <w:szCs w:val="20"/>
          <w:color w:val="auto"/>
        </w:rPr>
      </w:pPr>
      <w:r>
        <w:rPr>
          <w:rFonts w:ascii="Arial" w:cs="Arial" w:eastAsia="Arial" w:hAnsi="Arial"/>
          <w:sz w:val="14"/>
          <w:szCs w:val="14"/>
          <w:color w:val="auto"/>
        </w:rPr>
        <w:t>The decrease in net revenues from the Asia Pacific region for the nine months ended September 30, 2019, as compared to the nine months ended September 30, 2018, was primarily due to lower revenues recognized from the Destiny franchise.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Revenues by Platform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details our consolidated net revenues by platform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360" w:type="dxa"/>
            <w:vAlign w:val="bottom"/>
            <w:gridSpan w:val="8"/>
          </w:tcPr>
          <w:p>
            <w:pPr>
              <w:ind w:left="80"/>
              <w:spacing w:after="0"/>
              <w:rPr>
                <w:sz w:val="20"/>
                <w:szCs w:val="20"/>
                <w:color w:val="auto"/>
              </w:rPr>
            </w:pPr>
            <w:r>
              <w:rPr>
                <w:rFonts w:ascii="Arial" w:cs="Arial" w:eastAsia="Arial" w:hAnsi="Arial"/>
                <w:sz w:val="12"/>
                <w:szCs w:val="12"/>
                <w:b w:val="1"/>
                <w:bCs w:val="1"/>
                <w:color w:val="auto"/>
              </w:rPr>
              <w:t>For the Three Months Ended September 30,</w:t>
            </w:r>
          </w:p>
        </w:tc>
        <w:tc>
          <w:tcPr>
            <w:tcW w:w="780" w:type="dxa"/>
            <w:vAlign w:val="bottom"/>
          </w:tcPr>
          <w:p>
            <w:pPr>
              <w:spacing w:after="0"/>
              <w:rPr>
                <w:sz w:val="13"/>
                <w:szCs w:val="13"/>
                <w:color w:val="auto"/>
              </w:rPr>
            </w:pPr>
          </w:p>
        </w:tc>
        <w:tc>
          <w:tcPr>
            <w:tcW w:w="3180" w:type="dxa"/>
            <w:vAlign w:val="bottom"/>
            <w:gridSpan w:val="7"/>
          </w:tcPr>
          <w:p>
            <w:pPr>
              <w:jc w:val="right"/>
              <w:ind w:right="773"/>
              <w:spacing w:after="0"/>
              <w:rPr>
                <w:sz w:val="20"/>
                <w:szCs w:val="20"/>
                <w:color w:val="auto"/>
              </w:rPr>
            </w:pPr>
            <w:r>
              <w:rPr>
                <w:rFonts w:ascii="Arial" w:cs="Arial" w:eastAsia="Arial" w:hAnsi="Arial"/>
                <w:sz w:val="12"/>
                <w:szCs w:val="12"/>
                <w:b w:val="1"/>
                <w:bCs w:val="1"/>
                <w:color w:val="auto"/>
                <w:w w:val="96"/>
              </w:rPr>
              <w:t>For the Nine Months Ended September 30,</w:t>
            </w:r>
          </w:p>
        </w:tc>
      </w:tr>
      <w:tr>
        <w:trPr>
          <w:trHeight w:val="25"/>
        </w:trPr>
        <w:tc>
          <w:tcPr>
            <w:tcW w:w="3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69"/>
        </w:trPr>
        <w:tc>
          <w:tcPr>
            <w:tcW w:w="3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53"/>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Increase (Decrease)</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33"/>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Arial" w:cs="Arial" w:eastAsia="Arial" w:hAnsi="Arial"/>
                <w:sz w:val="12"/>
                <w:szCs w:val="12"/>
                <w:b w:val="1"/>
                <w:bCs w:val="1"/>
                <w:color w:val="auto"/>
                <w:w w:val="89"/>
              </w:rPr>
              <w:t>Increase (Decrease)</w:t>
            </w:r>
          </w:p>
        </w:tc>
      </w:tr>
      <w:tr>
        <w:trPr>
          <w:trHeight w:val="25"/>
        </w:trPr>
        <w:tc>
          <w:tcPr>
            <w:tcW w:w="3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revenues by platform:</w:t>
            </w:r>
          </w:p>
        </w:tc>
        <w:tc>
          <w:tcPr>
            <w:tcW w:w="8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3340" w:type="dxa"/>
            <w:vAlign w:val="bottom"/>
          </w:tcPr>
          <w:p>
            <w:pPr>
              <w:ind w:left="120"/>
              <w:spacing w:after="0"/>
              <w:rPr>
                <w:sz w:val="20"/>
                <w:szCs w:val="20"/>
                <w:color w:val="auto"/>
              </w:rPr>
            </w:pPr>
            <w:r>
              <w:rPr>
                <w:rFonts w:ascii="Arial" w:cs="Arial" w:eastAsia="Arial" w:hAnsi="Arial"/>
                <w:sz w:val="14"/>
                <w:szCs w:val="14"/>
                <w:color w:val="auto"/>
              </w:rPr>
              <w:t>Console</w:t>
            </w:r>
          </w:p>
        </w:tc>
        <w:tc>
          <w:tcPr>
            <w:tcW w:w="800" w:type="dxa"/>
            <w:vAlign w:val="bottom"/>
          </w:tcPr>
          <w:p>
            <w:pPr>
              <w:jc w:val="right"/>
              <w:ind w:right="654"/>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780" w:type="dxa"/>
            <w:vAlign w:val="bottom"/>
          </w:tcPr>
          <w:p>
            <w:pPr>
              <w:jc w:val="right"/>
              <w:ind w:right="634"/>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33"/>
              <w:spacing w:after="0"/>
              <w:rPr>
                <w:sz w:val="20"/>
                <w:szCs w:val="20"/>
                <w:color w:val="auto"/>
              </w:rPr>
            </w:pPr>
            <w:r>
              <w:rPr>
                <w:rFonts w:ascii="Arial" w:cs="Arial" w:eastAsia="Arial" w:hAnsi="Arial"/>
                <w:sz w:val="14"/>
                <w:szCs w:val="14"/>
                <w:color w:val="auto"/>
                <w:w w:val="96"/>
              </w:rPr>
              <w:t>1,324</w:t>
            </w:r>
          </w:p>
        </w:tc>
        <w:tc>
          <w:tcPr>
            <w:tcW w:w="120" w:type="dxa"/>
            <w:vAlign w:val="bottom"/>
          </w:tcPr>
          <w:p>
            <w:pPr>
              <w:spacing w:after="0"/>
              <w:rPr>
                <w:sz w:val="15"/>
                <w:szCs w:val="15"/>
                <w:color w:val="auto"/>
              </w:rPr>
            </w:pPr>
          </w:p>
        </w:tc>
        <w:tc>
          <w:tcPr>
            <w:tcW w:w="300" w:type="dxa"/>
            <w:vAlign w:val="bottom"/>
          </w:tcPr>
          <w:p>
            <w:pPr>
              <w:jc w:val="right"/>
              <w:ind w:right="15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1,730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(406)</w:t>
            </w:r>
          </w:p>
        </w:tc>
      </w:tr>
      <w:tr>
        <w:trPr>
          <w:trHeight w:val="21"/>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PC</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341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482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w w:val="96"/>
              </w:rPr>
              <w:t>1,196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1,452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183"/>
        </w:trPr>
        <w:tc>
          <w:tcPr>
            <w:tcW w:w="3340" w:type="dxa"/>
            <w:vAlign w:val="bottom"/>
          </w:tcPr>
          <w:p>
            <w:pPr>
              <w:ind w:left="120"/>
              <w:spacing w:after="0"/>
              <w:rPr>
                <w:sz w:val="20"/>
                <w:szCs w:val="20"/>
                <w:color w:val="auto"/>
              </w:rPr>
            </w:pPr>
            <w:r>
              <w:rPr>
                <w:rFonts w:ascii="Arial" w:cs="Arial" w:eastAsia="Arial" w:hAnsi="Arial"/>
                <w:sz w:val="14"/>
                <w:szCs w:val="14"/>
                <w:color w:val="auto"/>
              </w:rPr>
              <w:t>Mobile and ancillary (1)</w:t>
            </w:r>
          </w:p>
        </w:tc>
        <w:tc>
          <w:tcPr>
            <w:tcW w:w="800" w:type="dxa"/>
            <w:vAlign w:val="bottom"/>
          </w:tcPr>
          <w:p>
            <w:pPr>
              <w:spacing w:after="0"/>
              <w:rPr>
                <w:sz w:val="15"/>
                <w:szCs w:val="15"/>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33"/>
              <w:spacing w:after="0"/>
              <w:rPr>
                <w:sz w:val="20"/>
                <w:szCs w:val="20"/>
                <w:color w:val="auto"/>
              </w:rPr>
            </w:pPr>
            <w:r>
              <w:rPr>
                <w:rFonts w:ascii="Arial" w:cs="Arial" w:eastAsia="Arial" w:hAnsi="Arial"/>
                <w:sz w:val="14"/>
                <w:szCs w:val="14"/>
                <w:color w:val="auto"/>
                <w:w w:val="96"/>
              </w:rPr>
              <w:t>1,572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1,580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1"/>
        </w:trPr>
        <w:tc>
          <w:tcPr>
            <w:tcW w:w="3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(2)</w:t>
            </w: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175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411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54</w:t>
            </w:r>
          </w:p>
        </w:tc>
      </w:tr>
      <w:tr>
        <w:trPr>
          <w:trHeight w:val="189"/>
        </w:trPr>
        <w:tc>
          <w:tcPr>
            <w:tcW w:w="3340" w:type="dxa"/>
            <w:vAlign w:val="bottom"/>
          </w:tcPr>
          <w:p>
            <w:pPr>
              <w:ind w:left="20"/>
              <w:spacing w:after="0"/>
              <w:rPr>
                <w:sz w:val="20"/>
                <w:szCs w:val="20"/>
                <w:color w:val="auto"/>
              </w:rPr>
            </w:pPr>
            <w:r>
              <w:rPr>
                <w:rFonts w:ascii="Arial" w:cs="Arial" w:eastAsia="Arial" w:hAnsi="Arial"/>
                <w:sz w:val="14"/>
                <w:szCs w:val="14"/>
                <w:color w:val="auto"/>
              </w:rPr>
              <w:t>Total consolidated net revenues</w:t>
            </w:r>
          </w:p>
        </w:tc>
        <w:tc>
          <w:tcPr>
            <w:tcW w:w="80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w w:val="96"/>
              </w:rPr>
              <w:t>1,282</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1,512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w w:val="96"/>
              </w:rPr>
              <w:t>4,503</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5,119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(616)</w:t>
            </w:r>
          </w:p>
        </w:tc>
      </w:tr>
      <w:tr>
        <w:trPr>
          <w:trHeight w:val="20"/>
        </w:trPr>
        <w:tc>
          <w:tcPr>
            <w:tcW w:w="3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hanging="238"/>
        <w:spacing w:after="0"/>
        <w:tabs>
          <w:tab w:leader="none" w:pos="2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Net revenues from “Mobile and ancillary” include revenues from mobile devices, as well as non-platform-specific game-related revenues, such as standalone sales of physical merchandise and accessories.</w:t>
      </w:r>
    </w:p>
    <w:p>
      <w:pPr>
        <w:spacing w:after="0" w:line="189" w:lineRule="exact"/>
        <w:rPr>
          <w:rFonts w:ascii="Arial" w:cs="Arial" w:eastAsia="Arial" w:hAnsi="Arial"/>
          <w:sz w:val="12"/>
          <w:szCs w:val="12"/>
          <w:color w:val="auto"/>
        </w:rPr>
      </w:pPr>
    </w:p>
    <w:p>
      <w:pPr>
        <w:ind w:left="240" w:hanging="238"/>
        <w:spacing w:after="0"/>
        <w:tabs>
          <w:tab w:leader="none" w:pos="2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Net revenues from “Other” include revenues from our Studios and Distribution businesses, as well as revenues from MLG and the Overwatch League.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Console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net revenues from the console platform for the three months ended September 30, 2019, as compared to the three months ended September 30, 2018, was primarily due to:</w:t>
      </w:r>
    </w:p>
    <w:p>
      <w:pPr>
        <w:spacing w:after="0" w:line="189" w:lineRule="exact"/>
        <w:rPr>
          <w:sz w:val="20"/>
          <w:szCs w:val="20"/>
          <w:color w:val="auto"/>
        </w:rPr>
      </w:pPr>
    </w:p>
    <w:p>
      <w:pPr>
        <w:ind w:left="5660" w:right="3060" w:hanging="5167"/>
        <w:spacing w:after="0" w:line="780" w:lineRule="auto"/>
        <w:tabs>
          <w:tab w:leader="none" w:pos="732" w:val="left"/>
        </w:tabs>
        <w:numPr>
          <w:ilvl w:val="0"/>
          <w:numId w:val="49"/>
        </w:numPr>
        <w:rPr>
          <w:rFonts w:ascii="Arial" w:cs="Arial" w:eastAsia="Arial" w:hAnsi="Arial"/>
          <w:sz w:val="14"/>
          <w:szCs w:val="14"/>
          <w:color w:val="auto"/>
        </w:rPr>
      </w:pPr>
      <w:r>
        <w:rPr>
          <w:rFonts w:ascii="Arial" w:cs="Arial" w:eastAsia="Arial" w:hAnsi="Arial"/>
          <w:sz w:val="14"/>
          <w:szCs w:val="14"/>
          <w:color w:val="auto"/>
        </w:rPr>
        <w:t>lower revenues recognized from the Destiny franchise (reflecting our sale of the publishing rights for Destiny to Bungie in December 2018); 55</w:t>
      </w:r>
    </w:p>
    <w:p>
      <w:pPr>
        <w:sectPr>
          <w:pgSz w:w="11900" w:h="16838" w:orient="portrait"/>
          <w:cols w:equalWidth="0" w:num="1">
            <w:col w:w="11460"/>
          </w:cols>
          <w:pgMar w:left="220" w:top="129" w:right="21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740" w:hanging="247"/>
        <w:spacing w:after="0"/>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lower revenues recognized from the Call of Duty franchise catalog titles;</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Overwatch</w:t>
      </w:r>
      <w:r>
        <w:rPr>
          <w:rFonts w:ascii="Arial" w:cs="Arial" w:eastAsia="Arial" w:hAnsi="Arial"/>
          <w:sz w:val="14"/>
          <w:szCs w:val="14"/>
          <w:color w:val="auto"/>
        </w:rPr>
        <w:t>;</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 xml:space="preserve">lower revenues recognized from </w:t>
      </w:r>
      <w:r>
        <w:rPr>
          <w:rFonts w:ascii="Arial" w:cs="Arial" w:eastAsia="Arial" w:hAnsi="Arial"/>
          <w:sz w:val="12"/>
          <w:szCs w:val="12"/>
          <w:i w:val="1"/>
          <w:iCs w:val="1"/>
          <w:color w:val="auto"/>
        </w:rPr>
        <w:t>Call of Duty: Black Ops 4</w:t>
      </w:r>
      <w:r>
        <w:rPr>
          <w:rFonts w:ascii="Arial" w:cs="Arial" w:eastAsia="Arial" w:hAnsi="Arial"/>
          <w:sz w:val="12"/>
          <w:szCs w:val="12"/>
          <w:color w:val="auto"/>
        </w:rPr>
        <w:t xml:space="preserve">, which was released in October 2018, as compared to </w:t>
      </w:r>
      <w:r>
        <w:rPr>
          <w:rFonts w:ascii="Arial" w:cs="Arial" w:eastAsia="Arial" w:hAnsi="Arial"/>
          <w:sz w:val="12"/>
          <w:szCs w:val="12"/>
          <w:i w:val="1"/>
          <w:iCs w:val="1"/>
          <w:color w:val="auto"/>
        </w:rPr>
        <w:t>Call of Duty: WWII</w:t>
      </w:r>
      <w:r>
        <w:rPr>
          <w:rFonts w:ascii="Arial" w:cs="Arial" w:eastAsia="Arial" w:hAnsi="Arial"/>
          <w:sz w:val="12"/>
          <w:szCs w:val="12"/>
          <w:color w:val="auto"/>
        </w:rPr>
        <w:t>, which was released in November 2017; and</w:t>
      </w:r>
    </w:p>
    <w:p>
      <w:pPr>
        <w:spacing w:after="0" w:line="189" w:lineRule="exact"/>
        <w:rPr>
          <w:rFonts w:ascii="Arial" w:cs="Arial" w:eastAsia="Arial" w:hAnsi="Arial"/>
          <w:sz w:val="12"/>
          <w:szCs w:val="12"/>
          <w:color w:val="auto"/>
        </w:rPr>
      </w:pPr>
    </w:p>
    <w:p>
      <w:pPr>
        <w:ind w:left="740" w:hanging="247"/>
        <w:spacing w:after="0"/>
        <w:tabs>
          <w:tab w:leader="none" w:pos="7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 xml:space="preserve">lower revenues from </w:t>
      </w:r>
      <w:r>
        <w:rPr>
          <w:rFonts w:ascii="Arial" w:cs="Arial" w:eastAsia="Arial" w:hAnsi="Arial"/>
          <w:sz w:val="14"/>
          <w:szCs w:val="14"/>
          <w:i w:val="1"/>
          <w:iCs w:val="1"/>
          <w:color w:val="auto"/>
        </w:rPr>
        <w:t>Crash Bandicoot N. Sane Trilogy</w:t>
      </w:r>
      <w:r>
        <w:rPr>
          <w:rFonts w:ascii="Arial" w:cs="Arial" w:eastAsia="Arial" w:hAnsi="Arial"/>
          <w:sz w:val="14"/>
          <w:szCs w:val="14"/>
          <w:color w:val="auto"/>
        </w:rPr>
        <w:t xml:space="preserve"> which was released on the Xbox One, PC, and Nintendo Switch in June 2018.</w:t>
      </w:r>
    </w:p>
    <w:p>
      <w:pPr>
        <w:spacing w:after="0" w:line="200" w:lineRule="exact"/>
        <w:rPr>
          <w:sz w:val="20"/>
          <w:szCs w:val="20"/>
          <w:color w:val="auto"/>
        </w:rPr>
      </w:pPr>
    </w:p>
    <w:p>
      <w:pPr>
        <w:spacing w:after="0" w:line="294" w:lineRule="exact"/>
        <w:rPr>
          <w:sz w:val="20"/>
          <w:szCs w:val="20"/>
          <w:color w:val="auto"/>
        </w:rPr>
      </w:pPr>
    </w:p>
    <w:p>
      <w:pPr>
        <w:ind w:left="740" w:hanging="247"/>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revenues recognized from </w:t>
      </w:r>
      <w:r>
        <w:rPr>
          <w:rFonts w:ascii="Arial" w:cs="Arial" w:eastAsia="Arial" w:hAnsi="Arial"/>
          <w:sz w:val="14"/>
          <w:szCs w:val="14"/>
          <w:i w:val="1"/>
          <w:iCs w:val="1"/>
          <w:color w:val="auto"/>
        </w:rPr>
        <w:t>Crash Team Racing Nitro-Fueled</w:t>
      </w:r>
      <w:r>
        <w:rPr>
          <w:rFonts w:ascii="Arial" w:cs="Arial" w:eastAsia="Arial" w:hAnsi="Arial"/>
          <w:sz w:val="14"/>
          <w:szCs w:val="14"/>
          <w:color w:val="auto"/>
        </w:rPr>
        <w:t>, which was released in June 2019; and</w:t>
      </w:r>
    </w:p>
    <w:p>
      <w:pPr>
        <w:spacing w:after="0" w:line="166" w:lineRule="exact"/>
        <w:rPr>
          <w:rFonts w:ascii="Arial" w:cs="Arial" w:eastAsia="Arial" w:hAnsi="Arial"/>
          <w:sz w:val="14"/>
          <w:szCs w:val="14"/>
          <w:color w:val="auto"/>
        </w:rPr>
      </w:pPr>
    </w:p>
    <w:p>
      <w:pPr>
        <w:ind w:left="240" w:firstLine="253"/>
        <w:spacing w:after="0" w:line="487" w:lineRule="auto"/>
        <w:tabs>
          <w:tab w:leader="none" w:pos="731"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higher revenues from the </w:t>
      </w:r>
      <w:r>
        <w:rPr>
          <w:rFonts w:ascii="Arial" w:cs="Arial" w:eastAsia="Arial" w:hAnsi="Arial"/>
          <w:sz w:val="14"/>
          <w:szCs w:val="14"/>
          <w:i w:val="1"/>
          <w:iCs w:val="1"/>
          <w:color w:val="auto"/>
        </w:rPr>
        <w:t>Spyro Reignited Trilogy</w:t>
      </w:r>
      <w:r>
        <w:rPr>
          <w:rFonts w:ascii="Arial" w:cs="Arial" w:eastAsia="Arial" w:hAnsi="Arial"/>
          <w:sz w:val="14"/>
          <w:szCs w:val="14"/>
          <w:color w:val="auto"/>
        </w:rPr>
        <w:t xml:space="preserve">, which was released on Nintendo Switch in September 2019, after having been released on Playstation 4 and Xbox One in November 2018. </w:t>
      </w:r>
      <w:r>
        <w:rPr>
          <w:rFonts w:ascii="Arial" w:cs="Arial" w:eastAsia="Arial" w:hAnsi="Arial"/>
          <w:sz w:val="14"/>
          <w:szCs w:val="14"/>
          <w:u w:val="single" w:color="auto"/>
          <w:color w:val="auto"/>
        </w:rPr>
        <w:t>YTD Q3 2019 vs. YTD Q3 2018</w:t>
      </w:r>
    </w:p>
    <w:p>
      <w:pPr>
        <w:spacing w:after="0" w:line="1"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2"/>
          <w:szCs w:val="12"/>
          <w:color w:val="auto"/>
        </w:rPr>
        <w:t>The decrease in net revenues from the console platform for the nine months ended September 30, 2019, as compared to the nine months ended September 30, 2018, was primarily due to:</w:t>
      </w:r>
    </w:p>
    <w:p>
      <w:pPr>
        <w:spacing w:after="0" w:line="189" w:lineRule="exact"/>
        <w:rPr>
          <w:rFonts w:ascii="Arial" w:cs="Arial" w:eastAsia="Arial" w:hAnsi="Arial"/>
          <w:sz w:val="14"/>
          <w:szCs w:val="14"/>
          <w:color w:val="auto"/>
        </w:rPr>
      </w:pPr>
    </w:p>
    <w:p>
      <w:pPr>
        <w:ind w:left="740" w:hanging="247"/>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lower revenues recognized from the Destiny franchise;</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lower revenues recognized from Call of Duty franchise catalog titles;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Call of Duty: Black Ops 4</w:t>
      </w:r>
      <w:r>
        <w:rPr>
          <w:rFonts w:ascii="Arial" w:cs="Arial" w:eastAsia="Arial" w:hAnsi="Arial"/>
          <w:sz w:val="14"/>
          <w:szCs w:val="14"/>
          <w:color w:val="auto"/>
        </w:rPr>
        <w:t xml:space="preserve">, as compared to </w:t>
      </w:r>
      <w:r>
        <w:rPr>
          <w:rFonts w:ascii="Arial" w:cs="Arial" w:eastAsia="Arial" w:hAnsi="Arial"/>
          <w:sz w:val="14"/>
          <w:szCs w:val="14"/>
          <w:i w:val="1"/>
          <w:iCs w:val="1"/>
          <w:color w:val="auto"/>
        </w:rPr>
        <w:t>Call of Duty: WWII.</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 xml:space="preserve">The decrease was partially offset by revenues from </w:t>
      </w:r>
      <w:r>
        <w:rPr>
          <w:rFonts w:ascii="Arial" w:cs="Arial" w:eastAsia="Arial" w:hAnsi="Arial"/>
          <w:sz w:val="14"/>
          <w:szCs w:val="14"/>
          <w:i w:val="1"/>
          <w:iCs w:val="1"/>
          <w:color w:val="auto"/>
        </w:rPr>
        <w:t>Sekiro: Shadows Die Twice</w:t>
      </w:r>
      <w:r>
        <w:rPr>
          <w:rFonts w:ascii="Arial" w:cs="Arial" w:eastAsia="Arial" w:hAnsi="Arial"/>
          <w:sz w:val="14"/>
          <w:szCs w:val="14"/>
          <w:color w:val="auto"/>
        </w:rPr>
        <w:t>, which was released in March 2019.</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PC</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net revenues from the PC platform for the three months ended September 30, 2019, as compared to the three months ended September 30, 2018, was primarily due to:</w:t>
      </w:r>
    </w:p>
    <w:p>
      <w:pPr>
        <w:spacing w:after="0" w:line="189" w:lineRule="exact"/>
        <w:rPr>
          <w:sz w:val="20"/>
          <w:szCs w:val="20"/>
          <w:color w:val="auto"/>
        </w:rPr>
      </w:pPr>
    </w:p>
    <w:p>
      <w:pPr>
        <w:ind w:left="740" w:hanging="247"/>
        <w:spacing w:after="0"/>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World of Warcraft</w:t>
      </w:r>
      <w:r>
        <w:rPr>
          <w:rFonts w:ascii="Arial" w:cs="Arial" w:eastAsia="Arial" w:hAnsi="Arial"/>
          <w:sz w:val="14"/>
          <w:szCs w:val="14"/>
          <w:color w:val="auto"/>
        </w:rPr>
        <w:t>;</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Hearthstone</w:t>
      </w:r>
      <w:r>
        <w:rPr>
          <w:rFonts w:ascii="Arial" w:cs="Arial" w:eastAsia="Arial" w:hAnsi="Arial"/>
          <w:sz w:val="14"/>
          <w:szCs w:val="14"/>
          <w:color w:val="auto"/>
        </w:rPr>
        <w:t>;</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Overwatch</w:t>
      </w:r>
      <w:r>
        <w:rPr>
          <w:rFonts w:ascii="Arial" w:cs="Arial" w:eastAsia="Arial" w:hAnsi="Arial"/>
          <w:sz w:val="14"/>
          <w:szCs w:val="14"/>
          <w:color w:val="auto"/>
        </w:rPr>
        <w:t>; and</w:t>
      </w:r>
    </w:p>
    <w:p>
      <w:pPr>
        <w:spacing w:after="0" w:line="166" w:lineRule="exact"/>
        <w:rPr>
          <w:rFonts w:ascii="Arial" w:cs="Arial" w:eastAsia="Arial" w:hAnsi="Arial"/>
          <w:sz w:val="14"/>
          <w:szCs w:val="14"/>
          <w:color w:val="auto"/>
        </w:rPr>
      </w:pPr>
    </w:p>
    <w:p>
      <w:pPr>
        <w:ind w:left="240" w:right="7360" w:firstLine="253"/>
        <w:spacing w:after="0" w:line="487" w:lineRule="auto"/>
        <w:tabs>
          <w:tab w:leader="none" w:pos="731"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lower revenues recognized from the Destiny franchise. </w:t>
      </w:r>
      <w:r>
        <w:rPr>
          <w:rFonts w:ascii="Arial" w:cs="Arial" w:eastAsia="Arial" w:hAnsi="Arial"/>
          <w:sz w:val="14"/>
          <w:szCs w:val="14"/>
          <w:u w:val="single" w:color="auto"/>
          <w:color w:val="auto"/>
        </w:rPr>
        <w:t>YTD Q3 2019 vs. YTD Q3 2018</w:t>
      </w:r>
    </w:p>
    <w:p>
      <w:pPr>
        <w:spacing w:after="0" w:line="1"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2"/>
          <w:szCs w:val="12"/>
          <w:color w:val="auto"/>
        </w:rPr>
        <w:t>The decrease in net revenues from the PC platform for the nine months ended September 30, 2019, as compared to the nine months ended September 30, 2018, was primarily due to:</w:t>
      </w:r>
    </w:p>
    <w:p>
      <w:pPr>
        <w:spacing w:after="0" w:line="189" w:lineRule="exact"/>
        <w:rPr>
          <w:rFonts w:ascii="Arial" w:cs="Arial" w:eastAsia="Arial" w:hAnsi="Arial"/>
          <w:sz w:val="14"/>
          <w:szCs w:val="14"/>
          <w:color w:val="auto"/>
        </w:rPr>
      </w:pPr>
    </w:p>
    <w:p>
      <w:pPr>
        <w:ind w:left="740" w:hanging="247"/>
        <w:spacing w:after="0"/>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lower revenues recognized from the Destiny franchise;</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Overwatch</w:t>
      </w:r>
      <w:r>
        <w:rPr>
          <w:rFonts w:ascii="Arial" w:cs="Arial" w:eastAsia="Arial" w:hAnsi="Arial"/>
          <w:sz w:val="14"/>
          <w:szCs w:val="14"/>
          <w:color w:val="auto"/>
        </w:rPr>
        <w:t>;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lower revenues recognized from </w:t>
      </w:r>
      <w:r>
        <w:rPr>
          <w:rFonts w:ascii="Arial" w:cs="Arial" w:eastAsia="Arial" w:hAnsi="Arial"/>
          <w:sz w:val="14"/>
          <w:szCs w:val="14"/>
          <w:i w:val="1"/>
          <w:iCs w:val="1"/>
          <w:color w:val="auto"/>
        </w:rPr>
        <w:t>Hearthstone</w:t>
      </w:r>
      <w:r>
        <w:rPr>
          <w:rFonts w:ascii="Arial" w:cs="Arial" w:eastAsia="Arial" w:hAnsi="Arial"/>
          <w:sz w:val="14"/>
          <w:szCs w:val="14"/>
          <w:color w:val="auto"/>
        </w:rPr>
        <w:t>.</w:t>
      </w:r>
    </w:p>
    <w:p>
      <w:pPr>
        <w:spacing w:after="0" w:line="350"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080"/>
          </w:cols>
          <w:pgMar w:left="220" w:top="129" w:right="59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Mobile and Ancillary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Net revenues from mobile and ancillary for the three months ended September 30, 2019, were roughly flat as compared to net revenues for the three months ended September 30, 2018.</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Net revenues from mobile and ancillary for the nine months ended September 30, 2019, were roughly flat as compared to net revenues for the nine months ended September 30, 2018.</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following table details the components of cost of revenues in dollars (amounts in millions) and as a percentage of associated net revenues: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94"/>
              <w:spacing w:after="0"/>
              <w:rPr>
                <w:sz w:val="20"/>
                <w:szCs w:val="20"/>
                <w:color w:val="auto"/>
              </w:rPr>
            </w:pPr>
            <w:r>
              <w:rPr>
                <w:rFonts w:ascii="Arial" w:cs="Arial" w:eastAsia="Arial" w:hAnsi="Arial"/>
                <w:sz w:val="12"/>
                <w:szCs w:val="12"/>
                <w:b w:val="1"/>
                <w:bCs w:val="1"/>
                <w:color w:val="auto"/>
                <w:w w:val="94"/>
              </w:rPr>
              <w:t>Three Months Ended</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 of associated</w:t>
            </w:r>
          </w:p>
        </w:tc>
        <w:tc>
          <w:tcPr>
            <w:tcW w:w="160" w:type="dxa"/>
            <w:vAlign w:val="bottom"/>
          </w:tcPr>
          <w:p>
            <w:pPr>
              <w:spacing w:after="0"/>
              <w:rPr>
                <w:sz w:val="13"/>
                <w:szCs w:val="13"/>
                <w:color w:val="auto"/>
              </w:rPr>
            </w:pPr>
          </w:p>
        </w:tc>
        <w:tc>
          <w:tcPr>
            <w:tcW w:w="1440" w:type="dxa"/>
            <w:vAlign w:val="bottom"/>
          </w:tcPr>
          <w:p>
            <w:pPr>
              <w:jc w:val="center"/>
              <w:ind w:right="94"/>
              <w:spacing w:after="0"/>
              <w:rPr>
                <w:sz w:val="20"/>
                <w:szCs w:val="20"/>
                <w:color w:val="auto"/>
              </w:rPr>
            </w:pPr>
            <w:r>
              <w:rPr>
                <w:rFonts w:ascii="Arial" w:cs="Arial" w:eastAsia="Arial" w:hAnsi="Arial"/>
                <w:sz w:val="12"/>
                <w:szCs w:val="12"/>
                <w:b w:val="1"/>
                <w:bCs w:val="1"/>
                <w:color w:val="auto"/>
                <w:w w:val="94"/>
              </w:rPr>
              <w:t>Three Months Ended</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 of associated</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14"/>
              <w:spacing w:after="0"/>
              <w:rPr>
                <w:sz w:val="20"/>
                <w:szCs w:val="20"/>
                <w:color w:val="auto"/>
              </w:rPr>
            </w:pPr>
            <w:r>
              <w:rPr>
                <w:rFonts w:ascii="Arial" w:cs="Arial" w:eastAsia="Arial" w:hAnsi="Arial"/>
                <w:sz w:val="12"/>
                <w:szCs w:val="12"/>
                <w:b w:val="1"/>
                <w:bCs w:val="1"/>
                <w:color w:val="auto"/>
                <w:w w:val="90"/>
              </w:rPr>
              <w:t>September 30, 2019</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net revenues</w:t>
            </w:r>
          </w:p>
        </w:tc>
        <w:tc>
          <w:tcPr>
            <w:tcW w:w="160" w:type="dxa"/>
            <w:vAlign w:val="bottom"/>
          </w:tcPr>
          <w:p>
            <w:pPr>
              <w:spacing w:after="0"/>
              <w:rPr>
                <w:sz w:val="13"/>
                <w:szCs w:val="13"/>
                <w:color w:val="auto"/>
              </w:rPr>
            </w:pPr>
          </w:p>
        </w:tc>
        <w:tc>
          <w:tcPr>
            <w:tcW w:w="1440" w:type="dxa"/>
            <w:vAlign w:val="bottom"/>
          </w:tcPr>
          <w:p>
            <w:pPr>
              <w:jc w:val="center"/>
              <w:ind w:right="114"/>
              <w:spacing w:after="0"/>
              <w:rPr>
                <w:sz w:val="20"/>
                <w:szCs w:val="20"/>
                <w:color w:val="auto"/>
              </w:rPr>
            </w:pPr>
            <w:r>
              <w:rPr>
                <w:rFonts w:ascii="Arial" w:cs="Arial" w:eastAsia="Arial" w:hAnsi="Arial"/>
                <w:sz w:val="12"/>
                <w:szCs w:val="12"/>
                <w:b w:val="1"/>
                <w:bCs w:val="1"/>
                <w:color w:val="auto"/>
                <w:w w:val="90"/>
              </w:rPr>
              <w:t>September 30, 2018</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net revenues</w:t>
            </w:r>
          </w:p>
        </w:tc>
        <w:tc>
          <w:tcPr>
            <w:tcW w:w="100" w:type="dxa"/>
            <w:vAlign w:val="bottom"/>
          </w:tcPr>
          <w:p>
            <w:pPr>
              <w:spacing w:after="0"/>
              <w:rPr>
                <w:sz w:val="13"/>
                <w:szCs w:val="13"/>
                <w:color w:val="auto"/>
              </w:rPr>
            </w:pPr>
          </w:p>
        </w:tc>
        <w:tc>
          <w:tcPr>
            <w:tcW w:w="1140" w:type="dxa"/>
            <w:vAlign w:val="bottom"/>
          </w:tcPr>
          <w:p>
            <w:pPr>
              <w:jc w:val="right"/>
              <w:ind w:right="33"/>
              <w:spacing w:after="0"/>
              <w:rPr>
                <w:sz w:val="20"/>
                <w:szCs w:val="20"/>
                <w:color w:val="auto"/>
              </w:rPr>
            </w:pPr>
            <w:r>
              <w:rPr>
                <w:rFonts w:ascii="Arial" w:cs="Arial" w:eastAsia="Arial" w:hAnsi="Arial"/>
                <w:sz w:val="12"/>
                <w:szCs w:val="12"/>
                <w:b w:val="1"/>
                <w:bCs w:val="1"/>
                <w:color w:val="auto"/>
                <w:w w:val="89"/>
              </w:rPr>
              <w:t>Increase (Decrease)</w:t>
            </w:r>
          </w:p>
        </w:tc>
      </w:tr>
      <w:tr>
        <w:trPr>
          <w:trHeight w:val="25"/>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revenues—product sales:</w:t>
            </w: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0"/>
              <w:spacing w:after="0"/>
              <w:rPr>
                <w:sz w:val="20"/>
                <w:szCs w:val="20"/>
                <w:color w:val="auto"/>
              </w:rPr>
            </w:pPr>
            <w:r>
              <w:rPr>
                <w:rFonts w:ascii="Arial" w:cs="Arial" w:eastAsia="Arial" w:hAnsi="Arial"/>
                <w:sz w:val="14"/>
                <w:szCs w:val="14"/>
                <w:color w:val="auto"/>
              </w:rPr>
              <w:t>Product costs</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54"/>
              <w:spacing w:after="0"/>
              <w:rPr>
                <w:sz w:val="20"/>
                <w:szCs w:val="20"/>
                <w:color w:val="auto"/>
              </w:rPr>
            </w:pPr>
            <w:r>
              <w:rPr>
                <w:rFonts w:ascii="Arial" w:cs="Arial" w:eastAsia="Arial" w:hAnsi="Arial"/>
                <w:sz w:val="14"/>
                <w:szCs w:val="14"/>
                <w:color w:val="auto"/>
              </w:rPr>
              <w:t>137</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54"/>
              <w:spacing w:after="0"/>
              <w:rPr>
                <w:sz w:val="20"/>
                <w:szCs w:val="20"/>
                <w:color w:val="auto"/>
              </w:rPr>
            </w:pPr>
            <w:r>
              <w:rPr>
                <w:rFonts w:ascii="Arial" w:cs="Arial" w:eastAsia="Arial" w:hAnsi="Arial"/>
                <w:sz w:val="14"/>
                <w:szCs w:val="14"/>
                <w:color w:val="auto"/>
              </w:rPr>
              <w:t>127</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3"/>
              <w:spacing w:after="0"/>
              <w:rPr>
                <w:sz w:val="20"/>
                <w:szCs w:val="20"/>
                <w:color w:val="auto"/>
              </w:rPr>
            </w:pPr>
            <w:r>
              <w:rPr>
                <w:rFonts w:ascii="Arial" w:cs="Arial" w:eastAsia="Arial" w:hAnsi="Arial"/>
                <w:sz w:val="14"/>
                <w:szCs w:val="14"/>
                <w:color w:val="auto"/>
              </w:rPr>
              <w:t>10</w:t>
            </w:r>
          </w:p>
        </w:tc>
      </w:tr>
      <w:tr>
        <w:trPr>
          <w:trHeight w:val="21"/>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3"/>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Software royalties, amortization, and intellectual property</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5"/>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licenses</w:t>
            </w: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9</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20</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w w:val="96"/>
              </w:rPr>
              <w:t>Cost of revenues—subscription, licensing, and other revenues: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Game operations and distribution costs</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246</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257</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73"/>
        </w:trPr>
        <w:tc>
          <w:tcPr>
            <w:tcW w:w="3780" w:type="dxa"/>
            <w:vAlign w:val="bottom"/>
          </w:tcPr>
          <w:p>
            <w:pPr>
              <w:ind w:left="200"/>
              <w:spacing w:after="0"/>
              <w:rPr>
                <w:sz w:val="20"/>
                <w:szCs w:val="20"/>
                <w:color w:val="auto"/>
              </w:rPr>
            </w:pPr>
            <w:r>
              <w:rPr>
                <w:rFonts w:ascii="Arial" w:cs="Arial" w:eastAsia="Arial" w:hAnsi="Arial"/>
                <w:sz w:val="14"/>
                <w:szCs w:val="14"/>
                <w:color w:val="auto"/>
              </w:rPr>
              <w:t>Software royalties, amortization, and intellectual property</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3780" w:type="dxa"/>
            <w:vAlign w:val="bottom"/>
          </w:tcPr>
          <w:p>
            <w:pPr>
              <w:ind w:left="200"/>
              <w:spacing w:after="0"/>
              <w:rPr>
                <w:sz w:val="20"/>
                <w:szCs w:val="20"/>
                <w:color w:val="auto"/>
              </w:rPr>
            </w:pPr>
            <w:r>
              <w:rPr>
                <w:rFonts w:ascii="Arial" w:cs="Arial" w:eastAsia="Arial" w:hAnsi="Arial"/>
                <w:sz w:val="14"/>
                <w:szCs w:val="14"/>
                <w:color w:val="auto"/>
              </w:rPr>
              <w:t>licenses</w:t>
            </w:r>
          </w:p>
        </w:tc>
        <w:tc>
          <w:tcPr>
            <w:tcW w:w="160" w:type="dxa"/>
            <w:vAlign w:val="bottom"/>
          </w:tcPr>
          <w:p>
            <w:pPr>
              <w:spacing w:after="0"/>
              <w:rPr>
                <w:sz w:val="15"/>
                <w:szCs w:val="15"/>
                <w:color w:val="auto"/>
              </w:rPr>
            </w:pPr>
          </w:p>
        </w:tc>
        <w:tc>
          <w:tcPr>
            <w:tcW w:w="1440" w:type="dxa"/>
            <w:vAlign w:val="bottom"/>
          </w:tcPr>
          <w:p>
            <w:pPr>
              <w:jc w:val="right"/>
              <w:ind w:right="54"/>
              <w:spacing w:after="0"/>
              <w:rPr>
                <w:sz w:val="20"/>
                <w:szCs w:val="20"/>
                <w:color w:val="auto"/>
              </w:rPr>
            </w:pPr>
            <w:r>
              <w:rPr>
                <w:rFonts w:ascii="Arial" w:cs="Arial" w:eastAsia="Arial" w:hAnsi="Arial"/>
                <w:sz w:val="14"/>
                <w:szCs w:val="14"/>
                <w:color w:val="auto"/>
              </w:rPr>
              <w:t>50</w:t>
            </w:r>
          </w:p>
        </w:tc>
        <w:tc>
          <w:tcPr>
            <w:tcW w:w="1500" w:type="dxa"/>
            <w:vAlign w:val="bottom"/>
            <w:gridSpan w:val="2"/>
          </w:tcPr>
          <w:p>
            <w:pPr>
              <w:jc w:val="right"/>
              <w:ind w:right="7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54"/>
              <w:spacing w:after="0"/>
              <w:rPr>
                <w:sz w:val="20"/>
                <w:szCs w:val="20"/>
                <w:color w:val="auto"/>
              </w:rPr>
            </w:pPr>
            <w:r>
              <w:rPr>
                <w:rFonts w:ascii="Arial" w:cs="Arial" w:eastAsia="Arial" w:hAnsi="Arial"/>
                <w:sz w:val="14"/>
                <w:szCs w:val="14"/>
                <w:color w:val="auto"/>
              </w:rPr>
              <w:t>109</w:t>
            </w:r>
          </w:p>
        </w:tc>
        <w:tc>
          <w:tcPr>
            <w:tcW w:w="1500" w:type="dxa"/>
            <w:vAlign w:val="bottom"/>
            <w:gridSpan w:val="2"/>
          </w:tcPr>
          <w:p>
            <w:pPr>
              <w:jc w:val="right"/>
              <w:ind w:right="7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 of revenues</w:t>
            </w: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442</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513</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center"/>
              <w:ind w:right="114"/>
              <w:spacing w:after="0"/>
              <w:rPr>
                <w:sz w:val="20"/>
                <w:szCs w:val="20"/>
                <w:color w:val="auto"/>
              </w:rPr>
            </w:pPr>
            <w:r>
              <w:rPr>
                <w:rFonts w:ascii="Arial" w:cs="Arial" w:eastAsia="Arial" w:hAnsi="Arial"/>
                <w:sz w:val="12"/>
                <w:szCs w:val="12"/>
                <w:b w:val="1"/>
                <w:bCs w:val="1"/>
                <w:color w:val="auto"/>
                <w:w w:val="94"/>
              </w:rPr>
              <w:t>Nine Months Ended</w:t>
            </w: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 of associated</w:t>
            </w:r>
          </w:p>
        </w:tc>
        <w:tc>
          <w:tcPr>
            <w:tcW w:w="160" w:type="dxa"/>
            <w:vAlign w:val="bottom"/>
          </w:tcPr>
          <w:p>
            <w:pPr>
              <w:spacing w:after="0"/>
              <w:rPr>
                <w:sz w:val="24"/>
                <w:szCs w:val="24"/>
                <w:color w:val="auto"/>
              </w:rPr>
            </w:pPr>
          </w:p>
        </w:tc>
        <w:tc>
          <w:tcPr>
            <w:tcW w:w="1440" w:type="dxa"/>
            <w:vAlign w:val="bottom"/>
          </w:tcPr>
          <w:p>
            <w:pPr>
              <w:jc w:val="center"/>
              <w:ind w:right="114"/>
              <w:spacing w:after="0"/>
              <w:rPr>
                <w:sz w:val="20"/>
                <w:szCs w:val="20"/>
                <w:color w:val="auto"/>
              </w:rPr>
            </w:pPr>
            <w:r>
              <w:rPr>
                <w:rFonts w:ascii="Arial" w:cs="Arial" w:eastAsia="Arial" w:hAnsi="Arial"/>
                <w:sz w:val="12"/>
                <w:szCs w:val="12"/>
                <w:b w:val="1"/>
                <w:bCs w:val="1"/>
                <w:color w:val="auto"/>
                <w:w w:val="94"/>
              </w:rPr>
              <w:t>Nine Months Ended</w:t>
            </w:r>
          </w:p>
        </w:tc>
        <w:tc>
          <w:tcPr>
            <w:tcW w:w="10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 of associated</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5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114"/>
              <w:spacing w:after="0"/>
              <w:rPr>
                <w:sz w:val="20"/>
                <w:szCs w:val="20"/>
                <w:color w:val="auto"/>
              </w:rPr>
            </w:pPr>
            <w:r>
              <w:rPr>
                <w:rFonts w:ascii="Arial" w:cs="Arial" w:eastAsia="Arial" w:hAnsi="Arial"/>
                <w:sz w:val="12"/>
                <w:szCs w:val="12"/>
                <w:b w:val="1"/>
                <w:bCs w:val="1"/>
                <w:color w:val="auto"/>
                <w:w w:val="90"/>
              </w:rPr>
              <w:t>September 30, 2019</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net revenues</w:t>
            </w:r>
          </w:p>
        </w:tc>
        <w:tc>
          <w:tcPr>
            <w:tcW w:w="160" w:type="dxa"/>
            <w:vAlign w:val="bottom"/>
          </w:tcPr>
          <w:p>
            <w:pPr>
              <w:spacing w:after="0"/>
              <w:rPr>
                <w:sz w:val="13"/>
                <w:szCs w:val="13"/>
                <w:color w:val="auto"/>
              </w:rPr>
            </w:pPr>
          </w:p>
        </w:tc>
        <w:tc>
          <w:tcPr>
            <w:tcW w:w="1440" w:type="dxa"/>
            <w:vAlign w:val="bottom"/>
          </w:tcPr>
          <w:p>
            <w:pPr>
              <w:jc w:val="center"/>
              <w:ind w:right="114"/>
              <w:spacing w:after="0"/>
              <w:rPr>
                <w:sz w:val="20"/>
                <w:szCs w:val="20"/>
                <w:color w:val="auto"/>
              </w:rPr>
            </w:pPr>
            <w:r>
              <w:rPr>
                <w:rFonts w:ascii="Arial" w:cs="Arial" w:eastAsia="Arial" w:hAnsi="Arial"/>
                <w:sz w:val="12"/>
                <w:szCs w:val="12"/>
                <w:b w:val="1"/>
                <w:bCs w:val="1"/>
                <w:color w:val="auto"/>
                <w:w w:val="90"/>
              </w:rPr>
              <w:t>September 30, 2018</w:t>
            </w:r>
          </w:p>
        </w:tc>
        <w:tc>
          <w:tcPr>
            <w:tcW w:w="100" w:type="dxa"/>
            <w:vAlign w:val="bottom"/>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net revenues</w:t>
            </w:r>
          </w:p>
        </w:tc>
        <w:tc>
          <w:tcPr>
            <w:tcW w:w="100" w:type="dxa"/>
            <w:vAlign w:val="bottom"/>
          </w:tcPr>
          <w:p>
            <w:pPr>
              <w:spacing w:after="0"/>
              <w:rPr>
                <w:sz w:val="13"/>
                <w:szCs w:val="13"/>
                <w:color w:val="auto"/>
              </w:rPr>
            </w:pPr>
          </w:p>
        </w:tc>
        <w:tc>
          <w:tcPr>
            <w:tcW w:w="1140" w:type="dxa"/>
            <w:vAlign w:val="bottom"/>
          </w:tcPr>
          <w:p>
            <w:pPr>
              <w:jc w:val="right"/>
              <w:ind w:right="33"/>
              <w:spacing w:after="0"/>
              <w:rPr>
                <w:sz w:val="20"/>
                <w:szCs w:val="20"/>
                <w:color w:val="auto"/>
              </w:rPr>
            </w:pPr>
            <w:r>
              <w:rPr>
                <w:rFonts w:ascii="Arial" w:cs="Arial" w:eastAsia="Arial" w:hAnsi="Arial"/>
                <w:sz w:val="12"/>
                <w:szCs w:val="12"/>
                <w:b w:val="1"/>
                <w:bCs w:val="1"/>
                <w:color w:val="auto"/>
                <w:w w:val="89"/>
              </w:rPr>
              <w:t>Increase (Decrease)</w:t>
            </w:r>
          </w:p>
        </w:tc>
      </w:tr>
      <w:tr>
        <w:trPr>
          <w:trHeight w:val="25"/>
        </w:trPr>
        <w:tc>
          <w:tcPr>
            <w:tcW w:w="3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revenues—product sales:</w:t>
            </w: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3"/>
        </w:trPr>
        <w:tc>
          <w:tcPr>
            <w:tcW w:w="3780" w:type="dxa"/>
            <w:vAlign w:val="bottom"/>
          </w:tcPr>
          <w:p>
            <w:pPr>
              <w:ind w:left="200"/>
              <w:spacing w:after="0"/>
              <w:rPr>
                <w:sz w:val="20"/>
                <w:szCs w:val="20"/>
                <w:color w:val="auto"/>
              </w:rPr>
            </w:pPr>
            <w:r>
              <w:rPr>
                <w:rFonts w:ascii="Arial" w:cs="Arial" w:eastAsia="Arial" w:hAnsi="Arial"/>
                <w:sz w:val="14"/>
                <w:szCs w:val="14"/>
                <w:color w:val="auto"/>
              </w:rPr>
              <w:t>Product costs</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54"/>
              <w:spacing w:after="0"/>
              <w:rPr>
                <w:sz w:val="20"/>
                <w:szCs w:val="20"/>
                <w:color w:val="auto"/>
              </w:rPr>
            </w:pPr>
            <w:r>
              <w:rPr>
                <w:rFonts w:ascii="Arial" w:cs="Arial" w:eastAsia="Arial" w:hAnsi="Arial"/>
                <w:sz w:val="14"/>
                <w:szCs w:val="14"/>
                <w:color w:val="auto"/>
              </w:rPr>
              <w:t>388</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54"/>
              <w:spacing w:after="0"/>
              <w:rPr>
                <w:sz w:val="20"/>
                <w:szCs w:val="20"/>
                <w:color w:val="auto"/>
              </w:rPr>
            </w:pPr>
            <w:r>
              <w:rPr>
                <w:rFonts w:ascii="Arial" w:cs="Arial" w:eastAsia="Arial" w:hAnsi="Arial"/>
                <w:sz w:val="14"/>
                <w:szCs w:val="14"/>
                <w:color w:val="auto"/>
              </w:rPr>
              <w:t>416</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1"/>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3"/>
        </w:trPr>
        <w:tc>
          <w:tcPr>
            <w:tcW w:w="37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Software royalties, amortization, and intellectual property</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5"/>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licenses</w:t>
            </w: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171</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214</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83"/>
        </w:trPr>
        <w:tc>
          <w:tcPr>
            <w:tcW w:w="3780" w:type="dxa"/>
            <w:vAlign w:val="bottom"/>
          </w:tcPr>
          <w:p>
            <w:pPr>
              <w:ind w:left="20"/>
              <w:spacing w:after="0"/>
              <w:rPr>
                <w:sz w:val="20"/>
                <w:szCs w:val="20"/>
                <w:color w:val="auto"/>
              </w:rPr>
            </w:pPr>
            <w:r>
              <w:rPr>
                <w:rFonts w:ascii="Arial" w:cs="Arial" w:eastAsia="Arial" w:hAnsi="Arial"/>
                <w:sz w:val="14"/>
                <w:szCs w:val="14"/>
                <w:color w:val="auto"/>
                <w:w w:val="96"/>
              </w:rPr>
              <w:t>Cost of revenues—subscription, licensing, and other revenues:</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
        </w:trPr>
        <w:tc>
          <w:tcPr>
            <w:tcW w:w="3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5"/>
        </w:trPr>
        <w:tc>
          <w:tcPr>
            <w:tcW w:w="3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Game operations and distribution costs</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714</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777</w:t>
            </w:r>
          </w:p>
        </w:tc>
        <w:tc>
          <w:tcPr>
            <w:tcW w:w="1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73"/>
        </w:trPr>
        <w:tc>
          <w:tcPr>
            <w:tcW w:w="3780" w:type="dxa"/>
            <w:vAlign w:val="bottom"/>
          </w:tcPr>
          <w:p>
            <w:pPr>
              <w:ind w:left="200"/>
              <w:spacing w:after="0"/>
              <w:rPr>
                <w:sz w:val="20"/>
                <w:szCs w:val="20"/>
                <w:color w:val="auto"/>
              </w:rPr>
            </w:pPr>
            <w:r>
              <w:rPr>
                <w:rFonts w:ascii="Arial" w:cs="Arial" w:eastAsia="Arial" w:hAnsi="Arial"/>
                <w:sz w:val="14"/>
                <w:szCs w:val="14"/>
                <w:color w:val="auto"/>
              </w:rPr>
              <w:t>Software royalties, amortization, and intellectual property</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3"/>
        </w:trPr>
        <w:tc>
          <w:tcPr>
            <w:tcW w:w="3780" w:type="dxa"/>
            <w:vAlign w:val="bottom"/>
          </w:tcPr>
          <w:p>
            <w:pPr>
              <w:ind w:left="200"/>
              <w:spacing w:after="0"/>
              <w:rPr>
                <w:sz w:val="20"/>
                <w:szCs w:val="20"/>
                <w:color w:val="auto"/>
              </w:rPr>
            </w:pPr>
            <w:r>
              <w:rPr>
                <w:rFonts w:ascii="Arial" w:cs="Arial" w:eastAsia="Arial" w:hAnsi="Arial"/>
                <w:sz w:val="14"/>
                <w:szCs w:val="14"/>
                <w:color w:val="auto"/>
              </w:rPr>
              <w:t>licenses</w:t>
            </w:r>
          </w:p>
        </w:tc>
        <w:tc>
          <w:tcPr>
            <w:tcW w:w="160" w:type="dxa"/>
            <w:vAlign w:val="bottom"/>
          </w:tcPr>
          <w:p>
            <w:pPr>
              <w:spacing w:after="0"/>
              <w:rPr>
                <w:sz w:val="15"/>
                <w:szCs w:val="15"/>
                <w:color w:val="auto"/>
              </w:rPr>
            </w:pPr>
          </w:p>
        </w:tc>
        <w:tc>
          <w:tcPr>
            <w:tcW w:w="1440" w:type="dxa"/>
            <w:vAlign w:val="bottom"/>
          </w:tcPr>
          <w:p>
            <w:pPr>
              <w:jc w:val="right"/>
              <w:ind w:right="54"/>
              <w:spacing w:after="0"/>
              <w:rPr>
                <w:sz w:val="20"/>
                <w:szCs w:val="20"/>
                <w:color w:val="auto"/>
              </w:rPr>
            </w:pPr>
            <w:r>
              <w:rPr>
                <w:rFonts w:ascii="Arial" w:cs="Arial" w:eastAsia="Arial" w:hAnsi="Arial"/>
                <w:sz w:val="14"/>
                <w:szCs w:val="14"/>
                <w:color w:val="auto"/>
              </w:rPr>
              <w:t>164</w:t>
            </w:r>
          </w:p>
        </w:tc>
        <w:tc>
          <w:tcPr>
            <w:tcW w:w="1500" w:type="dxa"/>
            <w:vAlign w:val="bottom"/>
            <w:gridSpan w:val="2"/>
          </w:tcPr>
          <w:p>
            <w:pPr>
              <w:jc w:val="right"/>
              <w:ind w:right="7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54"/>
              <w:spacing w:after="0"/>
              <w:rPr>
                <w:sz w:val="20"/>
                <w:szCs w:val="20"/>
                <w:color w:val="auto"/>
              </w:rPr>
            </w:pPr>
            <w:r>
              <w:rPr>
                <w:rFonts w:ascii="Arial" w:cs="Arial" w:eastAsia="Arial" w:hAnsi="Arial"/>
                <w:sz w:val="14"/>
                <w:szCs w:val="14"/>
                <w:color w:val="auto"/>
              </w:rPr>
              <w:t>278</w:t>
            </w:r>
          </w:p>
        </w:tc>
        <w:tc>
          <w:tcPr>
            <w:tcW w:w="1500" w:type="dxa"/>
            <w:vAlign w:val="bottom"/>
            <w:gridSpan w:val="2"/>
          </w:tcPr>
          <w:p>
            <w:pPr>
              <w:jc w:val="right"/>
              <w:ind w:right="7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1"/>
        </w:trPr>
        <w:tc>
          <w:tcPr>
            <w:tcW w:w="3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 of revenues</w:t>
            </w: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1,437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1,685</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r>
      <w:tr>
        <w:trPr>
          <w:trHeight w:val="20"/>
        </w:trPr>
        <w:tc>
          <w:tcPr>
            <w:tcW w:w="3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Revenues—Product Sales: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increase in product costs for the three months ended September 30, 2019, as compared to the three months ended September 30, 2018, was in line with the increase in retail revenues.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460"/>
          </w:cols>
          <w:pgMar w:left="220" w:top="129" w:right="21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firstLine="245"/>
        <w:spacing w:after="0" w:line="253" w:lineRule="auto"/>
        <w:rPr>
          <w:sz w:val="20"/>
          <w:szCs w:val="20"/>
          <w:color w:val="auto"/>
        </w:rPr>
      </w:pPr>
      <w:r>
        <w:rPr>
          <w:rFonts w:ascii="Arial" w:cs="Arial" w:eastAsia="Arial" w:hAnsi="Arial"/>
          <w:sz w:val="14"/>
          <w:szCs w:val="14"/>
          <w:color w:val="auto"/>
        </w:rPr>
        <w:t>The decrease in software royalties, amortization, and intellectual property licenses related to product sales for the three months ended September 30, 2019, as compared to the three months ended September 30, 2018, was primarily due to a decrease of $8 million in software amortization and royalties from Activision, driven by the Destiny franchise (reflecting our sale of the publishing rights for Destiny to Bungie in December 2018).</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product costs for the nine months ended September 30, 2019, as compared to the nine months ended September 30, 2018, was in line with the decrease in product sales.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software royalties, amortization, and intellectual property licenses related to product sales for the nine months ended September 30, 2019, as compared to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September 30, 2018, was primarily due to a decrease of $56 million in software amortization and royalties from Activision, driven by the Destiny franchise. This decrease was partially offset by:</w:t>
      </w:r>
    </w:p>
    <w:p>
      <w:pPr>
        <w:spacing w:after="0" w:line="179" w:lineRule="exact"/>
        <w:rPr>
          <w:sz w:val="20"/>
          <w:szCs w:val="20"/>
          <w:color w:val="auto"/>
        </w:rPr>
      </w:pPr>
    </w:p>
    <w:p>
      <w:pPr>
        <w:ind w:left="740" w:hanging="247"/>
        <w:spacing w:after="0"/>
        <w:tabs>
          <w:tab w:leader="none" w:pos="7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higher software amortization and royalties for </w:t>
      </w:r>
      <w:r>
        <w:rPr>
          <w:rFonts w:ascii="Arial" w:cs="Arial" w:eastAsia="Arial" w:hAnsi="Arial"/>
          <w:sz w:val="12"/>
          <w:szCs w:val="12"/>
          <w:i w:val="1"/>
          <w:iCs w:val="1"/>
          <w:color w:val="auto"/>
        </w:rPr>
        <w:t>Call of Duty: Black Ops 4</w:t>
      </w:r>
      <w:r>
        <w:rPr>
          <w:rFonts w:ascii="Arial" w:cs="Arial" w:eastAsia="Arial" w:hAnsi="Arial"/>
          <w:sz w:val="12"/>
          <w:szCs w:val="12"/>
          <w:color w:val="auto"/>
        </w:rPr>
        <w:t xml:space="preserve">, which was released in October 2018, as compared to </w:t>
      </w:r>
      <w:r>
        <w:rPr>
          <w:rFonts w:ascii="Arial" w:cs="Arial" w:eastAsia="Arial" w:hAnsi="Arial"/>
          <w:sz w:val="12"/>
          <w:szCs w:val="12"/>
          <w:i w:val="1"/>
          <w:iCs w:val="1"/>
          <w:color w:val="auto"/>
        </w:rPr>
        <w:t>Call of Duty: WWII</w:t>
      </w:r>
      <w:r>
        <w:rPr>
          <w:rFonts w:ascii="Arial" w:cs="Arial" w:eastAsia="Arial" w:hAnsi="Arial"/>
          <w:sz w:val="12"/>
          <w:szCs w:val="12"/>
          <w:color w:val="auto"/>
        </w:rPr>
        <w:t>, which was released in November 2017; and</w:t>
      </w:r>
    </w:p>
    <w:p>
      <w:pPr>
        <w:spacing w:after="0" w:line="189" w:lineRule="exact"/>
        <w:rPr>
          <w:rFonts w:ascii="Arial" w:cs="Arial" w:eastAsia="Arial" w:hAnsi="Arial"/>
          <w:sz w:val="12"/>
          <w:szCs w:val="12"/>
          <w:color w:val="auto"/>
        </w:rPr>
      </w:pPr>
    </w:p>
    <w:p>
      <w:pPr>
        <w:ind w:left="740" w:hanging="247"/>
        <w:spacing w:after="0"/>
        <w:tabs>
          <w:tab w:leader="none" w:pos="7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software amortization and royalties from </w:t>
      </w:r>
      <w:r>
        <w:rPr>
          <w:rFonts w:ascii="Arial" w:cs="Arial" w:eastAsia="Arial" w:hAnsi="Arial"/>
          <w:sz w:val="14"/>
          <w:szCs w:val="14"/>
          <w:i w:val="1"/>
          <w:iCs w:val="1"/>
          <w:color w:val="auto"/>
        </w:rPr>
        <w:t>Sekiro: Shadows Die Twice</w:t>
      </w:r>
      <w:r>
        <w:rPr>
          <w:rFonts w:ascii="Arial" w:cs="Arial" w:eastAsia="Arial" w:hAnsi="Arial"/>
          <w:sz w:val="14"/>
          <w:szCs w:val="14"/>
          <w:color w:val="auto"/>
        </w:rPr>
        <w:t>, which was released in March 2019, with no comparable release in 2018.</w:t>
      </w:r>
    </w:p>
    <w:p>
      <w:pPr>
        <w:spacing w:after="0" w:line="166" w:lineRule="exact"/>
        <w:rPr>
          <w:sz w:val="20"/>
          <w:szCs w:val="20"/>
          <w:color w:val="auto"/>
        </w:rPr>
      </w:pPr>
    </w:p>
    <w:p>
      <w:pPr>
        <w:ind w:right="140" w:firstLine="245"/>
        <w:spacing w:after="0" w:line="262" w:lineRule="auto"/>
        <w:rPr>
          <w:sz w:val="20"/>
          <w:szCs w:val="20"/>
          <w:color w:val="auto"/>
        </w:rPr>
      </w:pPr>
      <w:r>
        <w:rPr>
          <w:rFonts w:ascii="Arial" w:cs="Arial" w:eastAsia="Arial" w:hAnsi="Arial"/>
          <w:sz w:val="14"/>
          <w:szCs w:val="14"/>
          <w:color w:val="auto"/>
        </w:rPr>
        <w:t xml:space="preserve">The decrease from Activision was partially offset by an increase of $12 million in software amortization and royalties from Blizzard, driven by the release of </w:t>
      </w:r>
      <w:r>
        <w:rPr>
          <w:rFonts w:ascii="Arial" w:cs="Arial" w:eastAsia="Arial" w:hAnsi="Arial"/>
          <w:sz w:val="14"/>
          <w:szCs w:val="14"/>
          <w:i w:val="1"/>
          <w:iCs w:val="1"/>
          <w:color w:val="auto"/>
        </w:rPr>
        <w:t>World of Warcraft: Battle for Azeroth</w:t>
      </w:r>
      <w:r>
        <w:rPr>
          <w:rFonts w:ascii="Arial" w:cs="Arial" w:eastAsia="Arial" w:hAnsi="Arial"/>
          <w:sz w:val="14"/>
          <w:szCs w:val="14"/>
          <w:color w:val="auto"/>
        </w:rPr>
        <w:t>, which was released in August 2018, with no comparable release in 2017.</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Revenues—Subscription, Licensing, and Other Revenues</w:t>
      </w:r>
      <w:r>
        <w:rPr>
          <w:rFonts w:ascii="Arial" w:cs="Arial" w:eastAsia="Arial" w:hAnsi="Arial"/>
          <w:sz w:val="14"/>
          <w:szCs w:val="14"/>
          <w:color w:val="auto"/>
        </w:rPr>
        <w: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right="60" w:firstLine="245"/>
        <w:spacing w:after="0" w:line="346" w:lineRule="auto"/>
        <w:rPr>
          <w:sz w:val="20"/>
          <w:szCs w:val="20"/>
          <w:color w:val="auto"/>
        </w:rPr>
      </w:pPr>
      <w:r>
        <w:rPr>
          <w:rFonts w:ascii="Arial" w:cs="Arial" w:eastAsia="Arial" w:hAnsi="Arial"/>
          <w:sz w:val="12"/>
          <w:szCs w:val="12"/>
          <w:color w:val="auto"/>
        </w:rPr>
        <w:t>The decrease in game operations and distribution costs for the three months ended September 30, 2019, as compared to the three months ended September 30, 2018, was primarily due to a decrease of $18 million in service provider fees such as digital storefront fees (e.g. fees retained by Apple and Google for our sales on their platforms), payment processor fees, and server bandwidth fees.</w:t>
      </w:r>
    </w:p>
    <w:p>
      <w:pPr>
        <w:spacing w:after="0" w:line="93" w:lineRule="exact"/>
        <w:rPr>
          <w:sz w:val="20"/>
          <w:szCs w:val="20"/>
          <w:color w:val="auto"/>
        </w:rPr>
      </w:pPr>
    </w:p>
    <w:p>
      <w:pPr>
        <w:ind w:right="60" w:firstLine="245"/>
        <w:spacing w:after="0" w:line="262" w:lineRule="auto"/>
        <w:rPr>
          <w:sz w:val="20"/>
          <w:szCs w:val="20"/>
          <w:color w:val="auto"/>
        </w:rPr>
      </w:pPr>
      <w:r>
        <w:rPr>
          <w:rFonts w:ascii="Arial" w:cs="Arial" w:eastAsia="Arial" w:hAnsi="Arial"/>
          <w:sz w:val="14"/>
          <w:szCs w:val="14"/>
          <w:color w:val="auto"/>
        </w:rPr>
        <w:t>The decrease in software royalties, amortization, and intellectual property licenses related to subscription, licensing, and other revenues for the three months ended September 30, 2019, as compared to the three months ended September 30, 2018, was primarily due to:</w:t>
      </w:r>
    </w:p>
    <w:p>
      <w:pPr>
        <w:spacing w:after="0" w:line="139" w:lineRule="exact"/>
        <w:rPr>
          <w:sz w:val="20"/>
          <w:szCs w:val="20"/>
          <w:color w:val="auto"/>
        </w:rPr>
      </w:pPr>
    </w:p>
    <w:p>
      <w:pPr>
        <w:ind w:left="740" w:hanging="247"/>
        <w:spacing w:after="0"/>
        <w:tabs>
          <w:tab w:leader="none" w:pos="7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 decrease of $34 million in amortization of internally-developed franchise intangible assets acquired as part of our acquisition of King;</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lower software amortization and royalties from Activision of $14 million, driven by the Destiny franchise; and</w:t>
      </w:r>
    </w:p>
    <w:p>
      <w:pPr>
        <w:spacing w:after="0" w:line="166" w:lineRule="exact"/>
        <w:rPr>
          <w:rFonts w:ascii="Arial" w:cs="Arial" w:eastAsia="Arial" w:hAnsi="Arial"/>
          <w:sz w:val="14"/>
          <w:szCs w:val="14"/>
          <w:color w:val="auto"/>
        </w:rPr>
      </w:pPr>
    </w:p>
    <w:p>
      <w:pPr>
        <w:ind w:left="740" w:right="60" w:hanging="247"/>
        <w:spacing w:after="0" w:line="262" w:lineRule="auto"/>
        <w:tabs>
          <w:tab w:leader="none" w:pos="7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lower amortization of capitalized film costs of $12 million given the release of the third season of the animated TV series, </w:t>
      </w:r>
      <w:r>
        <w:rPr>
          <w:rFonts w:ascii="Arial" w:cs="Arial" w:eastAsia="Arial" w:hAnsi="Arial"/>
          <w:sz w:val="14"/>
          <w:szCs w:val="14"/>
          <w:i w:val="1"/>
          <w:iCs w:val="1"/>
          <w:color w:val="auto"/>
        </w:rPr>
        <w:t>Skylanders Academy</w:t>
      </w:r>
      <w:r>
        <w:rPr>
          <w:rFonts w:ascii="Arial" w:cs="Arial" w:eastAsia="Arial" w:hAnsi="Arial"/>
          <w:sz w:val="14"/>
          <w:szCs w:val="14"/>
          <w:color w:val="auto"/>
        </w:rPr>
        <w:t>, in September 2018, with no comparable release in 2019.</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right="140" w:firstLine="245"/>
        <w:spacing w:after="0" w:line="346" w:lineRule="auto"/>
        <w:rPr>
          <w:sz w:val="20"/>
          <w:szCs w:val="20"/>
          <w:color w:val="auto"/>
        </w:rPr>
      </w:pPr>
      <w:r>
        <w:rPr>
          <w:rFonts w:ascii="Arial" w:cs="Arial" w:eastAsia="Arial" w:hAnsi="Arial"/>
          <w:sz w:val="12"/>
          <w:szCs w:val="12"/>
          <w:color w:val="auto"/>
        </w:rPr>
        <w:t>The decrease in game operations and distribution costs for the nine months ended September 30, 2019, as compared to the nine months ended September 30, 2018, was primarily due to a decrease of $50 million in service provider fees such as digital storefront fees (e.g. fees retained by Apple and Google for our sales on their platforms), payment processor fees, and server bandwidth fees.</w:t>
      </w:r>
    </w:p>
    <w:p>
      <w:pPr>
        <w:spacing w:after="0" w:line="93" w:lineRule="exact"/>
        <w:rPr>
          <w:sz w:val="20"/>
          <w:szCs w:val="20"/>
          <w:color w:val="auto"/>
        </w:rPr>
      </w:pPr>
    </w:p>
    <w:p>
      <w:pPr>
        <w:ind w:right="100" w:firstLine="245"/>
        <w:spacing w:after="0" w:line="262" w:lineRule="auto"/>
        <w:rPr>
          <w:sz w:val="20"/>
          <w:szCs w:val="20"/>
          <w:color w:val="auto"/>
        </w:rPr>
      </w:pPr>
      <w:r>
        <w:rPr>
          <w:rFonts w:ascii="Arial" w:cs="Arial" w:eastAsia="Arial" w:hAnsi="Arial"/>
          <w:sz w:val="14"/>
          <w:szCs w:val="14"/>
          <w:color w:val="auto"/>
        </w:rPr>
        <w:t>The decrease in software royalties, amortization, and intellectual property licenses related to subscription, licensing, and other revenues for the nine months ended September 30, 2019, as compared to the nine months ended September 30, 2018, was primarily due to:</w:t>
      </w:r>
    </w:p>
    <w:p>
      <w:pPr>
        <w:spacing w:after="0" w:line="139" w:lineRule="exact"/>
        <w:rPr>
          <w:sz w:val="20"/>
          <w:szCs w:val="20"/>
          <w:color w:val="auto"/>
        </w:rPr>
      </w:pPr>
    </w:p>
    <w:p>
      <w:pPr>
        <w:ind w:left="5660" w:right="3280" w:hanging="5167"/>
        <w:spacing w:after="0" w:line="536" w:lineRule="auto"/>
        <w:tabs>
          <w:tab w:leader="none" w:pos="732" w:val="left"/>
        </w:tabs>
        <w:numPr>
          <w:ilvl w:val="0"/>
          <w:numId w:val="55"/>
        </w:numPr>
        <w:rPr>
          <w:rFonts w:ascii="Arial" w:cs="Arial" w:eastAsia="Arial" w:hAnsi="Arial"/>
          <w:sz w:val="14"/>
          <w:szCs w:val="14"/>
          <w:color w:val="auto"/>
        </w:rPr>
      </w:pPr>
      <w:r>
        <w:rPr>
          <w:rFonts w:ascii="Arial" w:cs="Arial" w:eastAsia="Arial" w:hAnsi="Arial"/>
          <w:sz w:val="14"/>
          <w:szCs w:val="14"/>
          <w:color w:val="auto"/>
        </w:rPr>
        <w:t>a decrease of $83 million in amortization of internally-developed franchise intangible assets acquired as part of our acquisition of King; 58</w:t>
      </w:r>
    </w:p>
    <w:p>
      <w:pPr>
        <w:sectPr>
          <w:pgSz w:w="11900" w:h="16838" w:orient="portrait"/>
          <w:cols w:equalWidth="0" w:num="1">
            <w:col w:w="11420"/>
          </w:cols>
          <w:pgMar w:left="220" w:top="129"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0" w:lineRule="exact"/>
        <w:rPr>
          <w:sz w:val="20"/>
          <w:szCs w:val="20"/>
          <w:color w:val="auto"/>
        </w:rPr>
      </w:pPr>
    </w:p>
    <w:p>
      <w:pPr>
        <w:ind w:left="740" w:hanging="247"/>
        <w:spacing w:after="0"/>
        <w:tabs>
          <w:tab w:leader="none" w:pos="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lower software amortization and royalties from Activision of $22 million, driven by the Destiny franchise; and</w:t>
      </w:r>
    </w:p>
    <w:p>
      <w:pPr>
        <w:spacing w:after="0" w:line="166" w:lineRule="exact"/>
        <w:rPr>
          <w:rFonts w:ascii="Arial" w:cs="Arial" w:eastAsia="Arial" w:hAnsi="Arial"/>
          <w:sz w:val="14"/>
          <w:szCs w:val="14"/>
          <w:color w:val="auto"/>
        </w:rPr>
      </w:pPr>
    </w:p>
    <w:p>
      <w:pPr>
        <w:ind w:left="740" w:right="80" w:hanging="247"/>
        <w:spacing w:after="0" w:line="262" w:lineRule="auto"/>
        <w:tabs>
          <w:tab w:leader="none" w:pos="7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 xml:space="preserve">lower amortization of capitalized film costs of $12 million given the release of the third season of the animated TV series, </w:t>
      </w:r>
      <w:r>
        <w:rPr>
          <w:rFonts w:ascii="Arial" w:cs="Arial" w:eastAsia="Arial" w:hAnsi="Arial"/>
          <w:sz w:val="14"/>
          <w:szCs w:val="14"/>
          <w:i w:val="1"/>
          <w:iCs w:val="1"/>
          <w:color w:val="auto"/>
        </w:rPr>
        <w:t>Skylanders Academy</w:t>
      </w:r>
      <w:r>
        <w:rPr>
          <w:rFonts w:ascii="Arial" w:cs="Arial" w:eastAsia="Arial" w:hAnsi="Arial"/>
          <w:sz w:val="14"/>
          <w:szCs w:val="14"/>
          <w:color w:val="auto"/>
        </w:rPr>
        <w:t>, in September 2018, with no comparable release in 2019.</w:t>
      </w: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219"/>
              <w:spacing w:after="0"/>
              <w:rPr>
                <w:sz w:val="20"/>
                <w:szCs w:val="20"/>
                <w:color w:val="auto"/>
              </w:rPr>
            </w:pPr>
            <w:r>
              <w:rPr>
                <w:rFonts w:ascii="Arial" w:cs="Arial" w:eastAsia="Arial" w:hAnsi="Arial"/>
                <w:sz w:val="12"/>
                <w:szCs w:val="12"/>
                <w:b w:val="1"/>
                <w:bCs w:val="1"/>
                <w:color w:val="auto"/>
                <w:w w:val="91"/>
              </w:rPr>
              <w:t>% of consolidated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 of consolidated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2019</w:t>
            </w:r>
          </w:p>
        </w:tc>
        <w:tc>
          <w:tcPr>
            <w:tcW w:w="1220" w:type="dxa"/>
            <w:vAlign w:val="bottom"/>
          </w:tcPr>
          <w:p>
            <w:pPr>
              <w:jc w:val="center"/>
              <w:ind w:left="219"/>
              <w:spacing w:after="0"/>
              <w:rPr>
                <w:sz w:val="20"/>
                <w:szCs w:val="20"/>
                <w:color w:val="auto"/>
              </w:rPr>
            </w:pPr>
            <w:r>
              <w:rPr>
                <w:rFonts w:ascii="Arial" w:cs="Arial" w:eastAsia="Arial" w:hAnsi="Arial"/>
                <w:sz w:val="12"/>
                <w:szCs w:val="12"/>
                <w:b w:val="1"/>
                <w:bCs w:val="1"/>
                <w:color w:val="auto"/>
                <w:w w:val="89"/>
              </w:rPr>
              <w:t>net revenues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2018</w:t>
            </w: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net revenues</w:t>
            </w:r>
          </w:p>
        </w:tc>
        <w:tc>
          <w:tcPr>
            <w:tcW w:w="100" w:type="dxa"/>
            <w:vAlign w:val="bottom"/>
          </w:tcPr>
          <w:p>
            <w:pPr>
              <w:spacing w:after="0"/>
              <w:rPr>
                <w:sz w:val="13"/>
                <w:szCs w:val="13"/>
                <w:color w:val="auto"/>
              </w:rPr>
            </w:pPr>
          </w:p>
        </w:tc>
        <w:tc>
          <w:tcPr>
            <w:tcW w:w="1160" w:type="dxa"/>
            <w:vAlign w:val="bottom"/>
          </w:tcPr>
          <w:p>
            <w:pPr>
              <w:jc w:val="right"/>
              <w:ind w:right="54"/>
              <w:spacing w:after="0"/>
              <w:rPr>
                <w:sz w:val="20"/>
                <w:szCs w:val="20"/>
                <w:color w:val="auto"/>
              </w:rPr>
            </w:pPr>
            <w:r>
              <w:rPr>
                <w:rFonts w:ascii="Arial" w:cs="Arial" w:eastAsia="Arial" w:hAnsi="Arial"/>
                <w:sz w:val="12"/>
                <w:szCs w:val="12"/>
                <w:b w:val="1"/>
                <w:bCs w:val="1"/>
                <w:color w:val="auto"/>
                <w:w w:val="89"/>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16%</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(53)</w:t>
            </w:r>
          </w:p>
        </w:tc>
      </w:tr>
      <w:tr>
        <w:trPr>
          <w:trHeight w:val="183"/>
        </w:trPr>
        <w:tc>
          <w:tcPr>
            <w:tcW w:w="3760" w:type="dxa"/>
            <w:vAlign w:val="bottom"/>
          </w:tcPr>
          <w:p>
            <w:pPr>
              <w:ind w:left="20"/>
              <w:spacing w:after="0"/>
              <w:rPr>
                <w:sz w:val="20"/>
                <w:szCs w:val="20"/>
                <w:color w:val="auto"/>
              </w:rPr>
            </w:pPr>
            <w:r>
              <w:rPr>
                <w:rFonts w:ascii="Arial" w:cs="Arial" w:eastAsia="Arial" w:hAnsi="Arial"/>
                <w:sz w:val="14"/>
                <w:szCs w:val="14"/>
                <w:color w:val="auto"/>
              </w:rPr>
              <w:t>Nine Months Ended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702</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85"/>
              </w:rPr>
              <w:t>16%</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34"/>
              <w:spacing w:after="0"/>
              <w:rPr>
                <w:sz w:val="20"/>
                <w:szCs w:val="20"/>
                <w:color w:val="auto"/>
              </w:rPr>
            </w:pPr>
            <w:r>
              <w:rPr>
                <w:rFonts w:ascii="Arial" w:cs="Arial" w:eastAsia="Arial" w:hAnsi="Arial"/>
                <w:sz w:val="14"/>
                <w:szCs w:val="14"/>
                <w:color w:val="auto"/>
              </w:rPr>
              <w:t>776</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
              <w:spacing w:after="0"/>
              <w:rPr>
                <w:sz w:val="20"/>
                <w:szCs w:val="20"/>
                <w:color w:val="auto"/>
              </w:rPr>
            </w:pPr>
            <w:r>
              <w:rPr>
                <w:rFonts w:ascii="Arial" w:cs="Arial" w:eastAsia="Arial" w:hAnsi="Arial"/>
                <w:sz w:val="14"/>
                <w:szCs w:val="14"/>
                <w:color w:val="auto"/>
              </w:rPr>
              <w:t>(74)</w:t>
            </w:r>
          </w:p>
        </w:tc>
      </w:tr>
    </w:tbl>
    <w:p>
      <w:pPr>
        <w:spacing w:after="0" w:line="174"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product development costs for the three months ended September 30, 2019, as compared to the three months ended September 30, 2018, was primarily due to:</w:t>
      </w:r>
    </w:p>
    <w:p>
      <w:pPr>
        <w:spacing w:after="0" w:line="166" w:lineRule="exact"/>
        <w:rPr>
          <w:sz w:val="20"/>
          <w:szCs w:val="20"/>
          <w:color w:val="auto"/>
        </w:rPr>
      </w:pPr>
    </w:p>
    <w:p>
      <w:pPr>
        <w:ind w:left="740" w:hanging="247"/>
        <w:spacing w:after="0"/>
        <w:tabs>
          <w:tab w:leader="none" w:pos="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lower product development costs for existing and upcoming title releases of $33 million, primarily due to lower personnel costs; and</w:t>
      </w:r>
    </w:p>
    <w:p>
      <w:pPr>
        <w:spacing w:after="0" w:line="166" w:lineRule="exact"/>
        <w:rPr>
          <w:rFonts w:ascii="Arial" w:cs="Arial" w:eastAsia="Arial" w:hAnsi="Arial"/>
          <w:sz w:val="14"/>
          <w:szCs w:val="14"/>
          <w:color w:val="auto"/>
        </w:rPr>
      </w:pPr>
    </w:p>
    <w:p>
      <w:pPr>
        <w:ind w:left="240" w:right="2700" w:firstLine="253"/>
        <w:spacing w:after="0" w:line="487" w:lineRule="auto"/>
        <w:tabs>
          <w:tab w:leader="none" w:pos="731" w:val="left"/>
        </w:tabs>
        <w:numPr>
          <w:ilvl w:val="0"/>
          <w:numId w:val="57"/>
        </w:numPr>
        <w:rPr>
          <w:rFonts w:ascii="Arial" w:cs="Arial" w:eastAsia="Arial" w:hAnsi="Arial"/>
          <w:sz w:val="14"/>
          <w:szCs w:val="14"/>
          <w:color w:val="auto"/>
        </w:rPr>
      </w:pPr>
      <w:r>
        <w:rPr>
          <w:rFonts w:ascii="Arial" w:cs="Arial" w:eastAsia="Arial" w:hAnsi="Arial"/>
          <w:sz w:val="14"/>
          <w:szCs w:val="14"/>
          <w:color w:val="auto"/>
        </w:rPr>
        <w:t xml:space="preserve">lower product development costs from the Destiny franchise (reflecting our sale of the publishing rights for Destiny to Bungie in December 2018). </w:t>
      </w:r>
      <w:r>
        <w:rPr>
          <w:rFonts w:ascii="Arial" w:cs="Arial" w:eastAsia="Arial" w:hAnsi="Arial"/>
          <w:sz w:val="14"/>
          <w:szCs w:val="14"/>
          <w:u w:val="single" w:color="auto"/>
          <w:color w:val="auto"/>
        </w:rPr>
        <w:t>YTD Q3 2019 vs. YTD Q3 2018</w:t>
      </w:r>
    </w:p>
    <w:p>
      <w:pPr>
        <w:spacing w:after="0" w:line="1" w:lineRule="exact"/>
        <w:rPr>
          <w:rFonts w:ascii="Arial" w:cs="Arial" w:eastAsia="Arial" w:hAnsi="Arial"/>
          <w:sz w:val="14"/>
          <w:szCs w:val="14"/>
          <w:color w:val="auto"/>
        </w:rPr>
      </w:pPr>
    </w:p>
    <w:p>
      <w:pPr>
        <w:ind w:left="240"/>
        <w:spacing w:after="0"/>
        <w:rPr>
          <w:rFonts w:ascii="Arial" w:cs="Arial" w:eastAsia="Arial" w:hAnsi="Arial"/>
          <w:sz w:val="14"/>
          <w:szCs w:val="14"/>
          <w:color w:val="auto"/>
        </w:rPr>
      </w:pPr>
      <w:r>
        <w:rPr>
          <w:rFonts w:ascii="Arial" w:cs="Arial" w:eastAsia="Arial" w:hAnsi="Arial"/>
          <w:sz w:val="14"/>
          <w:szCs w:val="14"/>
          <w:color w:val="auto"/>
        </w:rPr>
        <w:t>The decrease in product development costs for the nine months ended September 30, 2019, as compared to the nine months ended September 30, 2018, was primarily due to:</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lower product development costs for existing and upcoming title releases of $66 million, primarily due to lower personnel costs; and</w:t>
      </w:r>
    </w:p>
    <w:p>
      <w:pPr>
        <w:spacing w:after="0" w:line="166" w:lineRule="exact"/>
        <w:rPr>
          <w:rFonts w:ascii="Arial" w:cs="Arial" w:eastAsia="Arial" w:hAnsi="Arial"/>
          <w:sz w:val="14"/>
          <w:szCs w:val="14"/>
          <w:color w:val="auto"/>
        </w:rPr>
      </w:pPr>
    </w:p>
    <w:p>
      <w:pPr>
        <w:ind w:left="740" w:hanging="247"/>
        <w:spacing w:after="0"/>
        <w:tabs>
          <w:tab w:leader="none" w:pos="7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lower product development costs from the Destiny franchise.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and Marketing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 of consolidated</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 of consolidated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2019</w:t>
            </w: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net revenues</w:t>
            </w:r>
          </w:p>
        </w:tc>
        <w:tc>
          <w:tcPr>
            <w:tcW w:w="16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2018</w:t>
            </w: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net revenues</w:t>
            </w:r>
          </w:p>
        </w:tc>
        <w:tc>
          <w:tcPr>
            <w:tcW w:w="100" w:type="dxa"/>
            <w:vAlign w:val="bottom"/>
          </w:tcPr>
          <w:p>
            <w:pPr>
              <w:spacing w:after="0"/>
              <w:rPr>
                <w:sz w:val="13"/>
                <w:szCs w:val="13"/>
                <w:color w:val="auto"/>
              </w:rPr>
            </w:pPr>
          </w:p>
        </w:tc>
        <w:tc>
          <w:tcPr>
            <w:tcW w:w="1160" w:type="dxa"/>
            <w:vAlign w:val="bottom"/>
          </w:tcPr>
          <w:p>
            <w:pPr>
              <w:jc w:val="right"/>
              <w:ind w:right="54"/>
              <w:spacing w:after="0"/>
              <w:rPr>
                <w:sz w:val="20"/>
                <w:szCs w:val="20"/>
                <w:color w:val="auto"/>
              </w:rPr>
            </w:pPr>
            <w:r>
              <w:rPr>
                <w:rFonts w:ascii="Arial" w:cs="Arial" w:eastAsia="Arial" w:hAnsi="Arial"/>
                <w:sz w:val="12"/>
                <w:szCs w:val="12"/>
                <w:b w:val="1"/>
                <w:bCs w:val="1"/>
                <w:color w:val="auto"/>
                <w:w w:val="89"/>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(81)</w:t>
            </w:r>
          </w:p>
        </w:tc>
      </w:tr>
      <w:tr>
        <w:trPr>
          <w:trHeight w:val="183"/>
        </w:trPr>
        <w:tc>
          <w:tcPr>
            <w:tcW w:w="3760" w:type="dxa"/>
            <w:vAlign w:val="bottom"/>
          </w:tcPr>
          <w:p>
            <w:pPr>
              <w:ind w:left="20"/>
              <w:spacing w:after="0"/>
              <w:rPr>
                <w:sz w:val="20"/>
                <w:szCs w:val="20"/>
                <w:color w:val="auto"/>
              </w:rPr>
            </w:pPr>
            <w:r>
              <w:rPr>
                <w:rFonts w:ascii="Arial" w:cs="Arial" w:eastAsia="Arial" w:hAnsi="Arial"/>
                <w:sz w:val="14"/>
                <w:szCs w:val="14"/>
                <w:color w:val="auto"/>
              </w:rPr>
              <w:t>Nine Months Ended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34"/>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
              <w:spacing w:after="0"/>
              <w:rPr>
                <w:sz w:val="20"/>
                <w:szCs w:val="20"/>
                <w:color w:val="auto"/>
              </w:rPr>
            </w:pPr>
            <w:r>
              <w:rPr>
                <w:rFonts w:ascii="Arial" w:cs="Arial" w:eastAsia="Arial" w:hAnsi="Arial"/>
                <w:sz w:val="14"/>
                <w:szCs w:val="14"/>
                <w:color w:val="auto"/>
              </w:rPr>
              <w:t>(161)</w:t>
            </w:r>
          </w:p>
        </w:tc>
      </w:tr>
    </w:tbl>
    <w:p>
      <w:pPr>
        <w:spacing w:after="0" w:line="174"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jc w:val="both"/>
        <w:ind w:firstLine="245"/>
        <w:spacing w:after="0" w:line="346" w:lineRule="auto"/>
        <w:rPr>
          <w:sz w:val="20"/>
          <w:szCs w:val="20"/>
          <w:color w:val="auto"/>
        </w:rPr>
      </w:pPr>
      <w:r>
        <w:rPr>
          <w:rFonts w:ascii="Arial" w:cs="Arial" w:eastAsia="Arial" w:hAnsi="Arial"/>
          <w:sz w:val="12"/>
          <w:szCs w:val="12"/>
          <w:color w:val="auto"/>
        </w:rPr>
        <w:t>The decrease in sales and marketing expenses for the three months ended September 30, 2019, as compared to the three months ended September 30, 2018, was primarily due to a decrease of $81 million in marketing spending and personnel costs, primarily associated with lower marketing costs for the Destiny, World of Warcraft, and Call of Duty franchises, and esports initiatives.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40"/>
          </w:cols>
          <w:pgMar w:left="220" w:top="129"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decrease in sales and marketing expenses for the nine months ended September 30, 2019, as compared to the nine months ended September 30, 2018, was primarily due to:</w:t>
      </w:r>
    </w:p>
    <w:p>
      <w:pPr>
        <w:spacing w:after="0" w:line="166" w:lineRule="exact"/>
        <w:rPr>
          <w:sz w:val="20"/>
          <w:szCs w:val="20"/>
          <w:color w:val="auto"/>
        </w:rPr>
      </w:pPr>
    </w:p>
    <w:p>
      <w:pPr>
        <w:ind w:left="740" w:right="40" w:hanging="247"/>
        <w:spacing w:after="0" w:line="262" w:lineRule="auto"/>
        <w:tabs>
          <w:tab w:leader="none" w:pos="7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 xml:space="preserve">a decrease of $130 million in marketing spending and personnel costs, primarily associated with lower marketing costs for esports initiatives, the Destiny franchise, and </w:t>
      </w:r>
      <w:r>
        <w:rPr>
          <w:rFonts w:ascii="Arial" w:cs="Arial" w:eastAsia="Arial" w:hAnsi="Arial"/>
          <w:sz w:val="14"/>
          <w:szCs w:val="14"/>
          <w:i w:val="1"/>
          <w:iCs w:val="1"/>
          <w:color w:val="auto"/>
        </w:rPr>
        <w:t>Overwatch</w:t>
      </w:r>
      <w:r>
        <w:rPr>
          <w:rFonts w:ascii="Arial" w:cs="Arial" w:eastAsia="Arial" w:hAnsi="Arial"/>
          <w:sz w:val="14"/>
          <w:szCs w:val="14"/>
          <w:color w:val="auto"/>
        </w:rPr>
        <w:t>, partially offset by higher marketing costs for the Candy Crush franchise; and</w:t>
      </w:r>
    </w:p>
    <w:p>
      <w:pPr>
        <w:spacing w:after="0" w:line="139" w:lineRule="exact"/>
        <w:rPr>
          <w:rFonts w:ascii="Arial" w:cs="Arial" w:eastAsia="Arial" w:hAnsi="Arial"/>
          <w:sz w:val="14"/>
          <w:szCs w:val="14"/>
          <w:color w:val="auto"/>
        </w:rPr>
      </w:pPr>
    </w:p>
    <w:p>
      <w:pPr>
        <w:ind w:left="740" w:hanging="247"/>
        <w:spacing w:after="0"/>
        <w:tabs>
          <w:tab w:leader="none" w:pos="7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decrease of $44 million in amortization of the customer base intangible asset acquired as part of our acquisition of King, as the asset was fully amortized during the first quarter of 2018.</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 of consolidated</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 of consolidated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2019</w:t>
            </w: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net revenues</w:t>
            </w:r>
          </w:p>
        </w:tc>
        <w:tc>
          <w:tcPr>
            <w:tcW w:w="16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2018</w:t>
            </w: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net revenues</w:t>
            </w:r>
          </w:p>
        </w:tc>
        <w:tc>
          <w:tcPr>
            <w:tcW w:w="100" w:type="dxa"/>
            <w:vAlign w:val="bottom"/>
          </w:tcPr>
          <w:p>
            <w:pPr>
              <w:spacing w:after="0"/>
              <w:rPr>
                <w:sz w:val="13"/>
                <w:szCs w:val="13"/>
                <w:color w:val="auto"/>
              </w:rPr>
            </w:pPr>
          </w:p>
        </w:tc>
        <w:tc>
          <w:tcPr>
            <w:tcW w:w="1160" w:type="dxa"/>
            <w:vAlign w:val="bottom"/>
          </w:tcPr>
          <w:p>
            <w:pPr>
              <w:jc w:val="right"/>
              <w:ind w:right="54"/>
              <w:spacing w:after="0"/>
              <w:rPr>
                <w:sz w:val="20"/>
                <w:szCs w:val="20"/>
                <w:color w:val="auto"/>
              </w:rPr>
            </w:pPr>
            <w:r>
              <w:rPr>
                <w:rFonts w:ascii="Arial" w:cs="Arial" w:eastAsia="Arial" w:hAnsi="Arial"/>
                <w:sz w:val="12"/>
                <w:szCs w:val="12"/>
                <w:b w:val="1"/>
                <w:bCs w:val="1"/>
                <w:color w:val="auto"/>
                <w:w w:val="89"/>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(31)</w:t>
            </w:r>
          </w:p>
        </w:tc>
      </w:tr>
      <w:tr>
        <w:trPr>
          <w:trHeight w:val="183"/>
        </w:trPr>
        <w:tc>
          <w:tcPr>
            <w:tcW w:w="3760" w:type="dxa"/>
            <w:vAlign w:val="bottom"/>
          </w:tcPr>
          <w:p>
            <w:pPr>
              <w:ind w:left="20"/>
              <w:spacing w:after="0"/>
              <w:rPr>
                <w:sz w:val="20"/>
                <w:szCs w:val="20"/>
                <w:color w:val="auto"/>
              </w:rPr>
            </w:pPr>
            <w:r>
              <w:rPr>
                <w:rFonts w:ascii="Arial" w:cs="Arial" w:eastAsia="Arial" w:hAnsi="Arial"/>
                <w:sz w:val="14"/>
                <w:szCs w:val="14"/>
                <w:color w:val="auto"/>
              </w:rPr>
              <w:t>Nine Months Ended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54"/>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34"/>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
              <w:spacing w:after="0"/>
              <w:rPr>
                <w:sz w:val="20"/>
                <w:szCs w:val="20"/>
                <w:color w:val="auto"/>
              </w:rPr>
            </w:pPr>
            <w:r>
              <w:rPr>
                <w:rFonts w:ascii="Arial" w:cs="Arial" w:eastAsia="Arial" w:hAnsi="Arial"/>
                <w:sz w:val="14"/>
                <w:szCs w:val="14"/>
                <w:color w:val="auto"/>
              </w:rPr>
              <w:t>(96)</w:t>
            </w:r>
          </w:p>
        </w:tc>
      </w:tr>
    </w:tbl>
    <w:p>
      <w:pPr>
        <w:spacing w:after="0" w:line="174"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ind w:right="440" w:firstLine="245"/>
        <w:spacing w:after="0" w:line="262" w:lineRule="auto"/>
        <w:rPr>
          <w:sz w:val="20"/>
          <w:szCs w:val="20"/>
          <w:color w:val="auto"/>
        </w:rPr>
      </w:pPr>
      <w:r>
        <w:rPr>
          <w:rFonts w:ascii="Arial" w:cs="Arial" w:eastAsia="Arial" w:hAnsi="Arial"/>
          <w:sz w:val="14"/>
          <w:szCs w:val="14"/>
          <w:color w:val="auto"/>
        </w:rPr>
        <w:t>The decrease in general and administrative expenses for the three months ended September 30, 2019, as compared to the three months ended September 30, 2018, was primarily due to a $22 million decrease in personnel costs.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firstLine="245"/>
        <w:spacing w:after="0" w:line="262" w:lineRule="auto"/>
        <w:rPr>
          <w:sz w:val="20"/>
          <w:szCs w:val="20"/>
          <w:color w:val="auto"/>
        </w:rPr>
      </w:pPr>
      <w:r>
        <w:rPr>
          <w:rFonts w:ascii="Arial" w:cs="Arial" w:eastAsia="Arial" w:hAnsi="Arial"/>
          <w:sz w:val="14"/>
          <w:szCs w:val="14"/>
          <w:color w:val="auto"/>
        </w:rPr>
        <w:t>The decrease in general and administrative expenses for the nine months ended September 30, 2019, as compared to the nine months ended September 30, 2018, was primarily due to a $69 million decrease in personnel costs.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Restructuring and related costs (amounts in millions)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left="179"/>
              <w:spacing w:after="0"/>
              <w:rPr>
                <w:sz w:val="20"/>
                <w:szCs w:val="20"/>
                <w:color w:val="auto"/>
              </w:rPr>
            </w:pPr>
            <w:r>
              <w:rPr>
                <w:rFonts w:ascii="Arial" w:cs="Arial" w:eastAsia="Arial" w:hAnsi="Arial"/>
                <w:sz w:val="12"/>
                <w:szCs w:val="12"/>
                <w:b w:val="1"/>
                <w:bCs w:val="1"/>
                <w:color w:val="auto"/>
                <w:w w:val="91"/>
              </w:rPr>
              <w:t>% of consolidated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 of consolidated</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9"/>
        </w:trPr>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2019</w:t>
            </w:r>
          </w:p>
        </w:tc>
        <w:tc>
          <w:tcPr>
            <w:tcW w:w="1260" w:type="dxa"/>
            <w:vAlign w:val="bottom"/>
          </w:tcPr>
          <w:p>
            <w:pPr>
              <w:jc w:val="center"/>
              <w:ind w:left="179"/>
              <w:spacing w:after="0"/>
              <w:rPr>
                <w:sz w:val="20"/>
                <w:szCs w:val="20"/>
                <w:color w:val="auto"/>
              </w:rPr>
            </w:pPr>
            <w:r>
              <w:rPr>
                <w:rFonts w:ascii="Arial" w:cs="Arial" w:eastAsia="Arial" w:hAnsi="Arial"/>
                <w:sz w:val="12"/>
                <w:szCs w:val="12"/>
                <w:b w:val="1"/>
                <w:bCs w:val="1"/>
                <w:color w:val="auto"/>
                <w:w w:val="89"/>
              </w:rPr>
              <w:t>net revenues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2018</w:t>
            </w: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net revenues</w:t>
            </w:r>
          </w:p>
        </w:tc>
        <w:tc>
          <w:tcPr>
            <w:tcW w:w="100" w:type="dxa"/>
            <w:vAlign w:val="bottom"/>
          </w:tcPr>
          <w:p>
            <w:pPr>
              <w:spacing w:after="0"/>
              <w:rPr>
                <w:sz w:val="13"/>
                <w:szCs w:val="13"/>
                <w:color w:val="auto"/>
              </w:rPr>
            </w:pPr>
          </w:p>
        </w:tc>
        <w:tc>
          <w:tcPr>
            <w:tcW w:w="1140" w:type="dxa"/>
            <w:vAlign w:val="bottom"/>
          </w:tcPr>
          <w:p>
            <w:pPr>
              <w:jc w:val="right"/>
              <w:ind w:right="54"/>
              <w:spacing w:after="0"/>
              <w:rPr>
                <w:sz w:val="20"/>
                <w:szCs w:val="20"/>
                <w:color w:val="auto"/>
              </w:rPr>
            </w:pPr>
            <w:r>
              <w:rPr>
                <w:rFonts w:ascii="Arial" w:cs="Arial" w:eastAsia="Arial" w:hAnsi="Arial"/>
                <w:sz w:val="12"/>
                <w:szCs w:val="12"/>
                <w:b w:val="1"/>
                <w:bCs w:val="1"/>
                <w:color w:val="auto"/>
                <w:w w:val="88"/>
              </w:rPr>
              <w:t>Increase (Decrease)</w:t>
            </w:r>
          </w:p>
        </w:tc>
      </w:tr>
      <w:tr>
        <w:trPr>
          <w:trHeight w:val="25"/>
        </w:trPr>
        <w:tc>
          <w:tcPr>
            <w:tcW w:w="3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Three Months Ended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24</w:t>
            </w:r>
          </w:p>
        </w:tc>
      </w:tr>
      <w:tr>
        <w:trPr>
          <w:trHeight w:val="183"/>
        </w:trPr>
        <w:tc>
          <w:tcPr>
            <w:tcW w:w="3760" w:type="dxa"/>
            <w:vAlign w:val="bottom"/>
          </w:tcPr>
          <w:p>
            <w:pPr>
              <w:spacing w:after="0"/>
              <w:rPr>
                <w:sz w:val="20"/>
                <w:szCs w:val="20"/>
                <w:color w:val="auto"/>
              </w:rPr>
            </w:pPr>
            <w:r>
              <w:rPr>
                <w:rFonts w:ascii="Arial" w:cs="Arial" w:eastAsia="Arial" w:hAnsi="Arial"/>
                <w:sz w:val="14"/>
                <w:szCs w:val="14"/>
                <w:color w:val="auto"/>
              </w:rPr>
              <w:t>Nine Months Ended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34"/>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w w:val="88"/>
              </w:rPr>
              <w:t>2%</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1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4"/>
              <w:spacing w:after="0"/>
              <w:rPr>
                <w:sz w:val="20"/>
                <w:szCs w:val="20"/>
                <w:color w:val="auto"/>
              </w:rPr>
            </w:pPr>
            <w:r>
              <w:rPr>
                <w:rFonts w:ascii="Arial" w:cs="Arial" w:eastAsia="Arial" w:hAnsi="Arial"/>
                <w:sz w:val="14"/>
                <w:szCs w:val="14"/>
                <w:color w:val="auto"/>
              </w:rPr>
              <w:t>104</w:t>
            </w:r>
          </w:p>
        </w:tc>
      </w:tr>
    </w:tbl>
    <w:p>
      <w:pPr>
        <w:spacing w:after="0" w:line="174" w:lineRule="exact"/>
        <w:rPr>
          <w:sz w:val="20"/>
          <w:szCs w:val="20"/>
          <w:color w:val="auto"/>
        </w:rPr>
      </w:pPr>
    </w:p>
    <w:p>
      <w:pPr>
        <w:ind w:right="20" w:firstLine="245"/>
        <w:spacing w:after="0" w:line="305" w:lineRule="auto"/>
        <w:rPr>
          <w:sz w:val="20"/>
          <w:szCs w:val="20"/>
          <w:color w:val="auto"/>
        </w:rPr>
      </w:pPr>
      <w:r>
        <w:rPr>
          <w:rFonts w:ascii="Arial" w:cs="Arial" w:eastAsia="Arial" w:hAnsi="Arial"/>
          <w:sz w:val="12"/>
          <w:szCs w:val="12"/>
          <w:color w:val="auto"/>
        </w:rPr>
        <w:t>On February 12, 2019, the Company committed to a Board-authorized restructuring plan under which the Company aims to refocus its resources on its largest opportunities and remove unnecessary levels of complexity and duplication from certain parts of the business. Since the roll out of the plan, we have been, and will continue focusing on these goals. The restructuring and related costs incurred during the three and nine months ended September 30, 2019, relate primarily to severance costs, write-downs of lease facility assets, and the write-downs of other assets that will no longer be used. Refer to Note 14 of the notes to the condensed consolidated financial statements included in Item 1 of this Quarterly Report on Form 10-Q for further discussion.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40"/>
          </w:cols>
          <w:pgMar w:left="220" w:top="129"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and Other Expense (Income), Net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 of consolidated</w:t>
            </w: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 of consolidated</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3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2019</w:t>
            </w:r>
          </w:p>
        </w:tc>
        <w:tc>
          <w:tcPr>
            <w:tcW w:w="1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net revenues</w:t>
            </w:r>
          </w:p>
        </w:tc>
        <w:tc>
          <w:tcPr>
            <w:tcW w:w="160" w:type="dxa"/>
            <w:vAlign w:val="bottom"/>
          </w:tcPr>
          <w:p>
            <w:pPr>
              <w:spacing w:after="0"/>
              <w:rPr>
                <w:sz w:val="13"/>
                <w:szCs w:val="13"/>
                <w:color w:val="auto"/>
              </w:rPr>
            </w:pP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September 30, 2018</w:t>
            </w:r>
          </w:p>
        </w:tc>
        <w:tc>
          <w:tcPr>
            <w:tcW w:w="1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net revenues</w:t>
            </w:r>
          </w:p>
        </w:tc>
        <w:tc>
          <w:tcPr>
            <w:tcW w:w="100" w:type="dxa"/>
            <w:vAlign w:val="bottom"/>
          </w:tcPr>
          <w:p>
            <w:pPr>
              <w:spacing w:after="0"/>
              <w:rPr>
                <w:sz w:val="13"/>
                <w:szCs w:val="13"/>
                <w:color w:val="auto"/>
              </w:rPr>
            </w:pPr>
          </w:p>
        </w:tc>
        <w:tc>
          <w:tcPr>
            <w:tcW w:w="1160" w:type="dxa"/>
            <w:vAlign w:val="bottom"/>
          </w:tcPr>
          <w:p>
            <w:pPr>
              <w:jc w:val="right"/>
              <w:ind w:right="54"/>
              <w:spacing w:after="0"/>
              <w:rPr>
                <w:sz w:val="20"/>
                <w:szCs w:val="20"/>
                <w:color w:val="auto"/>
              </w:rPr>
            </w:pPr>
            <w:r>
              <w:rPr>
                <w:rFonts w:ascii="Arial" w:cs="Arial" w:eastAsia="Arial" w:hAnsi="Arial"/>
                <w:sz w:val="12"/>
                <w:szCs w:val="12"/>
                <w:b w:val="1"/>
                <w:bCs w:val="1"/>
                <w:color w:val="auto"/>
                <w:w w:val="89"/>
              </w:rPr>
              <w:t>Increase (Decrease)</w:t>
            </w:r>
          </w:p>
        </w:tc>
      </w:tr>
      <w:tr>
        <w:trPr>
          <w:trHeight w:val="25"/>
        </w:trPr>
        <w:tc>
          <w:tcPr>
            <w:tcW w:w="3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Three Months Ended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(15)</w:t>
            </w:r>
          </w:p>
        </w:tc>
      </w:tr>
      <w:tr>
        <w:trPr>
          <w:trHeight w:val="183"/>
        </w:trPr>
        <w:tc>
          <w:tcPr>
            <w:tcW w:w="3720" w:type="dxa"/>
            <w:vAlign w:val="bottom"/>
          </w:tcPr>
          <w:p>
            <w:pPr>
              <w:ind w:left="20"/>
              <w:spacing w:after="0"/>
              <w:rPr>
                <w:sz w:val="20"/>
                <w:szCs w:val="20"/>
                <w:color w:val="auto"/>
              </w:rPr>
            </w:pPr>
            <w:r>
              <w:rPr>
                <w:rFonts w:ascii="Arial" w:cs="Arial" w:eastAsia="Arial" w:hAnsi="Arial"/>
                <w:sz w:val="14"/>
                <w:szCs w:val="14"/>
                <w:color w:val="auto"/>
              </w:rPr>
              <w:t>Nine Months Ended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34"/>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
              <w:spacing w:after="0"/>
              <w:rPr>
                <w:sz w:val="20"/>
                <w:szCs w:val="20"/>
                <w:color w:val="auto"/>
              </w:rPr>
            </w:pPr>
            <w:r>
              <w:rPr>
                <w:rFonts w:ascii="Arial" w:cs="Arial" w:eastAsia="Arial" w:hAnsi="Arial"/>
                <w:sz w:val="14"/>
                <w:szCs w:val="14"/>
                <w:color w:val="auto"/>
              </w:rPr>
              <w:t>(100)</w:t>
            </w:r>
          </w:p>
        </w:tc>
      </w:tr>
    </w:tbl>
    <w:p>
      <w:pPr>
        <w:spacing w:after="0" w:line="174"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Q3 2019 vs. Q3 2018</w:t>
      </w:r>
    </w:p>
    <w:p>
      <w:pPr>
        <w:spacing w:after="0" w:line="166" w:lineRule="exact"/>
        <w:rPr>
          <w:sz w:val="20"/>
          <w:szCs w:val="20"/>
          <w:color w:val="auto"/>
        </w:rPr>
      </w:pPr>
    </w:p>
    <w:p>
      <w:pPr>
        <w:jc w:val="both"/>
        <w:ind w:right="120" w:firstLine="245"/>
        <w:spacing w:after="0" w:line="253" w:lineRule="auto"/>
        <w:rPr>
          <w:sz w:val="20"/>
          <w:szCs w:val="20"/>
          <w:color w:val="auto"/>
        </w:rPr>
      </w:pPr>
      <w:r>
        <w:rPr>
          <w:rFonts w:ascii="Arial" w:cs="Arial" w:eastAsia="Arial" w:hAnsi="Arial"/>
          <w:sz w:val="14"/>
          <w:szCs w:val="14"/>
          <w:color w:val="auto"/>
        </w:rPr>
        <w:t>The decrease in interest and other expense (income), net, for the three months ended September 30, 2019, as compared to the three months ended September 30, 2018, was primarily due to an $11 million decrease in interest expense and amortization of deferred financing costs associated with our debt obligations, due to a decrease in our total debt outstanding as a result of our debt redemptions and repayment activities during 2018.</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u w:val="single" w:color="auto"/>
          <w:color w:val="auto"/>
        </w:rPr>
        <w:t>YTD Q3 2019 vs. YTD Q3 2018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decrease in interest and other expense (income), net, for the nine months ended September 30, 2019, as compared to the nine months ended September 30, 2018, was primarily due to:</w:t>
      </w:r>
    </w:p>
    <w:p>
      <w:pPr>
        <w:spacing w:after="0" w:line="189" w:lineRule="exact"/>
        <w:rPr>
          <w:sz w:val="20"/>
          <w:szCs w:val="20"/>
          <w:color w:val="auto"/>
        </w:rPr>
      </w:pPr>
    </w:p>
    <w:p>
      <w:pPr>
        <w:ind w:left="740" w:right="20" w:hanging="247"/>
        <w:spacing w:after="0" w:line="262" w:lineRule="auto"/>
        <w:tabs>
          <w:tab w:leader="none" w:pos="7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$49 million decrease in interest expense and amortization of deferred financing costs associated with our debt obligations, reflecting a decrease in our total debt outstanding as a result of our debt redemptions and repayment activities during 2018;</w:t>
      </w:r>
    </w:p>
    <w:p>
      <w:pPr>
        <w:spacing w:after="0" w:line="139" w:lineRule="exact"/>
        <w:rPr>
          <w:rFonts w:ascii="Arial" w:cs="Arial" w:eastAsia="Arial" w:hAnsi="Arial"/>
          <w:sz w:val="14"/>
          <w:szCs w:val="14"/>
          <w:color w:val="auto"/>
        </w:rPr>
      </w:pPr>
    </w:p>
    <w:p>
      <w:pPr>
        <w:ind w:left="740" w:right="200" w:hanging="247"/>
        <w:spacing w:after="0" w:line="262" w:lineRule="auto"/>
        <w:tabs>
          <w:tab w:leader="none" w:pos="7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 $38 million gain recognized as a result of adjusting a cost-method equity investment to fair value, with no comparable activity in the prior period (refer to Note 8 of the notes to the condensed consolidated financial statements included in Item 1 of this Quarterly Report on Form 10-Q); and</w:t>
      </w:r>
    </w:p>
    <w:p>
      <w:pPr>
        <w:spacing w:after="0" w:line="139" w:lineRule="exact"/>
        <w:rPr>
          <w:rFonts w:ascii="Arial" w:cs="Arial" w:eastAsia="Arial" w:hAnsi="Arial"/>
          <w:sz w:val="14"/>
          <w:szCs w:val="14"/>
          <w:color w:val="auto"/>
        </w:rPr>
      </w:pPr>
    </w:p>
    <w:p>
      <w:pPr>
        <w:ind w:left="740" w:hanging="247"/>
        <w:spacing w:after="0"/>
        <w:tabs>
          <w:tab w:leader="none" w:pos="7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an $11 million increase in interest income due to our cash and cash equivalent balances earning interest at higher rates, along with an overall higher cash balance, in 2019 as compared to 2018.</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 Expense (amounts in millions)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59"/>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2019</w:t>
            </w:r>
          </w:p>
        </w:tc>
        <w:tc>
          <w:tcPr>
            <w:tcW w:w="1620" w:type="dxa"/>
            <w:vAlign w:val="bottom"/>
            <w:gridSpan w:val="2"/>
          </w:tcPr>
          <w:p>
            <w:pPr>
              <w:ind w:left="240"/>
              <w:spacing w:after="0"/>
              <w:rPr>
                <w:sz w:val="20"/>
                <w:szCs w:val="20"/>
                <w:color w:val="auto"/>
              </w:rPr>
            </w:pPr>
            <w:r>
              <w:rPr>
                <w:rFonts w:ascii="Arial" w:cs="Arial" w:eastAsia="Arial" w:hAnsi="Arial"/>
                <w:sz w:val="12"/>
                <w:szCs w:val="12"/>
                <w:b w:val="1"/>
                <w:bCs w:val="1"/>
                <w:color w:val="auto"/>
              </w:rPr>
              <w:t>% of pretax income</w:t>
            </w:r>
          </w:p>
        </w:tc>
        <w:tc>
          <w:tcPr>
            <w:tcW w:w="14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September 30, 2018</w:t>
            </w:r>
          </w:p>
        </w:tc>
        <w:tc>
          <w:tcPr>
            <w:tcW w:w="1660" w:type="dxa"/>
            <w:vAlign w:val="bottom"/>
            <w:gridSpan w:val="2"/>
          </w:tcPr>
          <w:p>
            <w:pPr>
              <w:ind w:left="260"/>
              <w:spacing w:after="0"/>
              <w:rPr>
                <w:sz w:val="20"/>
                <w:szCs w:val="20"/>
                <w:color w:val="auto"/>
              </w:rPr>
            </w:pPr>
            <w:r>
              <w:rPr>
                <w:rFonts w:ascii="Arial" w:cs="Arial" w:eastAsia="Arial" w:hAnsi="Arial"/>
                <w:sz w:val="12"/>
                <w:szCs w:val="12"/>
                <w:b w:val="1"/>
                <w:bCs w:val="1"/>
                <w:color w:val="auto"/>
              </w:rPr>
              <w:t>% of pretax income</w:t>
            </w:r>
          </w:p>
        </w:tc>
        <w:tc>
          <w:tcPr>
            <w:tcW w:w="100" w:type="dxa"/>
            <w:vAlign w:val="bottom"/>
          </w:tcPr>
          <w:p>
            <w:pPr>
              <w:spacing w:after="0"/>
              <w:rPr>
                <w:sz w:val="13"/>
                <w:szCs w:val="13"/>
                <w:color w:val="auto"/>
              </w:rPr>
            </w:pPr>
          </w:p>
        </w:tc>
        <w:tc>
          <w:tcPr>
            <w:tcW w:w="1140" w:type="dxa"/>
            <w:vAlign w:val="bottom"/>
          </w:tcPr>
          <w:p>
            <w:pPr>
              <w:jc w:val="right"/>
              <w:ind w:right="54"/>
              <w:spacing w:after="0"/>
              <w:rPr>
                <w:sz w:val="20"/>
                <w:szCs w:val="20"/>
                <w:color w:val="auto"/>
              </w:rPr>
            </w:pPr>
            <w:r>
              <w:rPr>
                <w:rFonts w:ascii="Arial" w:cs="Arial" w:eastAsia="Arial" w:hAnsi="Arial"/>
                <w:sz w:val="12"/>
                <w:szCs w:val="12"/>
                <w:b w:val="1"/>
                <w:bCs w:val="1"/>
                <w:color w:val="auto"/>
                <w:w w:val="88"/>
              </w:rPr>
              <w:t>Increase (Decrease)</w:t>
            </w:r>
          </w:p>
        </w:tc>
      </w:tr>
      <w:tr>
        <w:trPr>
          <w:trHeight w:val="25"/>
        </w:trPr>
        <w:tc>
          <w:tcPr>
            <w:tcW w:w="3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Three Months Ended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93</w:t>
            </w:r>
          </w:p>
        </w:tc>
      </w:tr>
      <w:tr>
        <w:trPr>
          <w:trHeight w:val="183"/>
        </w:trPr>
        <w:tc>
          <w:tcPr>
            <w:tcW w:w="3720" w:type="dxa"/>
            <w:vAlign w:val="bottom"/>
          </w:tcPr>
          <w:p>
            <w:pPr>
              <w:spacing w:after="0"/>
              <w:rPr>
                <w:sz w:val="20"/>
                <w:szCs w:val="20"/>
                <w:color w:val="auto"/>
              </w:rPr>
            </w:pPr>
            <w:r>
              <w:rPr>
                <w:rFonts w:ascii="Arial" w:cs="Arial" w:eastAsia="Arial" w:hAnsi="Arial"/>
                <w:sz w:val="14"/>
                <w:szCs w:val="14"/>
                <w:color w:val="auto"/>
              </w:rPr>
              <w:t>Nine Months Ended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34"/>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34"/>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2 %</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54"/>
              <w:spacing w:after="0"/>
              <w:rPr>
                <w:sz w:val="20"/>
                <w:szCs w:val="20"/>
                <w:color w:val="auto"/>
              </w:rPr>
            </w:pPr>
            <w:r>
              <w:rPr>
                <w:rFonts w:ascii="Arial" w:cs="Arial" w:eastAsia="Arial" w:hAnsi="Arial"/>
                <w:sz w:val="14"/>
                <w:szCs w:val="14"/>
                <w:color w:val="auto"/>
              </w:rPr>
              <w:t>183</w:t>
            </w:r>
          </w:p>
        </w:tc>
      </w:tr>
    </w:tbl>
    <w:p>
      <w:pPr>
        <w:spacing w:after="0" w:line="174" w:lineRule="exact"/>
        <w:rPr>
          <w:sz w:val="20"/>
          <w:szCs w:val="20"/>
          <w:color w:val="auto"/>
        </w:rPr>
      </w:pPr>
    </w:p>
    <w:p>
      <w:pPr>
        <w:jc w:val="both"/>
        <w:ind w:right="80" w:firstLine="245"/>
        <w:spacing w:after="0" w:line="250" w:lineRule="auto"/>
        <w:rPr>
          <w:sz w:val="20"/>
          <w:szCs w:val="20"/>
          <w:color w:val="auto"/>
        </w:rPr>
      </w:pPr>
      <w:r>
        <w:rPr>
          <w:rFonts w:ascii="Arial" w:cs="Arial" w:eastAsia="Arial" w:hAnsi="Arial"/>
          <w:sz w:val="14"/>
          <w:szCs w:val="14"/>
          <w:color w:val="auto"/>
        </w:rPr>
        <w:t>The income tax expense of $45 million for the three months ended September 30, 2019, reflects an effective tax rate of 18%, which is higher than the effective tax rate of (23)% for the three months ended September 30, 2018. The increase is primarily due to a discrete tax benefit recognized in the prior year in connection with adjustments made to the provisional amounts initially recorded in connection with tax reform legislation known as the Tax Cuts and Jobs Act enacted in December 22, 2017 (the “U.S. Tax Reform Act”), lower excess tax benefits from share-based payments in the current year, and an increase in U.S. tax on foreign earnings.</w:t>
      </w:r>
    </w:p>
    <w:p>
      <w:pPr>
        <w:spacing w:after="0" w:line="147" w:lineRule="exact"/>
        <w:rPr>
          <w:sz w:val="20"/>
          <w:szCs w:val="20"/>
          <w:color w:val="auto"/>
        </w:rPr>
      </w:pPr>
    </w:p>
    <w:p>
      <w:pPr>
        <w:ind w:right="60" w:firstLine="245"/>
        <w:spacing w:after="0" w:line="305" w:lineRule="auto"/>
        <w:rPr>
          <w:sz w:val="20"/>
          <w:szCs w:val="20"/>
          <w:color w:val="auto"/>
        </w:rPr>
      </w:pPr>
      <w:r>
        <w:rPr>
          <w:rFonts w:ascii="Arial" w:cs="Arial" w:eastAsia="Arial" w:hAnsi="Arial"/>
          <w:sz w:val="12"/>
          <w:szCs w:val="12"/>
          <w:color w:val="auto"/>
        </w:rPr>
        <w:t>The income tax expense of $208 million for the nine months ended September 30, 2019, reflects an effective tax rate of 18%, which is higher than the effective tax rate of 2% for the nine months ended September 30, 2018. The increase is due to a discrete tax benefit recognized in the prior year in connection with an audit settlement with the Internal Revenue Service (“IRS”), a discrete tax benefit recognized in the prior year in connection with adjustments made to the provisional amounts initially recorded in connection with the U.S. Tax Reform Act, and lower excess tax benefits from share-based payments in the current year. This increase was partially offset by a valuation allowance recorded in the prior year with regard to California research and development credit carryforwards (“CA R&amp;D Credits”).</w:t>
      </w:r>
    </w:p>
    <w:p>
      <w:pPr>
        <w:spacing w:after="0" w:line="117" w:lineRule="exact"/>
        <w:rPr>
          <w:sz w:val="20"/>
          <w:szCs w:val="20"/>
          <w:color w:val="auto"/>
        </w:rPr>
      </w:pPr>
    </w:p>
    <w:p>
      <w:pPr>
        <w:ind w:right="140" w:firstLine="245"/>
        <w:spacing w:after="0" w:line="262" w:lineRule="auto"/>
        <w:rPr>
          <w:sz w:val="20"/>
          <w:szCs w:val="20"/>
          <w:color w:val="auto"/>
        </w:rPr>
      </w:pPr>
      <w:r>
        <w:rPr>
          <w:rFonts w:ascii="Arial" w:cs="Arial" w:eastAsia="Arial" w:hAnsi="Arial"/>
          <w:sz w:val="14"/>
          <w:szCs w:val="14"/>
          <w:color w:val="auto"/>
        </w:rPr>
        <w:t>The effective tax rate of 18% for both the three and nine months ended September 30, 2019, is lower than the U.S. statutory rate of 21%, primarily due to foreign earnings taxed at lower statutory rates as compared to domestic earnings, which is partially offset by U.S. tax on foreign earnings, and the recognition of federal research and development credit.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440"/>
          </w:cols>
          <w:pgMar w:left="220" w:top="129"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0" w:lineRule="exact"/>
        <w:rPr>
          <w:sz w:val="20"/>
          <w:szCs w:val="20"/>
          <w:color w:val="auto"/>
        </w:rPr>
      </w:pPr>
    </w:p>
    <w:p>
      <w:pPr>
        <w:ind w:firstLine="245"/>
        <w:spacing w:after="0" w:line="247" w:lineRule="auto"/>
        <w:rPr>
          <w:sz w:val="20"/>
          <w:szCs w:val="20"/>
          <w:color w:val="auto"/>
        </w:rPr>
      </w:pPr>
      <w:r>
        <w:rPr>
          <w:rFonts w:ascii="Arial" w:cs="Arial" w:eastAsia="Arial" w:hAnsi="Arial"/>
          <w:sz w:val="14"/>
          <w:szCs w:val="14"/>
          <w:color w:val="auto"/>
        </w:rPr>
        <w:t>Our effective tax rate could be different from the statutory U.S. income tax rate due to the effect of state and local income taxes, tax rates that apply to our foreign income (including U.S. tax on foreign income), research and development credits, and certain nondeductible expenses. Our effective tax rate could fluctuate significantly from quarter to quarter based on recurring and nonrecurring factors including, but not limited to: variations in the estimated and actual level of pre-tax income or loss by jurisdiction; changes in enacted tax laws and regulations, and interpretations thereof, including with respect to tax credits and state and local income taxes; developments in tax audits and other matters; recognition of excess tax benefits and tax deficiencies from share-based payments; and certain nondeductible expenses. Changes in judgment from the evaluation of new information resulting in the recognition, derecognition, or remeasurement of a tax position taken in a prior annual period are recognized separately in the quarter of the change.</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Further information about our income taxes is provided in Note 16 of the notes to the condensed consolidated financial statements included in Item 1 of this Quarterly Report on Form 10-Q.</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460"/>
          </w:cols>
          <w:pgMar w:left="220" w:top="129" w:right="21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68" w:lineRule="exact"/>
        <w:rPr>
          <w:sz w:val="20"/>
          <w:szCs w:val="20"/>
          <w:color w:val="auto"/>
        </w:rPr>
      </w:pPr>
    </w:p>
    <w:p>
      <w:pPr>
        <w:ind w:right="60" w:firstLine="245"/>
        <w:spacing w:after="0" w:line="248" w:lineRule="auto"/>
        <w:rPr>
          <w:sz w:val="20"/>
          <w:szCs w:val="20"/>
          <w:color w:val="auto"/>
        </w:rPr>
      </w:pPr>
      <w:r>
        <w:rPr>
          <w:rFonts w:ascii="Arial" w:cs="Arial" w:eastAsia="Arial" w:hAnsi="Arial"/>
          <w:sz w:val="14"/>
          <w:szCs w:val="14"/>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which, we believe, in combination with our existing balance of cash and cash equivalents and short-term investments of $4.9 billion, our access to capital, and the availability of our $1.5 billion revolving credit facility, will be sufficient to finance our operational and financing requirements for the next 12 months. Our primary sources of liquidity, which are available to us to fund cash outflows such as potential dividend payments or share repurchases, and scheduled debt maturities, include our cash and cash equivalents, short-term investments, and cash flows provided by operating activities.</w:t>
      </w:r>
    </w:p>
    <w:p>
      <w:pPr>
        <w:spacing w:after="0" w:line="150" w:lineRule="exact"/>
        <w:rPr>
          <w:sz w:val="20"/>
          <w:szCs w:val="20"/>
          <w:color w:val="auto"/>
        </w:rPr>
      </w:pPr>
    </w:p>
    <w:p>
      <w:pPr>
        <w:ind w:right="180" w:firstLine="245"/>
        <w:spacing w:after="0" w:line="262" w:lineRule="auto"/>
        <w:rPr>
          <w:sz w:val="20"/>
          <w:szCs w:val="20"/>
          <w:color w:val="auto"/>
        </w:rPr>
      </w:pPr>
      <w:r>
        <w:rPr>
          <w:rFonts w:ascii="Arial" w:cs="Arial" w:eastAsia="Arial" w:hAnsi="Arial"/>
          <w:sz w:val="14"/>
          <w:szCs w:val="14"/>
          <w:color w:val="auto"/>
        </w:rPr>
        <w:t>As of September 30, 2019, the amount of cash and cash equivalents held outside of the U.S. by our foreign subsidiaries was $2.3 billion, as compared to $1.4 billion as of December 31, 2018. These cash balances are generally available for use in the U.S., subject in some cases to certain restrictions.</w:t>
      </w:r>
    </w:p>
    <w:p>
      <w:pPr>
        <w:spacing w:after="0" w:line="139" w:lineRule="exact"/>
        <w:rPr>
          <w:sz w:val="20"/>
          <w:szCs w:val="20"/>
          <w:color w:val="auto"/>
        </w:rPr>
      </w:pPr>
    </w:p>
    <w:p>
      <w:pPr>
        <w:ind w:right="80" w:firstLine="245"/>
        <w:spacing w:after="0" w:line="253" w:lineRule="auto"/>
        <w:rPr>
          <w:sz w:val="20"/>
          <w:szCs w:val="20"/>
          <w:color w:val="auto"/>
        </w:rPr>
      </w:pPr>
      <w:r>
        <w:rPr>
          <w:rFonts w:ascii="Arial" w:cs="Arial" w:eastAsia="Arial" w:hAnsi="Arial"/>
          <w:sz w:val="14"/>
          <w:szCs w:val="14"/>
          <w:color w:val="auto"/>
        </w:rPr>
        <w:t>Our cash provided from operating activities is somewhat impacted by seasonality. Working capital needs are impacted by weekly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 (amounts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b w:val="1"/>
                <w:bCs w:val="1"/>
                <w:color w:val="auto"/>
              </w:rPr>
              <w:t>September 30, 2019</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jc w:val="center"/>
              <w:ind w:left="419"/>
              <w:spacing w:after="0"/>
              <w:rPr>
                <w:sz w:val="20"/>
                <w:szCs w:val="20"/>
                <w:color w:val="auto"/>
              </w:rPr>
            </w:pPr>
            <w:r>
              <w:rPr>
                <w:rFonts w:ascii="Arial" w:cs="Arial" w:eastAsia="Arial" w:hAnsi="Arial"/>
                <w:sz w:val="12"/>
                <w:szCs w:val="12"/>
                <w:b w:val="1"/>
                <w:bCs w:val="1"/>
                <w:color w:val="auto"/>
                <w:w w:val="92"/>
              </w:rPr>
              <w:t>December 31, 2018</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right"/>
              <w:ind w:right="453"/>
              <w:spacing w:after="0"/>
              <w:rPr>
                <w:sz w:val="20"/>
                <w:szCs w:val="20"/>
                <w:color w:val="auto"/>
              </w:rPr>
            </w:pPr>
            <w:r>
              <w:rPr>
                <w:rFonts w:ascii="Arial" w:cs="Arial" w:eastAsia="Arial" w:hAnsi="Arial"/>
                <w:sz w:val="12"/>
                <w:szCs w:val="12"/>
                <w:b w:val="1"/>
                <w:bCs w:val="1"/>
                <w:color w:val="auto"/>
              </w:rPr>
              <w:t>Increase (Decrease)</w:t>
            </w:r>
          </w:p>
        </w:tc>
      </w:tr>
      <w:tr>
        <w:trPr>
          <w:trHeight w:val="25"/>
        </w:trPr>
        <w:tc>
          <w:tcPr>
            <w:tcW w:w="50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7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580" w:type="dxa"/>
            <w:vAlign w:val="bottom"/>
            <w:tcBorders>
              <w:bottom w:val="single" w:sz="8" w:color="CCEEFF"/>
            </w:tcBorders>
            <w:gridSpan w:val="2"/>
            <w:shd w:val="clear" w:color="auto" w:fill="CCEEFF"/>
          </w:tcPr>
          <w:p>
            <w:pPr>
              <w:jc w:val="right"/>
              <w:ind w:right="143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96"/>
              </w:rPr>
              <w:t>4,939</w:t>
            </w:r>
          </w:p>
        </w:tc>
        <w:tc>
          <w:tcPr>
            <w:tcW w:w="1700" w:type="dxa"/>
            <w:vAlign w:val="bottom"/>
            <w:tcBorders>
              <w:bottom w:val="single" w:sz="8" w:color="CCEEFF"/>
            </w:tcBorders>
            <w:gridSpan w:val="4"/>
            <w:shd w:val="clear" w:color="auto" w:fill="CCEEFF"/>
          </w:tcPr>
          <w:p>
            <w:pPr>
              <w:jc w:val="right"/>
              <w:ind w:right="143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96"/>
              </w:rPr>
              <w:t>4,225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714</w:t>
            </w: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ind w:right="1439"/>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96"/>
              </w:rPr>
              <w:t>4,946</w:t>
            </w:r>
          </w:p>
        </w:tc>
        <w:tc>
          <w:tcPr>
            <w:tcW w:w="1700" w:type="dxa"/>
            <w:vAlign w:val="bottom"/>
            <w:tcBorders>
              <w:bottom w:val="single" w:sz="8" w:color="CCEEFF"/>
            </w:tcBorders>
            <w:gridSpan w:val="4"/>
            <w:shd w:val="clear" w:color="auto" w:fill="CCEEFF"/>
          </w:tcPr>
          <w:p>
            <w:pPr>
              <w:jc w:val="right"/>
              <w:ind w:right="143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w w:val="96"/>
              </w:rPr>
              <w:t>4,380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566</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5020" w:type="dxa"/>
            <w:vAlign w:val="bottom"/>
          </w:tcPr>
          <w:p>
            <w:pPr>
              <w:ind w:left="20"/>
              <w:spacing w:after="0" w:line="154" w:lineRule="exact"/>
              <w:rPr>
                <w:sz w:val="20"/>
                <w:szCs w:val="20"/>
                <w:color w:val="auto"/>
              </w:rPr>
            </w:pPr>
            <w:r>
              <w:rPr>
                <w:rFonts w:ascii="Arial" w:cs="Arial" w:eastAsia="Arial" w:hAnsi="Arial"/>
                <w:sz w:val="14"/>
                <w:szCs w:val="14"/>
                <w:color w:val="auto"/>
              </w:rPr>
              <w:t>Percentage of total assets</w:t>
            </w: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00" w:type="dxa"/>
            <w:vAlign w:val="bottom"/>
          </w:tcPr>
          <w:p>
            <w:pPr>
              <w:jc w:val="right"/>
              <w:spacing w:after="0" w:line="154" w:lineRule="exact"/>
              <w:rPr>
                <w:sz w:val="20"/>
                <w:szCs w:val="20"/>
                <w:color w:val="auto"/>
              </w:rPr>
            </w:pPr>
            <w:r>
              <w:rPr>
                <w:rFonts w:ascii="Arial" w:cs="Arial" w:eastAsia="Arial" w:hAnsi="Arial"/>
                <w:sz w:val="14"/>
                <w:szCs w:val="14"/>
                <w:color w:val="auto"/>
              </w:rPr>
              <w:t>28%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00" w:type="dxa"/>
            <w:vAlign w:val="bottom"/>
          </w:tcPr>
          <w:p>
            <w:pPr>
              <w:jc w:val="right"/>
              <w:spacing w:after="0" w:line="154" w:lineRule="exact"/>
              <w:rPr>
                <w:sz w:val="20"/>
                <w:szCs w:val="20"/>
                <w:color w:val="auto"/>
              </w:rPr>
            </w:pPr>
            <w:r>
              <w:rPr>
                <w:rFonts w:ascii="Arial" w:cs="Arial" w:eastAsia="Arial" w:hAnsi="Arial"/>
                <w:sz w:val="14"/>
                <w:szCs w:val="14"/>
                <w:color w:val="auto"/>
              </w:rPr>
              <w:t>24%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456"/>
        </w:trPr>
        <w:tc>
          <w:tcPr>
            <w:tcW w:w="5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5"/>
          </w:tcPr>
          <w:p>
            <w:pPr>
              <w:jc w:val="center"/>
              <w:spacing w:after="0"/>
              <w:rPr>
                <w:sz w:val="20"/>
                <w:szCs w:val="20"/>
                <w:color w:val="auto"/>
              </w:rPr>
            </w:pPr>
            <w:r>
              <w:rPr>
                <w:rFonts w:ascii="Arial" w:cs="Arial" w:eastAsia="Arial" w:hAnsi="Arial"/>
                <w:sz w:val="12"/>
                <w:szCs w:val="12"/>
                <w:b w:val="1"/>
                <w:bCs w:val="1"/>
                <w:color w:val="auto"/>
                <w:w w:val="93"/>
              </w:rPr>
              <w:t>For the Nine Months Ended September 30,</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
        </w:trPr>
        <w:tc>
          <w:tcPr>
            <w:tcW w:w="5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69"/>
        </w:trPr>
        <w:tc>
          <w:tcPr>
            <w:tcW w:w="5020" w:type="dxa"/>
            <w:vAlign w:val="bottom"/>
          </w:tcPr>
          <w:p>
            <w:pPr>
              <w:spacing w:after="0"/>
              <w:rPr>
                <w:sz w:val="14"/>
                <w:szCs w:val="14"/>
                <w:color w:val="auto"/>
              </w:rPr>
            </w:pPr>
          </w:p>
        </w:tc>
        <w:tc>
          <w:tcPr>
            <w:tcW w:w="1580" w:type="dxa"/>
            <w:vAlign w:val="bottom"/>
            <w:gridSpan w:val="2"/>
          </w:tcPr>
          <w:p>
            <w:pPr>
              <w:jc w:val="right"/>
              <w:ind w:right="319"/>
              <w:spacing w:after="0"/>
              <w:rPr>
                <w:sz w:val="20"/>
                <w:szCs w:val="20"/>
                <w:color w:val="auto"/>
              </w:rPr>
            </w:pPr>
            <w:r>
              <w:rPr>
                <w:rFonts w:ascii="Arial" w:cs="Arial" w:eastAsia="Arial" w:hAnsi="Arial"/>
                <w:sz w:val="12"/>
                <w:szCs w:val="12"/>
                <w:b w:val="1"/>
                <w:bCs w:val="1"/>
                <w:color w:val="auto"/>
              </w:rPr>
              <w:t>2019</w:t>
            </w:r>
          </w:p>
        </w:tc>
        <w:tc>
          <w:tcPr>
            <w:tcW w:w="500" w:type="dxa"/>
            <w:vAlign w:val="bottom"/>
          </w:tcPr>
          <w:p>
            <w:pPr>
              <w:spacing w:after="0"/>
              <w:rPr>
                <w:sz w:val="14"/>
                <w:szCs w:val="14"/>
                <w:color w:val="auto"/>
              </w:rPr>
            </w:pPr>
          </w:p>
        </w:tc>
        <w:tc>
          <w:tcPr>
            <w:tcW w:w="1700" w:type="dxa"/>
            <w:vAlign w:val="bottom"/>
            <w:gridSpan w:val="4"/>
          </w:tcPr>
          <w:p>
            <w:pPr>
              <w:jc w:val="center"/>
              <w:ind w:left="573"/>
              <w:spacing w:after="0"/>
              <w:rPr>
                <w:sz w:val="20"/>
                <w:szCs w:val="20"/>
                <w:color w:val="auto"/>
              </w:rPr>
            </w:pPr>
            <w:r>
              <w:rPr>
                <w:rFonts w:ascii="Arial" w:cs="Arial" w:eastAsia="Arial" w:hAnsi="Arial"/>
                <w:sz w:val="12"/>
                <w:szCs w:val="12"/>
                <w:b w:val="1"/>
                <w:bCs w:val="1"/>
                <w:color w:val="auto"/>
                <w:w w:val="97"/>
              </w:rPr>
              <w:t>2018</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ind w:right="453"/>
              <w:spacing w:after="0"/>
              <w:rPr>
                <w:sz w:val="20"/>
                <w:szCs w:val="20"/>
                <w:color w:val="auto"/>
              </w:rPr>
            </w:pPr>
            <w:r>
              <w:rPr>
                <w:rFonts w:ascii="Arial" w:cs="Arial" w:eastAsia="Arial" w:hAnsi="Arial"/>
                <w:sz w:val="12"/>
                <w:szCs w:val="12"/>
                <w:b w:val="1"/>
                <w:bCs w:val="1"/>
                <w:color w:val="auto"/>
              </w:rPr>
              <w:t>Increase (Decrease)</w:t>
            </w:r>
          </w:p>
        </w:tc>
      </w:tr>
      <w:tr>
        <w:trPr>
          <w:trHeight w:val="25"/>
        </w:trPr>
        <w:tc>
          <w:tcPr>
            <w:tcW w:w="50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7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cash provided by operating activities</w:t>
            </w:r>
          </w:p>
        </w:tc>
        <w:tc>
          <w:tcPr>
            <w:tcW w:w="1580" w:type="dxa"/>
            <w:vAlign w:val="bottom"/>
            <w:tcBorders>
              <w:bottom w:val="single" w:sz="8" w:color="CCEEFF"/>
            </w:tcBorders>
            <w:gridSpan w:val="2"/>
            <w:shd w:val="clear" w:color="auto" w:fill="CCEEFF"/>
          </w:tcPr>
          <w:p>
            <w:pPr>
              <w:jc w:val="right"/>
              <w:ind w:right="139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913</w:t>
            </w:r>
          </w:p>
        </w:tc>
        <w:tc>
          <w:tcPr>
            <w:tcW w:w="1700" w:type="dxa"/>
            <w:vAlign w:val="bottom"/>
            <w:tcBorders>
              <w:bottom w:val="single" w:sz="8" w:color="CCEEFF"/>
            </w:tcBorders>
            <w:gridSpan w:val="4"/>
            <w:shd w:val="clear" w:color="auto" w:fill="CCEEFF"/>
          </w:tcPr>
          <w:p>
            <w:pPr>
              <w:jc w:val="right"/>
              <w:ind w:right="139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791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122</w:t>
            </w: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79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ind w:right="33"/>
              <w:spacing w:after="0"/>
              <w:rPr>
                <w:sz w:val="20"/>
                <w:szCs w:val="20"/>
                <w:color w:val="auto"/>
              </w:rPr>
            </w:pPr>
            <w:r>
              <w:rPr>
                <w:rFonts w:ascii="Arial" w:cs="Arial" w:eastAsia="Arial" w:hAnsi="Arial"/>
                <w:sz w:val="14"/>
                <w:szCs w:val="14"/>
                <w:color w:val="auto"/>
              </w:rPr>
              <w:t>239</w:t>
            </w:r>
          </w:p>
        </w:tc>
      </w:tr>
      <w:tr>
        <w:trPr>
          <w:trHeight w:val="21"/>
        </w:trPr>
        <w:tc>
          <w:tcPr>
            <w:tcW w:w="5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cash used in financing activities</w:t>
            </w:r>
          </w:p>
        </w:tc>
        <w:tc>
          <w:tcPr>
            <w:tcW w:w="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(2,020)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1,769</w:t>
            </w:r>
          </w:p>
        </w:tc>
      </w:tr>
      <w:tr>
        <w:trPr>
          <w:trHeight w:val="183"/>
        </w:trPr>
        <w:tc>
          <w:tcPr>
            <w:tcW w:w="5020" w:type="dxa"/>
            <w:vAlign w:val="bottom"/>
          </w:tcPr>
          <w:p>
            <w:pPr>
              <w:ind w:left="20"/>
              <w:spacing w:after="0"/>
              <w:rPr>
                <w:sz w:val="20"/>
                <w:szCs w:val="20"/>
                <w:color w:val="auto"/>
              </w:rPr>
            </w:pPr>
            <w:r>
              <w:rPr>
                <w:rFonts w:ascii="Arial" w:cs="Arial" w:eastAsia="Arial" w:hAnsi="Arial"/>
                <w:sz w:val="14"/>
                <w:szCs w:val="14"/>
                <w:color w:val="auto"/>
              </w:rPr>
              <w:t>Effect of foreign exchange rate changes</w:t>
            </w:r>
          </w:p>
        </w:tc>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1"/>
        </w:trPr>
        <w:tc>
          <w:tcPr>
            <w:tcW w:w="5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gridSpan w:val="2"/>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0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Net increase (decrease) in cash and cash equivalents and restricted cash</w:t>
            </w:r>
          </w:p>
        </w:tc>
        <w:tc>
          <w:tcPr>
            <w:tcW w:w="1580" w:type="dxa"/>
            <w:vAlign w:val="bottom"/>
            <w:tcBorders>
              <w:bottom w:val="single" w:sz="8" w:color="CCEEFF"/>
            </w:tcBorders>
            <w:gridSpan w:val="2"/>
            <w:shd w:val="clear" w:color="auto" w:fill="CCEEFF"/>
          </w:tcPr>
          <w:p>
            <w:pPr>
              <w:jc w:val="right"/>
              <w:ind w:right="139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717</w:t>
            </w:r>
          </w:p>
        </w:tc>
        <w:tc>
          <w:tcPr>
            <w:tcW w:w="1700" w:type="dxa"/>
            <w:vAlign w:val="bottom"/>
            <w:tcBorders>
              <w:bottom w:val="single" w:sz="8" w:color="CCEEFF"/>
            </w:tcBorders>
            <w:gridSpan w:val="4"/>
            <w:shd w:val="clear" w:color="auto" w:fill="CCEEFF"/>
          </w:tcPr>
          <w:p>
            <w:pPr>
              <w:jc w:val="right"/>
              <w:ind w:right="139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(1,404)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2,121</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Cash Provided by Operating Activities</w:t>
      </w:r>
    </w:p>
    <w:p>
      <w:pPr>
        <w:spacing w:after="0" w:line="166" w:lineRule="exact"/>
        <w:rPr>
          <w:sz w:val="20"/>
          <w:szCs w:val="20"/>
          <w:color w:val="auto"/>
        </w:rPr>
      </w:pPr>
    </w:p>
    <w:p>
      <w:pPr>
        <w:jc w:val="both"/>
        <w:ind w:right="220" w:firstLine="245"/>
        <w:spacing w:after="0" w:line="315" w:lineRule="auto"/>
        <w:rPr>
          <w:sz w:val="20"/>
          <w:szCs w:val="20"/>
          <w:color w:val="auto"/>
        </w:rPr>
      </w:pPr>
      <w:r>
        <w:rPr>
          <w:rFonts w:ascii="Arial" w:cs="Arial" w:eastAsia="Arial" w:hAnsi="Arial"/>
          <w:sz w:val="12"/>
          <w:szCs w:val="12"/>
          <w:color w:val="auto"/>
        </w:rPr>
        <w:t>The primary driver of net cash flows associated with our operating activities is the collection of customer receivables generated from the sale of our products and services. These collections are typically partially offset by: payments to vendors for the manufacturing, distribution, and marketing of our products; payments for customer service support for our consumers; payments to third-party developers and intellectual property holders; payments for interest on our debt; payments for software development; payments for tax liabilities; and payments to our workforce.</w:t>
      </w:r>
    </w:p>
    <w:p>
      <w:pPr>
        <w:spacing w:after="0" w:line="111" w:lineRule="exact"/>
        <w:rPr>
          <w:sz w:val="20"/>
          <w:szCs w:val="20"/>
          <w:color w:val="auto"/>
        </w:rPr>
      </w:pPr>
    </w:p>
    <w:p>
      <w:pPr>
        <w:ind w:right="160" w:firstLine="245"/>
        <w:spacing w:after="0" w:line="248" w:lineRule="auto"/>
        <w:rPr>
          <w:sz w:val="20"/>
          <w:szCs w:val="20"/>
          <w:color w:val="auto"/>
        </w:rPr>
      </w:pPr>
      <w:r>
        <w:rPr>
          <w:rFonts w:ascii="Arial" w:cs="Arial" w:eastAsia="Arial" w:hAnsi="Arial"/>
          <w:sz w:val="14"/>
          <w:szCs w:val="14"/>
          <w:color w:val="auto"/>
        </w:rPr>
        <w:t>Net cash provided by operating activities for the nine months ended September 30, 2019, was $913 million, as compared to $791 million for the nine months ended September 30, 2018. The increase was primarily due to changes in our working capital resulting from the timing of collections and payments and lower cash spent to support the Destiny franchise (reflecting our sale of the publishing rights for Destiny to Bungie in December 2018). This increase was partially offset by lower net income and a decrease in non-cash adjustments to net income, primarily due to lower amortization on intangible assets related to King and lower amortization of capitalized software development costs and intellectual property licenses for the nine months ended September 30, 2019, as compared to the nine months ended September 30, 2018.</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60"/>
          </w:cols>
          <w:pgMar w:left="220" w:top="129" w:right="21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Cash Provided by (Used in) Investing Activities</w:t>
      </w:r>
    </w:p>
    <w:p>
      <w:pPr>
        <w:spacing w:after="0" w:line="166" w:lineRule="exact"/>
        <w:rPr>
          <w:sz w:val="20"/>
          <w:szCs w:val="20"/>
          <w:color w:val="auto"/>
        </w:rPr>
      </w:pPr>
    </w:p>
    <w:p>
      <w:pPr>
        <w:ind w:right="200" w:firstLine="245"/>
        <w:spacing w:after="0" w:line="262" w:lineRule="auto"/>
        <w:rPr>
          <w:sz w:val="20"/>
          <w:szCs w:val="20"/>
          <w:color w:val="auto"/>
        </w:rPr>
      </w:pPr>
      <w:r>
        <w:rPr>
          <w:rFonts w:ascii="Arial" w:cs="Arial" w:eastAsia="Arial" w:hAnsi="Arial"/>
          <w:sz w:val="14"/>
          <w:szCs w:val="14"/>
          <w:color w:val="auto"/>
        </w:rPr>
        <w:t>The primary drivers of net cash flows associated with investing activities typically include capital expenditures, purchases and sales of investments, changes in restricted cash balances, and cash used for acquisitions.</w:t>
      </w:r>
    </w:p>
    <w:p>
      <w:pPr>
        <w:spacing w:after="0" w:line="139" w:lineRule="exact"/>
        <w:rPr>
          <w:sz w:val="20"/>
          <w:szCs w:val="20"/>
          <w:color w:val="auto"/>
        </w:rPr>
      </w:pPr>
    </w:p>
    <w:p>
      <w:pPr>
        <w:ind w:right="200" w:firstLine="245"/>
        <w:spacing w:after="0" w:line="250" w:lineRule="auto"/>
        <w:rPr>
          <w:sz w:val="20"/>
          <w:szCs w:val="20"/>
          <w:color w:val="auto"/>
        </w:rPr>
      </w:pPr>
      <w:r>
        <w:rPr>
          <w:rFonts w:ascii="Arial" w:cs="Arial" w:eastAsia="Arial" w:hAnsi="Arial"/>
          <w:sz w:val="14"/>
          <w:szCs w:val="14"/>
          <w:color w:val="auto"/>
        </w:rPr>
        <w:t>Net cash provided by investing activities for the nine months ended September 30, 2019, was $79 million, as compared to net cash used in investing activities of $160 million for the nine months ended September 30, 2018. The increase was primarily due to $153 million of cash proceeds from the maturities of available-for-sale investments, as compared to purchases of available-for-sale investments of $59 million in the prior-year period. Additionally, capital expenditures of $79 million for the nine months ended September 30, 2019, were lower than the capital expenditures of $97 million for the prior-year period.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Net Cash Used in Financing Activities</w:t>
      </w:r>
    </w:p>
    <w:p>
      <w:pPr>
        <w:spacing w:after="0" w:line="166" w:lineRule="exact"/>
        <w:rPr>
          <w:sz w:val="20"/>
          <w:szCs w:val="20"/>
          <w:color w:val="auto"/>
        </w:rPr>
      </w:pPr>
    </w:p>
    <w:p>
      <w:pPr>
        <w:ind w:right="540" w:firstLine="245"/>
        <w:spacing w:after="0" w:line="262" w:lineRule="auto"/>
        <w:rPr>
          <w:sz w:val="20"/>
          <w:szCs w:val="20"/>
          <w:color w:val="auto"/>
        </w:rPr>
      </w:pPr>
      <w:r>
        <w:rPr>
          <w:rFonts w:ascii="Arial" w:cs="Arial" w:eastAsia="Arial" w:hAnsi="Arial"/>
          <w:sz w:val="14"/>
          <w:szCs w:val="14"/>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139" w:lineRule="exact"/>
        <w:rPr>
          <w:sz w:val="20"/>
          <w:szCs w:val="20"/>
          <w:color w:val="auto"/>
        </w:rPr>
      </w:pPr>
    </w:p>
    <w:p>
      <w:pPr>
        <w:ind w:right="480" w:firstLine="245"/>
        <w:spacing w:after="0" w:line="315" w:lineRule="auto"/>
        <w:rPr>
          <w:sz w:val="20"/>
          <w:szCs w:val="20"/>
          <w:color w:val="auto"/>
        </w:rPr>
      </w:pPr>
      <w:r>
        <w:rPr>
          <w:rFonts w:ascii="Arial" w:cs="Arial" w:eastAsia="Arial" w:hAnsi="Arial"/>
          <w:sz w:val="12"/>
          <w:szCs w:val="12"/>
          <w:color w:val="auto"/>
        </w:rPr>
        <w:t>Net cash used in financing activities for the nine months ended September 30, 2019, was $251 million, as compared to $2.0 billion for the nine months ended September 30, 2018. The decrease was primarily due to debt repayments, inclusive of premium payments, of $1.8 billion during the nine months ended September 30, 2018, with no comparable repayment activity in the nine months ended September 30, 2019. The Company paid dividends of $283 million during the nine months ended September 30, 2019, as compared to $259 million during the prior-year period.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Effect of Foreign Exchange Rate Changes</w:t>
      </w:r>
    </w:p>
    <w:p>
      <w:pPr>
        <w:spacing w:after="0" w:line="166" w:lineRule="exact"/>
        <w:rPr>
          <w:sz w:val="20"/>
          <w:szCs w:val="20"/>
          <w:color w:val="auto"/>
        </w:rPr>
      </w:pPr>
    </w:p>
    <w:p>
      <w:pPr>
        <w:ind w:right="360" w:firstLine="245"/>
        <w:spacing w:after="0" w:line="346" w:lineRule="auto"/>
        <w:rPr>
          <w:sz w:val="20"/>
          <w:szCs w:val="20"/>
          <w:color w:val="auto"/>
        </w:rPr>
      </w:pPr>
      <w:r>
        <w:rPr>
          <w:rFonts w:ascii="Arial" w:cs="Arial" w:eastAsia="Arial" w:hAnsi="Arial"/>
          <w:sz w:val="12"/>
          <w:szCs w:val="12"/>
          <w:color w:val="auto"/>
        </w:rPr>
        <w:t>Changes in foreign exchange rates had a negative impact of $24 million on our cash and cash equivalents and restricted cash for the nine months ended September 30, 2019, as compared to a negative impact of $15 million for the nine months ended September 30, 2018. The change was primarily due to changes in the value of the U.S. dollar relative to the euro and the British pound.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At both September 30, 2019 and December 31, 2018, our total outstanding debt was $2.7 billion, bearing interest at a weighted average rate of 3.18%.</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 summary of our outstanding debt is as follows (amounts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At September 30, 2019</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5"/>
        </w:trPr>
        <w:tc>
          <w:tcPr>
            <w:tcW w:w="47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53"/>
        </w:trPr>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Unamortized Discount and Deferred</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59"/>
        </w:trPr>
        <w:tc>
          <w:tcPr>
            <w:tcW w:w="47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b w:val="1"/>
                <w:bCs w:val="1"/>
                <w:color w:val="auto"/>
              </w:rPr>
              <w:t>Gross Carrying Amount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Financing Costs</w:t>
            </w:r>
          </w:p>
        </w:tc>
        <w:tc>
          <w:tcPr>
            <w:tcW w:w="300" w:type="dxa"/>
            <w:vAlign w:val="bottom"/>
          </w:tcPr>
          <w:p>
            <w:pPr>
              <w:spacing w:after="0"/>
              <w:rPr>
                <w:sz w:val="13"/>
                <w:szCs w:val="13"/>
                <w:color w:val="auto"/>
              </w:rPr>
            </w:pPr>
          </w:p>
        </w:tc>
        <w:tc>
          <w:tcPr>
            <w:tcW w:w="1860" w:type="dxa"/>
            <w:vAlign w:val="bottom"/>
          </w:tcPr>
          <w:p>
            <w:pPr>
              <w:jc w:val="right"/>
              <w:ind w:right="433"/>
              <w:spacing w:after="0"/>
              <w:rPr>
                <w:sz w:val="20"/>
                <w:szCs w:val="20"/>
                <w:color w:val="auto"/>
              </w:rPr>
            </w:pPr>
            <w:r>
              <w:rPr>
                <w:rFonts w:ascii="Arial" w:cs="Arial" w:eastAsia="Arial" w:hAnsi="Arial"/>
                <w:sz w:val="12"/>
                <w:szCs w:val="12"/>
                <w:b w:val="1"/>
                <w:bCs w:val="1"/>
                <w:color w:val="auto"/>
              </w:rPr>
              <w:t>Net Carrying Amount</w:t>
            </w:r>
          </w:p>
        </w:tc>
      </w:tr>
      <w:tr>
        <w:trPr>
          <w:trHeight w:val="25"/>
        </w:trPr>
        <w:tc>
          <w:tcPr>
            <w:tcW w:w="47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 Notes</w:t>
            </w:r>
          </w:p>
        </w:tc>
        <w:tc>
          <w:tcPr>
            <w:tcW w:w="1760" w:type="dxa"/>
            <w:vAlign w:val="bottom"/>
            <w:tcBorders>
              <w:bottom w:val="single" w:sz="8" w:color="CCEEFF"/>
            </w:tcBorders>
            <w:shd w:val="clear" w:color="auto" w:fill="CCEEFF"/>
          </w:tcPr>
          <w:p>
            <w:pPr>
              <w:jc w:val="right"/>
              <w:ind w:right="159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648</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2022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Arial" w:cs="Arial" w:eastAsia="Arial" w:hAnsi="Arial"/>
                <w:sz w:val="14"/>
                <w:szCs w:val="14"/>
                <w:color w:val="auto"/>
              </w:rPr>
              <w:t>398</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2026 Notes</w:t>
            </w:r>
          </w:p>
        </w:tc>
        <w:tc>
          <w:tcPr>
            <w:tcW w:w="1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842</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2027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Arial" w:cs="Arial" w:eastAsia="Arial" w:hAnsi="Arial"/>
                <w:sz w:val="14"/>
                <w:szCs w:val="14"/>
                <w:color w:val="auto"/>
              </w:rPr>
              <w:t>395</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2047 Notes</w:t>
            </w:r>
          </w:p>
        </w:tc>
        <w:tc>
          <w:tcPr>
            <w:tcW w:w="17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391</w:t>
            </w: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Total long-term debt</w:t>
            </w:r>
          </w:p>
        </w:tc>
        <w:tc>
          <w:tcPr>
            <w:tcW w:w="1760" w:type="dxa"/>
            <w:vAlign w:val="bottom"/>
            <w:tcBorders>
              <w:top w:val="single" w:sz="8" w:color="auto"/>
              <w:bottom w:val="single" w:sz="8" w:color="auto"/>
            </w:tcBorders>
          </w:tcPr>
          <w:p>
            <w:pPr>
              <w:jc w:val="right"/>
              <w:ind w:right="1594"/>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85"/>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2,674</w:t>
            </w:r>
          </w:p>
        </w:tc>
      </w:tr>
      <w:tr>
        <w:trPr>
          <w:trHeight w:val="20"/>
        </w:trPr>
        <w:tc>
          <w:tcPr>
            <w:tcW w:w="4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487"/>
        </w:trPr>
        <w:tc>
          <w:tcPr>
            <w:tcW w:w="4700" w:type="dxa"/>
            <w:vAlign w:val="bottom"/>
          </w:tcPr>
          <w:p>
            <w:pPr>
              <w:spacing w:after="0"/>
              <w:rPr>
                <w:sz w:val="24"/>
                <w:szCs w:val="24"/>
                <w:color w:val="auto"/>
              </w:rPr>
            </w:pPr>
          </w:p>
        </w:tc>
        <w:tc>
          <w:tcPr>
            <w:tcW w:w="1760" w:type="dxa"/>
            <w:vAlign w:val="bottom"/>
          </w:tcPr>
          <w:p>
            <w:pPr>
              <w:jc w:val="right"/>
              <w:ind w:right="594"/>
              <w:spacing w:after="0"/>
              <w:rPr>
                <w:sz w:val="20"/>
                <w:szCs w:val="20"/>
                <w:color w:val="auto"/>
              </w:rPr>
            </w:pPr>
            <w:r>
              <w:rPr>
                <w:rFonts w:ascii="Arial" w:cs="Arial" w:eastAsia="Arial" w:hAnsi="Arial"/>
                <w:sz w:val="14"/>
                <w:szCs w:val="14"/>
                <w:color w:val="auto"/>
              </w:rPr>
              <w:t>64</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60"/>
          </w:cols>
          <w:pgMar w:left="220" w:top="129" w:right="21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At December 31, 2018</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5"/>
        </w:trPr>
        <w:tc>
          <w:tcPr>
            <w:tcW w:w="47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53"/>
        </w:trPr>
        <w:tc>
          <w:tcPr>
            <w:tcW w:w="47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Unamortized Discount and Deferred</w:t>
            </w:r>
          </w:p>
        </w:tc>
        <w:tc>
          <w:tcPr>
            <w:tcW w:w="3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59"/>
        </w:trPr>
        <w:tc>
          <w:tcPr>
            <w:tcW w:w="4700" w:type="dxa"/>
            <w:vAlign w:val="bottom"/>
          </w:tcPr>
          <w:p>
            <w:pPr>
              <w:spacing w:after="0"/>
              <w:rPr>
                <w:sz w:val="13"/>
                <w:szCs w:val="13"/>
                <w:color w:val="auto"/>
              </w:rPr>
            </w:pPr>
          </w:p>
        </w:tc>
        <w:tc>
          <w:tcPr>
            <w:tcW w:w="1760" w:type="dxa"/>
            <w:vAlign w:val="bottom"/>
          </w:tcPr>
          <w:p>
            <w:pPr>
              <w:jc w:val="right"/>
              <w:spacing w:after="0"/>
              <w:rPr>
                <w:sz w:val="20"/>
                <w:szCs w:val="20"/>
                <w:color w:val="auto"/>
              </w:rPr>
            </w:pPr>
            <w:r>
              <w:rPr>
                <w:rFonts w:ascii="Arial" w:cs="Arial" w:eastAsia="Arial" w:hAnsi="Arial"/>
                <w:sz w:val="12"/>
                <w:szCs w:val="12"/>
                <w:b w:val="1"/>
                <w:bCs w:val="1"/>
                <w:color w:val="auto"/>
              </w:rPr>
              <w:t>Gross Carrying Amount</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Financing Costs</w:t>
            </w:r>
          </w:p>
        </w:tc>
        <w:tc>
          <w:tcPr>
            <w:tcW w:w="300" w:type="dxa"/>
            <w:vAlign w:val="bottom"/>
          </w:tcPr>
          <w:p>
            <w:pPr>
              <w:spacing w:after="0"/>
              <w:rPr>
                <w:sz w:val="13"/>
                <w:szCs w:val="13"/>
                <w:color w:val="auto"/>
              </w:rPr>
            </w:pPr>
          </w:p>
        </w:tc>
        <w:tc>
          <w:tcPr>
            <w:tcW w:w="1860" w:type="dxa"/>
            <w:vAlign w:val="bottom"/>
          </w:tcPr>
          <w:p>
            <w:pPr>
              <w:jc w:val="right"/>
              <w:ind w:right="433"/>
              <w:spacing w:after="0"/>
              <w:rPr>
                <w:sz w:val="20"/>
                <w:szCs w:val="20"/>
                <w:color w:val="auto"/>
              </w:rPr>
            </w:pPr>
            <w:r>
              <w:rPr>
                <w:rFonts w:ascii="Arial" w:cs="Arial" w:eastAsia="Arial" w:hAnsi="Arial"/>
                <w:sz w:val="12"/>
                <w:szCs w:val="12"/>
                <w:b w:val="1"/>
                <w:bCs w:val="1"/>
                <w:color w:val="auto"/>
              </w:rPr>
              <w:t>Net Carrying Amount</w:t>
            </w:r>
          </w:p>
        </w:tc>
      </w:tr>
      <w:tr>
        <w:trPr>
          <w:trHeight w:val="25"/>
        </w:trPr>
        <w:tc>
          <w:tcPr>
            <w:tcW w:w="47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 Notes</w:t>
            </w:r>
          </w:p>
        </w:tc>
        <w:tc>
          <w:tcPr>
            <w:tcW w:w="1760" w:type="dxa"/>
            <w:vAlign w:val="bottom"/>
            <w:tcBorders>
              <w:bottom w:val="single" w:sz="8" w:color="CCEEFF"/>
            </w:tcBorders>
            <w:shd w:val="clear" w:color="auto" w:fill="CCEEFF"/>
          </w:tcPr>
          <w:p>
            <w:pPr>
              <w:jc w:val="right"/>
              <w:ind w:right="159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650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647</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2022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Arial" w:cs="Arial" w:eastAsia="Arial" w:hAnsi="Arial"/>
                <w:sz w:val="14"/>
                <w:szCs w:val="14"/>
                <w:color w:val="auto"/>
              </w:rPr>
              <w:t>397</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8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2026 Notes</w:t>
            </w:r>
          </w:p>
        </w:tc>
        <w:tc>
          <w:tcPr>
            <w:tcW w:w="17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842</w:t>
            </w:r>
          </w:p>
        </w:tc>
      </w:tr>
      <w:tr>
        <w:trPr>
          <w:trHeight w:val="183"/>
        </w:trPr>
        <w:tc>
          <w:tcPr>
            <w:tcW w:w="4700" w:type="dxa"/>
            <w:vAlign w:val="bottom"/>
          </w:tcPr>
          <w:p>
            <w:pPr>
              <w:ind w:left="20"/>
              <w:spacing w:after="0"/>
              <w:rPr>
                <w:sz w:val="20"/>
                <w:szCs w:val="20"/>
                <w:color w:val="auto"/>
              </w:rPr>
            </w:pPr>
            <w:r>
              <w:rPr>
                <w:rFonts w:ascii="Arial" w:cs="Arial" w:eastAsia="Arial" w:hAnsi="Arial"/>
                <w:sz w:val="14"/>
                <w:szCs w:val="14"/>
                <w:color w:val="auto"/>
              </w:rPr>
              <w:t>2027 Notes</w:t>
            </w:r>
          </w:p>
        </w:tc>
        <w:tc>
          <w:tcPr>
            <w:tcW w:w="176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33"/>
              <w:spacing w:after="0"/>
              <w:rPr>
                <w:sz w:val="20"/>
                <w:szCs w:val="20"/>
                <w:color w:val="auto"/>
              </w:rPr>
            </w:pPr>
            <w:r>
              <w:rPr>
                <w:rFonts w:ascii="Arial" w:cs="Arial" w:eastAsia="Arial" w:hAnsi="Arial"/>
                <w:sz w:val="14"/>
                <w:szCs w:val="14"/>
                <w:color w:val="auto"/>
              </w:rPr>
              <w:t>395</w:t>
            </w:r>
          </w:p>
        </w:tc>
      </w:tr>
      <w:tr>
        <w:trPr>
          <w:trHeight w:val="21"/>
        </w:trPr>
        <w:tc>
          <w:tcPr>
            <w:tcW w:w="4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0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2047 Notes</w:t>
            </w:r>
          </w:p>
        </w:tc>
        <w:tc>
          <w:tcPr>
            <w:tcW w:w="17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390</w:t>
            </w:r>
          </w:p>
        </w:tc>
      </w:tr>
      <w:tr>
        <w:trPr>
          <w:trHeight w:val="189"/>
        </w:trPr>
        <w:tc>
          <w:tcPr>
            <w:tcW w:w="4700" w:type="dxa"/>
            <w:vAlign w:val="bottom"/>
          </w:tcPr>
          <w:p>
            <w:pPr>
              <w:ind w:left="20"/>
              <w:spacing w:after="0"/>
              <w:rPr>
                <w:sz w:val="20"/>
                <w:szCs w:val="20"/>
                <w:color w:val="auto"/>
              </w:rPr>
            </w:pPr>
            <w:r>
              <w:rPr>
                <w:rFonts w:ascii="Arial" w:cs="Arial" w:eastAsia="Arial" w:hAnsi="Arial"/>
                <w:sz w:val="14"/>
                <w:szCs w:val="14"/>
                <w:color w:val="auto"/>
              </w:rPr>
              <w:t>Total long-term debt</w:t>
            </w:r>
          </w:p>
        </w:tc>
        <w:tc>
          <w:tcPr>
            <w:tcW w:w="1760" w:type="dxa"/>
            <w:vAlign w:val="bottom"/>
            <w:tcBorders>
              <w:top w:val="single" w:sz="8" w:color="auto"/>
              <w:bottom w:val="single" w:sz="8" w:color="auto"/>
            </w:tcBorders>
          </w:tcPr>
          <w:p>
            <w:pPr>
              <w:jc w:val="right"/>
              <w:ind w:right="1594"/>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w w:val="85"/>
              </w:rPr>
              <w:t>2,700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1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2,671</w:t>
            </w:r>
          </w:p>
        </w:tc>
      </w:tr>
      <w:tr>
        <w:trPr>
          <w:trHeight w:val="20"/>
        </w:trPr>
        <w:tc>
          <w:tcPr>
            <w:tcW w:w="47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Refer to Note 11 of the notes to the condensed consolidated financial statements included in Item 1 of this Quarterly Report on Form 10-Q for further disclosures regarding our debt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w:t>
      </w:r>
    </w:p>
    <w:p>
      <w:pPr>
        <w:spacing w:after="0" w:line="166" w:lineRule="exact"/>
        <w:rPr>
          <w:sz w:val="20"/>
          <w:szCs w:val="20"/>
          <w:color w:val="auto"/>
        </w:rPr>
      </w:pPr>
    </w:p>
    <w:p>
      <w:pPr>
        <w:ind w:right="360" w:firstLine="245"/>
        <w:spacing w:after="0" w:line="262" w:lineRule="auto"/>
        <w:rPr>
          <w:sz w:val="20"/>
          <w:szCs w:val="20"/>
          <w:color w:val="auto"/>
        </w:rPr>
      </w:pPr>
      <w:r>
        <w:rPr>
          <w:rFonts w:ascii="Arial" w:cs="Arial" w:eastAsia="Arial" w:hAnsi="Arial"/>
          <w:sz w:val="14"/>
          <w:szCs w:val="14"/>
          <w:color w:val="auto"/>
        </w:rPr>
        <w:t>On February 12, 2019, our Board of Directors declared a cash dividend of $0.37 per common share. On May 9, 2019, we made an aggregate cash dividend payment of $283 million to shareholders of record at the close of business on March 28, 2019.</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Expenditures</w:t>
      </w:r>
    </w:p>
    <w:p>
      <w:pPr>
        <w:spacing w:after="0" w:line="166" w:lineRule="exact"/>
        <w:rPr>
          <w:sz w:val="20"/>
          <w:szCs w:val="20"/>
          <w:color w:val="auto"/>
        </w:rPr>
      </w:pPr>
    </w:p>
    <w:p>
      <w:pPr>
        <w:ind w:right="100" w:firstLine="245"/>
        <w:spacing w:after="0" w:line="262" w:lineRule="auto"/>
        <w:rPr>
          <w:sz w:val="20"/>
          <w:szCs w:val="20"/>
          <w:color w:val="auto"/>
        </w:rPr>
      </w:pPr>
      <w:r>
        <w:rPr>
          <w:rFonts w:ascii="Arial" w:cs="Arial" w:eastAsia="Arial" w:hAnsi="Arial"/>
          <w:sz w:val="14"/>
          <w:szCs w:val="14"/>
          <w:color w:val="auto"/>
        </w:rPr>
        <w:t>For the year ending December 31, 2019, we anticipate total capital expenditures of approximately $130 million, primarily for leasehold improvements, computer hardware, and software purchases. During the nine months ended September 30, 2019, capital expenditures were $79 million.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68" w:lineRule="exact"/>
        <w:rPr>
          <w:sz w:val="20"/>
          <w:szCs w:val="20"/>
          <w:color w:val="auto"/>
        </w:rPr>
      </w:pPr>
    </w:p>
    <w:p>
      <w:pPr>
        <w:ind w:firstLine="245"/>
        <w:spacing w:after="0" w:line="315" w:lineRule="auto"/>
        <w:rPr>
          <w:sz w:val="20"/>
          <w:szCs w:val="20"/>
          <w:color w:val="auto"/>
        </w:rPr>
      </w:pPr>
      <w:r>
        <w:rPr>
          <w:rFonts w:ascii="Arial" w:cs="Arial" w:eastAsia="Arial" w:hAnsi="Arial"/>
          <w:sz w:val="12"/>
          <w:szCs w:val="12"/>
          <w:color w:val="auto"/>
        </w:rPr>
        <w:t>At each of September 30, 2019 and December 31, 2018,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68" w:lineRule="exact"/>
        <w:rPr>
          <w:sz w:val="20"/>
          <w:szCs w:val="20"/>
          <w:color w:val="auto"/>
        </w:rPr>
      </w:pPr>
    </w:p>
    <w:p>
      <w:pPr>
        <w:ind w:right="40" w:firstLine="245"/>
        <w:spacing w:after="0" w:line="247" w:lineRule="auto"/>
        <w:rPr>
          <w:sz w:val="20"/>
          <w:szCs w:val="20"/>
          <w:color w:val="auto"/>
        </w:rPr>
      </w:pPr>
      <w:r>
        <w:rPr>
          <w:rFonts w:ascii="Arial" w:cs="Arial" w:eastAsia="Arial" w:hAnsi="Arial"/>
          <w:sz w:val="14"/>
          <w:szCs w:val="14"/>
          <w:color w:val="auto"/>
        </w:rPr>
        <w:t>Our condensed consolidated financial statements are prepared in accordance with accounting principles generally accepted in the United States of America. These accounting principles require us to make certain estimates, judgments, and assumptions. We believe that the estimates, judgments, and assumptions upon which we rely are reasonable based upon information available to us at the time that they are made. These estimates, judgments, and assumptions can affect the reported amounts of assets and liabilities at the date of the financial statements, as well as the reported amounts of revenues and expenses during the periods presented. To the extent there are material differences between these estimates, judgments, or assumptions and actual results, our financial statements will be affected. The accounting policies that reflect our more significant estimates, judgments, and assumptions, and which we believe are the most critical to aid in fully understanding and evaluating our reported financial results, include the following:</w:t>
      </w:r>
    </w:p>
    <w:p>
      <w:pPr>
        <w:spacing w:after="0" w:line="172" w:lineRule="exact"/>
        <w:rPr>
          <w:sz w:val="20"/>
          <w:szCs w:val="20"/>
          <w:color w:val="auto"/>
        </w:rPr>
      </w:pPr>
    </w:p>
    <w:p>
      <w:pPr>
        <w:ind w:left="780" w:hanging="28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Revenue Recognition;</w:t>
      </w:r>
    </w:p>
    <w:p>
      <w:pPr>
        <w:spacing w:after="0" w:line="33" w:lineRule="exact"/>
        <w:rPr>
          <w:rFonts w:ascii="Arial" w:cs="Arial" w:eastAsia="Arial" w:hAnsi="Arial"/>
          <w:sz w:val="14"/>
          <w:szCs w:val="14"/>
          <w:color w:val="auto"/>
        </w:rPr>
      </w:pPr>
    </w:p>
    <w:p>
      <w:pPr>
        <w:ind w:left="780" w:hanging="28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Income Taxes;</w:t>
      </w:r>
    </w:p>
    <w:p>
      <w:pPr>
        <w:spacing w:after="0" w:line="33" w:lineRule="exact"/>
        <w:rPr>
          <w:rFonts w:ascii="Arial" w:cs="Arial" w:eastAsia="Arial" w:hAnsi="Arial"/>
          <w:sz w:val="14"/>
          <w:szCs w:val="14"/>
          <w:color w:val="auto"/>
        </w:rPr>
      </w:pPr>
    </w:p>
    <w:p>
      <w:pPr>
        <w:ind w:left="780" w:hanging="28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Allowances for Returns and Price Protection;</w:t>
      </w:r>
    </w:p>
    <w:p>
      <w:pPr>
        <w:spacing w:after="0" w:line="33" w:lineRule="exact"/>
        <w:rPr>
          <w:rFonts w:ascii="Arial" w:cs="Arial" w:eastAsia="Arial" w:hAnsi="Arial"/>
          <w:sz w:val="14"/>
          <w:szCs w:val="14"/>
          <w:color w:val="auto"/>
        </w:rPr>
      </w:pPr>
    </w:p>
    <w:p>
      <w:pPr>
        <w:ind w:left="780" w:hanging="28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Software Development Costs;</w:t>
      </w:r>
    </w:p>
    <w:p>
      <w:pPr>
        <w:spacing w:after="0" w:line="33" w:lineRule="exact"/>
        <w:rPr>
          <w:rFonts w:ascii="Arial" w:cs="Arial" w:eastAsia="Arial" w:hAnsi="Arial"/>
          <w:sz w:val="14"/>
          <w:szCs w:val="14"/>
          <w:color w:val="auto"/>
        </w:rPr>
      </w:pPr>
    </w:p>
    <w:p>
      <w:pPr>
        <w:ind w:left="780" w:hanging="28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Fair Value Estimates (including Business Combinations and Assessment of Impairment of Assets); and</w:t>
      </w:r>
    </w:p>
    <w:p>
      <w:pPr>
        <w:spacing w:after="0" w:line="33" w:lineRule="exact"/>
        <w:rPr>
          <w:rFonts w:ascii="Arial" w:cs="Arial" w:eastAsia="Arial" w:hAnsi="Arial"/>
          <w:sz w:val="14"/>
          <w:szCs w:val="14"/>
          <w:color w:val="auto"/>
        </w:rPr>
      </w:pPr>
    </w:p>
    <w:p>
      <w:pPr>
        <w:ind w:left="780" w:hanging="287"/>
        <w:spacing w:after="0"/>
        <w:tabs>
          <w:tab w:leader="none" w:pos="7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Share-Based Payments.</w:t>
      </w:r>
    </w:p>
    <w:p>
      <w:pPr>
        <w:spacing w:after="0" w:line="176" w:lineRule="exact"/>
        <w:rPr>
          <w:sz w:val="20"/>
          <w:szCs w:val="20"/>
          <w:color w:val="auto"/>
        </w:rPr>
      </w:pPr>
    </w:p>
    <w:p>
      <w:pPr>
        <w:jc w:val="both"/>
        <w:ind w:right="160" w:firstLine="245"/>
        <w:spacing w:after="0" w:line="253" w:lineRule="auto"/>
        <w:rPr>
          <w:sz w:val="20"/>
          <w:szCs w:val="20"/>
          <w:color w:val="auto"/>
        </w:rPr>
      </w:pPr>
      <w:r>
        <w:rPr>
          <w:rFonts w:ascii="Arial" w:cs="Arial" w:eastAsia="Arial" w:hAnsi="Arial"/>
          <w:sz w:val="14"/>
          <w:szCs w:val="14"/>
          <w:color w:val="auto"/>
        </w:rPr>
        <w:t>During the nine months ended September 30, 2019, there were no significant changes to the above critical accounting policies and estimates. Refer to Management’s Discussion and Analysis of Financial Condition and Results of Operations contained in Part II, Item 7 of our Annual Report on Form 10-K for the year ended December 31, 2018, for a more complete discussion of our critical accounting policies and estimates.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460"/>
          </w:cols>
          <w:pgMar w:left="220" w:top="129" w:right="21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68" w:lineRule="exact"/>
        <w:rPr>
          <w:sz w:val="20"/>
          <w:szCs w:val="20"/>
          <w:color w:val="auto"/>
        </w:rPr>
      </w:pPr>
    </w:p>
    <w:p>
      <w:pPr>
        <w:ind w:right="40" w:firstLine="245"/>
        <w:spacing w:after="0" w:line="262" w:lineRule="auto"/>
        <w:rPr>
          <w:sz w:val="20"/>
          <w:szCs w:val="20"/>
          <w:color w:val="auto"/>
        </w:rPr>
      </w:pPr>
      <w:r>
        <w:rPr>
          <w:rFonts w:ascii="Arial" w:cs="Arial" w:eastAsia="Arial" w:hAnsi="Arial"/>
          <w:sz w:val="14"/>
          <w:szCs w:val="14"/>
          <w:color w:val="auto"/>
        </w:rPr>
        <w:t>Below are recently issued accounting pronouncements that were most significant to our accounting policy activities. For a detailed discussion of all relevant recently issued accounting pronouncements, see Note 3 of the notes to the condensed consolidated financial statements included in Item 1 of this Quarterly Report on Form 10-Q.</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Leases</w:t>
      </w:r>
    </w:p>
    <w:p>
      <w:pPr>
        <w:spacing w:after="0" w:line="166" w:lineRule="exact"/>
        <w:rPr>
          <w:sz w:val="20"/>
          <w:szCs w:val="20"/>
          <w:color w:val="auto"/>
        </w:rPr>
      </w:pPr>
    </w:p>
    <w:p>
      <w:pPr>
        <w:ind w:right="20" w:firstLine="245"/>
        <w:spacing w:after="0" w:line="250" w:lineRule="auto"/>
        <w:rPr>
          <w:sz w:val="20"/>
          <w:szCs w:val="20"/>
          <w:color w:val="auto"/>
        </w:rPr>
      </w:pPr>
      <w:r>
        <w:rPr>
          <w:rFonts w:ascii="Arial" w:cs="Arial" w:eastAsia="Arial" w:hAnsi="Arial"/>
          <w:sz w:val="14"/>
          <w:szCs w:val="14"/>
          <w:color w:val="auto"/>
        </w:rPr>
        <w:t>As noted in Note 2 of the notes to the condensed consolidated financial statements included in Item 1 of this Quarterly Report on Form 10-Q, we adopted the new lease accounting standard effective January 1, 2019. We elected to apply an optional adoption method, which uses the effective date as the initial date of application on transition with no retrospective adjustments to prior periods. Additionally, we elected to apply the package of transition practical expedients which permitted us to, among other things, (1) not reassess if existing contracts contained leases under the new lease accounting standard, and (2) carry forward our historical lease classifications.</w:t>
      </w:r>
    </w:p>
    <w:p>
      <w:pPr>
        <w:spacing w:after="0" w:line="147" w:lineRule="exact"/>
        <w:rPr>
          <w:sz w:val="20"/>
          <w:szCs w:val="20"/>
          <w:color w:val="auto"/>
        </w:rPr>
      </w:pPr>
    </w:p>
    <w:p>
      <w:pPr>
        <w:ind w:right="320" w:firstLine="245"/>
        <w:spacing w:after="0" w:line="262" w:lineRule="auto"/>
        <w:rPr>
          <w:sz w:val="20"/>
          <w:szCs w:val="20"/>
          <w:color w:val="auto"/>
        </w:rPr>
      </w:pPr>
      <w:r>
        <w:rPr>
          <w:rFonts w:ascii="Arial" w:cs="Arial" w:eastAsia="Arial" w:hAnsi="Arial"/>
          <w:sz w:val="14"/>
          <w:szCs w:val="14"/>
          <w:color w:val="auto"/>
        </w:rPr>
        <w:t>For additional discussion regarding the impact of our adoption of the new lease accounting standard to our condensed consolidated balance sheet, see Note 3 of the notes to the condensed consolidated financial statements included in Item 1 of this Quarterly Report on Form 10-Q.</w:t>
      </w:r>
    </w:p>
    <w:p>
      <w:pPr>
        <w:spacing w:after="0" w:line="137"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Market risk is the potential loss arising from fluctuations in market rates and prices. Our market risk exposures primarily include fluctuations in foreign currency exchange rates and interest rates.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Exchange Rate Risk</w:t>
      </w:r>
    </w:p>
    <w:p>
      <w:pPr>
        <w:spacing w:after="0" w:line="168" w:lineRule="exact"/>
        <w:rPr>
          <w:sz w:val="20"/>
          <w:szCs w:val="20"/>
          <w:color w:val="auto"/>
        </w:rPr>
      </w:pPr>
    </w:p>
    <w:p>
      <w:pPr>
        <w:ind w:firstLine="245"/>
        <w:spacing w:after="0" w:line="296" w:lineRule="auto"/>
        <w:rPr>
          <w:sz w:val="20"/>
          <w:szCs w:val="20"/>
          <w:color w:val="auto"/>
        </w:rPr>
      </w:pPr>
      <w:r>
        <w:rPr>
          <w:rFonts w:ascii="Arial" w:cs="Arial" w:eastAsia="Arial" w:hAnsi="Arial"/>
          <w:sz w:val="12"/>
          <w:szCs w:val="12"/>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124" w:lineRule="exact"/>
        <w:rPr>
          <w:sz w:val="20"/>
          <w:szCs w:val="20"/>
          <w:color w:val="auto"/>
        </w:rPr>
      </w:pPr>
    </w:p>
    <w:p>
      <w:pPr>
        <w:ind w:right="100" w:firstLine="245"/>
        <w:spacing w:after="0" w:line="253" w:lineRule="auto"/>
        <w:rPr>
          <w:sz w:val="20"/>
          <w:szCs w:val="20"/>
          <w:color w:val="auto"/>
        </w:rPr>
      </w:pPr>
      <w:r>
        <w:rPr>
          <w:rFonts w:ascii="Arial" w:cs="Arial" w:eastAsia="Arial" w:hAnsi="Arial"/>
          <w:sz w:val="14"/>
          <w:szCs w:val="14"/>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fair values of our foreign currency contracts are estimated based on the prevailing exchange rates of the various hedged currencies as of the end of the period.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We do not hold or purchase any foreign currency forward contracts for trading or speculative purposes.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60"/>
          </w:cols>
          <w:pgMar w:left="220" w:top="129" w:right="21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Forward Contracts Designated as Hedges (“Cash Flow Hedges”)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total gross notional amounts and fair values of our Cash Flow Hedges are as follows (amounts in millions):</w:t>
      </w:r>
    </w:p>
    <w:p>
      <w:pPr>
        <w:sectPr>
          <w:pgSz w:w="11900" w:h="16838" w:orient="portrait"/>
          <w:cols w:equalWidth="0" w:num="1">
            <w:col w:w="11460"/>
          </w:cols>
          <w:pgMar w:left="220" w:top="129" w:right="219" w:bottom="1440" w:gutter="0" w:footer="0" w:header="0"/>
        </w:sectPr>
      </w:pPr>
    </w:p>
    <w:p>
      <w:pPr>
        <w:spacing w:after="0" w:line="322" w:lineRule="exact"/>
        <w:rPr>
          <w:sz w:val="20"/>
          <w:szCs w:val="20"/>
          <w:color w:val="auto"/>
        </w:rPr>
      </w:pPr>
    </w:p>
    <w:p>
      <w:pPr>
        <w:ind w:left="4860"/>
        <w:spacing w:after="0"/>
        <w:rPr>
          <w:sz w:val="20"/>
          <w:szCs w:val="20"/>
          <w:color w:val="auto"/>
        </w:rPr>
      </w:pPr>
      <w:r>
        <w:rPr>
          <w:rFonts w:ascii="Arial" w:cs="Arial" w:eastAsia="Arial" w:hAnsi="Arial"/>
          <w:sz w:val="12"/>
          <w:szCs w:val="12"/>
          <w:b w:val="1"/>
          <w:bCs w:val="1"/>
          <w:color w:val="auto"/>
        </w:rPr>
        <w:t>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29845</wp:posOffset>
            </wp:positionV>
            <wp:extent cx="248094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Arial" w:cs="Arial" w:eastAsia="Arial" w:hAnsi="Arial"/>
          <w:sz w:val="12"/>
          <w:szCs w:val="12"/>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7279640"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13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29845</wp:posOffset>
            </wp:positionV>
            <wp:extent cx="246761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Arial" w:cs="Arial" w:eastAsia="Arial" w:hAnsi="Arial"/>
          <w:sz w:val="12"/>
          <w:szCs w:val="12"/>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65" w:lineRule="exact"/>
        <w:rPr>
          <w:sz w:val="20"/>
          <w:szCs w:val="20"/>
          <w:color w:val="auto"/>
        </w:rPr>
      </w:pPr>
    </w:p>
    <w:p>
      <w:pPr>
        <w:sectPr>
          <w:pgSz w:w="11900" w:h="16838" w:orient="portrait"/>
          <w:cols w:equalWidth="0" w:num="2">
            <w:col w:w="7400" w:space="720"/>
            <w:col w:w="3340"/>
          </w:cols>
          <w:pgMar w:left="220" w:top="129" w:right="21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Foreign Currency:</w:t>
      </w:r>
    </w:p>
    <w:p>
      <w:pPr>
        <w:spacing w:after="0" w:line="46" w:lineRule="exact"/>
        <w:rPr>
          <w:sz w:val="20"/>
          <w:szCs w:val="20"/>
          <w:color w:val="auto"/>
        </w:rPr>
      </w:pPr>
    </w:p>
    <w:p>
      <w:pPr>
        <w:ind w:left="20"/>
        <w:spacing w:after="0"/>
        <w:tabs>
          <w:tab w:leader="none" w:pos="3560" w:val="left"/>
          <w:tab w:leader="none" w:pos="5180" w:val="left"/>
          <w:tab w:leader="none" w:pos="5520" w:val="left"/>
          <w:tab w:leader="none" w:pos="7200" w:val="left"/>
          <w:tab w:leader="none" w:pos="7580" w:val="left"/>
          <w:tab w:leader="none" w:pos="9180" w:val="left"/>
          <w:tab w:leader="none" w:pos="9520" w:val="left"/>
          <w:tab w:leader="none" w:pos="11200" w:val="left"/>
        </w:tabs>
        <w:rPr>
          <w:sz w:val="20"/>
          <w:szCs w:val="20"/>
          <w:color w:val="auto"/>
        </w:rPr>
      </w:pPr>
      <w:r>
        <w:rPr>
          <w:rFonts w:ascii="Arial" w:cs="Arial" w:eastAsia="Arial" w:hAnsi="Arial"/>
          <w:sz w:val="14"/>
          <w:szCs w:val="14"/>
          <w:color w:val="auto"/>
        </w:rPr>
        <w:t>Buy USD, Sell Euro</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310</w:t>
        <w:tab/>
        <w:t>$</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723</w:t>
        <w:tab/>
        <w:t>$</w:t>
      </w:r>
      <w:r>
        <w:rPr>
          <w:sz w:val="20"/>
          <w:szCs w:val="20"/>
          <w:color w:val="auto"/>
        </w:rPr>
        <w:tab/>
      </w:r>
      <w:r>
        <w:rPr>
          <w:rFonts w:ascii="Arial" w:cs="Arial" w:eastAsia="Arial" w:hAnsi="Arial"/>
          <w:sz w:val="12"/>
          <w:szCs w:val="12"/>
          <w:color w:val="auto"/>
        </w:rPr>
        <w:t>12</w:t>
      </w:r>
    </w:p>
    <w:p>
      <w:pPr>
        <w:spacing w:after="0" w:line="187" w:lineRule="exact"/>
        <w:rPr>
          <w:sz w:val="20"/>
          <w:szCs w:val="20"/>
          <w:color w:val="auto"/>
        </w:rPr>
      </w:pPr>
    </w:p>
    <w:p>
      <w:pPr>
        <w:ind w:firstLine="245"/>
        <w:spacing w:after="0" w:line="253" w:lineRule="auto"/>
        <w:rPr>
          <w:sz w:val="20"/>
          <w:szCs w:val="20"/>
          <w:color w:val="auto"/>
        </w:rPr>
      </w:pPr>
      <w:r>
        <w:rPr>
          <w:rFonts w:ascii="Arial" w:cs="Arial" w:eastAsia="Arial" w:hAnsi="Arial"/>
          <w:sz w:val="14"/>
          <w:szCs w:val="14"/>
          <w:color w:val="auto"/>
        </w:rPr>
        <w:t>At September 30, 2019, our Cash Flow Hedges have remaining maturities of three months or less. Additionally, $2 million of net realized but unrecognized gains are recorded within “Accumulated other comprehensive income (loss)” at September 30, 2019 for Cash Flow Hedges that had settled but were deferred and will be amortized into earnings, along with the associated hedged revenues. Such amounts will be reclassified into earnings within the next 12 months.</w:t>
      </w:r>
    </w:p>
    <w:p>
      <w:pPr>
        <w:spacing w:after="0" w:line="145" w:lineRule="exact"/>
        <w:rPr>
          <w:sz w:val="20"/>
          <w:szCs w:val="20"/>
          <w:color w:val="auto"/>
        </w:rPr>
      </w:pPr>
    </w:p>
    <w:p>
      <w:pPr>
        <w:ind w:right="220" w:firstLine="245"/>
        <w:spacing w:after="0" w:line="262" w:lineRule="auto"/>
        <w:rPr>
          <w:sz w:val="20"/>
          <w:szCs w:val="20"/>
          <w:color w:val="auto"/>
        </w:rPr>
      </w:pPr>
      <w:r>
        <w:rPr>
          <w:rFonts w:ascii="Arial" w:cs="Arial" w:eastAsia="Arial" w:hAnsi="Arial"/>
          <w:sz w:val="14"/>
          <w:szCs w:val="14"/>
          <w:color w:val="auto"/>
        </w:rPr>
        <w:t>The amount of pre-tax net realized gains (losses) associated with our Cash Flow Hedges that were reclassified out of “Accumulated other comprehensive income (loss)” and into earnings was as follows (amounts in millions):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960" w:type="dxa"/>
            <w:vAlign w:val="bottom"/>
          </w:tcPr>
          <w:p>
            <w:pPr>
              <w:spacing w:after="0"/>
              <w:rPr>
                <w:sz w:val="13"/>
                <w:szCs w:val="13"/>
                <w:color w:val="auto"/>
              </w:rPr>
            </w:pPr>
          </w:p>
        </w:tc>
        <w:tc>
          <w:tcPr>
            <w:tcW w:w="3080" w:type="dxa"/>
            <w:vAlign w:val="bottom"/>
            <w:gridSpan w:val="3"/>
          </w:tcPr>
          <w:p>
            <w:pPr>
              <w:jc w:val="right"/>
              <w:ind w:right="115"/>
              <w:spacing w:after="0"/>
              <w:rPr>
                <w:sz w:val="20"/>
                <w:szCs w:val="20"/>
                <w:color w:val="auto"/>
              </w:rPr>
            </w:pPr>
            <w:r>
              <w:rPr>
                <w:rFonts w:ascii="Arial" w:cs="Arial" w:eastAsia="Arial" w:hAnsi="Arial"/>
                <w:sz w:val="12"/>
                <w:szCs w:val="12"/>
                <w:b w:val="1"/>
                <w:bCs w:val="1"/>
                <w:color w:val="auto"/>
              </w:rPr>
              <w:t>For the Three Months Ended September 30,</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gridSpan w:val="3"/>
          </w:tcPr>
          <w:p>
            <w:pPr>
              <w:jc w:val="right"/>
              <w:ind w:right="75"/>
              <w:spacing w:after="0"/>
              <w:rPr>
                <w:sz w:val="20"/>
                <w:szCs w:val="20"/>
                <w:color w:val="auto"/>
              </w:rPr>
            </w:pPr>
            <w:r>
              <w:rPr>
                <w:rFonts w:ascii="Arial" w:cs="Arial" w:eastAsia="Arial" w:hAnsi="Arial"/>
                <w:sz w:val="12"/>
                <w:szCs w:val="12"/>
                <w:b w:val="1"/>
                <w:bCs w:val="1"/>
                <w:color w:val="auto"/>
              </w:rPr>
              <w:t>For the Nine Months Ended September 30,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5"/>
        </w:trPr>
        <w:tc>
          <w:tcPr>
            <w:tcW w:w="19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159"/>
        </w:trPr>
        <w:tc>
          <w:tcPr>
            <w:tcW w:w="1960" w:type="dxa"/>
            <w:vAlign w:val="bottom"/>
          </w:tcPr>
          <w:p>
            <w:pPr>
              <w:spacing w:after="0"/>
              <w:rPr>
                <w:sz w:val="13"/>
                <w:szCs w:val="13"/>
                <w:color w:val="auto"/>
              </w:rPr>
            </w:pPr>
          </w:p>
        </w:tc>
        <w:tc>
          <w:tcPr>
            <w:tcW w:w="1260" w:type="dxa"/>
            <w:vAlign w:val="bottom"/>
          </w:tcPr>
          <w:p>
            <w:pPr>
              <w:jc w:val="right"/>
              <w:ind w:right="216"/>
              <w:spacing w:after="0"/>
              <w:rPr>
                <w:sz w:val="20"/>
                <w:szCs w:val="20"/>
                <w:color w:val="auto"/>
              </w:rPr>
            </w:pPr>
            <w:r>
              <w:rPr>
                <w:rFonts w:ascii="Arial" w:cs="Arial" w:eastAsia="Arial" w:hAnsi="Arial"/>
                <w:sz w:val="12"/>
                <w:szCs w:val="12"/>
                <w:b w:val="1"/>
                <w:bCs w:val="1"/>
                <w:color w:val="auto"/>
              </w:rPr>
              <w:t>2019</w:t>
            </w:r>
          </w:p>
        </w:tc>
        <w:tc>
          <w:tcPr>
            <w:tcW w:w="420" w:type="dxa"/>
            <w:vAlign w:val="bottom"/>
          </w:tcPr>
          <w:p>
            <w:pPr>
              <w:spacing w:after="0"/>
              <w:rPr>
                <w:sz w:val="13"/>
                <w:szCs w:val="13"/>
                <w:color w:val="auto"/>
              </w:rPr>
            </w:pPr>
          </w:p>
        </w:tc>
        <w:tc>
          <w:tcPr>
            <w:tcW w:w="1400" w:type="dxa"/>
            <w:vAlign w:val="bottom"/>
          </w:tcPr>
          <w:p>
            <w:pPr>
              <w:jc w:val="right"/>
              <w:ind w:right="295"/>
              <w:spacing w:after="0"/>
              <w:rPr>
                <w:sz w:val="20"/>
                <w:szCs w:val="20"/>
                <w:color w:val="auto"/>
              </w:rPr>
            </w:pPr>
            <w:r>
              <w:rPr>
                <w:rFonts w:ascii="Arial" w:cs="Arial" w:eastAsia="Arial" w:hAnsi="Arial"/>
                <w:sz w:val="12"/>
                <w:szCs w:val="12"/>
                <w:b w:val="1"/>
                <w:bCs w:val="1"/>
                <w:color w:val="auto"/>
              </w:rPr>
              <w:t>2018</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176"/>
              <w:spacing w:after="0"/>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3"/>
                <w:szCs w:val="13"/>
                <w:color w:val="auto"/>
              </w:rPr>
            </w:pPr>
          </w:p>
        </w:tc>
        <w:tc>
          <w:tcPr>
            <w:tcW w:w="1320" w:type="dxa"/>
            <w:vAlign w:val="bottom"/>
          </w:tcPr>
          <w:p>
            <w:pPr>
              <w:jc w:val="right"/>
              <w:ind w:right="235"/>
              <w:spacing w:after="0"/>
              <w:rPr>
                <w:sz w:val="20"/>
                <w:szCs w:val="20"/>
                <w:color w:val="auto"/>
              </w:rPr>
            </w:pPr>
            <w:r>
              <w:rPr>
                <w:rFonts w:ascii="Arial" w:cs="Arial" w:eastAsia="Arial" w:hAnsi="Arial"/>
                <w:sz w:val="12"/>
                <w:szCs w:val="12"/>
                <w:b w:val="1"/>
                <w:bCs w:val="1"/>
                <w:color w:val="auto"/>
              </w:rPr>
              <w:t>2018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jc w:val="center"/>
              <w:spacing w:after="0"/>
              <w:rPr>
                <w:sz w:val="20"/>
                <w:szCs w:val="20"/>
                <w:color w:val="auto"/>
              </w:rPr>
            </w:pPr>
            <w:r>
              <w:rPr>
                <w:rFonts w:ascii="Arial" w:cs="Arial" w:eastAsia="Arial" w:hAnsi="Arial"/>
                <w:sz w:val="12"/>
                <w:szCs w:val="12"/>
                <w:b w:val="1"/>
                <w:bCs w:val="1"/>
                <w:color w:val="auto"/>
                <w:w w:val="91"/>
              </w:rPr>
              <w:t>Statement of Operations Classification</w:t>
            </w:r>
          </w:p>
        </w:tc>
      </w:tr>
      <w:tr>
        <w:trPr>
          <w:trHeight w:val="25"/>
        </w:trPr>
        <w:tc>
          <w:tcPr>
            <w:tcW w:w="1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73"/>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Hedges</w:t>
            </w:r>
          </w:p>
        </w:tc>
        <w:tc>
          <w:tcPr>
            <w:tcW w:w="1260" w:type="dxa"/>
            <w:vAlign w:val="bottom"/>
            <w:shd w:val="clear" w:color="auto" w:fill="CCEEFF"/>
          </w:tcPr>
          <w:p>
            <w:pPr>
              <w:jc w:val="right"/>
              <w:ind w:right="1116"/>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0" w:type="dxa"/>
            <w:vAlign w:val="bottom"/>
            <w:shd w:val="clear" w:color="auto" w:fill="CCEEFF"/>
          </w:tcPr>
          <w:p>
            <w:pPr>
              <w:jc w:val="right"/>
              <w:ind w:right="1195"/>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076"/>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320" w:type="dxa"/>
            <w:vAlign w:val="bottom"/>
            <w:shd w:val="clear" w:color="auto" w:fill="CCEEFF"/>
          </w:tcPr>
          <w:p>
            <w:pPr>
              <w:jc w:val="right"/>
              <w:ind w:right="1115"/>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Net revenues</w:t>
            </w:r>
          </w:p>
        </w:tc>
      </w:tr>
      <w:tr>
        <w:trPr>
          <w:trHeight w:val="21"/>
        </w:trPr>
        <w:tc>
          <w:tcPr>
            <w:tcW w:w="19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Forward Contracts Not Designated as Hedges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total gross notional amounts and fair values of our foreign currency forward contracts not designated as hedges are as follows (amounts in millions):</w:t>
      </w:r>
    </w:p>
    <w:p>
      <w:pPr>
        <w:sectPr>
          <w:pgSz w:w="11900" w:h="16838" w:orient="portrait"/>
          <w:cols w:equalWidth="0" w:num="1">
            <w:col w:w="11460"/>
          </w:cols>
          <w:pgMar w:left="220" w:top="129" w:right="219" w:bottom="1440" w:gutter="0" w:footer="0" w:header="0"/>
          <w:type w:val="continuous"/>
        </w:sectPr>
      </w:pPr>
    </w:p>
    <w:p>
      <w:pPr>
        <w:spacing w:after="0" w:line="299" w:lineRule="exact"/>
        <w:rPr>
          <w:sz w:val="20"/>
          <w:szCs w:val="20"/>
          <w:color w:val="auto"/>
        </w:rPr>
      </w:pPr>
    </w:p>
    <w:p>
      <w:pPr>
        <w:ind w:left="4860"/>
        <w:spacing w:after="0"/>
        <w:rPr>
          <w:sz w:val="20"/>
          <w:szCs w:val="20"/>
          <w:color w:val="auto"/>
        </w:rPr>
      </w:pPr>
      <w:r>
        <w:rPr>
          <w:rFonts w:ascii="Arial" w:cs="Arial" w:eastAsia="Arial" w:hAnsi="Arial"/>
          <w:sz w:val="12"/>
          <w:szCs w:val="12"/>
          <w:b w:val="1"/>
          <w:bCs w:val="1"/>
          <w:color w:val="auto"/>
        </w:rPr>
        <w:t>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29845</wp:posOffset>
            </wp:positionV>
            <wp:extent cx="248094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80945" cy="6350"/>
                    </a:xfrm>
                    <a:prstGeom prst="rect">
                      <a:avLst/>
                    </a:prstGeom>
                    <a:noFill/>
                  </pic:spPr>
                </pic:pic>
              </a:graphicData>
            </a:graphic>
          </wp:anchor>
        </w:drawing>
      </w:r>
    </w:p>
    <w:p>
      <w:pPr>
        <w:spacing w:after="0" w:line="47" w:lineRule="exact"/>
        <w:rPr>
          <w:sz w:val="20"/>
          <w:szCs w:val="20"/>
          <w:color w:val="auto"/>
        </w:rPr>
      </w:pPr>
    </w:p>
    <w:p>
      <w:pPr>
        <w:ind w:left="4100"/>
        <w:spacing w:after="0"/>
        <w:tabs>
          <w:tab w:leader="none" w:pos="5920" w:val="left"/>
        </w:tabs>
        <w:rPr>
          <w:sz w:val="20"/>
          <w:szCs w:val="20"/>
          <w:color w:val="auto"/>
        </w:rPr>
      </w:pPr>
      <w:r>
        <w:rPr>
          <w:rFonts w:ascii="Arial" w:cs="Arial" w:eastAsia="Arial" w:hAnsi="Arial"/>
          <w:sz w:val="12"/>
          <w:szCs w:val="12"/>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jc w:val="center"/>
        <w:ind w:right="500"/>
        <w:spacing w:after="0"/>
        <w:rPr>
          <w:sz w:val="20"/>
          <w:szCs w:val="20"/>
          <w:color w:val="auto"/>
        </w:rPr>
      </w:pPr>
      <w:r>
        <w:rPr>
          <w:rFonts w:ascii="Arial" w:cs="Arial" w:eastAsia="Arial" w:hAnsi="Arial"/>
          <w:sz w:val="12"/>
          <w:szCs w:val="12"/>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29845</wp:posOffset>
            </wp:positionV>
            <wp:extent cx="246761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67610" cy="6350"/>
                    </a:xfrm>
                    <a:prstGeom prst="rect">
                      <a:avLst/>
                    </a:prstGeom>
                    <a:noFill/>
                  </pic:spPr>
                </pic:pic>
              </a:graphicData>
            </a:graphic>
          </wp:anchor>
        </w:drawing>
      </w:r>
    </w:p>
    <w:p>
      <w:pPr>
        <w:spacing w:after="0" w:line="47" w:lineRule="exact"/>
        <w:rPr>
          <w:sz w:val="20"/>
          <w:szCs w:val="20"/>
          <w:color w:val="auto"/>
        </w:rPr>
      </w:pPr>
    </w:p>
    <w:p>
      <w:pPr>
        <w:spacing w:after="0"/>
        <w:tabs>
          <w:tab w:leader="none" w:pos="1800" w:val="left"/>
        </w:tabs>
        <w:rPr>
          <w:sz w:val="20"/>
          <w:szCs w:val="20"/>
          <w:color w:val="auto"/>
        </w:rPr>
      </w:pPr>
      <w:r>
        <w:rPr>
          <w:rFonts w:ascii="Arial" w:cs="Arial" w:eastAsia="Arial" w:hAnsi="Arial"/>
          <w:sz w:val="12"/>
          <w:szCs w:val="12"/>
          <w:b w:val="1"/>
          <w:bCs w:val="1"/>
          <w:color w:val="auto"/>
        </w:rPr>
        <w:t>Notional amount</w:t>
      </w:r>
      <w:r>
        <w:rPr>
          <w:sz w:val="20"/>
          <w:szCs w:val="20"/>
          <w:color w:val="auto"/>
        </w:rPr>
        <w:tab/>
      </w:r>
      <w:r>
        <w:rPr>
          <w:rFonts w:ascii="Arial" w:cs="Arial" w:eastAsia="Arial" w:hAnsi="Arial"/>
          <w:sz w:val="11"/>
          <w:szCs w:val="11"/>
          <w:b w:val="1"/>
          <w:bCs w:val="1"/>
          <w:color w:val="auto"/>
        </w:rPr>
        <w:t>Fair value gain (loss)</w:t>
      </w:r>
    </w:p>
    <w:p>
      <w:pPr>
        <w:spacing w:after="0" w:line="27" w:lineRule="exact"/>
        <w:rPr>
          <w:sz w:val="20"/>
          <w:szCs w:val="20"/>
          <w:color w:val="auto"/>
        </w:rPr>
      </w:pPr>
    </w:p>
    <w:p>
      <w:pPr>
        <w:sectPr>
          <w:pgSz w:w="11900" w:h="16838" w:orient="portrait"/>
          <w:cols w:equalWidth="0" w:num="2">
            <w:col w:w="7400" w:space="720"/>
            <w:col w:w="3340"/>
          </w:cols>
          <w:pgMar w:left="220" w:top="129" w:right="21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Foreign Currency:</w:t>
            </w:r>
          </w:p>
        </w:tc>
        <w:tc>
          <w:tcPr>
            <w:tcW w:w="9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color w:val="auto"/>
              </w:rPr>
              <w:t>Buy USD, Sell EUR</w:t>
            </w: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81</w:t>
            </w:r>
          </w:p>
        </w:tc>
        <w:tc>
          <w:tcPr>
            <w:tcW w:w="940" w:type="dxa"/>
            <w:vAlign w:val="bottom"/>
          </w:tcPr>
          <w:p>
            <w:pPr>
              <w:jc w:val="right"/>
              <w:ind w:right="73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900" w:type="dxa"/>
            <w:vAlign w:val="bottom"/>
          </w:tcPr>
          <w:p>
            <w:pPr>
              <w:jc w:val="right"/>
              <w:ind w:right="752"/>
              <w:spacing w:after="0"/>
              <w:rPr>
                <w:sz w:val="20"/>
                <w:szCs w:val="20"/>
                <w:color w:val="auto"/>
              </w:rPr>
            </w:pPr>
            <w:r>
              <w:rPr>
                <w:rFonts w:ascii="Arial" w:cs="Arial" w:eastAsia="Arial" w:hAnsi="Arial"/>
                <w:sz w:val="14"/>
                <w:szCs w:val="14"/>
                <w:color w:val="auto"/>
                <w:w w:val="76"/>
              </w:rPr>
              <w:t>$</w:t>
            </w:r>
          </w:p>
        </w:tc>
        <w:tc>
          <w:tcPr>
            <w:tcW w:w="1940" w:type="dxa"/>
            <w:vAlign w:val="bottom"/>
          </w:tcPr>
          <w:p>
            <w:pPr>
              <w:ind w:left="800"/>
              <w:spacing w:after="0"/>
              <w:rPr>
                <w:sz w:val="20"/>
                <w:szCs w:val="20"/>
                <w:color w:val="auto"/>
              </w:rPr>
            </w:pPr>
            <w:r>
              <w:rPr>
                <w:rFonts w:ascii="Arial" w:cs="Arial" w:eastAsia="Arial" w:hAnsi="Arial"/>
                <w:sz w:val="14"/>
                <w:szCs w:val="14"/>
                <w:color w:val="auto"/>
              </w:rPr>
              <w:t>—  $</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Buy EUR, Sell USD</w:t>
            </w:r>
          </w:p>
        </w:tc>
        <w:tc>
          <w:tcPr>
            <w:tcW w:w="9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color w:val="auto"/>
              </w:rPr>
              <w:t>Buy USD, Sell SEK</w:t>
            </w:r>
          </w:p>
        </w:tc>
        <w:tc>
          <w:tcPr>
            <w:tcW w:w="9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w:t>
            </w:r>
          </w:p>
        </w:tc>
        <w:tc>
          <w:tcPr>
            <w:tcW w:w="94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Buy SEK, Sell USD</w:t>
            </w:r>
          </w:p>
        </w:tc>
        <w:tc>
          <w:tcPr>
            <w:tcW w:w="9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9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183"/>
        </w:trPr>
        <w:tc>
          <w:tcPr>
            <w:tcW w:w="3560" w:type="dxa"/>
            <w:vAlign w:val="bottom"/>
          </w:tcPr>
          <w:p>
            <w:pPr>
              <w:ind w:left="20"/>
              <w:spacing w:after="0"/>
              <w:rPr>
                <w:sz w:val="20"/>
                <w:szCs w:val="20"/>
                <w:color w:val="auto"/>
              </w:rPr>
            </w:pPr>
            <w:r>
              <w:rPr>
                <w:rFonts w:ascii="Arial" w:cs="Arial" w:eastAsia="Arial" w:hAnsi="Arial"/>
                <w:sz w:val="14"/>
                <w:szCs w:val="14"/>
                <w:color w:val="auto"/>
              </w:rPr>
              <w:t>Buy USD, Sell GBP</w:t>
            </w:r>
          </w:p>
        </w:tc>
        <w:tc>
          <w:tcPr>
            <w:tcW w:w="9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940" w:type="dxa"/>
            <w:vAlign w:val="bottom"/>
          </w:tcPr>
          <w:p>
            <w:pPr>
              <w:spacing w:after="0"/>
              <w:rPr>
                <w:sz w:val="15"/>
                <w:szCs w:val="15"/>
                <w:color w:val="auto"/>
              </w:rPr>
            </w:pP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ind w:left="800"/>
              <w:spacing w:after="0"/>
              <w:rPr>
                <w:sz w:val="20"/>
                <w:szCs w:val="20"/>
                <w:color w:val="auto"/>
              </w:rPr>
            </w:pPr>
            <w:r>
              <w:rPr>
                <w:rFonts w:ascii="Arial" w:cs="Arial" w:eastAsia="Arial" w:hAnsi="Arial"/>
                <w:sz w:val="14"/>
                <w:szCs w:val="14"/>
                <w:color w:val="auto"/>
              </w:rPr>
              <w:t>55</w:t>
            </w:r>
          </w:p>
        </w:tc>
        <w:tc>
          <w:tcPr>
            <w:tcW w:w="1040" w:type="dxa"/>
            <w:vAlign w:val="bottom"/>
          </w:tcPr>
          <w:p>
            <w:pPr>
              <w:jc w:val="right"/>
              <w:ind w:right="32"/>
              <w:spacing w:after="0"/>
              <w:rPr>
                <w:sz w:val="20"/>
                <w:szCs w:val="20"/>
                <w:color w:val="auto"/>
              </w:rPr>
            </w:pPr>
            <w:r>
              <w:rPr>
                <w:rFonts w:ascii="Arial" w:cs="Arial" w:eastAsia="Arial" w:hAnsi="Arial"/>
                <w:sz w:val="14"/>
                <w:szCs w:val="14"/>
                <w:color w:val="auto"/>
              </w:rPr>
              <w:t>1</w:t>
            </w:r>
          </w:p>
        </w:tc>
      </w:tr>
      <w:tr>
        <w:trPr>
          <w:trHeight w:val="21"/>
        </w:trPr>
        <w:tc>
          <w:tcPr>
            <w:tcW w:w="3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Buy GBP, Sell USD</w:t>
            </w:r>
          </w:p>
        </w:tc>
        <w:tc>
          <w:tcPr>
            <w:tcW w:w="9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9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5"/>
                <w:szCs w:val="15"/>
                <w:color w:val="auto"/>
              </w:rPr>
            </w:pPr>
          </w:p>
        </w:tc>
        <w:tc>
          <w:tcPr>
            <w:tcW w:w="194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1"/>
        </w:trPr>
        <w:tc>
          <w:tcPr>
            <w:tcW w:w="35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bl>
    <w:p>
      <w:pPr>
        <w:spacing w:after="0" w:line="153" w:lineRule="exact"/>
        <w:rPr>
          <w:sz w:val="20"/>
          <w:szCs w:val="20"/>
          <w:color w:val="auto"/>
        </w:rPr>
      </w:pPr>
    </w:p>
    <w:p>
      <w:pPr>
        <w:jc w:val="both"/>
        <w:ind w:right="100" w:firstLine="245"/>
        <w:spacing w:after="0" w:line="262" w:lineRule="auto"/>
        <w:rPr>
          <w:sz w:val="20"/>
          <w:szCs w:val="20"/>
          <w:color w:val="auto"/>
        </w:rPr>
      </w:pPr>
      <w:r>
        <w:rPr>
          <w:rFonts w:ascii="Arial" w:cs="Arial" w:eastAsia="Arial" w:hAnsi="Arial"/>
          <w:sz w:val="14"/>
          <w:szCs w:val="14"/>
          <w:color w:val="auto"/>
        </w:rPr>
        <w:t>For the three and nine months ended September 30, 2019 and 2018, pre-tax net gains (losses) associated with these forward contracts were recorded in “General and administrative expenses” and were not material.</w:t>
      </w:r>
    </w:p>
    <w:p>
      <w:pPr>
        <w:spacing w:after="0" w:line="139" w:lineRule="exact"/>
        <w:rPr>
          <w:sz w:val="20"/>
          <w:szCs w:val="20"/>
          <w:color w:val="auto"/>
        </w:rPr>
      </w:pPr>
    </w:p>
    <w:p>
      <w:pPr>
        <w:ind w:right="20" w:firstLine="245"/>
        <w:spacing w:after="0" w:line="253" w:lineRule="auto"/>
        <w:rPr>
          <w:sz w:val="20"/>
          <w:szCs w:val="20"/>
          <w:color w:val="auto"/>
        </w:rPr>
      </w:pPr>
      <w:r>
        <w:rPr>
          <w:rFonts w:ascii="Arial" w:cs="Arial" w:eastAsia="Arial" w:hAnsi="Arial"/>
          <w:sz w:val="14"/>
          <w:szCs w:val="14"/>
          <w:color w:val="auto"/>
        </w:rPr>
        <w:t>In the absence of hedging activities for the nine months ended September 30, 2019, a hypothetical adverse foreign currency exchange rate movement of 10% would have resulted in a theoretical decline of our net income of approximately $78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460"/>
          </w:cols>
          <w:pgMar w:left="220" w:top="129" w:right="219" w:bottom="1440" w:gutter="0" w:footer="0" w:header="0"/>
          <w:type w:val="continuous"/>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68" w:lineRule="exact"/>
        <w:rPr>
          <w:sz w:val="20"/>
          <w:szCs w:val="20"/>
          <w:color w:val="auto"/>
        </w:rPr>
      </w:pPr>
    </w:p>
    <w:p>
      <w:pPr>
        <w:ind w:right="120" w:firstLine="245"/>
        <w:spacing w:after="0" w:line="305" w:lineRule="auto"/>
        <w:rPr>
          <w:sz w:val="20"/>
          <w:szCs w:val="20"/>
          <w:color w:val="auto"/>
        </w:rPr>
      </w:pPr>
      <w:r>
        <w:rPr>
          <w:rFonts w:ascii="Arial" w:cs="Arial" w:eastAsia="Arial" w:hAnsi="Arial"/>
          <w:sz w:val="12"/>
          <w:szCs w:val="12"/>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September 30, 2019, our cash and cash equivalents were comprised primarily of money market funds.</w:t>
      </w:r>
    </w:p>
    <w:p>
      <w:pPr>
        <w:spacing w:after="0" w:line="117" w:lineRule="exact"/>
        <w:rPr>
          <w:sz w:val="20"/>
          <w:szCs w:val="20"/>
          <w:color w:val="auto"/>
        </w:rPr>
      </w:pPr>
    </w:p>
    <w:p>
      <w:pPr>
        <w:ind w:right="40" w:firstLine="245"/>
        <w:spacing w:after="0" w:line="262" w:lineRule="auto"/>
        <w:rPr>
          <w:sz w:val="20"/>
          <w:szCs w:val="20"/>
          <w:color w:val="auto"/>
        </w:rPr>
      </w:pPr>
      <w:r>
        <w:rPr>
          <w:rFonts w:ascii="Arial" w:cs="Arial" w:eastAsia="Arial" w:hAnsi="Arial"/>
          <w:sz w:val="14"/>
          <w:szCs w:val="14"/>
          <w:color w:val="auto"/>
        </w:rPr>
        <w:t>The Company has determined that, based on the composition of our investment portfolio as of September 30, 2019, there was no material interest rate risk exposure to the Company’s consolidated financial condition, results of operations, or liquidity as of that date.</w:t>
      </w:r>
    </w:p>
    <w:p>
      <w:pPr>
        <w:spacing w:after="0" w:line="137"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Disclosure Controls and Procedures</w:t>
      </w:r>
    </w:p>
    <w:p>
      <w:pPr>
        <w:spacing w:after="0" w:line="168" w:lineRule="exact"/>
        <w:rPr>
          <w:sz w:val="20"/>
          <w:szCs w:val="20"/>
          <w:color w:val="auto"/>
        </w:rPr>
      </w:pPr>
    </w:p>
    <w:p>
      <w:pPr>
        <w:ind w:firstLine="245"/>
        <w:spacing w:after="0" w:line="294" w:lineRule="auto"/>
        <w:rPr>
          <w:sz w:val="20"/>
          <w:szCs w:val="20"/>
          <w:color w:val="auto"/>
        </w:rPr>
      </w:pPr>
      <w:r>
        <w:rPr>
          <w:rFonts w:ascii="Arial" w:cs="Arial" w:eastAsia="Arial" w:hAnsi="Arial"/>
          <w:sz w:val="12"/>
          <w:szCs w:val="12"/>
          <w:color w:val="auto"/>
        </w:rPr>
        <w:t>Our disclosure controls and procedures (as such term is defined in Rules 13a-15(e) and 15d-15(e) under the Securities Exchange Act of 1934 (the “Exchange Act”)) are designed to reasonably ensure that information required to be disclosed in our reports filed under the Exchange Act is: (1) recorded, processed, summarized, and reported within the time periods specified in the Securities and Exchange Commission’s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68" w:lineRule="exact"/>
        <w:rPr>
          <w:sz w:val="20"/>
          <w:szCs w:val="20"/>
          <w:color w:val="auto"/>
        </w:rPr>
      </w:pPr>
    </w:p>
    <w:p>
      <w:pPr>
        <w:ind w:firstLine="245"/>
        <w:spacing w:after="0" w:line="248"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has evaluated the effectiveness of our disclosure controls and procedures at September 30, 2019, the end of the period covered by this report. Based on this evaluation, the principal executive officer and principal financial officer concluded that, at September 30, 2019, our disclosure controls and procedures were effective to provide reasonable assurance that information required to be disclosed by the Company in the reports that it files or submits under the Exchange Act is (i) recorded, processed, summarized, and reported on a timely basis, and (ii) accumulated and communicated to our management, including our principal executive officer and principal financial officer, as appropriate to allow timely decisions regarding required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68" w:lineRule="exact"/>
        <w:rPr>
          <w:sz w:val="20"/>
          <w:szCs w:val="20"/>
          <w:color w:val="auto"/>
        </w:rPr>
      </w:pPr>
    </w:p>
    <w:p>
      <w:pPr>
        <w:jc w:val="both"/>
        <w:ind w:right="160" w:firstLine="245"/>
        <w:spacing w:after="0" w:line="315" w:lineRule="auto"/>
        <w:rPr>
          <w:sz w:val="20"/>
          <w:szCs w:val="20"/>
          <w:color w:val="auto"/>
        </w:rPr>
      </w:pPr>
      <w:r>
        <w:rPr>
          <w:rFonts w:ascii="Arial" w:cs="Arial" w:eastAsia="Arial" w:hAnsi="Arial"/>
          <w:sz w:val="12"/>
          <w:szCs w:val="12"/>
          <w:color w:val="auto"/>
        </w:rPr>
        <w:t>Our management, with the participation of our principal executive officer and principal financial officer, has evaluated any changes in our internal control over financial reporting that occurred during the fiscal quarter ended September 30, 2019. Based on this evaluation, the principal executive officer and principal financial officer concluded that, at September 30, 2019,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460"/>
          </w:cols>
          <w:pgMar w:left="220" w:top="129" w:right="21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 OTHER INFORMATION</w:t>
      </w:r>
    </w:p>
    <w:p>
      <w:pPr>
        <w:spacing w:after="0" w:line="330"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168" w:lineRule="exact"/>
        <w:rPr>
          <w:sz w:val="20"/>
          <w:szCs w:val="20"/>
          <w:color w:val="auto"/>
        </w:rPr>
      </w:pPr>
    </w:p>
    <w:p>
      <w:pPr>
        <w:ind w:firstLine="245"/>
        <w:spacing w:after="0" w:line="315" w:lineRule="auto"/>
        <w:rPr>
          <w:sz w:val="20"/>
          <w:szCs w:val="20"/>
          <w:color w:val="auto"/>
        </w:rPr>
      </w:pPr>
      <w:r>
        <w:rPr>
          <w:rFonts w:ascii="Arial" w:cs="Arial" w:eastAsia="Arial" w:hAnsi="Arial"/>
          <w:sz w:val="12"/>
          <w:szCs w:val="12"/>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Various risks associated with our business are described in Part I, Item 1A, “Risk Factors,” of our Annual Report on Form 10-K for the year ended December 31, 2018.</w:t>
      </w:r>
    </w:p>
    <w:p>
      <w:pPr>
        <w:spacing w:after="0" w:line="164"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The exhibits listed on the accompanying Exhibit Index are hereby incorporated by reference into this Quarterly Report on Form 10-Q.</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40"/>
          </w:cols>
          <w:pgMar w:left="220" w:top="129"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960" w:type="dxa"/>
            <w:vAlign w:val="bottom"/>
            <w:gridSpan w:val="3"/>
          </w:tcPr>
          <w:p>
            <w:pPr>
              <w:jc w:val="right"/>
              <w:ind w:right="1000"/>
              <w:spacing w:after="0"/>
              <w:rPr>
                <w:rFonts w:ascii="Arial" w:cs="Arial" w:eastAsia="Arial" w:hAnsi="Arial"/>
                <w:sz w:val="14"/>
                <w:szCs w:val="14"/>
                <w:color w:val="0000EE"/>
                <w:w w:val="85"/>
              </w:rPr>
            </w:pPr>
            <w:hyperlink w:anchor="page2">
              <w:r>
                <w:rPr>
                  <w:rFonts w:ascii="Arial" w:cs="Arial" w:eastAsia="Arial" w:hAnsi="Arial"/>
                  <w:sz w:val="14"/>
                  <w:szCs w:val="14"/>
                  <w:color w:val="0000EE"/>
                  <w:w w:val="85"/>
                </w:rPr>
                <w:t>Table of Contents</w:t>
              </w:r>
            </w:hyperlink>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57"/>
        </w:trPr>
        <w:tc>
          <w:tcPr>
            <w:tcW w:w="9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gridSpan w:val="7"/>
          </w:tcPr>
          <w:p>
            <w:pPr>
              <w:ind w:left="1880"/>
              <w:spacing w:after="0"/>
              <w:rPr>
                <w:sz w:val="20"/>
                <w:szCs w:val="20"/>
                <w:color w:val="auto"/>
              </w:rPr>
            </w:pPr>
            <w:r>
              <w:rPr>
                <w:rFonts w:ascii="Arial" w:cs="Arial" w:eastAsia="Arial" w:hAnsi="Arial"/>
                <w:sz w:val="14"/>
                <w:szCs w:val="14"/>
                <w:b w:val="1"/>
                <w:bCs w:val="1"/>
                <w:color w:val="auto"/>
              </w:rPr>
              <w:t>EXHIBIT INDEX</w:t>
            </w:r>
          </w:p>
        </w:tc>
      </w:tr>
      <w:tr>
        <w:trPr>
          <w:trHeight w:val="450"/>
        </w:trPr>
        <w:tc>
          <w:tcPr>
            <w:tcW w:w="196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w w:val="92"/>
              </w:rPr>
              <w:t>Exhibit Number</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40" w:type="dxa"/>
            <w:vAlign w:val="bottom"/>
            <w:gridSpan w:val="7"/>
          </w:tcPr>
          <w:p>
            <w:pPr>
              <w:ind w:left="3180"/>
              <w:spacing w:after="0"/>
              <w:rPr>
                <w:sz w:val="20"/>
                <w:szCs w:val="20"/>
                <w:color w:val="auto"/>
              </w:rPr>
            </w:pPr>
            <w:r>
              <w:rPr>
                <w:rFonts w:ascii="Arial" w:cs="Arial" w:eastAsia="Arial" w:hAnsi="Arial"/>
                <w:sz w:val="14"/>
                <w:szCs w:val="14"/>
                <w:b w:val="1"/>
                <w:bCs w:val="1"/>
                <w:color w:val="auto"/>
              </w:rPr>
              <w:t>Exhibit</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348"/>
        </w:trPr>
        <w:tc>
          <w:tcPr>
            <w:tcW w:w="1840" w:type="dxa"/>
            <w:vAlign w:val="bottom"/>
            <w:gridSpan w:val="2"/>
          </w:tcPr>
          <w:p>
            <w:pPr>
              <w:jc w:val="center"/>
              <w:spacing w:after="0"/>
              <w:rPr>
                <w:sz w:val="20"/>
                <w:szCs w:val="20"/>
                <w:color w:val="auto"/>
              </w:rPr>
            </w:pPr>
            <w:r>
              <w:rPr>
                <w:rFonts w:ascii="Arial" w:cs="Arial" w:eastAsia="Arial" w:hAnsi="Arial"/>
                <w:sz w:val="14"/>
                <w:szCs w:val="14"/>
                <w:color w:val="auto"/>
                <w:w w:val="81"/>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tcBorders>
              <w:bottom w:val="single" w:sz="8" w:color="0000FF"/>
            </w:tcBorders>
            <w:gridSpan w:val="7"/>
          </w:tcPr>
          <w:p>
            <w:pPr>
              <w:spacing w:after="0"/>
              <w:rPr>
                <w:rFonts w:ascii="Arial" w:cs="Arial" w:eastAsia="Arial" w:hAnsi="Arial"/>
                <w:sz w:val="14"/>
                <w:szCs w:val="14"/>
                <w:color w:val="0000FF"/>
                <w:w w:val="89"/>
              </w:rPr>
            </w:pPr>
            <w:hyperlink r:id="rId27">
              <w:r>
                <w:rPr>
                  <w:rFonts w:ascii="Arial" w:cs="Arial" w:eastAsia="Arial" w:hAnsi="Arial"/>
                  <w:sz w:val="14"/>
                  <w:szCs w:val="14"/>
                  <w:color w:val="0000FF"/>
                  <w:w w:val="89"/>
                </w:rPr>
                <w:t>Third Amended and Restated Certificate of Incorporation of Activision Blizzard, Inc., dated June 5, 2014 (incorporated by reference to Exhibit 3.1 of the Company’s Form</w:t>
              </w:r>
            </w:hyperlink>
          </w:p>
        </w:tc>
        <w:tc>
          <w:tcPr>
            <w:tcW w:w="140" w:type="dxa"/>
            <w:vAlign w:val="bottom"/>
            <w:gridSpan w:val="4"/>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Borders>
              <w:bottom w:val="single" w:sz="8" w:color="0000FF"/>
            </w:tcBorders>
            <w:gridSpan w:val="4"/>
          </w:tcPr>
          <w:p>
            <w:pPr>
              <w:spacing w:after="0" w:line="144" w:lineRule="exact"/>
              <w:rPr>
                <w:rFonts w:ascii="Arial" w:cs="Arial" w:eastAsia="Arial" w:hAnsi="Arial"/>
                <w:sz w:val="14"/>
                <w:szCs w:val="14"/>
                <w:color w:val="0000FF"/>
                <w:w w:val="88"/>
              </w:rPr>
            </w:pPr>
            <w:hyperlink r:id="rId27">
              <w:r>
                <w:rPr>
                  <w:rFonts w:ascii="Arial" w:cs="Arial" w:eastAsia="Arial" w:hAnsi="Arial"/>
                  <w:sz w:val="14"/>
                  <w:szCs w:val="14"/>
                  <w:color w:val="0000FF"/>
                  <w:w w:val="88"/>
                </w:rPr>
                <w:t>8-K, filed June 6, 2014).</w:t>
              </w:r>
            </w:hyperlink>
          </w:p>
        </w:tc>
        <w:tc>
          <w:tcPr>
            <w:tcW w:w="8140" w:type="dxa"/>
            <w:vAlign w:val="bottom"/>
            <w:gridSpan w:val="7"/>
          </w:tcPr>
          <w:p>
            <w:pPr>
              <w:spacing w:after="0"/>
              <w:rPr>
                <w:sz w:val="12"/>
                <w:szCs w:val="12"/>
                <w:color w:val="auto"/>
              </w:rPr>
            </w:pPr>
          </w:p>
        </w:tc>
      </w:tr>
      <w:tr>
        <w:trPr>
          <w:trHeight w:val="430"/>
        </w:trPr>
        <w:tc>
          <w:tcPr>
            <w:tcW w:w="1840" w:type="dxa"/>
            <w:vAlign w:val="bottom"/>
            <w:gridSpan w:val="2"/>
          </w:tcPr>
          <w:p>
            <w:pPr>
              <w:jc w:val="center"/>
              <w:spacing w:after="0"/>
              <w:rPr>
                <w:sz w:val="20"/>
                <w:szCs w:val="20"/>
                <w:color w:val="auto"/>
              </w:rPr>
            </w:pPr>
            <w:r>
              <w:rPr>
                <w:rFonts w:ascii="Arial" w:cs="Arial" w:eastAsia="Arial" w:hAnsi="Arial"/>
                <w:sz w:val="14"/>
                <w:szCs w:val="14"/>
                <w:color w:val="auto"/>
                <w:w w:val="81"/>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0"/>
          </w:tcPr>
          <w:p>
            <w:pPr>
              <w:spacing w:after="0"/>
              <w:rPr>
                <w:rFonts w:ascii="Arial" w:cs="Arial" w:eastAsia="Arial" w:hAnsi="Arial"/>
                <w:sz w:val="14"/>
                <w:szCs w:val="14"/>
                <w:color w:val="0000FF"/>
                <w:w w:val="89"/>
              </w:rPr>
            </w:pPr>
            <w:hyperlink r:id="rId28">
              <w:r>
                <w:rPr>
                  <w:rFonts w:ascii="Arial" w:cs="Arial" w:eastAsia="Arial" w:hAnsi="Arial"/>
                  <w:sz w:val="14"/>
                  <w:szCs w:val="14"/>
                  <w:color w:val="0000FF"/>
                  <w:w w:val="89"/>
                </w:rPr>
                <w:t>Fourth Amended and Restated Bylaws of Activision Blizzard, Inc., adopted as of February 1, 2018 (incorporated by reference to Exhibit 3.1 of the Company’s Form 8-K/A,</w:t>
              </w:r>
            </w:hyperlink>
          </w:p>
        </w:tc>
        <w:tc>
          <w:tcPr>
            <w:tcW w:w="80" w:type="dxa"/>
            <w:vAlign w:val="bottom"/>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gridSpan w:val="11"/>
          </w:tcPr>
          <w:p>
            <w:pPr>
              <w:spacing w:after="0" w:line="144" w:lineRule="exact"/>
              <w:rPr>
                <w:rFonts w:ascii="Arial" w:cs="Arial" w:eastAsia="Arial" w:hAnsi="Arial"/>
                <w:sz w:val="14"/>
                <w:szCs w:val="14"/>
                <w:color w:val="0000FF"/>
              </w:rPr>
            </w:pPr>
            <w:hyperlink r:id="rId28">
              <w:r>
                <w:rPr>
                  <w:rFonts w:ascii="Arial" w:cs="Arial" w:eastAsia="Arial" w:hAnsi="Arial"/>
                  <w:sz w:val="14"/>
                  <w:szCs w:val="14"/>
                  <w:color w:val="0000FF"/>
                </w:rPr>
                <w:t>filed March 21, 2018).</w:t>
              </w:r>
            </w:hyperlink>
          </w:p>
        </w:tc>
      </w:tr>
      <w:tr>
        <w:trPr>
          <w:trHeight w:val="20"/>
        </w:trPr>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0"/>
        </w:trPr>
        <w:tc>
          <w:tcPr>
            <w:tcW w:w="1840" w:type="dxa"/>
            <w:vAlign w:val="bottom"/>
            <w:gridSpan w:val="2"/>
          </w:tcPr>
          <w:p>
            <w:pPr>
              <w:jc w:val="center"/>
              <w:spacing w:after="0"/>
              <w:rPr>
                <w:sz w:val="20"/>
                <w:szCs w:val="20"/>
                <w:color w:val="auto"/>
              </w:rPr>
            </w:pPr>
            <w:r>
              <w:rPr>
                <w:rFonts w:ascii="Arial" w:cs="Arial" w:eastAsia="Arial" w:hAnsi="Arial"/>
                <w:sz w:val="14"/>
                <w:szCs w:val="14"/>
                <w:color w:val="auto"/>
                <w:w w:val="87"/>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1"/>
          </w:tcPr>
          <w:p>
            <w:pPr>
              <w:spacing w:after="0"/>
              <w:rPr>
                <w:rFonts w:ascii="Arial" w:cs="Arial" w:eastAsia="Arial" w:hAnsi="Arial"/>
                <w:sz w:val="14"/>
                <w:szCs w:val="14"/>
                <w:color w:val="0000FF"/>
                <w:w w:val="89"/>
              </w:rPr>
            </w:pPr>
            <w:hyperlink w:anchor="page72">
              <w:r>
                <w:rPr>
                  <w:rFonts w:ascii="Arial" w:cs="Arial" w:eastAsia="Arial" w:hAnsi="Arial"/>
                  <w:sz w:val="14"/>
                  <w:szCs w:val="14"/>
                  <w:color w:val="0000FF"/>
                  <w:w w:val="89"/>
                </w:rPr>
                <w:t>Certification of Robert A. Kotick pursuant to Rule 13a-14(a) under the Securities and Exchange Act of 1934, as adopted pursuant to Section 302 of the Sarbanes-Oxley Act</w:t>
              </w:r>
            </w:hyperlink>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0000FF"/>
              <w:bottom w:val="single" w:sz="8" w:color="0000FF"/>
            </w:tcBorders>
            <w:gridSpan w:val="2"/>
          </w:tcPr>
          <w:p>
            <w:pPr>
              <w:spacing w:after="0" w:line="144" w:lineRule="exact"/>
              <w:rPr>
                <w:rFonts w:ascii="Arial" w:cs="Arial" w:eastAsia="Arial" w:hAnsi="Arial"/>
                <w:sz w:val="14"/>
                <w:szCs w:val="14"/>
                <w:color w:val="0000FF"/>
                <w:w w:val="86"/>
              </w:rPr>
            </w:pPr>
            <w:hyperlink w:anchor="page72">
              <w:r>
                <w:rPr>
                  <w:rFonts w:ascii="Arial" w:cs="Arial" w:eastAsia="Arial" w:hAnsi="Arial"/>
                  <w:sz w:val="14"/>
                  <w:szCs w:val="14"/>
                  <w:color w:val="0000FF"/>
                  <w:w w:val="86"/>
                </w:rPr>
                <w:t>of 2002.</w:t>
              </w:r>
            </w:hyperlink>
          </w:p>
        </w:tc>
        <w:tc>
          <w:tcPr>
            <w:tcW w:w="8900" w:type="dxa"/>
            <w:vAlign w:val="bottom"/>
            <w:tcBorders>
              <w:top w:val="single" w:sz="8" w:color="0000FF"/>
            </w:tcBorders>
            <w:gridSpan w:val="6"/>
          </w:tcPr>
          <w:p>
            <w:pPr>
              <w:spacing w:after="0"/>
              <w:rPr>
                <w:sz w:val="12"/>
                <w:szCs w:val="12"/>
                <w:color w:val="auto"/>
              </w:rPr>
            </w:pPr>
          </w:p>
        </w:tc>
        <w:tc>
          <w:tcPr>
            <w:tcW w:w="120" w:type="dxa"/>
            <w:vAlign w:val="bottom"/>
            <w:gridSpan w:val="3"/>
          </w:tcPr>
          <w:p>
            <w:pPr>
              <w:spacing w:after="0"/>
              <w:rPr>
                <w:sz w:val="12"/>
                <w:szCs w:val="12"/>
                <w:color w:val="auto"/>
              </w:rPr>
            </w:pPr>
          </w:p>
        </w:tc>
      </w:tr>
      <w:tr>
        <w:trPr>
          <w:trHeight w:val="389"/>
        </w:trPr>
        <w:tc>
          <w:tcPr>
            <w:tcW w:w="1840" w:type="dxa"/>
            <w:vAlign w:val="bottom"/>
            <w:gridSpan w:val="2"/>
          </w:tcPr>
          <w:p>
            <w:pPr>
              <w:jc w:val="center"/>
              <w:spacing w:after="0"/>
              <w:rPr>
                <w:sz w:val="20"/>
                <w:szCs w:val="20"/>
                <w:color w:val="auto"/>
              </w:rPr>
            </w:pPr>
            <w:r>
              <w:rPr>
                <w:rFonts w:ascii="Arial" w:cs="Arial" w:eastAsia="Arial" w:hAnsi="Arial"/>
                <w:sz w:val="14"/>
                <w:szCs w:val="14"/>
                <w:color w:val="auto"/>
                <w:w w:val="87"/>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9"/>
          </w:tcPr>
          <w:p>
            <w:pPr>
              <w:spacing w:after="0"/>
              <w:rPr>
                <w:rFonts w:ascii="Arial" w:cs="Arial" w:eastAsia="Arial" w:hAnsi="Arial"/>
                <w:sz w:val="14"/>
                <w:szCs w:val="14"/>
                <w:color w:val="0000FF"/>
                <w:w w:val="88"/>
              </w:rPr>
            </w:pPr>
            <w:hyperlink w:anchor="page73">
              <w:r>
                <w:rPr>
                  <w:rFonts w:ascii="Arial" w:cs="Arial" w:eastAsia="Arial" w:hAnsi="Arial"/>
                  <w:sz w:val="14"/>
                  <w:szCs w:val="14"/>
                  <w:color w:val="0000FF"/>
                  <w:w w:val="88"/>
                </w:rPr>
                <w:t>Certification of Dennis Durkin pursuant to Rule 13a-14(a) under the Securities and Exchange Act of 1934, as adopted pursuant to Section 302 of the Sarbanes-Oxley Act of</w:t>
              </w:r>
            </w:hyperlink>
          </w:p>
        </w:tc>
        <w:tc>
          <w:tcPr>
            <w:tcW w:w="100" w:type="dxa"/>
            <w:vAlign w:val="bottom"/>
            <w:gridSpan w:val="2"/>
          </w:tcPr>
          <w:p>
            <w:pPr>
              <w:spacing w:after="0"/>
              <w:rPr>
                <w:sz w:val="24"/>
                <w:szCs w:val="24"/>
                <w:color w:val="auto"/>
              </w:rPr>
            </w:pPr>
          </w:p>
        </w:tc>
      </w:tr>
      <w:tr>
        <w:trPr>
          <w:trHeight w:val="144"/>
        </w:trPr>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ind w:left="20"/>
              <w:spacing w:after="0" w:line="144" w:lineRule="exact"/>
              <w:rPr>
                <w:rFonts w:ascii="Arial" w:cs="Arial" w:eastAsia="Arial" w:hAnsi="Arial"/>
                <w:sz w:val="14"/>
                <w:szCs w:val="14"/>
                <w:color w:val="0000FF"/>
                <w:w w:val="79"/>
              </w:rPr>
            </w:pPr>
            <w:hyperlink w:anchor="page73">
              <w:r>
                <w:rPr>
                  <w:rFonts w:ascii="Arial" w:cs="Arial" w:eastAsia="Arial" w:hAnsi="Arial"/>
                  <w:sz w:val="14"/>
                  <w:szCs w:val="14"/>
                  <w:color w:val="0000FF"/>
                  <w:w w:val="79"/>
                </w:rPr>
                <w:t>2002.</w:t>
              </w:r>
            </w:hyperlink>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1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r>
      <w:tr>
        <w:trPr>
          <w:trHeight w:val="389"/>
        </w:trPr>
        <w:tc>
          <w:tcPr>
            <w:tcW w:w="1840" w:type="dxa"/>
            <w:vAlign w:val="bottom"/>
            <w:gridSpan w:val="2"/>
          </w:tcPr>
          <w:p>
            <w:pPr>
              <w:jc w:val="center"/>
              <w:spacing w:after="0"/>
              <w:rPr>
                <w:sz w:val="20"/>
                <w:szCs w:val="20"/>
                <w:color w:val="auto"/>
              </w:rPr>
            </w:pPr>
            <w:r>
              <w:rPr>
                <w:rFonts w:ascii="Arial" w:cs="Arial" w:eastAsia="Arial" w:hAnsi="Arial"/>
                <w:sz w:val="14"/>
                <w:szCs w:val="14"/>
                <w:color w:val="auto"/>
                <w:w w:val="8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80" w:type="dxa"/>
            <w:vAlign w:val="bottom"/>
            <w:gridSpan w:val="11"/>
          </w:tcPr>
          <w:p>
            <w:pPr>
              <w:spacing w:after="0"/>
              <w:rPr>
                <w:rFonts w:ascii="Arial" w:cs="Arial" w:eastAsia="Arial" w:hAnsi="Arial"/>
                <w:sz w:val="14"/>
                <w:szCs w:val="14"/>
                <w:color w:val="0000FF"/>
              </w:rPr>
            </w:pPr>
            <w:hyperlink w:anchor="page74">
              <w:r>
                <w:rPr>
                  <w:rFonts w:ascii="Arial" w:cs="Arial" w:eastAsia="Arial" w:hAnsi="Arial"/>
                  <w:sz w:val="14"/>
                  <w:szCs w:val="14"/>
                  <w:color w:val="0000FF"/>
                </w:rPr>
                <w:t>Certification of Robert A. Kotick pursuant to Section 906 of the Sarbanes-Oxley Act of 2002.</w:t>
              </w:r>
            </w:hyperlink>
          </w:p>
        </w:tc>
      </w:tr>
      <w:tr>
        <w:trPr>
          <w:trHeight w:val="389"/>
        </w:trPr>
        <w:tc>
          <w:tcPr>
            <w:tcW w:w="1840" w:type="dxa"/>
            <w:vAlign w:val="bottom"/>
            <w:gridSpan w:val="2"/>
          </w:tcPr>
          <w:p>
            <w:pPr>
              <w:jc w:val="center"/>
              <w:spacing w:after="0"/>
              <w:rPr>
                <w:sz w:val="20"/>
                <w:szCs w:val="20"/>
                <w:color w:val="auto"/>
              </w:rPr>
            </w:pPr>
            <w:r>
              <w:rPr>
                <w:rFonts w:ascii="Arial" w:cs="Arial" w:eastAsia="Arial" w:hAnsi="Arial"/>
                <w:sz w:val="14"/>
                <w:szCs w:val="14"/>
                <w:color w:val="auto"/>
                <w:w w:val="87"/>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Borders>
              <w:top w:val="single" w:sz="8" w:color="0000FF"/>
            </w:tcBorders>
            <w:gridSpan w:val="6"/>
          </w:tcPr>
          <w:p>
            <w:pPr>
              <w:spacing w:after="0"/>
              <w:rPr>
                <w:rFonts w:ascii="Arial" w:cs="Arial" w:eastAsia="Arial" w:hAnsi="Arial"/>
                <w:sz w:val="14"/>
                <w:szCs w:val="14"/>
                <w:color w:val="0000FF"/>
                <w:w w:val="91"/>
              </w:rPr>
            </w:pPr>
            <w:hyperlink w:anchor="page75">
              <w:r>
                <w:rPr>
                  <w:rFonts w:ascii="Arial" w:cs="Arial" w:eastAsia="Arial" w:hAnsi="Arial"/>
                  <w:sz w:val="14"/>
                  <w:szCs w:val="14"/>
                  <w:color w:val="0000FF"/>
                  <w:w w:val="91"/>
                </w:rPr>
                <w:t>Certification of Dennis Durkin pursuant to Section 906 of the Sarbanes-Oxley Act of 2002.</w:t>
              </w:r>
            </w:hyperlink>
          </w:p>
        </w:tc>
        <w:tc>
          <w:tcPr>
            <w:tcW w:w="4380" w:type="dxa"/>
            <w:vAlign w:val="bottom"/>
            <w:gridSpan w:val="5"/>
          </w:tcPr>
          <w:p>
            <w:pPr>
              <w:spacing w:after="0"/>
              <w:rPr>
                <w:sz w:val="24"/>
                <w:szCs w:val="24"/>
                <w:color w:val="auto"/>
              </w:rPr>
            </w:pPr>
          </w:p>
        </w:tc>
      </w:tr>
      <w:tr>
        <w:trPr>
          <w:trHeight w:val="20"/>
        </w:trPr>
        <w:tc>
          <w:tcPr>
            <w:tcW w:w="1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60" w:type="dxa"/>
            <w:vAlign w:val="bottom"/>
            <w:gridSpan w:val="5"/>
            <w:shd w:val="clear" w:color="auto" w:fill="0000FF"/>
          </w:tcPr>
          <w:p>
            <w:pPr>
              <w:spacing w:after="0" w:line="20" w:lineRule="exact"/>
              <w:rPr>
                <w:sz w:val="1"/>
                <w:szCs w:val="1"/>
                <w:color w:val="auto"/>
              </w:rPr>
            </w:pPr>
          </w:p>
        </w:tc>
        <w:tc>
          <w:tcPr>
            <w:tcW w:w="4520" w:type="dxa"/>
            <w:vAlign w:val="bottom"/>
            <w:gridSpan w:val="6"/>
          </w:tcPr>
          <w:p>
            <w:pPr>
              <w:spacing w:after="0" w:line="20" w:lineRule="exact"/>
              <w:rPr>
                <w:sz w:val="1"/>
                <w:szCs w:val="1"/>
                <w:color w:val="auto"/>
              </w:rPr>
            </w:pPr>
          </w:p>
        </w:tc>
      </w:tr>
      <w:tr>
        <w:trPr>
          <w:trHeight w:val="460"/>
        </w:trPr>
        <w:tc>
          <w:tcPr>
            <w:tcW w:w="1960" w:type="dxa"/>
            <w:vAlign w:val="bottom"/>
            <w:gridSpan w:val="3"/>
          </w:tcPr>
          <w:p>
            <w:pPr>
              <w:jc w:val="center"/>
              <w:ind w:right="100"/>
              <w:spacing w:after="0"/>
              <w:rPr>
                <w:sz w:val="20"/>
                <w:szCs w:val="20"/>
                <w:color w:val="auto"/>
              </w:rPr>
            </w:pPr>
            <w:r>
              <w:rPr>
                <w:rFonts w:ascii="Arial" w:cs="Arial" w:eastAsia="Arial" w:hAnsi="Arial"/>
                <w:sz w:val="14"/>
                <w:szCs w:val="14"/>
                <w:color w:val="auto"/>
                <w:w w:val="90"/>
              </w:rPr>
              <w:t>101.INS</w:t>
            </w:r>
          </w:p>
        </w:tc>
        <w:tc>
          <w:tcPr>
            <w:tcW w:w="20" w:type="dxa"/>
            <w:vAlign w:val="bottom"/>
          </w:tcPr>
          <w:p>
            <w:pPr>
              <w:spacing w:after="0"/>
              <w:rPr>
                <w:sz w:val="24"/>
                <w:szCs w:val="24"/>
                <w:color w:val="auto"/>
              </w:rPr>
            </w:pPr>
          </w:p>
        </w:tc>
        <w:tc>
          <w:tcPr>
            <w:tcW w:w="9480" w:type="dxa"/>
            <w:vAlign w:val="bottom"/>
            <w:gridSpan w:val="11"/>
          </w:tcPr>
          <w:p>
            <w:pPr>
              <w:spacing w:after="0"/>
              <w:rPr>
                <w:sz w:val="20"/>
                <w:szCs w:val="20"/>
                <w:color w:val="auto"/>
              </w:rPr>
            </w:pPr>
            <w:r>
              <w:rPr>
                <w:rFonts w:ascii="Arial" w:cs="Arial" w:eastAsia="Arial" w:hAnsi="Arial"/>
                <w:sz w:val="14"/>
                <w:szCs w:val="14"/>
                <w:color w:val="auto"/>
                <w:w w:val="91"/>
              </w:rPr>
              <w:t>XBRL Instance Document - The instance document does not appear in the interactive data file because its XBRL tags are embedded within the Inline XBRL document.</w:t>
            </w:r>
          </w:p>
        </w:tc>
      </w:tr>
      <w:tr>
        <w:trPr>
          <w:trHeight w:val="409"/>
        </w:trPr>
        <w:tc>
          <w:tcPr>
            <w:tcW w:w="1960" w:type="dxa"/>
            <w:vAlign w:val="bottom"/>
            <w:gridSpan w:val="3"/>
          </w:tcPr>
          <w:p>
            <w:pPr>
              <w:jc w:val="center"/>
              <w:ind w:right="100"/>
              <w:spacing w:after="0"/>
              <w:rPr>
                <w:sz w:val="20"/>
                <w:szCs w:val="20"/>
                <w:color w:val="auto"/>
              </w:rPr>
            </w:pPr>
            <w:r>
              <w:rPr>
                <w:rFonts w:ascii="Arial" w:cs="Arial" w:eastAsia="Arial" w:hAnsi="Arial"/>
                <w:sz w:val="14"/>
                <w:szCs w:val="14"/>
                <w:color w:val="auto"/>
                <w:w w:val="87"/>
              </w:rPr>
              <w:t>101.SCH</w:t>
            </w:r>
          </w:p>
        </w:tc>
        <w:tc>
          <w:tcPr>
            <w:tcW w:w="20" w:type="dxa"/>
            <w:vAlign w:val="bottom"/>
          </w:tcPr>
          <w:p>
            <w:pPr>
              <w:spacing w:after="0"/>
              <w:rPr>
                <w:sz w:val="24"/>
                <w:szCs w:val="24"/>
                <w:color w:val="auto"/>
              </w:rPr>
            </w:pPr>
          </w:p>
        </w:tc>
        <w:tc>
          <w:tcPr>
            <w:tcW w:w="9480" w:type="dxa"/>
            <w:vAlign w:val="bottom"/>
            <w:gridSpan w:val="11"/>
          </w:tcPr>
          <w:p>
            <w:pPr>
              <w:spacing w:after="0"/>
              <w:rPr>
                <w:sz w:val="20"/>
                <w:szCs w:val="20"/>
                <w:color w:val="auto"/>
              </w:rPr>
            </w:pPr>
            <w:r>
              <w:rPr>
                <w:rFonts w:ascii="Arial" w:cs="Arial" w:eastAsia="Arial" w:hAnsi="Arial"/>
                <w:sz w:val="14"/>
                <w:szCs w:val="14"/>
                <w:color w:val="auto"/>
              </w:rPr>
              <w:t>XBRL Taxonomy Extension Schema Document.</w:t>
            </w:r>
          </w:p>
        </w:tc>
      </w:tr>
      <w:tr>
        <w:trPr>
          <w:trHeight w:val="409"/>
        </w:trPr>
        <w:tc>
          <w:tcPr>
            <w:tcW w:w="196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101.CAL</w:t>
            </w:r>
          </w:p>
        </w:tc>
        <w:tc>
          <w:tcPr>
            <w:tcW w:w="20" w:type="dxa"/>
            <w:vAlign w:val="bottom"/>
          </w:tcPr>
          <w:p>
            <w:pPr>
              <w:spacing w:after="0"/>
              <w:rPr>
                <w:sz w:val="24"/>
                <w:szCs w:val="24"/>
                <w:color w:val="auto"/>
              </w:rPr>
            </w:pPr>
          </w:p>
        </w:tc>
        <w:tc>
          <w:tcPr>
            <w:tcW w:w="9480" w:type="dxa"/>
            <w:vAlign w:val="bottom"/>
            <w:gridSpan w:val="11"/>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409"/>
        </w:trPr>
        <w:tc>
          <w:tcPr>
            <w:tcW w:w="1960" w:type="dxa"/>
            <w:vAlign w:val="bottom"/>
            <w:gridSpan w:val="3"/>
          </w:tcPr>
          <w:p>
            <w:pPr>
              <w:jc w:val="center"/>
              <w:ind w:right="120"/>
              <w:spacing w:after="0"/>
              <w:rPr>
                <w:sz w:val="20"/>
                <w:szCs w:val="20"/>
                <w:color w:val="auto"/>
              </w:rPr>
            </w:pPr>
            <w:r>
              <w:rPr>
                <w:rFonts w:ascii="Arial" w:cs="Arial" w:eastAsia="Arial" w:hAnsi="Arial"/>
                <w:sz w:val="14"/>
                <w:szCs w:val="14"/>
                <w:color w:val="auto"/>
                <w:w w:val="96"/>
              </w:rPr>
              <w:t>101.LAB</w:t>
            </w:r>
          </w:p>
        </w:tc>
        <w:tc>
          <w:tcPr>
            <w:tcW w:w="20" w:type="dxa"/>
            <w:vAlign w:val="bottom"/>
          </w:tcPr>
          <w:p>
            <w:pPr>
              <w:spacing w:after="0"/>
              <w:rPr>
                <w:sz w:val="24"/>
                <w:szCs w:val="24"/>
                <w:color w:val="auto"/>
              </w:rPr>
            </w:pPr>
          </w:p>
        </w:tc>
        <w:tc>
          <w:tcPr>
            <w:tcW w:w="9480" w:type="dxa"/>
            <w:vAlign w:val="bottom"/>
            <w:gridSpan w:val="11"/>
          </w:tcPr>
          <w:p>
            <w:pPr>
              <w:spacing w:after="0"/>
              <w:rPr>
                <w:sz w:val="20"/>
                <w:szCs w:val="20"/>
                <w:color w:val="auto"/>
              </w:rPr>
            </w:pPr>
            <w:r>
              <w:rPr>
                <w:rFonts w:ascii="Arial" w:cs="Arial" w:eastAsia="Arial" w:hAnsi="Arial"/>
                <w:sz w:val="14"/>
                <w:szCs w:val="14"/>
                <w:color w:val="auto"/>
              </w:rPr>
              <w:t>XBRL Taxonomy Extension Labels Linkbase Document.</w:t>
            </w:r>
          </w:p>
        </w:tc>
      </w:tr>
      <w:tr>
        <w:trPr>
          <w:trHeight w:val="409"/>
        </w:trPr>
        <w:tc>
          <w:tcPr>
            <w:tcW w:w="1960" w:type="dxa"/>
            <w:vAlign w:val="bottom"/>
            <w:gridSpan w:val="3"/>
          </w:tcPr>
          <w:p>
            <w:pPr>
              <w:jc w:val="center"/>
              <w:ind w:right="120"/>
              <w:spacing w:after="0"/>
              <w:rPr>
                <w:sz w:val="20"/>
                <w:szCs w:val="20"/>
                <w:color w:val="auto"/>
              </w:rPr>
            </w:pPr>
            <w:r>
              <w:rPr>
                <w:rFonts w:ascii="Arial" w:cs="Arial" w:eastAsia="Arial" w:hAnsi="Arial"/>
                <w:sz w:val="14"/>
                <w:szCs w:val="14"/>
                <w:color w:val="auto"/>
                <w:w w:val="85"/>
              </w:rPr>
              <w:t>101.PRE</w:t>
            </w:r>
          </w:p>
        </w:tc>
        <w:tc>
          <w:tcPr>
            <w:tcW w:w="20" w:type="dxa"/>
            <w:vAlign w:val="bottom"/>
          </w:tcPr>
          <w:p>
            <w:pPr>
              <w:spacing w:after="0"/>
              <w:rPr>
                <w:sz w:val="24"/>
                <w:szCs w:val="24"/>
                <w:color w:val="auto"/>
              </w:rPr>
            </w:pPr>
          </w:p>
        </w:tc>
        <w:tc>
          <w:tcPr>
            <w:tcW w:w="9480" w:type="dxa"/>
            <w:vAlign w:val="bottom"/>
            <w:gridSpan w:val="11"/>
          </w:tcPr>
          <w:p>
            <w:pPr>
              <w:spacing w:after="0"/>
              <w:rPr>
                <w:sz w:val="20"/>
                <w:szCs w:val="20"/>
                <w:color w:val="auto"/>
              </w:rPr>
            </w:pPr>
            <w:r>
              <w:rPr>
                <w:rFonts w:ascii="Arial" w:cs="Arial" w:eastAsia="Arial" w:hAnsi="Arial"/>
                <w:sz w:val="14"/>
                <w:szCs w:val="14"/>
                <w:color w:val="auto"/>
              </w:rPr>
              <w:t>XBRL Taxonomy Extension Presentation Linkbase Document.</w:t>
            </w:r>
          </w:p>
        </w:tc>
      </w:tr>
      <w:tr>
        <w:trPr>
          <w:trHeight w:val="409"/>
        </w:trPr>
        <w:tc>
          <w:tcPr>
            <w:tcW w:w="1960" w:type="dxa"/>
            <w:vAlign w:val="bottom"/>
            <w:gridSpan w:val="3"/>
          </w:tcPr>
          <w:p>
            <w:pPr>
              <w:jc w:val="center"/>
              <w:ind w:right="100"/>
              <w:spacing w:after="0"/>
              <w:rPr>
                <w:sz w:val="20"/>
                <w:szCs w:val="20"/>
                <w:color w:val="auto"/>
              </w:rPr>
            </w:pPr>
            <w:r>
              <w:rPr>
                <w:rFonts w:ascii="Arial" w:cs="Arial" w:eastAsia="Arial" w:hAnsi="Arial"/>
                <w:sz w:val="14"/>
                <w:szCs w:val="14"/>
                <w:color w:val="auto"/>
                <w:w w:val="90"/>
              </w:rPr>
              <w:t>101.DEF</w:t>
            </w:r>
          </w:p>
        </w:tc>
        <w:tc>
          <w:tcPr>
            <w:tcW w:w="20" w:type="dxa"/>
            <w:vAlign w:val="bottom"/>
          </w:tcPr>
          <w:p>
            <w:pPr>
              <w:spacing w:after="0"/>
              <w:rPr>
                <w:sz w:val="24"/>
                <w:szCs w:val="24"/>
                <w:color w:val="auto"/>
              </w:rPr>
            </w:pPr>
          </w:p>
        </w:tc>
        <w:tc>
          <w:tcPr>
            <w:tcW w:w="9480" w:type="dxa"/>
            <w:vAlign w:val="bottom"/>
            <w:gridSpan w:val="11"/>
          </w:tcPr>
          <w:p>
            <w:pPr>
              <w:spacing w:after="0"/>
              <w:rPr>
                <w:sz w:val="20"/>
                <w:szCs w:val="20"/>
                <w:color w:val="auto"/>
              </w:rPr>
            </w:pPr>
            <w:r>
              <w:rPr>
                <w:rFonts w:ascii="Arial" w:cs="Arial" w:eastAsia="Arial" w:hAnsi="Arial"/>
                <w:sz w:val="14"/>
                <w:szCs w:val="14"/>
                <w:color w:val="auto"/>
              </w:rPr>
              <w:t>XBRL Taxonomy Extension Definition Linkbase Document.</w:t>
            </w:r>
          </w:p>
        </w:tc>
      </w:tr>
    </w:tbl>
    <w:p>
      <w:pPr>
        <w:spacing w:after="0" w:line="277" w:lineRule="exact"/>
        <w:rPr>
          <w:sz w:val="20"/>
          <w:szCs w:val="20"/>
          <w:color w:val="auto"/>
        </w:rPr>
      </w:pPr>
    </w:p>
    <w:p>
      <w:pPr>
        <w:ind w:left="1980" w:hanging="1160"/>
        <w:spacing w:after="0"/>
        <w:tabs>
          <w:tab w:leader="none" w:pos="19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98" w:lineRule="exact"/>
        <w:rPr>
          <w:rFonts w:ascii="Arial" w:cs="Arial" w:eastAsia="Arial" w:hAnsi="Arial"/>
          <w:sz w:val="14"/>
          <w:szCs w:val="14"/>
          <w:color w:val="auto"/>
        </w:rPr>
      </w:pPr>
    </w:p>
    <w:p>
      <w:pPr>
        <w:ind w:left="5660"/>
        <w:spacing w:after="0"/>
        <w:rPr>
          <w:rFonts w:ascii="Arial" w:cs="Arial" w:eastAsia="Arial" w:hAnsi="Arial"/>
          <w:sz w:val="14"/>
          <w:szCs w:val="14"/>
          <w:color w:val="auto"/>
        </w:rPr>
      </w:pPr>
      <w:r>
        <w:rPr>
          <w:rFonts w:ascii="Arial" w:cs="Arial" w:eastAsia="Arial" w:hAnsi="Arial"/>
          <w:sz w:val="14"/>
          <w:szCs w:val="14"/>
          <w:color w:val="auto"/>
        </w:rPr>
        <w:t>70</w:t>
      </w:r>
    </w:p>
    <w:p>
      <w:pPr>
        <w:sectPr>
          <w:pgSz w:w="11900" w:h="16838" w:orient="portrait"/>
          <w:cols w:equalWidth="0" w:num="1">
            <w:col w:w="11460"/>
          </w:cols>
          <w:pgMar w:left="220" w:top="111" w:right="21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85"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SIGNATURE</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Date: November 7, 2019</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ACTIVISION BLIZZARD, INC.</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3623945"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3623945" cy="63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Dennis Durkin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Chief Financial Officer, Principal Financial Officer, and</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Principal Accounting Officer of Activision Blizzard, Inc.</w:t>
      </w:r>
    </w:p>
    <w:p>
      <w:pPr>
        <w:spacing w:after="0" w:line="207"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0239"/>
          </w:cols>
          <w:pgMar w:left="220" w:top="129"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4"/>
          <w:szCs w:val="14"/>
          <w:b w:val="1"/>
          <w:bCs w:val="1"/>
          <w:color w:val="auto"/>
        </w:rPr>
        <w:t>Exhibit 31.1</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Robert A. Kotick, certify that:</w:t>
      </w:r>
    </w:p>
    <w:p>
      <w:pPr>
        <w:spacing w:after="0" w:line="166" w:lineRule="exact"/>
        <w:rPr>
          <w:sz w:val="20"/>
          <w:szCs w:val="20"/>
          <w:color w:val="auto"/>
        </w:rPr>
      </w:pPr>
    </w:p>
    <w:p>
      <w:pPr>
        <w:ind w:left="140" w:hanging="138"/>
        <w:spacing w:after="0"/>
        <w:tabs>
          <w:tab w:leader="none" w:pos="1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Activision Blizzard, Inc.;</w:t>
      </w:r>
    </w:p>
    <w:p>
      <w:pPr>
        <w:spacing w:after="0" w:line="166" w:lineRule="exact"/>
        <w:rPr>
          <w:rFonts w:ascii="Arial" w:cs="Arial" w:eastAsia="Arial" w:hAnsi="Arial"/>
          <w:sz w:val="14"/>
          <w:szCs w:val="14"/>
          <w:color w:val="auto"/>
        </w:rPr>
      </w:pPr>
    </w:p>
    <w:p>
      <w:pPr>
        <w:ind w:right="120" w:firstLine="2"/>
        <w:spacing w:after="0" w:line="262" w:lineRule="auto"/>
        <w:tabs>
          <w:tab w:leader="none" w:pos="136"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4"/>
          <w:szCs w:val="14"/>
          <w:color w:val="auto"/>
        </w:rPr>
      </w:pPr>
    </w:p>
    <w:p>
      <w:pPr>
        <w:ind w:right="140" w:firstLine="2"/>
        <w:spacing w:after="0" w:line="262" w:lineRule="auto"/>
        <w:tabs>
          <w:tab w:leader="none" w:pos="136"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4"/>
          <w:szCs w:val="14"/>
          <w:color w:val="auto"/>
        </w:rPr>
      </w:pPr>
    </w:p>
    <w:p>
      <w:pPr>
        <w:ind w:right="300" w:firstLine="2"/>
        <w:spacing w:after="0" w:line="262" w:lineRule="auto"/>
        <w:tabs>
          <w:tab w:leader="none" w:pos="136"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4"/>
          <w:szCs w:val="14"/>
          <w:color w:val="auto"/>
        </w:rPr>
      </w:pPr>
    </w:p>
    <w:p>
      <w:pPr>
        <w:ind w:right="380" w:firstLine="493"/>
        <w:spacing w:after="0" w:line="399" w:lineRule="auto"/>
        <w:tabs>
          <w:tab w:leader="none" w:pos="758"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2"/>
          <w:szCs w:val="12"/>
          <w:color w:val="auto"/>
        </w:rPr>
      </w:pPr>
    </w:p>
    <w:p>
      <w:pPr>
        <w:ind w:right="40" w:firstLine="493"/>
        <w:spacing w:after="0" w:line="308" w:lineRule="auto"/>
        <w:tabs>
          <w:tab w:leader="none" w:pos="766" w:val="left"/>
        </w:tabs>
        <w:numPr>
          <w:ilvl w:val="1"/>
          <w:numId w:val="6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4"/>
          <w:szCs w:val="14"/>
          <w:color w:val="auto"/>
        </w:rPr>
      </w:pPr>
    </w:p>
    <w:p>
      <w:pPr>
        <w:ind w:firstLine="493"/>
        <w:spacing w:after="0" w:line="308" w:lineRule="auto"/>
        <w:tabs>
          <w:tab w:leader="none" w:pos="768" w:val="left"/>
        </w:tabs>
        <w:numPr>
          <w:ilvl w:val="1"/>
          <w:numId w:val="6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4"/>
          <w:szCs w:val="14"/>
          <w:color w:val="auto"/>
        </w:rPr>
      </w:pPr>
    </w:p>
    <w:p>
      <w:pPr>
        <w:ind w:right="60" w:firstLine="493"/>
        <w:spacing w:after="0" w:line="308" w:lineRule="auto"/>
        <w:tabs>
          <w:tab w:leader="none" w:pos="766" w:val="left"/>
        </w:tabs>
        <w:numPr>
          <w:ilvl w:val="1"/>
          <w:numId w:val="6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4"/>
          <w:szCs w:val="14"/>
          <w:color w:val="auto"/>
        </w:rPr>
      </w:pPr>
    </w:p>
    <w:p>
      <w:pPr>
        <w:ind w:right="500" w:firstLine="2"/>
        <w:spacing w:after="0" w:line="262" w:lineRule="auto"/>
        <w:tabs>
          <w:tab w:leader="none" w:pos="136"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4"/>
          <w:szCs w:val="14"/>
          <w:color w:val="auto"/>
        </w:rPr>
      </w:pPr>
    </w:p>
    <w:p>
      <w:pPr>
        <w:ind w:right="140" w:firstLine="493"/>
        <w:spacing w:after="0" w:line="308" w:lineRule="auto"/>
        <w:tabs>
          <w:tab w:leader="none" w:pos="758" w:val="left"/>
        </w:tabs>
        <w:numPr>
          <w:ilvl w:val="1"/>
          <w:numId w:val="6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4"/>
          <w:szCs w:val="14"/>
          <w:color w:val="auto"/>
        </w:rPr>
      </w:pPr>
    </w:p>
    <w:p>
      <w:pPr>
        <w:ind w:left="760" w:hanging="267"/>
        <w:spacing w:after="0"/>
        <w:tabs>
          <w:tab w:leader="none" w:pos="760" w:val="left"/>
        </w:tabs>
        <w:numPr>
          <w:ilvl w:val="1"/>
          <w:numId w:val="6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Date:  November 7, 2019</w:t>
      </w:r>
    </w:p>
    <w:p>
      <w:pPr>
        <w:spacing w:after="0" w:line="200" w:lineRule="exact"/>
        <w:rPr>
          <w:sz w:val="20"/>
          <w:szCs w:val="20"/>
          <w:color w:val="auto"/>
        </w:rPr>
      </w:pPr>
    </w:p>
    <w:p>
      <w:pPr>
        <w:spacing w:after="0" w:line="25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21590</wp:posOffset>
            </wp:positionV>
            <wp:extent cx="363664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Robert A. Kotick</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Chief Executive Officer and</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Principal Executive Officer of</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Activision Blizzard, Inc.</w:t>
      </w:r>
    </w:p>
    <w:p>
      <w:pPr>
        <w:sectPr>
          <w:pgSz w:w="11900" w:h="16838" w:orient="portrait"/>
          <w:cols w:equalWidth="0" w:num="1">
            <w:col w:w="11460"/>
          </w:cols>
          <w:pgMar w:left="220" w:top="475" w:right="219" w:bottom="1440" w:gutter="0" w:footer="0" w:header="0"/>
        </w:sectPr>
      </w:pPr>
    </w:p>
    <w:bookmarkStart w:id="72" w:name="page73"/>
    <w:bookmarkEnd w:id="72"/>
    <w:p>
      <w:pPr>
        <w:jc w:val="right"/>
        <w:spacing w:after="0"/>
        <w:rPr>
          <w:sz w:val="20"/>
          <w:szCs w:val="20"/>
          <w:color w:val="auto"/>
        </w:rPr>
      </w:pPr>
      <w:r>
        <w:rPr>
          <w:rFonts w:ascii="Arial" w:cs="Arial" w:eastAsia="Arial" w:hAnsi="Arial"/>
          <w:sz w:val="14"/>
          <w:szCs w:val="14"/>
          <w:b w:val="1"/>
          <w:bCs w:val="1"/>
          <w:color w:val="auto"/>
        </w:rPr>
        <w:t>Exhibit 31.2</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CERTIFICATION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I, Dennis Durkin, certify that:</w:t>
      </w:r>
    </w:p>
    <w:p>
      <w:pPr>
        <w:spacing w:after="0" w:line="166" w:lineRule="exact"/>
        <w:rPr>
          <w:sz w:val="20"/>
          <w:szCs w:val="20"/>
          <w:color w:val="auto"/>
        </w:rPr>
      </w:pPr>
    </w:p>
    <w:p>
      <w:pPr>
        <w:ind w:left="140" w:hanging="138"/>
        <w:spacing w:after="0"/>
        <w:tabs>
          <w:tab w:leader="none" w:pos="1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Activision Blizzard, Inc.;</w:t>
      </w:r>
    </w:p>
    <w:p>
      <w:pPr>
        <w:spacing w:after="0" w:line="166" w:lineRule="exact"/>
        <w:rPr>
          <w:rFonts w:ascii="Arial" w:cs="Arial" w:eastAsia="Arial" w:hAnsi="Arial"/>
          <w:sz w:val="14"/>
          <w:szCs w:val="14"/>
          <w:color w:val="auto"/>
        </w:rPr>
      </w:pPr>
    </w:p>
    <w:p>
      <w:pPr>
        <w:ind w:right="120" w:firstLine="2"/>
        <w:spacing w:after="0" w:line="262" w:lineRule="auto"/>
        <w:tabs>
          <w:tab w:leader="none" w:pos="136"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4"/>
          <w:szCs w:val="14"/>
          <w:color w:val="auto"/>
        </w:rPr>
      </w:pPr>
    </w:p>
    <w:p>
      <w:pPr>
        <w:ind w:right="140" w:firstLine="2"/>
        <w:spacing w:after="0" w:line="262" w:lineRule="auto"/>
        <w:tabs>
          <w:tab w:leader="none" w:pos="136"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4"/>
          <w:szCs w:val="14"/>
          <w:color w:val="auto"/>
        </w:rPr>
      </w:pPr>
    </w:p>
    <w:p>
      <w:pPr>
        <w:ind w:right="300" w:firstLine="2"/>
        <w:spacing w:after="0" w:line="262" w:lineRule="auto"/>
        <w:tabs>
          <w:tab w:leader="none" w:pos="136"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4"/>
          <w:szCs w:val="14"/>
          <w:color w:val="auto"/>
        </w:rPr>
      </w:pPr>
    </w:p>
    <w:p>
      <w:pPr>
        <w:ind w:right="480" w:firstLine="493"/>
        <w:spacing w:after="0" w:line="346" w:lineRule="auto"/>
        <w:tabs>
          <w:tab w:leader="none" w:pos="676" w:val="left"/>
        </w:tabs>
        <w:numPr>
          <w:ilvl w:val="1"/>
          <w:numId w:val="6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2"/>
          <w:szCs w:val="12"/>
          <w:color w:val="auto"/>
        </w:rPr>
      </w:pPr>
    </w:p>
    <w:p>
      <w:pPr>
        <w:ind w:right="120" w:firstLine="493"/>
        <w:spacing w:after="0" w:line="262" w:lineRule="auto"/>
        <w:tabs>
          <w:tab w:leader="none" w:pos="684" w:val="left"/>
        </w:tabs>
        <w:numPr>
          <w:ilvl w:val="1"/>
          <w:numId w:val="6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Arial" w:cs="Arial" w:eastAsia="Arial" w:hAnsi="Arial"/>
          <w:sz w:val="14"/>
          <w:szCs w:val="14"/>
          <w:color w:val="auto"/>
        </w:rPr>
      </w:pPr>
    </w:p>
    <w:p>
      <w:pPr>
        <w:ind w:right="100" w:firstLine="493"/>
        <w:spacing w:after="0" w:line="262" w:lineRule="auto"/>
        <w:tabs>
          <w:tab w:leader="none" w:pos="676" w:val="left"/>
        </w:tabs>
        <w:numPr>
          <w:ilvl w:val="1"/>
          <w:numId w:val="6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4"/>
          <w:szCs w:val="14"/>
          <w:color w:val="auto"/>
        </w:rPr>
      </w:pPr>
    </w:p>
    <w:p>
      <w:pPr>
        <w:ind w:right="140" w:firstLine="493"/>
        <w:spacing w:after="0" w:line="262" w:lineRule="auto"/>
        <w:tabs>
          <w:tab w:leader="none" w:pos="684" w:val="left"/>
        </w:tabs>
        <w:numPr>
          <w:ilvl w:val="1"/>
          <w:numId w:val="6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9" w:lineRule="exact"/>
        <w:rPr>
          <w:rFonts w:ascii="Arial" w:cs="Arial" w:eastAsia="Arial" w:hAnsi="Arial"/>
          <w:sz w:val="14"/>
          <w:szCs w:val="14"/>
          <w:color w:val="auto"/>
        </w:rPr>
      </w:pPr>
    </w:p>
    <w:p>
      <w:pPr>
        <w:ind w:right="500" w:firstLine="2"/>
        <w:spacing w:after="0" w:line="262" w:lineRule="auto"/>
        <w:tabs>
          <w:tab w:leader="none" w:pos="136"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4"/>
          <w:szCs w:val="14"/>
          <w:color w:val="auto"/>
        </w:rPr>
      </w:pPr>
    </w:p>
    <w:p>
      <w:pPr>
        <w:ind w:right="240" w:firstLine="493"/>
        <w:spacing w:after="0" w:line="262" w:lineRule="auto"/>
        <w:tabs>
          <w:tab w:leader="none" w:pos="669" w:val="left"/>
        </w:tabs>
        <w:numPr>
          <w:ilvl w:val="1"/>
          <w:numId w:val="6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4"/>
          <w:szCs w:val="14"/>
          <w:color w:val="auto"/>
        </w:rPr>
      </w:pPr>
    </w:p>
    <w:p>
      <w:pPr>
        <w:ind w:left="680" w:hanging="187"/>
        <w:spacing w:after="0"/>
        <w:tabs>
          <w:tab w:leader="none" w:pos="68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Date:  November 7, 2019</w:t>
      </w:r>
    </w:p>
    <w:p>
      <w:pPr>
        <w:spacing w:after="0" w:line="200" w:lineRule="exact"/>
        <w:rPr>
          <w:sz w:val="20"/>
          <w:szCs w:val="20"/>
          <w:color w:val="auto"/>
        </w:rPr>
      </w:pPr>
    </w:p>
    <w:p>
      <w:pPr>
        <w:spacing w:after="0" w:line="253"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21590</wp:posOffset>
            </wp:positionV>
            <wp:extent cx="3636645"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Dennis Durkin</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Chief Financial Officer, Principal Financial Officer, and</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Principal Accounting Officer of Activision Blizzard, Inc.</w:t>
      </w:r>
    </w:p>
    <w:p>
      <w:pPr>
        <w:sectPr>
          <w:pgSz w:w="11900" w:h="16838" w:orient="portrait"/>
          <w:cols w:equalWidth="0" w:num="1">
            <w:col w:w="11460"/>
          </w:cols>
          <w:pgMar w:left="220" w:top="475" w:right="219" w:bottom="1440" w:gutter="0" w:footer="0" w:header="0"/>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Exhibit 32.1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56" w:lineRule="exact"/>
        <w:rPr>
          <w:sz w:val="20"/>
          <w:szCs w:val="20"/>
          <w:color w:val="auto"/>
        </w:rPr>
      </w:pPr>
    </w:p>
    <w:p>
      <w:pPr>
        <w:ind w:firstLine="245"/>
        <w:spacing w:after="0" w:line="253" w:lineRule="auto"/>
        <w:rPr>
          <w:sz w:val="20"/>
          <w:szCs w:val="20"/>
          <w:color w:val="auto"/>
        </w:rPr>
      </w:pPr>
      <w:r>
        <w:rPr>
          <w:rFonts w:ascii="Arial" w:cs="Arial" w:eastAsia="Arial" w:hAnsi="Arial"/>
          <w:sz w:val="14"/>
          <w:szCs w:val="14"/>
          <w:color w:val="auto"/>
        </w:rPr>
        <w:t>In connection with the quarterly report of Activision Blizzard, Inc. (the “Company”) on Form 10-Q for the period ended September 30, 2019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45" w:lineRule="exact"/>
        <w:rPr>
          <w:sz w:val="20"/>
          <w:szCs w:val="20"/>
          <w:color w:val="auto"/>
        </w:rPr>
      </w:pPr>
    </w:p>
    <w:p>
      <w:pPr>
        <w:ind w:left="760" w:hanging="267"/>
        <w:spacing w:after="0"/>
        <w:tabs>
          <w:tab w:leader="none" w:pos="7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6" w:lineRule="exact"/>
        <w:rPr>
          <w:rFonts w:ascii="Arial" w:cs="Arial" w:eastAsia="Arial" w:hAnsi="Arial"/>
          <w:sz w:val="14"/>
          <w:szCs w:val="14"/>
          <w:color w:val="auto"/>
        </w:rPr>
      </w:pPr>
    </w:p>
    <w:p>
      <w:pPr>
        <w:ind w:right="2800" w:firstLine="493"/>
        <w:spacing w:after="0" w:line="552" w:lineRule="auto"/>
        <w:tabs>
          <w:tab w:leader="none" w:pos="755"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Date: November 7, 2019</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21590</wp:posOffset>
            </wp:positionV>
            <wp:extent cx="3636645"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Robert A. Kotick</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Chief Executive Officer and</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Principal Executive Officer of</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Activision Blizzard, Inc.</w:t>
      </w:r>
    </w:p>
    <w:p>
      <w:pPr>
        <w:spacing w:after="0" w:line="187"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60"/>
          </w:cols>
          <w:pgMar w:left="220" w:top="475" w:right="219" w:bottom="1440" w:gutter="0" w:footer="0" w:header="0"/>
        </w:sectPr>
      </w:pPr>
    </w:p>
    <w:bookmarkStart w:id="74" w:name="page75"/>
    <w:bookmarkEnd w:id="74"/>
    <w:p>
      <w:pPr>
        <w:jc w:val="right"/>
        <w:spacing w:after="0"/>
        <w:rPr>
          <w:sz w:val="20"/>
          <w:szCs w:val="20"/>
          <w:color w:val="auto"/>
        </w:rPr>
      </w:pPr>
      <w:r>
        <w:rPr>
          <w:rFonts w:ascii="Arial" w:cs="Arial" w:eastAsia="Arial" w:hAnsi="Arial"/>
          <w:sz w:val="14"/>
          <w:szCs w:val="14"/>
          <w:b w:val="1"/>
          <w:bCs w:val="1"/>
          <w:color w:val="auto"/>
        </w:rPr>
        <w:t>Exhibit 32.2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56" w:lineRule="exact"/>
        <w:rPr>
          <w:sz w:val="20"/>
          <w:szCs w:val="20"/>
          <w:color w:val="auto"/>
        </w:rPr>
      </w:pPr>
    </w:p>
    <w:p>
      <w:pPr>
        <w:ind w:right="20" w:firstLine="245"/>
        <w:spacing w:after="0" w:line="253" w:lineRule="auto"/>
        <w:rPr>
          <w:sz w:val="20"/>
          <w:szCs w:val="20"/>
          <w:color w:val="auto"/>
        </w:rPr>
      </w:pPr>
      <w:r>
        <w:rPr>
          <w:rFonts w:ascii="Arial" w:cs="Arial" w:eastAsia="Arial" w:hAnsi="Arial"/>
          <w:sz w:val="14"/>
          <w:szCs w:val="14"/>
          <w:color w:val="auto"/>
        </w:rPr>
        <w:t>In connection with the quarterly report of Activision Blizzard, Inc. (the “Company”) on Form 10-Q for the period ended September 30, 2019 as filed with the Securities and Exchange Commission on the date hereof (the “Report”), I, Dennis Durkin, Chief Financial Officer and Principal Financial Officer of the Company, certify, to my knowledge, pursuant to 18 U.S.C. § 1350, as adopted pursuant to § 906 of the Sarbanes-Oxley Act of 2002, that:</w:t>
      </w:r>
    </w:p>
    <w:p>
      <w:pPr>
        <w:spacing w:after="0" w:line="145" w:lineRule="exact"/>
        <w:rPr>
          <w:sz w:val="20"/>
          <w:szCs w:val="20"/>
          <w:color w:val="auto"/>
        </w:rPr>
      </w:pPr>
    </w:p>
    <w:p>
      <w:pPr>
        <w:ind w:left="760" w:hanging="267"/>
        <w:spacing w:after="0"/>
        <w:tabs>
          <w:tab w:leader="none" w:pos="7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6" w:lineRule="exact"/>
        <w:rPr>
          <w:rFonts w:ascii="Arial" w:cs="Arial" w:eastAsia="Arial" w:hAnsi="Arial"/>
          <w:sz w:val="14"/>
          <w:szCs w:val="14"/>
          <w:color w:val="auto"/>
        </w:rPr>
      </w:pPr>
    </w:p>
    <w:p>
      <w:pPr>
        <w:ind w:right="2800" w:firstLine="493"/>
        <w:spacing w:after="0" w:line="552" w:lineRule="auto"/>
        <w:tabs>
          <w:tab w:leader="none" w:pos="755"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Date: November 7, 2019</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21590</wp:posOffset>
            </wp:positionV>
            <wp:extent cx="363664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3636645" cy="6350"/>
                    </a:xfrm>
                    <a:prstGeom prst="rect">
                      <a:avLst/>
                    </a:prstGeom>
                    <a:noFill/>
                  </pic:spPr>
                </pic:pic>
              </a:graphicData>
            </a:graphic>
          </wp:anchor>
        </w:drawing>
      </w:r>
    </w:p>
    <w:p>
      <w:pPr>
        <w:spacing w:after="0" w:line="34" w:lineRule="exact"/>
        <w:rPr>
          <w:sz w:val="20"/>
          <w:szCs w:val="20"/>
          <w:color w:val="auto"/>
        </w:rPr>
      </w:pPr>
    </w:p>
    <w:p>
      <w:pPr>
        <w:ind w:left="5760"/>
        <w:spacing w:after="0"/>
        <w:rPr>
          <w:sz w:val="20"/>
          <w:szCs w:val="20"/>
          <w:color w:val="auto"/>
        </w:rPr>
      </w:pPr>
      <w:r>
        <w:rPr>
          <w:rFonts w:ascii="Arial" w:cs="Arial" w:eastAsia="Arial" w:hAnsi="Arial"/>
          <w:sz w:val="14"/>
          <w:szCs w:val="14"/>
          <w:color w:val="auto"/>
        </w:rPr>
        <w:t>Dennis Durkin</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Chief Financial Officer, Principal Financial Officer, and</w:t>
      </w:r>
    </w:p>
    <w:p>
      <w:pPr>
        <w:spacing w:after="0" w:line="44" w:lineRule="exact"/>
        <w:rPr>
          <w:sz w:val="20"/>
          <w:szCs w:val="20"/>
          <w:color w:val="auto"/>
        </w:rPr>
      </w:pPr>
    </w:p>
    <w:p>
      <w:pPr>
        <w:ind w:left="5760"/>
        <w:spacing w:after="0"/>
        <w:rPr>
          <w:sz w:val="20"/>
          <w:szCs w:val="20"/>
          <w:color w:val="auto"/>
        </w:rPr>
      </w:pPr>
      <w:r>
        <w:rPr>
          <w:rFonts w:ascii="Arial" w:cs="Arial" w:eastAsia="Arial" w:hAnsi="Arial"/>
          <w:sz w:val="14"/>
          <w:szCs w:val="14"/>
          <w:i w:val="1"/>
          <w:iCs w:val="1"/>
          <w:color w:val="auto"/>
        </w:rPr>
        <w:t>Principal Accounting Officer of Activision Blizzard, Inc.</w:t>
      </w:r>
    </w:p>
    <w:p>
      <w:pPr>
        <w:spacing w:after="0" w:line="187"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60"/>
      </w:cols>
      <w:pgMar w:left="220" w:top="47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1)"/>
      <w:numFmt w:val="decimal"/>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5"/>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1)"/>
      <w:numFmt w:val="decimal"/>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04"/>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27" Type="http://schemas.openxmlformats.org/officeDocument/2006/relationships/hyperlink" Target="http://www.sec.gov/Archives/edgar/data/718877/000110465914044513/a14-14950_1ex3d1.htm" TargetMode="External"/><Relationship Id="rId28" Type="http://schemas.openxmlformats.org/officeDocument/2006/relationships/hyperlink" Target="http://www.sec.gov/Archives/edgar/data/718877/000110465918019359/a18-8728_1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2019-12-28T01:58:38Z</dcterms:created>
  <dcterms:modified xsi:type="dcterms:W3CDTF">2019-12-28T01:58:38Z</dcterms:modified>
</cp:coreProperties>
</file>