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3200" w:type="dxa"/>
            <w:vAlign w:val="bottom"/>
          </w:tcPr>
          <w:p>
            <w:pPr>
              <w:spacing w:after="0"/>
              <w:rPr>
                <w:sz w:val="21"/>
                <w:szCs w:val="21"/>
                <w:color w:val="auto"/>
              </w:rPr>
            </w:pPr>
          </w:p>
        </w:tc>
        <w:tc>
          <w:tcPr>
            <w:tcW w:w="5300" w:type="dxa"/>
            <w:vAlign w:val="bottom"/>
            <w:gridSpan w:val="7"/>
          </w:tcPr>
          <w:p>
            <w:pPr>
              <w:jc w:val="center"/>
              <w:ind w:right="260"/>
              <w:spacing w:after="0"/>
              <w:rPr>
                <w:sz w:val="20"/>
                <w:szCs w:val="20"/>
                <w:color w:val="auto"/>
              </w:rPr>
            </w:pPr>
            <w:r>
              <w:rPr>
                <w:rFonts w:ascii="Arial" w:cs="Arial" w:eastAsia="Arial" w:hAnsi="Arial"/>
                <w:sz w:val="20"/>
                <w:szCs w:val="20"/>
                <w:color w:val="auto"/>
                <w:w w:val="90"/>
              </w:rPr>
              <w:t>Date of report (Date of earliest event reported): June 5, 2014</w:t>
            </w:r>
          </w:p>
        </w:tc>
        <w:tc>
          <w:tcPr>
            <w:tcW w:w="2920" w:type="dxa"/>
            <w:vAlign w:val="bottom"/>
          </w:tcPr>
          <w:p>
            <w:pPr>
              <w:spacing w:after="0"/>
              <w:rPr>
                <w:sz w:val="21"/>
                <w:szCs w:val="21"/>
                <w:color w:val="auto"/>
              </w:rPr>
            </w:pPr>
          </w:p>
        </w:tc>
      </w:tr>
      <w:tr>
        <w:trPr>
          <w:trHeight w:val="644"/>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20"/>
                <w:szCs w:val="20"/>
                <w:color w:val="auto"/>
                <w:w w:val="99"/>
              </w:rPr>
              <w:t>ACTIVISION BLIZZARD, INC.</w:t>
            </w:r>
          </w:p>
        </w:tc>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4"/>
        </w:trPr>
        <w:tc>
          <w:tcPr>
            <w:tcW w:w="3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40" w:type="dxa"/>
            <w:vAlign w:val="bottom"/>
            <w:gridSpan w:val="5"/>
          </w:tcPr>
          <w:p>
            <w:pPr>
              <w:jc w:val="center"/>
              <w:ind w:right="720"/>
              <w:spacing w:after="0"/>
              <w:rPr>
                <w:sz w:val="20"/>
                <w:szCs w:val="20"/>
                <w:color w:val="auto"/>
              </w:rPr>
            </w:pPr>
            <w:r>
              <w:rPr>
                <w:rFonts w:ascii="Arial" w:cs="Arial" w:eastAsia="Arial" w:hAnsi="Arial"/>
                <w:sz w:val="20"/>
                <w:szCs w:val="20"/>
                <w:color w:val="auto"/>
                <w:w w:val="89"/>
              </w:rPr>
              <w:t>(Exact Name of Registrant as Specified in Charter)</w:t>
            </w:r>
          </w:p>
        </w:tc>
        <w:tc>
          <w:tcPr>
            <w:tcW w:w="2920" w:type="dxa"/>
            <w:vAlign w:val="bottom"/>
          </w:tcPr>
          <w:p>
            <w:pPr>
              <w:spacing w:after="0"/>
              <w:rPr>
                <w:sz w:val="22"/>
                <w:szCs w:val="22"/>
                <w:color w:val="auto"/>
              </w:rPr>
            </w:pPr>
          </w:p>
        </w:tc>
      </w:tr>
      <w:tr>
        <w:trPr>
          <w:trHeight w:val="914"/>
        </w:trPr>
        <w:tc>
          <w:tcPr>
            <w:tcW w:w="3200" w:type="dxa"/>
            <w:vAlign w:val="bottom"/>
          </w:tcPr>
          <w:p>
            <w:pPr>
              <w:jc w:val="center"/>
              <w:ind w:left="381"/>
              <w:spacing w:after="0"/>
              <w:rPr>
                <w:sz w:val="20"/>
                <w:szCs w:val="20"/>
                <w:color w:val="auto"/>
              </w:rPr>
            </w:pPr>
            <w:r>
              <w:rPr>
                <w:rFonts w:ascii="Arial" w:cs="Arial" w:eastAsia="Arial" w:hAnsi="Arial"/>
                <w:sz w:val="20"/>
                <w:szCs w:val="20"/>
                <w:color w:val="auto"/>
                <w:w w:val="89"/>
              </w:rPr>
              <w:t>Delaware</w:t>
            </w:r>
          </w:p>
        </w:tc>
        <w:tc>
          <w:tcPr>
            <w:tcW w:w="4360" w:type="dxa"/>
            <w:vAlign w:val="bottom"/>
            <w:gridSpan w:val="4"/>
          </w:tcPr>
          <w:p>
            <w:pPr>
              <w:jc w:val="center"/>
              <w:ind w:left="601"/>
              <w:spacing w:after="0"/>
              <w:rPr>
                <w:sz w:val="20"/>
                <w:szCs w:val="20"/>
                <w:color w:val="auto"/>
              </w:rPr>
            </w:pPr>
            <w:r>
              <w:rPr>
                <w:rFonts w:ascii="Arial" w:cs="Arial" w:eastAsia="Arial" w:hAnsi="Arial"/>
                <w:sz w:val="20"/>
                <w:szCs w:val="20"/>
                <w:color w:val="auto"/>
                <w:w w:val="89"/>
              </w:rPr>
              <w:t>001-15839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20" w:type="dxa"/>
            <w:vAlign w:val="bottom"/>
          </w:tcPr>
          <w:p>
            <w:pPr>
              <w:jc w:val="right"/>
              <w:ind w:right="1241"/>
              <w:spacing w:after="0"/>
              <w:rPr>
                <w:sz w:val="20"/>
                <w:szCs w:val="20"/>
                <w:color w:val="auto"/>
              </w:rPr>
            </w:pPr>
            <w:r>
              <w:rPr>
                <w:rFonts w:ascii="Arial" w:cs="Arial" w:eastAsia="Arial" w:hAnsi="Arial"/>
                <w:sz w:val="20"/>
                <w:szCs w:val="20"/>
                <w:color w:val="auto"/>
              </w:rPr>
              <w:t>95-4803544</w:t>
            </w:r>
          </w:p>
        </w:tc>
      </w:tr>
      <w:tr>
        <w:trPr>
          <w:trHeight w:val="206"/>
        </w:trPr>
        <w:tc>
          <w:tcPr>
            <w:tcW w:w="3200" w:type="dxa"/>
            <w:vAlign w:val="bottom"/>
            <w:tcBorders>
              <w:top w:val="single" w:sz="8" w:color="auto"/>
            </w:tcBorders>
          </w:tcPr>
          <w:p>
            <w:pPr>
              <w:jc w:val="center"/>
              <w:ind w:left="381"/>
              <w:spacing w:after="0" w:line="207" w:lineRule="exact"/>
              <w:rPr>
                <w:sz w:val="20"/>
                <w:szCs w:val="20"/>
                <w:color w:val="auto"/>
              </w:rPr>
            </w:pPr>
            <w:r>
              <w:rPr>
                <w:rFonts w:ascii="Arial" w:cs="Arial" w:eastAsia="Arial" w:hAnsi="Arial"/>
                <w:sz w:val="20"/>
                <w:szCs w:val="20"/>
                <w:color w:val="auto"/>
                <w:w w:val="90"/>
              </w:rPr>
              <w:t>(State or Other Jurisdiction of</w:t>
            </w: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(Commission File Number)</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jc w:val="center"/>
              <w:ind w:right="661"/>
              <w:spacing w:after="0" w:line="207" w:lineRule="exact"/>
              <w:rPr>
                <w:sz w:val="20"/>
                <w:szCs w:val="20"/>
                <w:color w:val="auto"/>
              </w:rPr>
            </w:pPr>
            <w:r>
              <w:rPr>
                <w:rFonts w:ascii="Arial" w:cs="Arial" w:eastAsia="Arial" w:hAnsi="Arial"/>
                <w:sz w:val="20"/>
                <w:szCs w:val="20"/>
                <w:color w:val="auto"/>
                <w:w w:val="92"/>
              </w:rPr>
              <w:t>(IRS Employer</w:t>
            </w:r>
          </w:p>
        </w:tc>
      </w:tr>
      <w:tr>
        <w:trPr>
          <w:trHeight w:val="250"/>
        </w:trPr>
        <w:tc>
          <w:tcPr>
            <w:tcW w:w="3200" w:type="dxa"/>
            <w:vAlign w:val="bottom"/>
          </w:tcPr>
          <w:p>
            <w:pPr>
              <w:jc w:val="center"/>
              <w:ind w:left="361"/>
              <w:spacing w:after="0"/>
              <w:rPr>
                <w:sz w:val="20"/>
                <w:szCs w:val="20"/>
                <w:color w:val="auto"/>
              </w:rPr>
            </w:pPr>
            <w:r>
              <w:rPr>
                <w:rFonts w:ascii="Arial" w:cs="Arial" w:eastAsia="Arial" w:hAnsi="Arial"/>
                <w:sz w:val="20"/>
                <w:szCs w:val="20"/>
                <w:color w:val="auto"/>
                <w:w w:val="92"/>
              </w:rPr>
              <w:t>Incorporation)</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20" w:type="dxa"/>
            <w:vAlign w:val="bottom"/>
          </w:tcPr>
          <w:p>
            <w:pPr>
              <w:jc w:val="center"/>
              <w:ind w:right="621"/>
              <w:spacing w:after="0"/>
              <w:rPr>
                <w:sz w:val="20"/>
                <w:szCs w:val="20"/>
                <w:color w:val="auto"/>
              </w:rPr>
            </w:pPr>
            <w:r>
              <w:rPr>
                <w:rFonts w:ascii="Arial" w:cs="Arial" w:eastAsia="Arial" w:hAnsi="Arial"/>
                <w:sz w:val="20"/>
                <w:szCs w:val="20"/>
                <w:color w:val="auto"/>
                <w:w w:val="95"/>
              </w:rPr>
              <w:t>Identification No.)</w:t>
            </w:r>
          </w:p>
        </w:tc>
      </w:tr>
      <w:tr>
        <w:trPr>
          <w:trHeight w:val="668"/>
        </w:trPr>
        <w:tc>
          <w:tcPr>
            <w:tcW w:w="3200" w:type="dxa"/>
            <w:vAlign w:val="bottom"/>
          </w:tcPr>
          <w:p>
            <w:pPr>
              <w:jc w:val="center"/>
              <w:ind w:left="381"/>
              <w:spacing w:after="0"/>
              <w:rPr>
                <w:sz w:val="20"/>
                <w:szCs w:val="20"/>
                <w:color w:val="auto"/>
              </w:rPr>
            </w:pPr>
            <w:r>
              <w:rPr>
                <w:rFonts w:ascii="Arial" w:cs="Arial" w:eastAsia="Arial" w:hAnsi="Arial"/>
                <w:sz w:val="20"/>
                <w:szCs w:val="20"/>
                <w:color w:val="auto"/>
                <w:w w:val="88"/>
              </w:rPr>
              <w:t>3100 Ocean Park Boulevard,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46"/>
        </w:trPr>
        <w:tc>
          <w:tcPr>
            <w:tcW w:w="3200" w:type="dxa"/>
            <w:vAlign w:val="bottom"/>
            <w:tcBorders>
              <w:bottom w:val="single" w:sz="8" w:color="auto"/>
            </w:tcBorders>
          </w:tcPr>
          <w:p>
            <w:pPr>
              <w:jc w:val="center"/>
              <w:ind w:left="381"/>
              <w:spacing w:after="0"/>
              <w:rPr>
                <w:sz w:val="20"/>
                <w:szCs w:val="20"/>
                <w:color w:val="auto"/>
              </w:rPr>
            </w:pPr>
            <w:r>
              <w:rPr>
                <w:rFonts w:ascii="Arial" w:cs="Arial" w:eastAsia="Arial" w:hAnsi="Arial"/>
                <w:sz w:val="20"/>
                <w:szCs w:val="20"/>
                <w:color w:val="auto"/>
                <w:w w:val="91"/>
              </w:rPr>
              <w:t>Santa Monica, CA</w:t>
            </w: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jc w:val="right"/>
              <w:ind w:right="1481"/>
              <w:spacing w:after="0"/>
              <w:rPr>
                <w:sz w:val="20"/>
                <w:szCs w:val="20"/>
                <w:color w:val="auto"/>
              </w:rPr>
            </w:pPr>
            <w:r>
              <w:rPr>
                <w:rFonts w:ascii="Arial" w:cs="Arial" w:eastAsia="Arial" w:hAnsi="Arial"/>
                <w:sz w:val="20"/>
                <w:szCs w:val="20"/>
                <w:color w:val="auto"/>
              </w:rPr>
              <w:t>90405</w:t>
            </w:r>
          </w:p>
        </w:tc>
      </w:tr>
      <w:tr>
        <w:trPr>
          <w:trHeight w:val="206"/>
        </w:trPr>
        <w:tc>
          <w:tcPr>
            <w:tcW w:w="3200" w:type="dxa"/>
            <w:vAlign w:val="bottom"/>
          </w:tcPr>
          <w:p>
            <w:pPr>
              <w:jc w:val="center"/>
              <w:ind w:left="381"/>
              <w:spacing w:after="0" w:line="207" w:lineRule="exact"/>
              <w:rPr>
                <w:sz w:val="20"/>
                <w:szCs w:val="20"/>
                <w:color w:val="auto"/>
              </w:rPr>
            </w:pPr>
            <w:r>
              <w:rPr>
                <w:rFonts w:ascii="Arial" w:cs="Arial" w:eastAsia="Arial" w:hAnsi="Arial"/>
                <w:sz w:val="20"/>
                <w:szCs w:val="20"/>
                <w:color w:val="auto"/>
                <w:w w:val="91"/>
              </w:rPr>
              <w:t>(Address of Principal Executive</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20" w:type="dxa"/>
            <w:vAlign w:val="bottom"/>
          </w:tcPr>
          <w:p>
            <w:pPr>
              <w:jc w:val="center"/>
              <w:ind w:right="621"/>
              <w:spacing w:after="0" w:line="207" w:lineRule="exact"/>
              <w:rPr>
                <w:sz w:val="20"/>
                <w:szCs w:val="20"/>
                <w:color w:val="auto"/>
              </w:rPr>
            </w:pPr>
            <w:r>
              <w:rPr>
                <w:rFonts w:ascii="Arial" w:cs="Arial" w:eastAsia="Arial" w:hAnsi="Arial"/>
                <w:sz w:val="20"/>
                <w:szCs w:val="20"/>
                <w:color w:val="auto"/>
                <w:w w:val="93"/>
              </w:rPr>
              <w:t>(Zip Code)</w:t>
            </w:r>
          </w:p>
        </w:tc>
      </w:tr>
      <w:tr>
        <w:trPr>
          <w:trHeight w:val="250"/>
        </w:trPr>
        <w:tc>
          <w:tcPr>
            <w:tcW w:w="3200" w:type="dxa"/>
            <w:vAlign w:val="bottom"/>
          </w:tcPr>
          <w:p>
            <w:pPr>
              <w:jc w:val="center"/>
              <w:ind w:left="381"/>
              <w:spacing w:after="0"/>
              <w:rPr>
                <w:sz w:val="20"/>
                <w:szCs w:val="20"/>
                <w:color w:val="auto"/>
              </w:rPr>
            </w:pPr>
            <w:r>
              <w:rPr>
                <w:rFonts w:ascii="Arial" w:cs="Arial" w:eastAsia="Arial" w:hAnsi="Arial"/>
                <w:sz w:val="20"/>
                <w:szCs w:val="20"/>
                <w:color w:val="auto"/>
                <w:w w:val="92"/>
              </w:rPr>
              <w:t>Offices)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20" w:type="dxa"/>
            <w:vAlign w:val="bottom"/>
          </w:tcPr>
          <w:p>
            <w:pPr>
              <w:spacing w:after="0"/>
              <w:rPr>
                <w:sz w:val="21"/>
                <w:szCs w:val="21"/>
                <w:color w:val="auto"/>
              </w:rPr>
            </w:pPr>
          </w:p>
        </w:tc>
      </w:tr>
    </w:tbl>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 (310) 255-2000</w:t>
      </w:r>
    </w:p>
    <w:p>
      <w:pPr>
        <w:spacing w:after="0" w:line="200" w:lineRule="exact"/>
        <w:rPr>
          <w:sz w:val="24"/>
          <w:szCs w:val="24"/>
          <w:color w:val="auto"/>
        </w:rPr>
      </w:pPr>
    </w:p>
    <w:p>
      <w:pPr>
        <w:spacing w:after="0" w:line="259" w:lineRule="exact"/>
        <w:rPr>
          <w:sz w:val="24"/>
          <w:szCs w:val="24"/>
          <w:color w:val="auto"/>
        </w:rPr>
      </w:pPr>
    </w:p>
    <w:p>
      <w:pPr>
        <w:ind w:left="2940"/>
        <w:spacing w:after="0"/>
        <w:rPr>
          <w:sz w:val="20"/>
          <w:szCs w:val="20"/>
          <w:color w:val="auto"/>
        </w:rPr>
      </w:pPr>
      <w:r>
        <w:rPr>
          <w:rFonts w:ascii="Arial" w:cs="Arial" w:eastAsia="Arial" w:hAnsi="Arial"/>
          <w:sz w:val="20"/>
          <w:szCs w:val="20"/>
          <w:color w:val="auto"/>
        </w:rPr>
        <w:t>________________________________________________________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right="10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19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67" w:lineRule="exact"/>
        <w:rPr>
          <w:rFonts w:ascii="Arial" w:cs="Arial" w:eastAsia="Arial" w:hAnsi="Arial"/>
          <w:sz w:val="20"/>
          <w:szCs w:val="20"/>
          <w:color w:val="auto"/>
        </w:rPr>
      </w:pPr>
    </w:p>
    <w:p>
      <w:pPr>
        <w:ind w:left="260" w:hanging="252"/>
        <w:spacing w:after="0"/>
        <w:tabs>
          <w:tab w:leader="none" w:pos="26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67" w:lineRule="exact"/>
        <w:rPr>
          <w:rFonts w:ascii="Arial" w:cs="Arial" w:eastAsia="Arial" w:hAnsi="Arial"/>
          <w:sz w:val="20"/>
          <w:szCs w:val="20"/>
          <w:color w:val="auto"/>
        </w:rPr>
      </w:pPr>
    </w:p>
    <w:p>
      <w:pPr>
        <w:ind w:left="260" w:hanging="252"/>
        <w:spacing w:after="0"/>
        <w:tabs>
          <w:tab w:leader="none" w:pos="2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67" w:lineRule="exact"/>
        <w:rPr>
          <w:rFonts w:ascii="Arial" w:cs="Arial" w:eastAsia="Arial" w:hAnsi="Arial"/>
          <w:sz w:val="20"/>
          <w:szCs w:val="20"/>
          <w:color w:val="auto"/>
        </w:rPr>
      </w:pPr>
    </w:p>
    <w:p>
      <w:pPr>
        <w:ind w:left="260" w:hanging="252"/>
        <w:spacing w:after="0"/>
        <w:tabs>
          <w:tab w:leader="none" w:pos="2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ind w:right="84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4"/>
          <w:szCs w:val="24"/>
          <w:color w:val="auto"/>
        </w:rPr>
      </w:pPr>
    </w:p>
    <w:p>
      <w:pPr>
        <w:ind w:right="200"/>
        <w:spacing w:after="0" w:line="250" w:lineRule="auto"/>
        <w:rPr>
          <w:sz w:val="20"/>
          <w:szCs w:val="20"/>
          <w:color w:val="auto"/>
        </w:rPr>
      </w:pPr>
      <w:r>
        <w:rPr>
          <w:rFonts w:ascii="Arial" w:cs="Arial" w:eastAsia="Arial" w:hAnsi="Arial"/>
          <w:sz w:val="20"/>
          <w:szCs w:val="20"/>
          <w:color w:val="auto"/>
        </w:rPr>
        <w:t>At the annual meeting of stockholders of Activision Blizzard, Inc.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held on June 5, 2014 (“the </w:t>
      </w:r>
      <w:r>
        <w:rPr>
          <w:rFonts w:ascii="Arial" w:cs="Arial" w:eastAsia="Arial" w:hAnsi="Arial"/>
          <w:sz w:val="20"/>
          <w:szCs w:val="20"/>
          <w:u w:val="single" w:color="auto"/>
          <w:color w:val="auto"/>
        </w:rPr>
        <w:t>Annual Meeting</w:t>
      </w:r>
      <w:r>
        <w:rPr>
          <w:rFonts w:ascii="Arial" w:cs="Arial" w:eastAsia="Arial" w:hAnsi="Arial"/>
          <w:sz w:val="20"/>
          <w:szCs w:val="20"/>
          <w:color w:val="auto"/>
        </w:rPr>
        <w:t>”), the Company’s stockholders approved the Activision Blizzard, Inc. 2014 Incentive Plan (the “</w:t>
      </w:r>
      <w:r>
        <w:rPr>
          <w:rFonts w:ascii="Arial" w:cs="Arial" w:eastAsia="Arial" w:hAnsi="Arial"/>
          <w:sz w:val="20"/>
          <w:szCs w:val="20"/>
          <w:u w:val="single" w:color="auto"/>
          <w:color w:val="auto"/>
        </w:rPr>
        <w:t>2014 Plan</w:t>
      </w:r>
      <w:r>
        <w:rPr>
          <w:rFonts w:ascii="Arial" w:cs="Arial" w:eastAsia="Arial" w:hAnsi="Arial"/>
          <w:sz w:val="20"/>
          <w:szCs w:val="20"/>
          <w:color w:val="auto"/>
        </w:rPr>
        <w:t>”) which had previously been adopted by the Company’s Board of Directors subject to stockholder approval.</w:t>
      </w:r>
    </w:p>
    <w:p>
      <w:pPr>
        <w:spacing w:after="0" w:line="200" w:lineRule="exact"/>
        <w:rPr>
          <w:sz w:val="24"/>
          <w:szCs w:val="24"/>
          <w:color w:val="auto"/>
        </w:rPr>
      </w:pPr>
    </w:p>
    <w:p>
      <w:pPr>
        <w:ind w:right="20"/>
        <w:spacing w:after="0" w:line="243" w:lineRule="auto"/>
        <w:rPr>
          <w:sz w:val="20"/>
          <w:szCs w:val="20"/>
          <w:color w:val="auto"/>
        </w:rPr>
      </w:pPr>
      <w:r>
        <w:rPr>
          <w:rFonts w:ascii="Arial" w:cs="Arial" w:eastAsia="Arial" w:hAnsi="Arial"/>
          <w:sz w:val="20"/>
          <w:szCs w:val="20"/>
          <w:color w:val="auto"/>
        </w:rPr>
        <w:t>The 2014 Plan replaces the Company’s amended and restated 2008 Incentive Plan (the “2008 Plan”), although the 2008 Plan, along with certain other prior plans, will remain in effect and continue to govern outstanding awards. Shares that were available for grant under the 2008 Plan as of June 5, 2014 will not be made available for issuance under the 2014 Plan. The 2014 Plan, among other things, provides for 46 million shares of the Company’s common stock to be available for issuance, subject to certain adjustments, which amount may be increased from time to time by the number of shares relating to awards outstanding under the 2008 Plan or other prior plans that are returned to the plan pursuant to the terms thereof.</w:t>
      </w:r>
    </w:p>
    <w:p>
      <w:pPr>
        <w:spacing w:after="0" w:line="210" w:lineRule="exact"/>
        <w:rPr>
          <w:sz w:val="24"/>
          <w:szCs w:val="24"/>
          <w:color w:val="auto"/>
        </w:rPr>
      </w:pPr>
    </w:p>
    <w:p>
      <w:pPr>
        <w:ind w:right="20"/>
        <w:spacing w:after="0" w:line="328" w:lineRule="auto"/>
        <w:rPr>
          <w:sz w:val="20"/>
          <w:szCs w:val="20"/>
          <w:color w:val="auto"/>
        </w:rPr>
      </w:pPr>
      <w:r>
        <w:rPr>
          <w:rFonts w:ascii="Arial" w:cs="Arial" w:eastAsia="Arial" w:hAnsi="Arial"/>
          <w:sz w:val="16"/>
          <w:szCs w:val="16"/>
          <w:color w:val="auto"/>
        </w:rPr>
        <w:t>The 2014 Plan authorizes the Compensation Committee of the Board of Directors to provide equity-based compensation in the form of stock options, share appreciation rights (“</w:t>
      </w:r>
      <w:r>
        <w:rPr>
          <w:rFonts w:ascii="Arial" w:cs="Arial" w:eastAsia="Arial" w:hAnsi="Arial"/>
          <w:sz w:val="16"/>
          <w:szCs w:val="16"/>
          <w:u w:val="single" w:color="auto"/>
          <w:color w:val="auto"/>
        </w:rPr>
        <w:t>SARs</w:t>
      </w:r>
      <w:r>
        <w:rPr>
          <w:rFonts w:ascii="Arial" w:cs="Arial" w:eastAsia="Arial" w:hAnsi="Arial"/>
          <w:sz w:val="16"/>
          <w:szCs w:val="16"/>
          <w:color w:val="auto"/>
        </w:rPr>
        <w:t>”), restricted shares, restricted share units, performance shares, performance units and custom awards. Awards granted under the 2014 Plan will be granted upon terms approved by the Compensation Committee and set forth in an award agreement or other evidence of an award, provided that (a) the exercise price per share of stock options and the price per share of freestanding SARs will</w:t>
      </w:r>
    </w:p>
    <w:p>
      <w:pPr>
        <w:sectPr>
          <w:pgSz w:w="11900" w:h="16838" w:orient="portrait"/>
          <w:cols w:equalWidth="0" w:num="1">
            <w:col w:w="11420"/>
          </w:cols>
          <w:pgMar w:left="240" w:top="454" w:right="239" w:bottom="0" w:gutter="0" w:footer="0" w:header="0"/>
        </w:sectPr>
      </w:pPr>
    </w:p>
    <w:bookmarkStart w:id="1" w:name="page2"/>
    <w:bookmarkEnd w:id="1"/>
    <w:p>
      <w:pPr>
        <w:ind w:right="60"/>
        <w:spacing w:after="0" w:line="262" w:lineRule="auto"/>
        <w:rPr>
          <w:sz w:val="20"/>
          <w:szCs w:val="20"/>
          <w:color w:val="auto"/>
        </w:rPr>
      </w:pPr>
      <w:r>
        <w:rPr>
          <w:rFonts w:ascii="Arial" w:cs="Arial" w:eastAsia="Arial" w:hAnsi="Arial"/>
          <w:sz w:val="20"/>
          <w:szCs w:val="20"/>
          <w:color w:val="auto"/>
        </w:rPr>
        <w:t>be not less than the “market value per share” (as defined in the plan), and (b) no stock option or freestanding SAR may be exercised more than 10 years from the date of grant.</w:t>
      </w:r>
    </w:p>
    <w:p>
      <w:pPr>
        <w:spacing w:after="0" w:line="188"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The 2014 Plan also gives the Compensation Committee authority to pay senior executive plan cash bonuses to participants who are “covered employees” (defined for purposes of the 2014 Plan as “executive officers” of the Company within the meaning of Rule 3b-7 under Securities Exchange Act of 1934, as amended), which incentive compensation will become payable upon the achievement of specified management objectives.</w:t>
      </w:r>
    </w:p>
    <w:p>
      <w:pPr>
        <w:spacing w:after="0" w:line="205"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The material terms of the 2014 Plan are described in greater detail in Proposal No. 2 in the Company’s definitive proxy statement on Schedule 14A filed with the Securities and Exchange Commission on April 22, 2014 (the “</w:t>
      </w:r>
      <w:r>
        <w:rPr>
          <w:rFonts w:ascii="Arial" w:cs="Arial" w:eastAsia="Arial" w:hAnsi="Arial"/>
          <w:sz w:val="19"/>
          <w:szCs w:val="19"/>
          <w:u w:val="single" w:color="auto"/>
          <w:color w:val="auto"/>
        </w:rPr>
        <w:t>Proxy Statement</w:t>
      </w:r>
      <w:r>
        <w:rPr>
          <w:rFonts w:ascii="Arial" w:cs="Arial" w:eastAsia="Arial" w:hAnsi="Arial"/>
          <w:sz w:val="19"/>
          <w:szCs w:val="19"/>
          <w:color w:val="auto"/>
        </w:rPr>
        <w:t>”). The descriptions of the 2014 Plan contained herein and in the Proxy Statement are qualified in their entirety by the actual terms of the plan, a copy of which is attached to this Current Report on Form 8-K as Exhibit 10.1 and is incorporated herein by reference.</w:t>
      </w:r>
    </w:p>
    <w:p>
      <w:pPr>
        <w:spacing w:after="0" w:line="184"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00" w:lineRule="exact"/>
        <w:rPr>
          <w:sz w:val="20"/>
          <w:szCs w:val="20"/>
          <w:color w:val="auto"/>
        </w:rPr>
      </w:pPr>
    </w:p>
    <w:p>
      <w:pPr>
        <w:spacing w:after="0" w:line="265" w:lineRule="exact"/>
        <w:rPr>
          <w:sz w:val="20"/>
          <w:szCs w:val="20"/>
          <w:color w:val="auto"/>
        </w:rPr>
      </w:pPr>
    </w:p>
    <w:p>
      <w:pPr>
        <w:ind w:right="20" w:firstLine="656"/>
        <w:spacing w:after="0" w:line="316" w:lineRule="auto"/>
        <w:tabs>
          <w:tab w:leader="none" w:pos="91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amended and restated its Certificate of Incorporation (as so amended and restated, the “</w:t>
      </w:r>
      <w:r>
        <w:rPr>
          <w:rFonts w:ascii="Arial" w:cs="Arial" w:eastAsia="Arial" w:hAnsi="Arial"/>
          <w:sz w:val="18"/>
          <w:szCs w:val="18"/>
          <w:u w:val="single" w:color="auto"/>
          <w:color w:val="auto"/>
        </w:rPr>
        <w:t>Third Amended and Restated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following the approval and adoption thereof by the Company’s stockholders at the Annual Meeting.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The Third Amended and Restated Certificate of Incorporation amends the previous Certificate of Incorporation in three primary respects, all of which are related to the fact that Vivendi S.A. (“</w:t>
      </w:r>
      <w:r>
        <w:rPr>
          <w:rFonts w:ascii="Arial" w:cs="Arial" w:eastAsia="Arial" w:hAnsi="Arial"/>
          <w:sz w:val="20"/>
          <w:szCs w:val="20"/>
          <w:u w:val="single" w:color="auto"/>
          <w:color w:val="auto"/>
        </w:rPr>
        <w:t>Vivendi</w:t>
      </w:r>
      <w:r>
        <w:rPr>
          <w:rFonts w:ascii="Arial" w:cs="Arial" w:eastAsia="Arial" w:hAnsi="Arial"/>
          <w:sz w:val="20"/>
          <w:szCs w:val="20"/>
          <w:color w:val="auto"/>
        </w:rPr>
        <w:t>”) is no longer the Company’s controlling stockholder as a result of the October 11, 2013 consummation of the transactions contemplated by the stock purchase agreement entered into on July 25, 2013 between the Company, Vivendi and ASAC II LP. Specifically:</w:t>
      </w:r>
    </w:p>
    <w:p>
      <w:pPr>
        <w:spacing w:after="0" w:line="205" w:lineRule="exact"/>
        <w:rPr>
          <w:sz w:val="20"/>
          <w:szCs w:val="20"/>
          <w:color w:val="auto"/>
        </w:rPr>
      </w:pPr>
    </w:p>
    <w:p>
      <w:pPr>
        <w:ind w:left="980" w:right="600" w:hanging="324"/>
        <w:spacing w:after="0" w:line="260"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Previous articles of the Certificate of Incorporation that were intended to structure the relationship between Vivendi and the Company have been amended or removed;</w:t>
      </w:r>
    </w:p>
    <w:p>
      <w:pPr>
        <w:spacing w:after="0" w:line="190" w:lineRule="exact"/>
        <w:rPr>
          <w:rFonts w:ascii="Arial" w:cs="Arial" w:eastAsia="Arial" w:hAnsi="Arial"/>
          <w:sz w:val="20"/>
          <w:szCs w:val="20"/>
          <w:color w:val="auto"/>
        </w:rPr>
      </w:pPr>
    </w:p>
    <w:p>
      <w:pPr>
        <w:jc w:val="both"/>
        <w:ind w:left="980" w:right="120" w:hanging="324"/>
        <w:spacing w:after="0" w:line="250"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color w:val="auto"/>
        </w:rPr>
        <w:t>Supermajority and special voting requirements to amend the Company’s Certificate of Incorporation have been replaced with the default vote standard applicable under Delaware law for amendments of a certificate of incorporation, which is generally the vote of a majority of the outstanding voting power entitled to vote thereon; and</w:t>
      </w:r>
    </w:p>
    <w:p>
      <w:pPr>
        <w:spacing w:after="0" w:line="199" w:lineRule="exact"/>
        <w:rPr>
          <w:rFonts w:ascii="Arial" w:cs="Arial" w:eastAsia="Arial" w:hAnsi="Arial"/>
          <w:sz w:val="20"/>
          <w:szCs w:val="20"/>
          <w:color w:val="auto"/>
        </w:rPr>
      </w:pPr>
    </w:p>
    <w:p>
      <w:pPr>
        <w:ind w:left="980" w:hanging="324"/>
        <w:spacing w:after="0" w:line="263" w:lineRule="auto"/>
        <w:tabs>
          <w:tab w:leader="none" w:pos="968" w:val="left"/>
        </w:tabs>
        <w:numPr>
          <w:ilvl w:val="0"/>
          <w:numId w:val="3"/>
        </w:numPr>
        <w:rPr>
          <w:rFonts w:ascii="Arial" w:cs="Arial" w:eastAsia="Arial" w:hAnsi="Arial"/>
          <w:sz w:val="19"/>
          <w:szCs w:val="19"/>
          <w:color w:val="auto"/>
        </w:rPr>
      </w:pPr>
      <w:r>
        <w:rPr>
          <w:rFonts w:ascii="Arial" w:cs="Arial" w:eastAsia="Arial" w:hAnsi="Arial"/>
          <w:sz w:val="19"/>
          <w:szCs w:val="19"/>
          <w:color w:val="auto"/>
        </w:rPr>
        <w:t>Stockholder, supermajority and special voting requirements for amendment of the Company’s Bylaws have been replaced with concurrent authority to amend the Company’s Bylaws vested in the Company’s Board of Directors, by the vote of a majority of the quorum, as well as in the Company’s stockholders, by the affirmative vote of holders of a majority of the outstanding voting power of the outstanding shares of capital stock of the Company entitled to vote thereon.</w:t>
      </w:r>
    </w:p>
    <w:p>
      <w:pPr>
        <w:spacing w:after="0" w:line="19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Third Amended and Restated Certificate of Incorporation became effective on June 6, 2014 when filed with the Secretary of State of the State of Delaware.</w:t>
      </w:r>
    </w:p>
    <w:p>
      <w:pPr>
        <w:spacing w:after="0" w:line="190" w:lineRule="exact"/>
        <w:rPr>
          <w:sz w:val="20"/>
          <w:szCs w:val="20"/>
          <w:color w:val="auto"/>
        </w:rPr>
      </w:pPr>
    </w:p>
    <w:p>
      <w:pPr>
        <w:ind w:right="80" w:firstLine="648"/>
        <w:spacing w:after="0" w:line="316" w:lineRule="auto"/>
        <w:rPr>
          <w:sz w:val="20"/>
          <w:szCs w:val="20"/>
          <w:color w:val="auto"/>
        </w:rPr>
      </w:pPr>
      <w:r>
        <w:rPr>
          <w:rFonts w:ascii="Arial" w:cs="Arial" w:eastAsia="Arial" w:hAnsi="Arial"/>
          <w:sz w:val="18"/>
          <w:szCs w:val="18"/>
          <w:color w:val="auto"/>
        </w:rPr>
        <w:t>The foregoing description is qualified in its entirety by the full text of the Third Amended and Restated Certificate of Incorporation of Activision Blizzard, Inc., a copy of which is attached to this Form 8-K as Exhibit 3.1 and is incorporated herein by reference.</w:t>
      </w:r>
    </w:p>
    <w:p>
      <w:pPr>
        <w:spacing w:after="0" w:line="367"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June 5, 2014, the Company held its Annual Meeting in Santa Monica, California.</w:t>
      </w:r>
    </w:p>
    <w:p>
      <w:pPr>
        <w:spacing w:after="0" w:line="229" w:lineRule="exact"/>
        <w:rPr>
          <w:rFonts w:ascii="Arial" w:cs="Arial" w:eastAsia="Arial" w:hAnsi="Arial"/>
          <w:sz w:val="20"/>
          <w:szCs w:val="20"/>
          <w:color w:val="auto"/>
        </w:rPr>
      </w:pPr>
    </w:p>
    <w:p>
      <w:pPr>
        <w:ind w:right="40" w:firstLine="656"/>
        <w:spacing w:after="0" w:line="250" w:lineRule="auto"/>
        <w:tabs>
          <w:tab w:leader="none" w:pos="1284"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following is a brief description of each matter voted on at the Annual Meeting and the manner with respect to which votes were cast with respect to each matter and the number of abstentions and “broker non-votes” with respect to each matter, other than Proposal No. 5, with respect to which there are no broker non-votes.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i w:val="1"/>
          <w:iCs w:val="1"/>
          <w:color w:val="auto"/>
        </w:rPr>
        <w:t>Proposal No. 1</w:t>
      </w:r>
      <w:r>
        <w:rPr>
          <w:rFonts w:ascii="Arial" w:cs="Arial" w:eastAsia="Arial" w:hAnsi="Arial"/>
          <w:sz w:val="20"/>
          <w:szCs w:val="20"/>
          <w:color w:val="auto"/>
        </w:rPr>
        <w:t>: The following 8 directors were elected to serve one-year terms and until their respective successors are duly elected or</w:t>
      </w:r>
      <w:r>
        <w:rPr>
          <w:rFonts w:ascii="Arial" w:cs="Arial" w:eastAsia="Arial" w:hAnsi="Arial"/>
          <w:sz w:val="20"/>
          <w:szCs w:val="20"/>
          <w:i w:val="1"/>
          <w:iCs w:val="1"/>
          <w:color w:val="auto"/>
        </w:rPr>
        <w:t xml:space="preserve"> </w:t>
      </w:r>
      <w:r>
        <w:rPr>
          <w:rFonts w:ascii="Arial" w:cs="Arial" w:eastAsia="Arial" w:hAnsi="Arial"/>
          <w:sz w:val="20"/>
          <w:szCs w:val="20"/>
          <w:color w:val="auto"/>
        </w:rPr>
        <w:t>appointed and qualified or until the earlier of their death, resignation or removal.</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4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Arial" w:cs="Arial" w:eastAsia="Arial" w:hAnsi="Arial"/>
                <w:sz w:val="16"/>
                <w:szCs w:val="16"/>
                <w:b w:val="1"/>
                <w:bCs w:val="1"/>
                <w:color w:val="auto"/>
              </w:rPr>
              <w:t>For</w:t>
            </w:r>
          </w:p>
        </w:tc>
        <w:tc>
          <w:tcPr>
            <w:tcW w:w="2140" w:type="dxa"/>
            <w:vAlign w:val="bottom"/>
            <w:gridSpan w:val="2"/>
          </w:tcPr>
          <w:p>
            <w:pPr>
              <w:spacing w:after="0"/>
              <w:rPr>
                <w:sz w:val="20"/>
                <w:szCs w:val="20"/>
                <w:color w:val="auto"/>
              </w:rPr>
            </w:pPr>
            <w:r>
              <w:rPr>
                <w:rFonts w:ascii="Arial" w:cs="Arial" w:eastAsia="Arial" w:hAnsi="Arial"/>
                <w:sz w:val="16"/>
                <w:szCs w:val="16"/>
                <w:b w:val="1"/>
                <w:bCs w:val="1"/>
                <w:color w:val="auto"/>
              </w:rPr>
              <w:t>Against</w:t>
            </w: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Abstain</w:t>
            </w:r>
          </w:p>
        </w:tc>
        <w:tc>
          <w:tcPr>
            <w:tcW w:w="1240" w:type="dxa"/>
            <w:vAlign w:val="bottom"/>
          </w:tcPr>
          <w:p>
            <w:pPr>
              <w:spacing w:after="0"/>
              <w:rPr>
                <w:sz w:val="20"/>
                <w:szCs w:val="20"/>
                <w:color w:val="auto"/>
              </w:rPr>
            </w:pPr>
            <w:r>
              <w:rPr>
                <w:rFonts w:ascii="Arial" w:cs="Arial" w:eastAsia="Arial" w:hAnsi="Arial"/>
                <w:sz w:val="16"/>
                <w:szCs w:val="16"/>
                <w:b w:val="1"/>
                <w:bCs w:val="1"/>
                <w:color w:val="auto"/>
                <w:w w:val="89"/>
              </w:rPr>
              <w:t>Broker Non-Votes</w:t>
            </w:r>
          </w:p>
        </w:tc>
      </w:tr>
      <w:tr>
        <w:trPr>
          <w:trHeight w:val="20"/>
        </w:trPr>
        <w:tc>
          <w:tcPr>
            <w:tcW w:w="3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Robert J. Corti</w:t>
            </w:r>
          </w:p>
        </w:tc>
        <w:tc>
          <w:tcPr>
            <w:tcW w:w="2000" w:type="dxa"/>
            <w:vAlign w:val="bottom"/>
            <w:gridSpan w:val="2"/>
          </w:tcPr>
          <w:p>
            <w:pPr>
              <w:spacing w:after="0"/>
              <w:rPr>
                <w:sz w:val="20"/>
                <w:szCs w:val="20"/>
                <w:color w:val="auto"/>
              </w:rPr>
            </w:pPr>
            <w:r>
              <w:rPr>
                <w:rFonts w:ascii="Arial" w:cs="Arial" w:eastAsia="Arial" w:hAnsi="Arial"/>
                <w:sz w:val="18"/>
                <w:szCs w:val="18"/>
                <w:color w:val="auto"/>
              </w:rPr>
              <w:t>582,106,940</w:t>
            </w:r>
          </w:p>
        </w:tc>
        <w:tc>
          <w:tcPr>
            <w:tcW w:w="2140" w:type="dxa"/>
            <w:vAlign w:val="bottom"/>
            <w:gridSpan w:val="2"/>
          </w:tcPr>
          <w:p>
            <w:pPr>
              <w:spacing w:after="0"/>
              <w:rPr>
                <w:sz w:val="20"/>
                <w:szCs w:val="20"/>
                <w:color w:val="auto"/>
              </w:rPr>
            </w:pPr>
            <w:r>
              <w:rPr>
                <w:rFonts w:ascii="Arial" w:cs="Arial" w:eastAsia="Arial" w:hAnsi="Arial"/>
                <w:sz w:val="18"/>
                <w:szCs w:val="18"/>
                <w:color w:val="auto"/>
              </w:rPr>
              <w:t>26,074,970</w:t>
            </w:r>
          </w:p>
        </w:tc>
        <w:tc>
          <w:tcPr>
            <w:tcW w:w="1860" w:type="dxa"/>
            <w:vAlign w:val="bottom"/>
            <w:gridSpan w:val="2"/>
          </w:tcPr>
          <w:p>
            <w:pPr>
              <w:spacing w:after="0"/>
              <w:rPr>
                <w:sz w:val="20"/>
                <w:szCs w:val="20"/>
                <w:color w:val="auto"/>
              </w:rPr>
            </w:pPr>
            <w:r>
              <w:rPr>
                <w:rFonts w:ascii="Arial" w:cs="Arial" w:eastAsia="Arial" w:hAnsi="Arial"/>
                <w:sz w:val="18"/>
                <w:szCs w:val="18"/>
                <w:color w:val="auto"/>
              </w:rPr>
              <w:t>7,402,421</w:t>
            </w:r>
          </w:p>
        </w:tc>
        <w:tc>
          <w:tcPr>
            <w:tcW w:w="1240" w:type="dxa"/>
            <w:vAlign w:val="bottom"/>
          </w:tcPr>
          <w:p>
            <w:pPr>
              <w:spacing w:after="0"/>
              <w:rPr>
                <w:sz w:val="20"/>
                <w:szCs w:val="20"/>
                <w:color w:val="auto"/>
              </w:rPr>
            </w:pPr>
            <w:r>
              <w:rPr>
                <w:rFonts w:ascii="Arial" w:cs="Arial" w:eastAsia="Arial" w:hAnsi="Arial"/>
                <w:sz w:val="18"/>
                <w:szCs w:val="18"/>
                <w:color w:val="auto"/>
              </w:rPr>
              <w:t>37,288,117</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Brian G. Kelly</w:t>
            </w:r>
          </w:p>
        </w:tc>
        <w:tc>
          <w:tcPr>
            <w:tcW w:w="2000" w:type="dxa"/>
            <w:vAlign w:val="bottom"/>
            <w:gridSpan w:val="2"/>
          </w:tcPr>
          <w:p>
            <w:pPr>
              <w:spacing w:after="0"/>
              <w:rPr>
                <w:sz w:val="20"/>
                <w:szCs w:val="20"/>
                <w:color w:val="auto"/>
              </w:rPr>
            </w:pPr>
            <w:r>
              <w:rPr>
                <w:rFonts w:ascii="Arial" w:cs="Arial" w:eastAsia="Arial" w:hAnsi="Arial"/>
                <w:sz w:val="18"/>
                <w:szCs w:val="18"/>
                <w:color w:val="auto"/>
              </w:rPr>
              <w:t>610,697,802</w:t>
            </w:r>
          </w:p>
        </w:tc>
        <w:tc>
          <w:tcPr>
            <w:tcW w:w="2140" w:type="dxa"/>
            <w:vAlign w:val="bottom"/>
            <w:gridSpan w:val="2"/>
          </w:tcPr>
          <w:p>
            <w:pPr>
              <w:spacing w:after="0"/>
              <w:rPr>
                <w:sz w:val="20"/>
                <w:szCs w:val="20"/>
                <w:color w:val="auto"/>
              </w:rPr>
            </w:pPr>
            <w:r>
              <w:rPr>
                <w:rFonts w:ascii="Arial" w:cs="Arial" w:eastAsia="Arial" w:hAnsi="Arial"/>
                <w:sz w:val="18"/>
                <w:szCs w:val="18"/>
                <w:color w:val="auto"/>
              </w:rPr>
              <w:t>3,289,379</w:t>
            </w:r>
          </w:p>
        </w:tc>
        <w:tc>
          <w:tcPr>
            <w:tcW w:w="1860" w:type="dxa"/>
            <w:vAlign w:val="bottom"/>
            <w:gridSpan w:val="2"/>
          </w:tcPr>
          <w:p>
            <w:pPr>
              <w:spacing w:after="0"/>
              <w:rPr>
                <w:sz w:val="20"/>
                <w:szCs w:val="20"/>
                <w:color w:val="auto"/>
              </w:rPr>
            </w:pPr>
            <w:r>
              <w:rPr>
                <w:rFonts w:ascii="Arial" w:cs="Arial" w:eastAsia="Arial" w:hAnsi="Arial"/>
                <w:sz w:val="18"/>
                <w:szCs w:val="18"/>
                <w:color w:val="auto"/>
              </w:rPr>
              <w:t>1,597,150</w:t>
            </w:r>
          </w:p>
        </w:tc>
        <w:tc>
          <w:tcPr>
            <w:tcW w:w="1240" w:type="dxa"/>
            <w:vAlign w:val="bottom"/>
          </w:tcPr>
          <w:p>
            <w:pPr>
              <w:spacing w:after="0"/>
              <w:rPr>
                <w:sz w:val="20"/>
                <w:szCs w:val="20"/>
                <w:color w:val="auto"/>
              </w:rPr>
            </w:pPr>
            <w:r>
              <w:rPr>
                <w:rFonts w:ascii="Arial" w:cs="Arial" w:eastAsia="Arial" w:hAnsi="Arial"/>
                <w:sz w:val="18"/>
                <w:szCs w:val="18"/>
                <w:color w:val="auto"/>
              </w:rPr>
              <w:t>37,288,117</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Robert A. Kotick</w:t>
            </w:r>
          </w:p>
        </w:tc>
        <w:tc>
          <w:tcPr>
            <w:tcW w:w="2000" w:type="dxa"/>
            <w:vAlign w:val="bottom"/>
            <w:gridSpan w:val="2"/>
          </w:tcPr>
          <w:p>
            <w:pPr>
              <w:spacing w:after="0"/>
              <w:rPr>
                <w:sz w:val="20"/>
                <w:szCs w:val="20"/>
                <w:color w:val="auto"/>
              </w:rPr>
            </w:pPr>
            <w:r>
              <w:rPr>
                <w:rFonts w:ascii="Arial" w:cs="Arial" w:eastAsia="Arial" w:hAnsi="Arial"/>
                <w:sz w:val="18"/>
                <w:szCs w:val="18"/>
                <w:color w:val="auto"/>
              </w:rPr>
              <w:t>611,122,630</w:t>
            </w:r>
          </w:p>
        </w:tc>
        <w:tc>
          <w:tcPr>
            <w:tcW w:w="2140" w:type="dxa"/>
            <w:vAlign w:val="bottom"/>
            <w:gridSpan w:val="2"/>
          </w:tcPr>
          <w:p>
            <w:pPr>
              <w:spacing w:after="0"/>
              <w:rPr>
                <w:sz w:val="20"/>
                <w:szCs w:val="20"/>
                <w:color w:val="auto"/>
              </w:rPr>
            </w:pPr>
            <w:r>
              <w:rPr>
                <w:rFonts w:ascii="Arial" w:cs="Arial" w:eastAsia="Arial" w:hAnsi="Arial"/>
                <w:sz w:val="18"/>
                <w:szCs w:val="18"/>
                <w:color w:val="auto"/>
              </w:rPr>
              <w:t>2,876,327</w:t>
            </w:r>
          </w:p>
        </w:tc>
        <w:tc>
          <w:tcPr>
            <w:tcW w:w="1860" w:type="dxa"/>
            <w:vAlign w:val="bottom"/>
            <w:gridSpan w:val="2"/>
          </w:tcPr>
          <w:p>
            <w:pPr>
              <w:spacing w:after="0"/>
              <w:rPr>
                <w:sz w:val="20"/>
                <w:szCs w:val="20"/>
                <w:color w:val="auto"/>
              </w:rPr>
            </w:pPr>
            <w:r>
              <w:rPr>
                <w:rFonts w:ascii="Arial" w:cs="Arial" w:eastAsia="Arial" w:hAnsi="Arial"/>
                <w:sz w:val="18"/>
                <w:szCs w:val="18"/>
                <w:color w:val="auto"/>
              </w:rPr>
              <w:t>1,585,374</w:t>
            </w:r>
          </w:p>
        </w:tc>
        <w:tc>
          <w:tcPr>
            <w:tcW w:w="1240" w:type="dxa"/>
            <w:vAlign w:val="bottom"/>
          </w:tcPr>
          <w:p>
            <w:pPr>
              <w:spacing w:after="0"/>
              <w:rPr>
                <w:sz w:val="20"/>
                <w:szCs w:val="20"/>
                <w:color w:val="auto"/>
              </w:rPr>
            </w:pPr>
            <w:r>
              <w:rPr>
                <w:rFonts w:ascii="Arial" w:cs="Arial" w:eastAsia="Arial" w:hAnsi="Arial"/>
                <w:sz w:val="18"/>
                <w:szCs w:val="18"/>
                <w:color w:val="auto"/>
              </w:rPr>
              <w:t>37,288,117</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Barry Meyer</w:t>
            </w:r>
          </w:p>
        </w:tc>
        <w:tc>
          <w:tcPr>
            <w:tcW w:w="2000" w:type="dxa"/>
            <w:vAlign w:val="bottom"/>
            <w:gridSpan w:val="2"/>
          </w:tcPr>
          <w:p>
            <w:pPr>
              <w:spacing w:after="0"/>
              <w:rPr>
                <w:sz w:val="20"/>
                <w:szCs w:val="20"/>
                <w:color w:val="auto"/>
              </w:rPr>
            </w:pPr>
            <w:r>
              <w:rPr>
                <w:rFonts w:ascii="Arial" w:cs="Arial" w:eastAsia="Arial" w:hAnsi="Arial"/>
                <w:sz w:val="18"/>
                <w:szCs w:val="18"/>
                <w:color w:val="auto"/>
              </w:rPr>
              <w:t>612,777,597</w:t>
            </w:r>
          </w:p>
        </w:tc>
        <w:tc>
          <w:tcPr>
            <w:tcW w:w="2140" w:type="dxa"/>
            <w:vAlign w:val="bottom"/>
            <w:gridSpan w:val="2"/>
          </w:tcPr>
          <w:p>
            <w:pPr>
              <w:spacing w:after="0"/>
              <w:rPr>
                <w:sz w:val="20"/>
                <w:szCs w:val="20"/>
                <w:color w:val="auto"/>
              </w:rPr>
            </w:pPr>
            <w:r>
              <w:rPr>
                <w:rFonts w:ascii="Arial" w:cs="Arial" w:eastAsia="Arial" w:hAnsi="Arial"/>
                <w:sz w:val="18"/>
                <w:szCs w:val="18"/>
                <w:color w:val="auto"/>
              </w:rPr>
              <w:t>1,206,005</w:t>
            </w:r>
          </w:p>
        </w:tc>
        <w:tc>
          <w:tcPr>
            <w:tcW w:w="1860" w:type="dxa"/>
            <w:vAlign w:val="bottom"/>
            <w:gridSpan w:val="2"/>
          </w:tcPr>
          <w:p>
            <w:pPr>
              <w:spacing w:after="0"/>
              <w:rPr>
                <w:sz w:val="20"/>
                <w:szCs w:val="20"/>
                <w:color w:val="auto"/>
              </w:rPr>
            </w:pPr>
            <w:r>
              <w:rPr>
                <w:rFonts w:ascii="Arial" w:cs="Arial" w:eastAsia="Arial" w:hAnsi="Arial"/>
                <w:sz w:val="18"/>
                <w:szCs w:val="18"/>
                <w:color w:val="auto"/>
              </w:rPr>
              <w:t>1,600,729</w:t>
            </w:r>
          </w:p>
        </w:tc>
        <w:tc>
          <w:tcPr>
            <w:tcW w:w="1240" w:type="dxa"/>
            <w:vAlign w:val="bottom"/>
          </w:tcPr>
          <w:p>
            <w:pPr>
              <w:spacing w:after="0"/>
              <w:rPr>
                <w:sz w:val="20"/>
                <w:szCs w:val="20"/>
                <w:color w:val="auto"/>
              </w:rPr>
            </w:pPr>
            <w:r>
              <w:rPr>
                <w:rFonts w:ascii="Arial" w:cs="Arial" w:eastAsia="Arial" w:hAnsi="Arial"/>
                <w:sz w:val="18"/>
                <w:szCs w:val="18"/>
                <w:color w:val="auto"/>
              </w:rPr>
              <w:t>37,288,117</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Robert J. Morgado</w:t>
            </w:r>
          </w:p>
        </w:tc>
        <w:tc>
          <w:tcPr>
            <w:tcW w:w="2000" w:type="dxa"/>
            <w:vAlign w:val="bottom"/>
            <w:gridSpan w:val="2"/>
          </w:tcPr>
          <w:p>
            <w:pPr>
              <w:spacing w:after="0"/>
              <w:rPr>
                <w:sz w:val="20"/>
                <w:szCs w:val="20"/>
                <w:color w:val="auto"/>
              </w:rPr>
            </w:pPr>
            <w:r>
              <w:rPr>
                <w:rFonts w:ascii="Arial" w:cs="Arial" w:eastAsia="Arial" w:hAnsi="Arial"/>
                <w:sz w:val="18"/>
                <w:szCs w:val="18"/>
                <w:color w:val="auto"/>
              </w:rPr>
              <w:t>560,574,049</w:t>
            </w:r>
          </w:p>
        </w:tc>
        <w:tc>
          <w:tcPr>
            <w:tcW w:w="2140" w:type="dxa"/>
            <w:vAlign w:val="bottom"/>
            <w:gridSpan w:val="2"/>
          </w:tcPr>
          <w:p>
            <w:pPr>
              <w:spacing w:after="0"/>
              <w:rPr>
                <w:sz w:val="20"/>
                <w:szCs w:val="20"/>
                <w:color w:val="auto"/>
              </w:rPr>
            </w:pPr>
            <w:r>
              <w:rPr>
                <w:rFonts w:ascii="Arial" w:cs="Arial" w:eastAsia="Arial" w:hAnsi="Arial"/>
                <w:sz w:val="18"/>
                <w:szCs w:val="18"/>
                <w:color w:val="auto"/>
              </w:rPr>
              <w:t>47,607,611</w:t>
            </w:r>
          </w:p>
        </w:tc>
        <w:tc>
          <w:tcPr>
            <w:tcW w:w="1860" w:type="dxa"/>
            <w:vAlign w:val="bottom"/>
            <w:gridSpan w:val="2"/>
          </w:tcPr>
          <w:p>
            <w:pPr>
              <w:spacing w:after="0"/>
              <w:rPr>
                <w:sz w:val="20"/>
                <w:szCs w:val="20"/>
                <w:color w:val="auto"/>
              </w:rPr>
            </w:pPr>
            <w:r>
              <w:rPr>
                <w:rFonts w:ascii="Arial" w:cs="Arial" w:eastAsia="Arial" w:hAnsi="Arial"/>
                <w:sz w:val="18"/>
                <w:szCs w:val="18"/>
                <w:color w:val="auto"/>
              </w:rPr>
              <w:t>7,402,671</w:t>
            </w:r>
          </w:p>
        </w:tc>
        <w:tc>
          <w:tcPr>
            <w:tcW w:w="1240" w:type="dxa"/>
            <w:vAlign w:val="bottom"/>
          </w:tcPr>
          <w:p>
            <w:pPr>
              <w:spacing w:after="0"/>
              <w:rPr>
                <w:sz w:val="20"/>
                <w:szCs w:val="20"/>
                <w:color w:val="auto"/>
              </w:rPr>
            </w:pPr>
            <w:r>
              <w:rPr>
                <w:rFonts w:ascii="Arial" w:cs="Arial" w:eastAsia="Arial" w:hAnsi="Arial"/>
                <w:sz w:val="18"/>
                <w:szCs w:val="18"/>
                <w:color w:val="auto"/>
              </w:rPr>
              <w:t>37,288,117</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Peter Nolan</w:t>
            </w:r>
          </w:p>
        </w:tc>
        <w:tc>
          <w:tcPr>
            <w:tcW w:w="2000" w:type="dxa"/>
            <w:vAlign w:val="bottom"/>
            <w:gridSpan w:val="2"/>
          </w:tcPr>
          <w:p>
            <w:pPr>
              <w:spacing w:after="0"/>
              <w:rPr>
                <w:sz w:val="20"/>
                <w:szCs w:val="20"/>
                <w:color w:val="auto"/>
              </w:rPr>
            </w:pPr>
            <w:r>
              <w:rPr>
                <w:rFonts w:ascii="Arial" w:cs="Arial" w:eastAsia="Arial" w:hAnsi="Arial"/>
                <w:sz w:val="18"/>
                <w:szCs w:val="18"/>
                <w:color w:val="auto"/>
              </w:rPr>
              <w:t>612,905,825</w:t>
            </w:r>
          </w:p>
        </w:tc>
        <w:tc>
          <w:tcPr>
            <w:tcW w:w="2140" w:type="dxa"/>
            <w:vAlign w:val="bottom"/>
            <w:gridSpan w:val="2"/>
          </w:tcPr>
          <w:p>
            <w:pPr>
              <w:spacing w:after="0"/>
              <w:rPr>
                <w:sz w:val="20"/>
                <w:szCs w:val="20"/>
                <w:color w:val="auto"/>
              </w:rPr>
            </w:pPr>
            <w:r>
              <w:rPr>
                <w:rFonts w:ascii="Arial" w:cs="Arial" w:eastAsia="Arial" w:hAnsi="Arial"/>
                <w:sz w:val="18"/>
                <w:szCs w:val="18"/>
                <w:color w:val="auto"/>
              </w:rPr>
              <w:t>1,076,039</w:t>
            </w:r>
          </w:p>
        </w:tc>
        <w:tc>
          <w:tcPr>
            <w:tcW w:w="1860" w:type="dxa"/>
            <w:vAlign w:val="bottom"/>
            <w:gridSpan w:val="2"/>
          </w:tcPr>
          <w:p>
            <w:pPr>
              <w:spacing w:after="0"/>
              <w:rPr>
                <w:sz w:val="20"/>
                <w:szCs w:val="20"/>
                <w:color w:val="auto"/>
              </w:rPr>
            </w:pPr>
            <w:r>
              <w:rPr>
                <w:rFonts w:ascii="Arial" w:cs="Arial" w:eastAsia="Arial" w:hAnsi="Arial"/>
                <w:sz w:val="18"/>
                <w:szCs w:val="18"/>
                <w:color w:val="auto"/>
              </w:rPr>
              <w:t>1,602,467</w:t>
            </w:r>
          </w:p>
        </w:tc>
        <w:tc>
          <w:tcPr>
            <w:tcW w:w="1240" w:type="dxa"/>
            <w:vAlign w:val="bottom"/>
          </w:tcPr>
          <w:p>
            <w:pPr>
              <w:spacing w:after="0"/>
              <w:rPr>
                <w:sz w:val="20"/>
                <w:szCs w:val="20"/>
                <w:color w:val="auto"/>
              </w:rPr>
            </w:pPr>
            <w:r>
              <w:rPr>
                <w:rFonts w:ascii="Arial" w:cs="Arial" w:eastAsia="Arial" w:hAnsi="Arial"/>
                <w:sz w:val="18"/>
                <w:szCs w:val="18"/>
                <w:color w:val="auto"/>
              </w:rPr>
              <w:t>37,288,117</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Richard Sarnoff</w:t>
            </w:r>
          </w:p>
        </w:tc>
        <w:tc>
          <w:tcPr>
            <w:tcW w:w="2000" w:type="dxa"/>
            <w:vAlign w:val="bottom"/>
            <w:gridSpan w:val="2"/>
          </w:tcPr>
          <w:p>
            <w:pPr>
              <w:spacing w:after="0"/>
              <w:rPr>
                <w:sz w:val="20"/>
                <w:szCs w:val="20"/>
                <w:color w:val="auto"/>
              </w:rPr>
            </w:pPr>
            <w:r>
              <w:rPr>
                <w:rFonts w:ascii="Arial" w:cs="Arial" w:eastAsia="Arial" w:hAnsi="Arial"/>
                <w:sz w:val="18"/>
                <w:szCs w:val="18"/>
                <w:color w:val="auto"/>
              </w:rPr>
              <w:t>606,506,009</w:t>
            </w:r>
          </w:p>
        </w:tc>
        <w:tc>
          <w:tcPr>
            <w:tcW w:w="2140" w:type="dxa"/>
            <w:vAlign w:val="bottom"/>
            <w:gridSpan w:val="2"/>
          </w:tcPr>
          <w:p>
            <w:pPr>
              <w:spacing w:after="0"/>
              <w:rPr>
                <w:sz w:val="20"/>
                <w:szCs w:val="20"/>
                <w:color w:val="auto"/>
              </w:rPr>
            </w:pPr>
            <w:r>
              <w:rPr>
                <w:rFonts w:ascii="Arial" w:cs="Arial" w:eastAsia="Arial" w:hAnsi="Arial"/>
                <w:sz w:val="18"/>
                <w:szCs w:val="18"/>
                <w:color w:val="auto"/>
              </w:rPr>
              <w:t>1,671,612</w:t>
            </w:r>
          </w:p>
        </w:tc>
        <w:tc>
          <w:tcPr>
            <w:tcW w:w="1860" w:type="dxa"/>
            <w:vAlign w:val="bottom"/>
            <w:gridSpan w:val="2"/>
          </w:tcPr>
          <w:p>
            <w:pPr>
              <w:spacing w:after="0"/>
              <w:rPr>
                <w:sz w:val="20"/>
                <w:szCs w:val="20"/>
                <w:color w:val="auto"/>
              </w:rPr>
            </w:pPr>
            <w:r>
              <w:rPr>
                <w:rFonts w:ascii="Arial" w:cs="Arial" w:eastAsia="Arial" w:hAnsi="Arial"/>
                <w:sz w:val="18"/>
                <w:szCs w:val="18"/>
                <w:color w:val="auto"/>
              </w:rPr>
              <w:t>7,406,710</w:t>
            </w:r>
          </w:p>
        </w:tc>
        <w:tc>
          <w:tcPr>
            <w:tcW w:w="1240" w:type="dxa"/>
            <w:vAlign w:val="bottom"/>
          </w:tcPr>
          <w:p>
            <w:pPr>
              <w:spacing w:after="0"/>
              <w:rPr>
                <w:sz w:val="20"/>
                <w:szCs w:val="20"/>
                <w:color w:val="auto"/>
              </w:rPr>
            </w:pPr>
            <w:r>
              <w:rPr>
                <w:rFonts w:ascii="Arial" w:cs="Arial" w:eastAsia="Arial" w:hAnsi="Arial"/>
                <w:sz w:val="18"/>
                <w:szCs w:val="18"/>
                <w:color w:val="auto"/>
              </w:rPr>
              <w:t>37,288,117</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Elaine Wynn</w:t>
            </w:r>
          </w:p>
        </w:tc>
        <w:tc>
          <w:tcPr>
            <w:tcW w:w="2000" w:type="dxa"/>
            <w:vAlign w:val="bottom"/>
            <w:gridSpan w:val="2"/>
          </w:tcPr>
          <w:p>
            <w:pPr>
              <w:spacing w:after="0"/>
              <w:rPr>
                <w:sz w:val="20"/>
                <w:szCs w:val="20"/>
                <w:color w:val="auto"/>
              </w:rPr>
            </w:pPr>
            <w:r>
              <w:rPr>
                <w:rFonts w:ascii="Arial" w:cs="Arial" w:eastAsia="Arial" w:hAnsi="Arial"/>
                <w:sz w:val="18"/>
                <w:szCs w:val="18"/>
                <w:color w:val="auto"/>
              </w:rPr>
              <w:t>610,469,322</w:t>
            </w:r>
          </w:p>
        </w:tc>
        <w:tc>
          <w:tcPr>
            <w:tcW w:w="2140" w:type="dxa"/>
            <w:vAlign w:val="bottom"/>
            <w:gridSpan w:val="2"/>
          </w:tcPr>
          <w:p>
            <w:pPr>
              <w:spacing w:after="0"/>
              <w:rPr>
                <w:sz w:val="20"/>
                <w:szCs w:val="20"/>
                <w:color w:val="auto"/>
              </w:rPr>
            </w:pPr>
            <w:r>
              <w:rPr>
                <w:rFonts w:ascii="Arial" w:cs="Arial" w:eastAsia="Arial" w:hAnsi="Arial"/>
                <w:sz w:val="18"/>
                <w:szCs w:val="18"/>
                <w:color w:val="auto"/>
              </w:rPr>
              <w:t>3,520,175</w:t>
            </w:r>
          </w:p>
        </w:tc>
        <w:tc>
          <w:tcPr>
            <w:tcW w:w="1860" w:type="dxa"/>
            <w:vAlign w:val="bottom"/>
            <w:gridSpan w:val="2"/>
          </w:tcPr>
          <w:p>
            <w:pPr>
              <w:spacing w:after="0"/>
              <w:rPr>
                <w:sz w:val="20"/>
                <w:szCs w:val="20"/>
                <w:color w:val="auto"/>
              </w:rPr>
            </w:pPr>
            <w:r>
              <w:rPr>
                <w:rFonts w:ascii="Arial" w:cs="Arial" w:eastAsia="Arial" w:hAnsi="Arial"/>
                <w:sz w:val="18"/>
                <w:szCs w:val="18"/>
                <w:color w:val="auto"/>
              </w:rPr>
              <w:t>1,594,834</w:t>
            </w:r>
          </w:p>
        </w:tc>
        <w:tc>
          <w:tcPr>
            <w:tcW w:w="1240" w:type="dxa"/>
            <w:vAlign w:val="bottom"/>
          </w:tcPr>
          <w:p>
            <w:pPr>
              <w:spacing w:after="0"/>
              <w:rPr>
                <w:sz w:val="20"/>
                <w:szCs w:val="20"/>
                <w:color w:val="auto"/>
              </w:rPr>
            </w:pPr>
            <w:r>
              <w:rPr>
                <w:rFonts w:ascii="Arial" w:cs="Arial" w:eastAsia="Arial" w:hAnsi="Arial"/>
                <w:sz w:val="18"/>
                <w:szCs w:val="18"/>
                <w:color w:val="auto"/>
              </w:rPr>
              <w:t>37,288,117</w:t>
            </w:r>
          </w:p>
        </w:tc>
      </w:tr>
    </w:tbl>
    <w:p>
      <w:pPr>
        <w:sectPr>
          <w:pgSz w:w="11900" w:h="16838" w:orient="portrait"/>
          <w:cols w:equalWidth="0" w:num="1">
            <w:col w:w="11360"/>
          </w:cols>
          <w:pgMar w:left="240" w:top="121" w:right="299" w:bottom="0" w:gutter="0" w:footer="0" w:header="0"/>
        </w:sectPr>
      </w:pPr>
    </w:p>
    <w:bookmarkStart w:id="2" w:name="page3"/>
    <w:bookmarkEnd w:id="2"/>
    <w:p>
      <w:pPr>
        <w:ind w:right="420"/>
        <w:spacing w:after="0" w:line="260" w:lineRule="auto"/>
        <w:rPr>
          <w:sz w:val="20"/>
          <w:szCs w:val="20"/>
          <w:color w:val="auto"/>
        </w:rPr>
      </w:pPr>
      <w:r>
        <w:rPr>
          <w:rFonts w:ascii="Arial" w:cs="Arial" w:eastAsia="Arial" w:hAnsi="Arial"/>
          <w:sz w:val="20"/>
          <w:szCs w:val="20"/>
          <w:i w:val="1"/>
          <w:iCs w:val="1"/>
          <w:color w:val="auto"/>
        </w:rPr>
        <w:t>Proposal No. 2</w:t>
      </w:r>
      <w:r>
        <w:rPr>
          <w:rFonts w:ascii="Arial" w:cs="Arial" w:eastAsia="Arial" w:hAnsi="Arial"/>
          <w:sz w:val="20"/>
          <w:szCs w:val="20"/>
          <w:color w:val="auto"/>
        </w:rPr>
        <w:t>: The Activision Blizzard 2014 Incentive Plan as set forth in Appendix B in the Company’s Proxy Statement for the Annual</w:t>
      </w:r>
      <w:r>
        <w:rPr>
          <w:rFonts w:ascii="Arial" w:cs="Arial" w:eastAsia="Arial" w:hAnsi="Arial"/>
          <w:sz w:val="20"/>
          <w:szCs w:val="20"/>
          <w:i w:val="1"/>
          <w:iCs w:val="1"/>
          <w:color w:val="auto"/>
        </w:rPr>
        <w:t xml:space="preserve"> </w:t>
      </w:r>
      <w:r>
        <w:rPr>
          <w:rFonts w:ascii="Arial" w:cs="Arial" w:eastAsia="Arial" w:hAnsi="Arial"/>
          <w:sz w:val="20"/>
          <w:szCs w:val="20"/>
          <w:color w:val="auto"/>
        </w:rPr>
        <w:t>Meeting was approved.</w:t>
      </w:r>
    </w:p>
    <w:p>
      <w:pPr>
        <w:spacing w:after="0" w:line="200" w:lineRule="exact"/>
        <w:rPr>
          <w:sz w:val="20"/>
          <w:szCs w:val="20"/>
          <w:color w:val="auto"/>
        </w:rPr>
      </w:pPr>
    </w:p>
    <w:p>
      <w:pPr>
        <w:spacing w:after="0" w:line="20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3"/>
          </w:tcPr>
          <w:p>
            <w:pPr>
              <w:ind w:left="660"/>
              <w:spacing w:after="0"/>
              <w:rPr>
                <w:sz w:val="20"/>
                <w:szCs w:val="20"/>
                <w:color w:val="auto"/>
              </w:rPr>
            </w:pPr>
            <w:r>
              <w:rPr>
                <w:rFonts w:ascii="Arial" w:cs="Arial" w:eastAsia="Arial" w:hAnsi="Arial"/>
                <w:sz w:val="18"/>
                <w:szCs w:val="18"/>
                <w:b w:val="1"/>
                <w:bCs w:val="1"/>
                <w:color w:val="auto"/>
              </w:rPr>
              <w:t>Abstain</w:t>
            </w:r>
          </w:p>
        </w:tc>
        <w:tc>
          <w:tcPr>
            <w:tcW w:w="1380" w:type="dxa"/>
            <w:vAlign w:val="bottom"/>
          </w:tcPr>
          <w:p>
            <w:pPr>
              <w:spacing w:after="0"/>
              <w:rPr>
                <w:sz w:val="20"/>
                <w:szCs w:val="20"/>
                <w:color w:val="auto"/>
              </w:rPr>
            </w:pPr>
            <w:r>
              <w:rPr>
                <w:rFonts w:ascii="Arial" w:cs="Arial" w:eastAsia="Arial" w:hAnsi="Arial"/>
                <w:sz w:val="18"/>
                <w:szCs w:val="18"/>
                <w:b w:val="1"/>
                <w:bCs w:val="1"/>
                <w:color w:val="auto"/>
                <w:w w:val="88"/>
              </w:rPr>
              <w:t>Broker Non-Votes</w:t>
            </w: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524,001,052</w:t>
            </w:r>
          </w:p>
        </w:tc>
        <w:tc>
          <w:tcPr>
            <w:tcW w:w="1500" w:type="dxa"/>
            <w:vAlign w:val="bottom"/>
            <w:gridSpan w:val="2"/>
          </w:tcPr>
          <w:p>
            <w:pPr>
              <w:spacing w:after="0"/>
              <w:rPr>
                <w:sz w:val="20"/>
                <w:szCs w:val="20"/>
                <w:color w:val="auto"/>
              </w:rPr>
            </w:pPr>
            <w:r>
              <w:rPr>
                <w:rFonts w:ascii="Arial" w:cs="Arial" w:eastAsia="Arial" w:hAnsi="Arial"/>
                <w:sz w:val="18"/>
                <w:szCs w:val="18"/>
                <w:color w:val="auto"/>
              </w:rPr>
              <w:t>89,907,268</w:t>
            </w:r>
          </w:p>
        </w:tc>
        <w:tc>
          <w:tcPr>
            <w:tcW w:w="2560" w:type="dxa"/>
            <w:vAlign w:val="bottom"/>
            <w:gridSpan w:val="3"/>
          </w:tcPr>
          <w:p>
            <w:pPr>
              <w:ind w:left="660"/>
              <w:spacing w:after="0"/>
              <w:rPr>
                <w:sz w:val="20"/>
                <w:szCs w:val="20"/>
                <w:color w:val="auto"/>
              </w:rPr>
            </w:pPr>
            <w:r>
              <w:rPr>
                <w:rFonts w:ascii="Arial" w:cs="Arial" w:eastAsia="Arial" w:hAnsi="Arial"/>
                <w:sz w:val="18"/>
                <w:szCs w:val="18"/>
                <w:color w:val="auto"/>
              </w:rPr>
              <w:t>1,676,011</w:t>
            </w:r>
          </w:p>
        </w:tc>
        <w:tc>
          <w:tcPr>
            <w:tcW w:w="1380" w:type="dxa"/>
            <w:vAlign w:val="bottom"/>
          </w:tcPr>
          <w:p>
            <w:pPr>
              <w:spacing w:after="0"/>
              <w:rPr>
                <w:sz w:val="20"/>
                <w:szCs w:val="20"/>
                <w:color w:val="auto"/>
              </w:rPr>
            </w:pPr>
            <w:r>
              <w:rPr>
                <w:rFonts w:ascii="Arial" w:cs="Arial" w:eastAsia="Arial" w:hAnsi="Arial"/>
                <w:sz w:val="18"/>
                <w:szCs w:val="18"/>
                <w:color w:val="auto"/>
              </w:rPr>
              <w:t>37,288,117</w:t>
            </w:r>
          </w:p>
        </w:tc>
      </w:tr>
    </w:tbl>
    <w:p>
      <w:pPr>
        <w:spacing w:after="0" w:line="200" w:lineRule="exact"/>
        <w:rPr>
          <w:sz w:val="20"/>
          <w:szCs w:val="20"/>
          <w:color w:val="auto"/>
        </w:rPr>
      </w:pPr>
    </w:p>
    <w:p>
      <w:pPr>
        <w:spacing w:after="0" w:line="24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i w:val="1"/>
          <w:iCs w:val="1"/>
          <w:color w:val="auto"/>
        </w:rPr>
        <w:t>Proposal No. 3</w:t>
      </w:r>
      <w:r>
        <w:rPr>
          <w:rFonts w:ascii="Arial" w:cs="Arial" w:eastAsia="Arial" w:hAnsi="Arial"/>
          <w:sz w:val="20"/>
          <w:szCs w:val="20"/>
          <w:color w:val="auto"/>
        </w:rPr>
        <w:t>: The “Third Amended and Restated Certificate of Incorporation of Activision Blizzard, Inc.” as set forth in Exhibit 3.1 attached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to this Form 8-K, was approved. Proposed amendments were presented as three separate subproposals—nos. 3A, 3B and 3C—and approval of each of the subproposals was conditioned on the approval of all three subproposals. The approval of each of subproposals 3A, 3B and 3C required the affirmative vote of both: (1) at least 66 </w:t>
      </w:r>
      <w:r>
        <w:rPr>
          <w:rFonts w:ascii="Arial" w:cs="Arial" w:eastAsia="Arial" w:hAnsi="Arial"/>
          <w:sz w:val="12"/>
          <w:szCs w:val="12"/>
          <w:color w:val="auto"/>
        </w:rPr>
        <w:t>2/3</w:t>
      </w:r>
      <w:r>
        <w:rPr>
          <w:rFonts w:ascii="Arial" w:cs="Arial" w:eastAsia="Arial" w:hAnsi="Arial"/>
          <w:sz w:val="20"/>
          <w:szCs w:val="20"/>
          <w:color w:val="auto"/>
        </w:rPr>
        <w:t>% of the outstanding shares of the Company’s common stock entitled to vote at the Annual Meeting; and (2) a majority of the outstanding shares of the Company’s common stock entitled to vote at the Annual Meeting not held by Vivendi or its affiliates.</w:t>
      </w:r>
    </w:p>
    <w:p>
      <w:pPr>
        <w:spacing w:after="0" w:line="210" w:lineRule="exact"/>
        <w:rPr>
          <w:sz w:val="20"/>
          <w:szCs w:val="20"/>
          <w:color w:val="auto"/>
        </w:rPr>
      </w:pPr>
    </w:p>
    <w:p>
      <w:pPr>
        <w:ind w:right="960" w:firstLine="648"/>
        <w:spacing w:after="0" w:line="260" w:lineRule="auto"/>
        <w:rPr>
          <w:sz w:val="20"/>
          <w:szCs w:val="20"/>
          <w:color w:val="auto"/>
        </w:rPr>
      </w:pPr>
      <w:r>
        <w:rPr>
          <w:rFonts w:ascii="Arial" w:cs="Arial" w:eastAsia="Arial" w:hAnsi="Arial"/>
          <w:sz w:val="20"/>
          <w:szCs w:val="20"/>
          <w:i w:val="1"/>
          <w:iCs w:val="1"/>
          <w:color w:val="auto"/>
        </w:rPr>
        <w:t>Subproposal No. 3A</w:t>
      </w:r>
      <w:r>
        <w:rPr>
          <w:rFonts w:ascii="Arial" w:cs="Arial" w:eastAsia="Arial" w:hAnsi="Arial"/>
          <w:sz w:val="20"/>
          <w:szCs w:val="20"/>
          <w:color w:val="auto"/>
        </w:rPr>
        <w:t>: The amendment of provisions of the Company’s Certificate of Incorporation related to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relationship with Vivendi was approved.</w:t>
      </w:r>
    </w:p>
    <w:p>
      <w:pPr>
        <w:spacing w:after="0" w:line="257"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2680" w:type="dxa"/>
            <w:vAlign w:val="bottom"/>
            <w:gridSpan w:val="3"/>
          </w:tcPr>
          <w:p>
            <w:pPr>
              <w:ind w:left="780"/>
              <w:spacing w:after="0"/>
              <w:rPr>
                <w:sz w:val="20"/>
                <w:szCs w:val="20"/>
                <w:color w:val="auto"/>
              </w:rPr>
            </w:pPr>
            <w:r>
              <w:rPr>
                <w:rFonts w:ascii="Arial" w:cs="Arial" w:eastAsia="Arial" w:hAnsi="Arial"/>
                <w:sz w:val="18"/>
                <w:szCs w:val="18"/>
                <w:b w:val="1"/>
                <w:bCs w:val="1"/>
                <w:color w:val="auto"/>
              </w:rPr>
              <w:t>Abstain</w:t>
            </w:r>
          </w:p>
        </w:tc>
        <w:tc>
          <w:tcPr>
            <w:tcW w:w="1380" w:type="dxa"/>
            <w:vAlign w:val="bottom"/>
          </w:tcPr>
          <w:p>
            <w:pPr>
              <w:spacing w:after="0"/>
              <w:rPr>
                <w:sz w:val="20"/>
                <w:szCs w:val="20"/>
                <w:color w:val="auto"/>
              </w:rPr>
            </w:pPr>
            <w:r>
              <w:rPr>
                <w:rFonts w:ascii="Arial" w:cs="Arial" w:eastAsia="Arial" w:hAnsi="Arial"/>
                <w:sz w:val="18"/>
                <w:szCs w:val="18"/>
                <w:b w:val="1"/>
                <w:bCs w:val="1"/>
                <w:color w:val="auto"/>
                <w:w w:val="88"/>
              </w:rPr>
              <w:t>Broker Non-Votes</w:t>
            </w: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613,601,160</w:t>
            </w:r>
          </w:p>
        </w:tc>
        <w:tc>
          <w:tcPr>
            <w:tcW w:w="600" w:type="dxa"/>
            <w:vAlign w:val="bottom"/>
          </w:tcPr>
          <w:p>
            <w:pPr>
              <w:spacing w:after="0"/>
              <w:rPr>
                <w:sz w:val="20"/>
                <w:szCs w:val="20"/>
                <w:color w:val="auto"/>
              </w:rPr>
            </w:pPr>
            <w:r>
              <w:rPr>
                <w:rFonts w:ascii="Arial" w:cs="Arial" w:eastAsia="Arial" w:hAnsi="Arial"/>
                <w:sz w:val="18"/>
                <w:szCs w:val="18"/>
                <w:color w:val="auto"/>
                <w:w w:val="89"/>
              </w:rPr>
              <w:t>347,560</w:t>
            </w:r>
          </w:p>
        </w:tc>
        <w:tc>
          <w:tcPr>
            <w:tcW w:w="780" w:type="dxa"/>
            <w:vAlign w:val="bottom"/>
          </w:tcPr>
          <w:p>
            <w:pPr>
              <w:spacing w:after="0"/>
              <w:rPr>
                <w:sz w:val="20"/>
                <w:szCs w:val="20"/>
                <w:color w:val="auto"/>
              </w:rPr>
            </w:pPr>
          </w:p>
        </w:tc>
        <w:tc>
          <w:tcPr>
            <w:tcW w:w="2680" w:type="dxa"/>
            <w:vAlign w:val="bottom"/>
            <w:gridSpan w:val="3"/>
          </w:tcPr>
          <w:p>
            <w:pPr>
              <w:ind w:left="780"/>
              <w:spacing w:after="0"/>
              <w:rPr>
                <w:sz w:val="20"/>
                <w:szCs w:val="20"/>
                <w:color w:val="auto"/>
              </w:rPr>
            </w:pPr>
            <w:r>
              <w:rPr>
                <w:rFonts w:ascii="Arial" w:cs="Arial" w:eastAsia="Arial" w:hAnsi="Arial"/>
                <w:sz w:val="18"/>
                <w:szCs w:val="18"/>
                <w:color w:val="auto"/>
              </w:rPr>
              <w:t>1,635,611</w:t>
            </w:r>
          </w:p>
        </w:tc>
        <w:tc>
          <w:tcPr>
            <w:tcW w:w="1380" w:type="dxa"/>
            <w:vAlign w:val="bottom"/>
          </w:tcPr>
          <w:p>
            <w:pPr>
              <w:spacing w:after="0"/>
              <w:rPr>
                <w:sz w:val="20"/>
                <w:szCs w:val="20"/>
                <w:color w:val="auto"/>
              </w:rPr>
            </w:pPr>
            <w:r>
              <w:rPr>
                <w:rFonts w:ascii="Arial" w:cs="Arial" w:eastAsia="Arial" w:hAnsi="Arial"/>
                <w:sz w:val="18"/>
                <w:szCs w:val="18"/>
                <w:color w:val="auto"/>
              </w:rPr>
              <w:t>37,288,117</w:t>
            </w:r>
          </w:p>
        </w:tc>
      </w:tr>
    </w:tbl>
    <w:p>
      <w:pPr>
        <w:spacing w:after="0" w:line="200" w:lineRule="exact"/>
        <w:rPr>
          <w:sz w:val="20"/>
          <w:szCs w:val="20"/>
          <w:color w:val="auto"/>
        </w:rPr>
      </w:pPr>
    </w:p>
    <w:p>
      <w:pPr>
        <w:spacing w:after="0" w:line="242"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i w:val="1"/>
          <w:iCs w:val="1"/>
          <w:color w:val="auto"/>
        </w:rPr>
        <w:t>Subproposal No. 3B</w:t>
      </w:r>
      <w:r>
        <w:rPr>
          <w:rFonts w:ascii="Arial" w:cs="Arial" w:eastAsia="Arial" w:hAnsi="Arial"/>
          <w:sz w:val="20"/>
          <w:szCs w:val="20"/>
          <w:color w:val="auto"/>
        </w:rPr>
        <w:t>: The amendment of provisions of the Company’s Certificate of Incorporation related to the ability to amend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Company’s Certificate of Incorporation was approved.</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2680" w:type="dxa"/>
            <w:vAlign w:val="bottom"/>
            <w:gridSpan w:val="3"/>
          </w:tcPr>
          <w:p>
            <w:pPr>
              <w:ind w:left="780"/>
              <w:spacing w:after="0"/>
              <w:rPr>
                <w:sz w:val="20"/>
                <w:szCs w:val="20"/>
                <w:color w:val="auto"/>
              </w:rPr>
            </w:pPr>
            <w:r>
              <w:rPr>
                <w:rFonts w:ascii="Arial" w:cs="Arial" w:eastAsia="Arial" w:hAnsi="Arial"/>
                <w:sz w:val="18"/>
                <w:szCs w:val="18"/>
                <w:b w:val="1"/>
                <w:bCs w:val="1"/>
                <w:color w:val="auto"/>
              </w:rPr>
              <w:t>Abstain</w:t>
            </w:r>
          </w:p>
        </w:tc>
        <w:tc>
          <w:tcPr>
            <w:tcW w:w="1380" w:type="dxa"/>
            <w:vAlign w:val="bottom"/>
          </w:tcPr>
          <w:p>
            <w:pPr>
              <w:spacing w:after="0"/>
              <w:rPr>
                <w:sz w:val="20"/>
                <w:szCs w:val="20"/>
                <w:color w:val="auto"/>
              </w:rPr>
            </w:pPr>
            <w:r>
              <w:rPr>
                <w:rFonts w:ascii="Arial" w:cs="Arial" w:eastAsia="Arial" w:hAnsi="Arial"/>
                <w:sz w:val="18"/>
                <w:szCs w:val="18"/>
                <w:b w:val="1"/>
                <w:bCs w:val="1"/>
                <w:color w:val="auto"/>
                <w:w w:val="88"/>
              </w:rPr>
              <w:t>Broker Non-Votes</w:t>
            </w: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613,735,824</w:t>
            </w:r>
          </w:p>
        </w:tc>
        <w:tc>
          <w:tcPr>
            <w:tcW w:w="600" w:type="dxa"/>
            <w:vAlign w:val="bottom"/>
          </w:tcPr>
          <w:p>
            <w:pPr>
              <w:spacing w:after="0"/>
              <w:rPr>
                <w:sz w:val="20"/>
                <w:szCs w:val="20"/>
                <w:color w:val="auto"/>
              </w:rPr>
            </w:pPr>
            <w:r>
              <w:rPr>
                <w:rFonts w:ascii="Arial" w:cs="Arial" w:eastAsia="Arial" w:hAnsi="Arial"/>
                <w:sz w:val="18"/>
                <w:szCs w:val="18"/>
                <w:color w:val="auto"/>
                <w:w w:val="89"/>
              </w:rPr>
              <w:t>235,067</w:t>
            </w:r>
          </w:p>
        </w:tc>
        <w:tc>
          <w:tcPr>
            <w:tcW w:w="780" w:type="dxa"/>
            <w:vAlign w:val="bottom"/>
          </w:tcPr>
          <w:p>
            <w:pPr>
              <w:spacing w:after="0"/>
              <w:rPr>
                <w:sz w:val="20"/>
                <w:szCs w:val="20"/>
                <w:color w:val="auto"/>
              </w:rPr>
            </w:pPr>
          </w:p>
        </w:tc>
        <w:tc>
          <w:tcPr>
            <w:tcW w:w="2680" w:type="dxa"/>
            <w:vAlign w:val="bottom"/>
            <w:gridSpan w:val="3"/>
          </w:tcPr>
          <w:p>
            <w:pPr>
              <w:ind w:left="780"/>
              <w:spacing w:after="0"/>
              <w:rPr>
                <w:sz w:val="20"/>
                <w:szCs w:val="20"/>
                <w:color w:val="auto"/>
              </w:rPr>
            </w:pPr>
            <w:r>
              <w:rPr>
                <w:rFonts w:ascii="Arial" w:cs="Arial" w:eastAsia="Arial" w:hAnsi="Arial"/>
                <w:sz w:val="18"/>
                <w:szCs w:val="18"/>
                <w:color w:val="auto"/>
              </w:rPr>
              <w:t>1,613,440</w:t>
            </w:r>
          </w:p>
        </w:tc>
        <w:tc>
          <w:tcPr>
            <w:tcW w:w="1380" w:type="dxa"/>
            <w:vAlign w:val="bottom"/>
          </w:tcPr>
          <w:p>
            <w:pPr>
              <w:spacing w:after="0"/>
              <w:rPr>
                <w:sz w:val="20"/>
                <w:szCs w:val="20"/>
                <w:color w:val="auto"/>
              </w:rPr>
            </w:pPr>
            <w:r>
              <w:rPr>
                <w:rFonts w:ascii="Arial" w:cs="Arial" w:eastAsia="Arial" w:hAnsi="Arial"/>
                <w:sz w:val="18"/>
                <w:szCs w:val="18"/>
                <w:color w:val="auto"/>
              </w:rPr>
              <w:t>37,288,117</w:t>
            </w:r>
          </w:p>
        </w:tc>
      </w:tr>
    </w:tbl>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i w:val="1"/>
          <w:iCs w:val="1"/>
          <w:color w:val="auto"/>
        </w:rPr>
        <w:t>Subproposal No. 3C</w:t>
      </w:r>
      <w:r>
        <w:rPr>
          <w:rFonts w:ascii="Arial" w:cs="Arial" w:eastAsia="Arial" w:hAnsi="Arial"/>
          <w:sz w:val="20"/>
          <w:szCs w:val="20"/>
          <w:color w:val="auto"/>
        </w:rPr>
        <w:t>: The amendment to the provisions of the Company’s Certificate of Incorporation related to the ability to amend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Company’s Bylaws was approved.</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3"/>
          </w:tcPr>
          <w:p>
            <w:pPr>
              <w:ind w:left="660"/>
              <w:spacing w:after="0"/>
              <w:rPr>
                <w:sz w:val="20"/>
                <w:szCs w:val="20"/>
                <w:color w:val="auto"/>
              </w:rPr>
            </w:pPr>
            <w:r>
              <w:rPr>
                <w:rFonts w:ascii="Arial" w:cs="Arial" w:eastAsia="Arial" w:hAnsi="Arial"/>
                <w:sz w:val="18"/>
                <w:szCs w:val="18"/>
                <w:b w:val="1"/>
                <w:bCs w:val="1"/>
                <w:color w:val="auto"/>
              </w:rPr>
              <w:t>Abstain</w:t>
            </w:r>
          </w:p>
        </w:tc>
        <w:tc>
          <w:tcPr>
            <w:tcW w:w="1380" w:type="dxa"/>
            <w:vAlign w:val="bottom"/>
          </w:tcPr>
          <w:p>
            <w:pPr>
              <w:spacing w:after="0"/>
              <w:rPr>
                <w:sz w:val="20"/>
                <w:szCs w:val="20"/>
                <w:color w:val="auto"/>
              </w:rPr>
            </w:pPr>
            <w:r>
              <w:rPr>
                <w:rFonts w:ascii="Arial" w:cs="Arial" w:eastAsia="Arial" w:hAnsi="Arial"/>
                <w:sz w:val="18"/>
                <w:szCs w:val="18"/>
                <w:b w:val="1"/>
                <w:bCs w:val="1"/>
                <w:color w:val="auto"/>
                <w:w w:val="88"/>
              </w:rPr>
              <w:t>Broker Non-Votes</w:t>
            </w: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565,098,679</w:t>
            </w:r>
          </w:p>
        </w:tc>
        <w:tc>
          <w:tcPr>
            <w:tcW w:w="1500" w:type="dxa"/>
            <w:vAlign w:val="bottom"/>
            <w:gridSpan w:val="2"/>
          </w:tcPr>
          <w:p>
            <w:pPr>
              <w:spacing w:after="0"/>
              <w:rPr>
                <w:sz w:val="20"/>
                <w:szCs w:val="20"/>
                <w:color w:val="auto"/>
              </w:rPr>
            </w:pPr>
            <w:r>
              <w:rPr>
                <w:rFonts w:ascii="Arial" w:cs="Arial" w:eastAsia="Arial" w:hAnsi="Arial"/>
                <w:sz w:val="18"/>
                <w:szCs w:val="18"/>
                <w:color w:val="auto"/>
              </w:rPr>
              <w:t>36,466,358</w:t>
            </w:r>
          </w:p>
        </w:tc>
        <w:tc>
          <w:tcPr>
            <w:tcW w:w="2560" w:type="dxa"/>
            <w:vAlign w:val="bottom"/>
            <w:gridSpan w:val="3"/>
          </w:tcPr>
          <w:p>
            <w:pPr>
              <w:ind w:left="660"/>
              <w:spacing w:after="0"/>
              <w:rPr>
                <w:sz w:val="20"/>
                <w:szCs w:val="20"/>
                <w:color w:val="auto"/>
              </w:rPr>
            </w:pPr>
            <w:r>
              <w:rPr>
                <w:rFonts w:ascii="Arial" w:cs="Arial" w:eastAsia="Arial" w:hAnsi="Arial"/>
                <w:sz w:val="18"/>
                <w:szCs w:val="18"/>
                <w:color w:val="auto"/>
              </w:rPr>
              <w:t>14,019,294</w:t>
            </w:r>
          </w:p>
        </w:tc>
        <w:tc>
          <w:tcPr>
            <w:tcW w:w="1380" w:type="dxa"/>
            <w:vAlign w:val="bottom"/>
          </w:tcPr>
          <w:p>
            <w:pPr>
              <w:spacing w:after="0"/>
              <w:rPr>
                <w:sz w:val="20"/>
                <w:szCs w:val="20"/>
                <w:color w:val="auto"/>
              </w:rPr>
            </w:pPr>
            <w:r>
              <w:rPr>
                <w:rFonts w:ascii="Arial" w:cs="Arial" w:eastAsia="Arial" w:hAnsi="Arial"/>
                <w:sz w:val="18"/>
                <w:szCs w:val="18"/>
                <w:color w:val="auto"/>
              </w:rPr>
              <w:t>37,288,117</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Vivendi voted the entirety of its holdings of the Company’s common stock, totaling 82,999,377 shares, “For” subproposal 3A, 3B and 3C.</w:t>
      </w:r>
    </w:p>
    <w:p>
      <w:pPr>
        <w:spacing w:after="0" w:line="200" w:lineRule="exact"/>
        <w:rPr>
          <w:sz w:val="20"/>
          <w:szCs w:val="20"/>
          <w:color w:val="auto"/>
        </w:rPr>
      </w:pPr>
    </w:p>
    <w:p>
      <w:pPr>
        <w:spacing w:after="0" w:line="282"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i w:val="1"/>
          <w:iCs w:val="1"/>
          <w:color w:val="auto"/>
        </w:rPr>
        <w:t>Proposal No. 4</w:t>
      </w:r>
      <w:r>
        <w:rPr>
          <w:rFonts w:ascii="Arial" w:cs="Arial" w:eastAsia="Arial" w:hAnsi="Arial"/>
          <w:sz w:val="20"/>
          <w:szCs w:val="20"/>
          <w:color w:val="auto"/>
        </w:rPr>
        <w:t>: A non-binding, advisory proposal on the compensation of the Company’s executive officers named in the “Summary</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Table” in the Company’s proxy statement for the Annual Meeting, as disclosed in that proxy statement pursuant to Item 402 of Regulation S-K, was approved.</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2520" w:type="dxa"/>
            <w:vAlign w:val="bottom"/>
            <w:gridSpan w:val="3"/>
          </w:tcPr>
          <w:p>
            <w:pPr>
              <w:ind w:left="620"/>
              <w:spacing w:after="0"/>
              <w:rPr>
                <w:sz w:val="20"/>
                <w:szCs w:val="20"/>
                <w:color w:val="auto"/>
              </w:rPr>
            </w:pPr>
            <w:r>
              <w:rPr>
                <w:rFonts w:ascii="Arial" w:cs="Arial" w:eastAsia="Arial" w:hAnsi="Arial"/>
                <w:sz w:val="18"/>
                <w:szCs w:val="18"/>
                <w:b w:val="1"/>
                <w:bCs w:val="1"/>
                <w:color w:val="auto"/>
              </w:rPr>
              <w:t>Abstain</w:t>
            </w:r>
          </w:p>
        </w:tc>
        <w:tc>
          <w:tcPr>
            <w:tcW w:w="1380" w:type="dxa"/>
            <w:vAlign w:val="bottom"/>
          </w:tcPr>
          <w:p>
            <w:pPr>
              <w:spacing w:after="0"/>
              <w:rPr>
                <w:sz w:val="20"/>
                <w:szCs w:val="20"/>
                <w:color w:val="auto"/>
              </w:rPr>
            </w:pPr>
            <w:r>
              <w:rPr>
                <w:rFonts w:ascii="Arial" w:cs="Arial" w:eastAsia="Arial" w:hAnsi="Arial"/>
                <w:sz w:val="18"/>
                <w:szCs w:val="18"/>
                <w:b w:val="1"/>
                <w:bCs w:val="1"/>
                <w:color w:val="auto"/>
                <w:w w:val="88"/>
              </w:rPr>
              <w:t>Broker Non-Votes</w:t>
            </w: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423,980,884</w:t>
            </w:r>
          </w:p>
        </w:tc>
        <w:tc>
          <w:tcPr>
            <w:tcW w:w="1540" w:type="dxa"/>
            <w:vAlign w:val="bottom"/>
            <w:gridSpan w:val="2"/>
          </w:tcPr>
          <w:p>
            <w:pPr>
              <w:spacing w:after="0"/>
              <w:rPr>
                <w:sz w:val="20"/>
                <w:szCs w:val="20"/>
                <w:color w:val="auto"/>
              </w:rPr>
            </w:pPr>
            <w:r>
              <w:rPr>
                <w:rFonts w:ascii="Arial" w:cs="Arial" w:eastAsia="Arial" w:hAnsi="Arial"/>
                <w:sz w:val="18"/>
                <w:szCs w:val="18"/>
                <w:color w:val="auto"/>
              </w:rPr>
              <w:t>183,287,329</w:t>
            </w:r>
          </w:p>
        </w:tc>
        <w:tc>
          <w:tcPr>
            <w:tcW w:w="2520" w:type="dxa"/>
            <w:vAlign w:val="bottom"/>
            <w:gridSpan w:val="3"/>
          </w:tcPr>
          <w:p>
            <w:pPr>
              <w:ind w:left="620"/>
              <w:spacing w:after="0"/>
              <w:rPr>
                <w:sz w:val="20"/>
                <w:szCs w:val="20"/>
                <w:color w:val="auto"/>
              </w:rPr>
            </w:pPr>
            <w:r>
              <w:rPr>
                <w:rFonts w:ascii="Arial" w:cs="Arial" w:eastAsia="Arial" w:hAnsi="Arial"/>
                <w:sz w:val="18"/>
                <w:szCs w:val="18"/>
                <w:color w:val="auto"/>
              </w:rPr>
              <w:t>8,316,118</w:t>
            </w:r>
          </w:p>
        </w:tc>
        <w:tc>
          <w:tcPr>
            <w:tcW w:w="1380" w:type="dxa"/>
            <w:vAlign w:val="bottom"/>
          </w:tcPr>
          <w:p>
            <w:pPr>
              <w:spacing w:after="0"/>
              <w:rPr>
                <w:sz w:val="20"/>
                <w:szCs w:val="20"/>
                <w:color w:val="auto"/>
              </w:rPr>
            </w:pPr>
            <w:r>
              <w:rPr>
                <w:rFonts w:ascii="Arial" w:cs="Arial" w:eastAsia="Arial" w:hAnsi="Arial"/>
                <w:sz w:val="18"/>
                <w:szCs w:val="18"/>
                <w:color w:val="auto"/>
              </w:rPr>
              <w:t>37,288,117</w:t>
            </w:r>
          </w:p>
        </w:tc>
      </w:tr>
    </w:tbl>
    <w:p>
      <w:pPr>
        <w:spacing w:after="0" w:line="200" w:lineRule="exact"/>
        <w:rPr>
          <w:sz w:val="20"/>
          <w:szCs w:val="20"/>
          <w:color w:val="auto"/>
        </w:rPr>
      </w:pPr>
    </w:p>
    <w:p>
      <w:pPr>
        <w:spacing w:after="0" w:line="24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i w:val="1"/>
          <w:iCs w:val="1"/>
          <w:color w:val="auto"/>
        </w:rPr>
        <w:t>Proposal No. 5</w:t>
      </w:r>
      <w:r>
        <w:rPr>
          <w:rFonts w:ascii="Arial" w:cs="Arial" w:eastAsia="Arial" w:hAnsi="Arial"/>
          <w:sz w:val="20"/>
          <w:szCs w:val="20"/>
          <w:color w:val="auto"/>
        </w:rPr>
        <w:t>: The appointment of PricewaterhouseCoopers LLP as the Company’s independent registered public accounting firm for 2014</w:t>
      </w:r>
      <w:r>
        <w:rPr>
          <w:rFonts w:ascii="Arial" w:cs="Arial" w:eastAsia="Arial" w:hAnsi="Arial"/>
          <w:sz w:val="20"/>
          <w:szCs w:val="20"/>
          <w:i w:val="1"/>
          <w:iCs w:val="1"/>
          <w:color w:val="auto"/>
        </w:rPr>
        <w:t xml:space="preserve"> </w:t>
      </w:r>
      <w:r>
        <w:rPr>
          <w:rFonts w:ascii="Arial" w:cs="Arial" w:eastAsia="Arial" w:hAnsi="Arial"/>
          <w:sz w:val="20"/>
          <w:szCs w:val="20"/>
          <w:color w:val="auto"/>
        </w:rPr>
        <w:t>was ratified.</w:t>
      </w:r>
    </w:p>
    <w:p>
      <w:pPr>
        <w:spacing w:after="0" w:line="176" w:lineRule="exact"/>
        <w:rPr>
          <w:sz w:val="20"/>
          <w:szCs w:val="20"/>
          <w:color w:val="auto"/>
        </w:rPr>
      </w:pPr>
    </w:p>
    <w:tbl>
      <w:tblPr>
        <w:tblLayout w:type="fixed"/>
        <w:tblInd w:w="228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Abstain</w:t>
            </w: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645,524,539</w:t>
            </w:r>
          </w:p>
        </w:tc>
        <w:tc>
          <w:tcPr>
            <w:tcW w:w="2020" w:type="dxa"/>
            <w:vAlign w:val="bottom"/>
            <w:gridSpan w:val="2"/>
          </w:tcPr>
          <w:p>
            <w:pPr>
              <w:spacing w:after="0"/>
              <w:rPr>
                <w:sz w:val="20"/>
                <w:szCs w:val="20"/>
                <w:color w:val="auto"/>
              </w:rPr>
            </w:pPr>
            <w:r>
              <w:rPr>
                <w:rFonts w:ascii="Arial" w:cs="Arial" w:eastAsia="Arial" w:hAnsi="Arial"/>
                <w:sz w:val="18"/>
                <w:szCs w:val="18"/>
                <w:color w:val="auto"/>
              </w:rPr>
              <w:t>5,666,612</w:t>
            </w:r>
          </w:p>
        </w:tc>
        <w:tc>
          <w:tcPr>
            <w:tcW w:w="720" w:type="dxa"/>
            <w:vAlign w:val="bottom"/>
            <w:gridSpan w:val="2"/>
          </w:tcPr>
          <w:p>
            <w:pPr>
              <w:spacing w:after="0"/>
              <w:rPr>
                <w:sz w:val="20"/>
                <w:szCs w:val="20"/>
                <w:color w:val="auto"/>
              </w:rPr>
            </w:pPr>
            <w:r>
              <w:rPr>
                <w:rFonts w:ascii="Arial" w:cs="Arial" w:eastAsia="Arial" w:hAnsi="Arial"/>
                <w:sz w:val="18"/>
                <w:szCs w:val="18"/>
                <w:color w:val="auto"/>
                <w:w w:val="87"/>
              </w:rPr>
              <w:t>1,681,297</w:t>
            </w: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14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Third Amended and Restated Certificate of Incorporation of Activision Blizzard, Inc.</w:t>
      </w:r>
    </w:p>
    <w:p>
      <w:pPr>
        <w:spacing w:after="0" w:line="9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Activision Blizzard, Inc. 2014 Incentive Plan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ectPr>
          <w:pgSz w:w="11900" w:h="16838" w:orient="portrait"/>
          <w:cols w:equalWidth="0" w:num="1">
            <w:col w:w="11400"/>
          </w:cols>
          <w:pgMar w:left="240" w:top="352" w:right="259" w:bottom="207" w:gutter="0" w:footer="0" w:header="0"/>
        </w:sectPr>
      </w:pPr>
    </w:p>
    <w:bookmarkStart w:id="3" w:name="page4"/>
    <w:bookmarkEnd w:id="3"/>
    <w:p>
      <w:pPr>
        <w:ind w:right="40" w:firstLine="648"/>
        <w:spacing w:after="0" w:line="262"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960" w:type="dxa"/>
            <w:vAlign w:val="bottom"/>
            <w:gridSpan w:val="2"/>
          </w:tcPr>
          <w:p>
            <w:pPr>
              <w:ind w:left="3000"/>
              <w:spacing w:after="0"/>
              <w:rPr>
                <w:sz w:val="20"/>
                <w:szCs w:val="20"/>
                <w:color w:val="auto"/>
              </w:rPr>
            </w:pPr>
            <w:r>
              <w:rPr>
                <w:rFonts w:ascii="Arial" w:cs="Arial" w:eastAsia="Arial" w:hAnsi="Arial"/>
                <w:sz w:val="20"/>
                <w:szCs w:val="20"/>
                <w:color w:val="auto"/>
              </w:rPr>
              <w:t>Date: June 6, 2014</w:t>
            </w:r>
          </w:p>
        </w:tc>
        <w:tc>
          <w:tcPr>
            <w:tcW w:w="40" w:type="dxa"/>
            <w:vAlign w:val="bottom"/>
          </w:tcPr>
          <w:p>
            <w:pPr>
              <w:spacing w:after="0"/>
              <w:rPr>
                <w:sz w:val="21"/>
                <w:szCs w:val="21"/>
                <w:color w:val="auto"/>
              </w:rPr>
            </w:pPr>
          </w:p>
        </w:tc>
      </w:tr>
      <w:tr>
        <w:trPr>
          <w:trHeight w:val="689"/>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gridSpan w:val="2"/>
          </w:tcPr>
          <w:p>
            <w:pPr>
              <w:ind w:left="3000"/>
              <w:spacing w:after="0"/>
              <w:rPr>
                <w:sz w:val="20"/>
                <w:szCs w:val="20"/>
                <w:color w:val="auto"/>
              </w:rPr>
            </w:pPr>
            <w:r>
              <w:rPr>
                <w:rFonts w:ascii="Arial" w:cs="Arial" w:eastAsia="Arial" w:hAnsi="Arial"/>
                <w:sz w:val="20"/>
                <w:szCs w:val="20"/>
                <w:color w:val="auto"/>
              </w:rPr>
              <w:t>ACTIVISION BLIZZARD, INC.</w:t>
            </w:r>
          </w:p>
        </w:tc>
        <w:tc>
          <w:tcPr>
            <w:tcW w:w="40" w:type="dxa"/>
            <w:vAlign w:val="bottom"/>
          </w:tcPr>
          <w:p>
            <w:pPr>
              <w:spacing w:after="0"/>
              <w:rPr>
                <w:sz w:val="24"/>
                <w:szCs w:val="24"/>
                <w:color w:val="auto"/>
              </w:rPr>
            </w:pPr>
          </w:p>
        </w:tc>
      </w:tr>
      <w:tr>
        <w:trPr>
          <w:trHeight w:val="685"/>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gridSpan w:val="2"/>
          </w:tcPr>
          <w:p>
            <w:pPr>
              <w:ind w:left="3000"/>
              <w:spacing w:after="0"/>
              <w:rPr>
                <w:sz w:val="20"/>
                <w:szCs w:val="20"/>
                <w:color w:val="auto"/>
              </w:rPr>
            </w:pPr>
            <w:r>
              <w:rPr>
                <w:rFonts w:ascii="Arial" w:cs="Arial" w:eastAsia="Arial" w:hAnsi="Arial"/>
                <w:sz w:val="20"/>
                <w:szCs w:val="20"/>
                <w:color w:val="auto"/>
              </w:rPr>
              <w:t>By:  /s/ Chris B. Walther</w:t>
            </w:r>
          </w:p>
        </w:tc>
        <w:tc>
          <w:tcPr>
            <w:tcW w:w="40" w:type="dxa"/>
            <w:vAlign w:val="bottom"/>
          </w:tcPr>
          <w:p>
            <w:pPr>
              <w:spacing w:after="0"/>
              <w:rPr>
                <w:sz w:val="24"/>
                <w:szCs w:val="24"/>
                <w:color w:val="auto"/>
              </w:rPr>
            </w:pPr>
          </w:p>
        </w:tc>
      </w:tr>
      <w:tr>
        <w:trPr>
          <w:trHeight w:val="206"/>
        </w:trPr>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54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Chris B. Walther</w:t>
            </w:r>
          </w:p>
        </w:tc>
        <w:tc>
          <w:tcPr>
            <w:tcW w:w="40" w:type="dxa"/>
            <w:vAlign w:val="bottom"/>
          </w:tcPr>
          <w:p>
            <w:pPr>
              <w:spacing w:after="0"/>
              <w:rPr>
                <w:sz w:val="17"/>
                <w:szCs w:val="17"/>
                <w:color w:val="auto"/>
              </w:rPr>
            </w:pPr>
          </w:p>
        </w:tc>
      </w:tr>
      <w:tr>
        <w:trPr>
          <w:trHeight w:val="250"/>
        </w:trPr>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5440" w:type="dxa"/>
            <w:vAlign w:val="bottom"/>
          </w:tcPr>
          <w:p>
            <w:pPr>
              <w:spacing w:after="0"/>
              <w:rPr>
                <w:sz w:val="20"/>
                <w:szCs w:val="20"/>
                <w:color w:val="auto"/>
              </w:rPr>
            </w:pPr>
            <w:r>
              <w:rPr>
                <w:rFonts w:ascii="Arial" w:cs="Arial" w:eastAsia="Arial" w:hAnsi="Arial"/>
                <w:sz w:val="20"/>
                <w:szCs w:val="20"/>
                <w:color w:val="auto"/>
              </w:rPr>
              <w:t>Chief Legal Officer</w:t>
            </w:r>
          </w:p>
        </w:tc>
        <w:tc>
          <w:tcPr>
            <w:tcW w:w="40" w:type="dxa"/>
            <w:vAlign w:val="bottom"/>
          </w:tcPr>
          <w:p>
            <w:pPr>
              <w:spacing w:after="0"/>
              <w:rPr>
                <w:sz w:val="21"/>
                <w:szCs w:val="21"/>
                <w:color w:val="auto"/>
              </w:rPr>
            </w:pPr>
          </w:p>
        </w:tc>
      </w:tr>
      <w:tr>
        <w:trPr>
          <w:trHeight w:val="44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40" w:type="dxa"/>
            <w:vAlign w:val="bottom"/>
            <w:gridSpan w:val="2"/>
          </w:tcPr>
          <w:p>
            <w:pPr>
              <w:jc w:val="center"/>
              <w:ind w:left="3801"/>
              <w:spacing w:after="0"/>
              <w:rPr>
                <w:sz w:val="20"/>
                <w:szCs w:val="20"/>
                <w:color w:val="auto"/>
              </w:rPr>
            </w:pPr>
            <w:r>
              <w:rPr>
                <w:rFonts w:ascii="Arial" w:cs="Arial" w:eastAsia="Arial" w:hAnsi="Arial"/>
                <w:sz w:val="20"/>
                <w:szCs w:val="20"/>
                <w:color w:val="auto"/>
                <w:w w:val="89"/>
              </w:rPr>
              <w:t>6</w:t>
            </w:r>
          </w:p>
        </w:tc>
        <w:tc>
          <w:tcPr>
            <w:tcW w:w="5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89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98"/>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gridSpan w:val="2"/>
          </w:tcPr>
          <w:p>
            <w:pPr>
              <w:jc w:val="center"/>
              <w:ind w:right="2361"/>
              <w:spacing w:after="0"/>
              <w:rPr>
                <w:sz w:val="20"/>
                <w:szCs w:val="20"/>
                <w:color w:val="auto"/>
              </w:rPr>
            </w:pPr>
            <w:r>
              <w:rPr>
                <w:rFonts w:ascii="Arial" w:cs="Arial" w:eastAsia="Arial" w:hAnsi="Arial"/>
                <w:sz w:val="20"/>
                <w:szCs w:val="20"/>
                <w:b w:val="1"/>
                <w:bCs w:val="1"/>
                <w:color w:val="auto"/>
              </w:rPr>
              <w:t>EXHIBIT INDEX</w:t>
            </w:r>
          </w:p>
        </w:tc>
        <w:tc>
          <w:tcPr>
            <w:tcW w:w="40" w:type="dxa"/>
            <w:vAlign w:val="bottom"/>
          </w:tcPr>
          <w:p>
            <w:pPr>
              <w:spacing w:after="0"/>
              <w:rPr>
                <w:sz w:val="24"/>
                <w:szCs w:val="24"/>
                <w:color w:val="auto"/>
              </w:rPr>
            </w:pPr>
          </w:p>
        </w:tc>
      </w:tr>
      <w:tr>
        <w:trPr>
          <w:trHeight w:val="415"/>
        </w:trPr>
        <w:tc>
          <w:tcPr>
            <w:tcW w:w="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Exhibit No.</w:t>
            </w:r>
          </w:p>
        </w:tc>
        <w:tc>
          <w:tcPr>
            <w:tcW w:w="60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Description</w:t>
            </w:r>
          </w:p>
        </w:tc>
        <w:tc>
          <w:tcPr>
            <w:tcW w:w="89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484"/>
        </w:trPr>
        <w:tc>
          <w:tcPr>
            <w:tcW w:w="940" w:type="dxa"/>
            <w:vAlign w:val="bottom"/>
          </w:tcPr>
          <w:p>
            <w:pPr>
              <w:spacing w:after="0"/>
              <w:rPr>
                <w:sz w:val="20"/>
                <w:szCs w:val="20"/>
                <w:color w:val="auto"/>
              </w:rPr>
            </w:pPr>
            <w:r>
              <w:rPr>
                <w:rFonts w:ascii="Arial" w:cs="Arial" w:eastAsia="Arial" w:hAnsi="Arial"/>
                <w:sz w:val="20"/>
                <w:szCs w:val="20"/>
                <w:color w:val="auto"/>
              </w:rPr>
              <w:t>3.1</w:t>
            </w:r>
          </w:p>
        </w:tc>
        <w:tc>
          <w:tcPr>
            <w:tcW w:w="60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20"/>
                <w:szCs w:val="20"/>
                <w:color w:val="auto"/>
              </w:rPr>
              <w:t>Third Amended and Restated Certificate of Incorporation of Activision Blizzard, Inc.</w:t>
            </w:r>
          </w:p>
        </w:tc>
        <w:tc>
          <w:tcPr>
            <w:tcW w:w="40" w:type="dxa"/>
            <w:vAlign w:val="bottom"/>
          </w:tcPr>
          <w:p>
            <w:pPr>
              <w:spacing w:after="0"/>
              <w:rPr>
                <w:sz w:val="24"/>
                <w:szCs w:val="24"/>
                <w:color w:val="auto"/>
              </w:rPr>
            </w:pPr>
          </w:p>
        </w:tc>
      </w:tr>
      <w:tr>
        <w:trPr>
          <w:trHeight w:val="581"/>
        </w:trPr>
        <w:tc>
          <w:tcPr>
            <w:tcW w:w="940" w:type="dxa"/>
            <w:vAlign w:val="bottom"/>
          </w:tcPr>
          <w:p>
            <w:pPr>
              <w:spacing w:after="0"/>
              <w:rPr>
                <w:sz w:val="20"/>
                <w:szCs w:val="20"/>
                <w:color w:val="auto"/>
              </w:rPr>
            </w:pPr>
            <w:r>
              <w:rPr>
                <w:rFonts w:ascii="Arial" w:cs="Arial" w:eastAsia="Arial" w:hAnsi="Arial"/>
                <w:sz w:val="20"/>
                <w:szCs w:val="20"/>
                <w:color w:val="auto"/>
              </w:rPr>
              <w:t>10.1</w:t>
            </w:r>
          </w:p>
        </w:tc>
        <w:tc>
          <w:tcPr>
            <w:tcW w:w="60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20"/>
                <w:szCs w:val="20"/>
                <w:color w:val="auto"/>
              </w:rPr>
              <w:t>Activision Blizzard, Inc. 2014 Incentive Plan</w:t>
            </w:r>
          </w:p>
        </w:tc>
        <w:tc>
          <w:tcPr>
            <w:tcW w:w="40" w:type="dxa"/>
            <w:vAlign w:val="bottom"/>
          </w:tcPr>
          <w:p>
            <w:pPr>
              <w:spacing w:after="0"/>
              <w:rPr>
                <w:sz w:val="24"/>
                <w:szCs w:val="24"/>
                <w:color w:val="auto"/>
              </w:rPr>
            </w:pPr>
          </w:p>
        </w:tc>
      </w:tr>
      <w:tr>
        <w:trPr>
          <w:trHeight w:val="44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40" w:type="dxa"/>
            <w:vAlign w:val="bottom"/>
            <w:gridSpan w:val="2"/>
          </w:tcPr>
          <w:p>
            <w:pPr>
              <w:jc w:val="center"/>
              <w:ind w:left="3801"/>
              <w:spacing w:after="0"/>
              <w:rPr>
                <w:sz w:val="20"/>
                <w:szCs w:val="20"/>
                <w:color w:val="auto"/>
              </w:rPr>
            </w:pPr>
            <w:r>
              <w:rPr>
                <w:rFonts w:ascii="Arial" w:cs="Arial" w:eastAsia="Arial" w:hAnsi="Arial"/>
                <w:sz w:val="20"/>
                <w:szCs w:val="20"/>
                <w:color w:val="auto"/>
                <w:w w:val="89"/>
              </w:rPr>
              <w:t>7</w:t>
            </w:r>
          </w:p>
        </w:tc>
        <w:tc>
          <w:tcPr>
            <w:tcW w:w="5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520" w:type="dxa"/>
            <w:vAlign w:val="bottom"/>
            <w:tcBorders>
              <w:bottom w:val="single" w:sz="8" w:color="010101"/>
            </w:tcBorders>
          </w:tcPr>
          <w:p>
            <w:pPr>
              <w:spacing w:after="0"/>
              <w:rPr>
                <w:sz w:val="11"/>
                <w:szCs w:val="11"/>
                <w:color w:val="auto"/>
              </w:rPr>
            </w:pPr>
          </w:p>
        </w:tc>
        <w:tc>
          <w:tcPr>
            <w:tcW w:w="54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-1864360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-1864360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4" w:name="page5"/>
    <w:bookmarkEnd w:id="4"/>
    <w:p>
      <w:pPr>
        <w:spacing w:after="0" w:line="13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jc w:val="center"/>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ACTIVISION BLIZZARD, INC.</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ACTIVISION BLIZZARD, INC., a corporation organized and existing under the General Corporation Law of the State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Delaware, does hereby certify as follows:</w:t>
      </w:r>
    </w:p>
    <w:p>
      <w:pPr>
        <w:spacing w:after="0" w:line="21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name of the Corporation is Activision Blizzard, Inc.</w:t>
      </w:r>
    </w:p>
    <w:p>
      <w:pPr>
        <w:spacing w:after="0" w:line="233" w:lineRule="exact"/>
        <w:rPr>
          <w:rFonts w:ascii="Arial" w:cs="Arial" w:eastAsia="Arial" w:hAnsi="Arial"/>
          <w:sz w:val="22"/>
          <w:szCs w:val="22"/>
          <w:color w:val="auto"/>
        </w:rPr>
      </w:pPr>
    </w:p>
    <w:p>
      <w:pPr>
        <w:ind w:left="980" w:right="60" w:hanging="324"/>
        <w:spacing w:after="0"/>
        <w:tabs>
          <w:tab w:leader="none" w:pos="98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Corporation was originally incorporated in the state of Delaware under the name “Activision Holdings, Inc.” by the filing of the original certificate of incorporation of the Corporation with the office of the Secretary of State of the State of Delaware on February 17, 2000.</w:t>
      </w:r>
    </w:p>
    <w:p>
      <w:pPr>
        <w:spacing w:after="0" w:line="213" w:lineRule="exact"/>
        <w:rPr>
          <w:rFonts w:ascii="Arial" w:cs="Arial" w:eastAsia="Arial" w:hAnsi="Arial"/>
          <w:sz w:val="22"/>
          <w:szCs w:val="22"/>
          <w:color w:val="auto"/>
        </w:rPr>
      </w:pPr>
    </w:p>
    <w:p>
      <w:pPr>
        <w:ind w:left="980" w:hanging="324"/>
        <w:spacing w:after="0" w:line="235" w:lineRule="auto"/>
        <w:tabs>
          <w:tab w:leader="none" w:pos="98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certificate of incorporation was amended and restated on June 2, 2000 (as further amended by that certain certificate of amendment filed with the office of the Secretary of State of the State of Delaware on June 9, 2000 pursuant to which the name of the Corporation was changed to “Activision, Inc.” and as further amended by that certain certificate of amendment so filed on August 23, 2001, that certain certificate of amendment so filed on December 29, 2003 and that certain certificate of amendment so filed on April 4, 2005, the “</w:t>
      </w:r>
      <w:r>
        <w:rPr>
          <w:rFonts w:ascii="Arial" w:cs="Arial" w:eastAsia="Arial" w:hAnsi="Arial"/>
          <w:sz w:val="22"/>
          <w:szCs w:val="22"/>
          <w:i w:val="1"/>
          <w:iCs w:val="1"/>
          <w:color w:val="auto"/>
        </w:rPr>
        <w:t>Amended and Restated Certificate of</w:t>
      </w:r>
      <w:r>
        <w:rPr>
          <w:rFonts w:ascii="Arial" w:cs="Arial" w:eastAsia="Arial" w:hAnsi="Arial"/>
          <w:sz w:val="22"/>
          <w:szCs w:val="22"/>
          <w:color w:val="auto"/>
        </w:rPr>
        <w:t xml:space="preserve"> </w:t>
      </w:r>
      <w:r>
        <w:rPr>
          <w:rFonts w:ascii="Arial" w:cs="Arial" w:eastAsia="Arial" w:hAnsi="Arial"/>
          <w:sz w:val="22"/>
          <w:szCs w:val="22"/>
          <w:i w:val="1"/>
          <w:iCs w:val="1"/>
          <w:color w:val="auto"/>
        </w:rPr>
        <w:t>Incorporation</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980" w:right="100" w:hanging="324"/>
        <w:spacing w:after="0" w:line="238" w:lineRule="auto"/>
        <w:tabs>
          <w:tab w:leader="none" w:pos="98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Amended and Restated Certificate of Incorporation was amended and restated on July 9, 2008 in order to, among other things, change the name of the Corporation to “Activision Blizzard, Inc.” (as further amended by that certain certificate of amendment filed with the office of the Secretary of State of the State of Delaware on August 15, 2008, the “</w:t>
      </w:r>
      <w:r>
        <w:rPr>
          <w:rFonts w:ascii="Arial" w:cs="Arial" w:eastAsia="Arial" w:hAnsi="Arial"/>
          <w:sz w:val="22"/>
          <w:szCs w:val="22"/>
          <w:i w:val="1"/>
          <w:iCs w:val="1"/>
          <w:color w:val="auto"/>
        </w:rPr>
        <w:t>Second Amended and Restated Certificate of Incorporation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980" w:hanging="324"/>
        <w:spacing w:after="0"/>
        <w:tabs>
          <w:tab w:leader="none" w:pos="98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third amended and restated certificate of incorporation (the “</w:t>
      </w:r>
      <w:r>
        <w:rPr>
          <w:rFonts w:ascii="Arial" w:cs="Arial" w:eastAsia="Arial" w:hAnsi="Arial"/>
          <w:sz w:val="22"/>
          <w:szCs w:val="22"/>
          <w:i w:val="1"/>
          <w:iCs w:val="1"/>
          <w:color w:val="auto"/>
        </w:rPr>
        <w:t>Third Amended and Restated Certificate of</w:t>
      </w:r>
      <w:r>
        <w:rPr>
          <w:rFonts w:ascii="Arial" w:cs="Arial" w:eastAsia="Arial" w:hAnsi="Arial"/>
          <w:sz w:val="22"/>
          <w:szCs w:val="22"/>
          <w:color w:val="auto"/>
        </w:rPr>
        <w:t xml:space="preserve"> </w:t>
      </w:r>
      <w:r>
        <w:rPr>
          <w:rFonts w:ascii="Arial" w:cs="Arial" w:eastAsia="Arial" w:hAnsi="Arial"/>
          <w:sz w:val="22"/>
          <w:szCs w:val="22"/>
          <w:i w:val="1"/>
          <w:iCs w:val="1"/>
          <w:color w:val="auto"/>
        </w:rPr>
        <w:t>Incorporation</w:t>
      </w:r>
      <w:r>
        <w:rPr>
          <w:rFonts w:ascii="Arial" w:cs="Arial" w:eastAsia="Arial" w:hAnsi="Arial"/>
          <w:sz w:val="22"/>
          <w:szCs w:val="22"/>
          <w:color w:val="auto"/>
        </w:rPr>
        <w:t>”) was duly adopted in accordance with the provisions of Sections 242 and 245 of the General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Law of the State of Delaware.</w:t>
      </w:r>
    </w:p>
    <w:p>
      <w:pPr>
        <w:spacing w:after="0" w:line="213" w:lineRule="exact"/>
        <w:rPr>
          <w:rFonts w:ascii="Arial" w:cs="Arial" w:eastAsia="Arial" w:hAnsi="Arial"/>
          <w:sz w:val="22"/>
          <w:szCs w:val="22"/>
          <w:color w:val="auto"/>
        </w:rPr>
      </w:pPr>
    </w:p>
    <w:p>
      <w:pPr>
        <w:ind w:left="980" w:hanging="324"/>
        <w:spacing w:after="0"/>
        <w:tabs>
          <w:tab w:leader="none" w:pos="98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text of the Second Amended and Restated Certificate of Incorporation of the Corporation, as amended and restated by this Third Amended and Restated Certificate of Incorporation, shall, upon the effectiveness hereof, read in its entirety as follows: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Name</w:t>
      </w:r>
      <w:r>
        <w:rPr>
          <w:rFonts w:ascii="Arial" w:cs="Arial" w:eastAsia="Arial" w:hAnsi="Arial"/>
          <w:sz w:val="19"/>
          <w:szCs w:val="19"/>
          <w:color w:val="auto"/>
        </w:rPr>
        <w:t>. The name of the Corporation is: Activision Blizzard, Inc. (the “</w:t>
      </w:r>
      <w:r>
        <w:rPr>
          <w:rFonts w:ascii="Arial" w:cs="Arial" w:eastAsia="Arial" w:hAnsi="Arial"/>
          <w:sz w:val="19"/>
          <w:szCs w:val="19"/>
          <w:i w:val="1"/>
          <w:iCs w:val="1"/>
          <w:color w:val="auto"/>
        </w:rPr>
        <w:t>Corporation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ind w:left="660"/>
        <w:spacing w:after="0"/>
        <w:tabs>
          <w:tab w:leader="none" w:pos="1940" w:val="left"/>
          <w:tab w:leader="none" w:pos="386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2"/>
          <w:szCs w:val="22"/>
          <w:u w:val="single" w:color="auto"/>
          <w:color w:val="auto"/>
        </w:rPr>
        <w:t>Registered Office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registered office of the Corporation is located at 2711 Centerville Road, Suite 400,</w:t>
      </w:r>
    </w:p>
    <w:p>
      <w:pPr>
        <w:spacing w:after="0" w:line="8" w:lineRule="exact"/>
        <w:rPr>
          <w:sz w:val="20"/>
          <w:szCs w:val="20"/>
          <w:color w:val="auto"/>
        </w:rPr>
      </w:pPr>
    </w:p>
    <w:p>
      <w:pPr>
        <w:ind w:right="280"/>
        <w:spacing w:after="0" w:line="237" w:lineRule="auto"/>
        <w:rPr>
          <w:sz w:val="20"/>
          <w:szCs w:val="20"/>
          <w:color w:val="auto"/>
        </w:rPr>
      </w:pPr>
      <w:r>
        <w:rPr>
          <w:rFonts w:ascii="Arial" w:cs="Arial" w:eastAsia="Arial" w:hAnsi="Arial"/>
          <w:sz w:val="22"/>
          <w:szCs w:val="22"/>
          <w:color w:val="auto"/>
        </w:rPr>
        <w:t>in the City of Wilmington, in the County of New Castle, in the State of Delaware, 19808. The name of its registered agent at that address is Corporation Service Company.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Corporate Purpose</w:t>
      </w:r>
      <w:r>
        <w:rPr>
          <w:rFonts w:ascii="Arial" w:cs="Arial" w:eastAsia="Arial" w:hAnsi="Arial"/>
          <w:sz w:val="22"/>
          <w:szCs w:val="22"/>
          <w:color w:val="auto"/>
        </w:rPr>
        <w:t>. The purpose of the Corporation is to engage in any lawful act or activity for which a corporation may be organized under the General Corporation Law of the State of Delaware, as it may be amended from time to time (the “</w:t>
      </w:r>
      <w:r>
        <w:rPr>
          <w:rFonts w:ascii="Arial" w:cs="Arial" w:eastAsia="Arial" w:hAnsi="Arial"/>
          <w:sz w:val="22"/>
          <w:szCs w:val="22"/>
          <w:i w:val="1"/>
          <w:iCs w:val="1"/>
          <w:color w:val="auto"/>
        </w:rPr>
        <w:t>DGCL</w:t>
      </w:r>
      <w:r>
        <w:rPr>
          <w:rFonts w:ascii="Arial" w:cs="Arial" w:eastAsia="Arial" w:hAnsi="Arial"/>
          <w:sz w:val="22"/>
          <w:szCs w:val="22"/>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Capital Stock</w:t>
      </w:r>
      <w:r>
        <w:rPr>
          <w:rFonts w:ascii="Arial" w:cs="Arial" w:eastAsia="Arial" w:hAnsi="Arial"/>
          <w:sz w:val="19"/>
          <w:szCs w:val="19"/>
          <w:color w:val="auto"/>
        </w:rPr>
        <w:t>.</w:t>
      </w:r>
    </w:p>
    <w:p>
      <w:pPr>
        <w:spacing w:after="0" w:line="233" w:lineRule="exact"/>
        <w:rPr>
          <w:sz w:val="20"/>
          <w:szCs w:val="20"/>
          <w:color w:val="auto"/>
        </w:rPr>
      </w:pPr>
    </w:p>
    <w:p>
      <w:pPr>
        <w:ind w:right="160" w:firstLine="656"/>
        <w:spacing w:after="0" w:line="282" w:lineRule="auto"/>
        <w:tabs>
          <w:tab w:leader="none" w:pos="1307"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total number of shares of capital stock which the Corporation shall have authority to issue is Two Billion Four Hundred Five Million (2,405,000,000) shares, of which Five Million (5,000,000) shares are designated Preferred Stock, par value $0.000001 per share and aggregate par value of Five Dollars ($5.00) (the “</w:t>
      </w:r>
      <w:r>
        <w:rPr>
          <w:rFonts w:ascii="Arial" w:cs="Arial" w:eastAsia="Arial" w:hAnsi="Arial"/>
          <w:sz w:val="19"/>
          <w:szCs w:val="19"/>
          <w:i w:val="1"/>
          <w:iCs w:val="1"/>
          <w:color w:val="auto"/>
        </w:rPr>
        <w:t>Preferred Stock</w:t>
      </w:r>
      <w:r>
        <w:rPr>
          <w:rFonts w:ascii="Arial" w:cs="Arial" w:eastAsia="Arial" w:hAnsi="Arial"/>
          <w:sz w:val="19"/>
          <w:szCs w:val="19"/>
          <w:color w:val="auto"/>
        </w:rPr>
        <w:t>”), and of which Two Billion Four Hundred Million (2,400,000,000) shares are designated Common Stock, par value $0.000001 per share and aggregate par value of Two Thousand Four Hundred Dollars ($2,400.00) (the “</w:t>
      </w:r>
      <w:r>
        <w:rPr>
          <w:rFonts w:ascii="Arial" w:cs="Arial" w:eastAsia="Arial" w:hAnsi="Arial"/>
          <w:sz w:val="19"/>
          <w:szCs w:val="19"/>
          <w:i w:val="1"/>
          <w:iCs w:val="1"/>
          <w:color w:val="auto"/>
        </w:rPr>
        <w:t>Common Stock</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right="300" w:firstLine="656"/>
        <w:spacing w:after="0" w:line="328" w:lineRule="auto"/>
        <w:tabs>
          <w:tab w:leader="none" w:pos="1305"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number of authorized shares of any class or classes of capital stock of the Corporation may be increased or decreased (but not below the number of shares thereof then outstanding) by the affirmative vote of a majority in voting power of</w:t>
      </w:r>
    </w:p>
    <w:p>
      <w:pPr>
        <w:sectPr>
          <w:pgSz w:w="11900" w:h="16973" w:orient="portrait"/>
          <w:cols w:equalWidth="0" w:num="1">
            <w:col w:w="11420"/>
          </w:cols>
          <w:pgMar w:left="240" w:top="112" w:right="239" w:bottom="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the outstanding stock of the Corporation entitled to vote thereon irrespective of the provisions of Section 242(b)(2) of the DGCL.</w:t>
      </w:r>
    </w:p>
    <w:p>
      <w:pPr>
        <w:spacing w:after="0" w:line="26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Preferred Stock</w:t>
      </w:r>
      <w:r>
        <w:rPr>
          <w:rFonts w:ascii="Arial" w:cs="Arial" w:eastAsia="Arial" w:hAnsi="Arial"/>
          <w:sz w:val="19"/>
          <w:szCs w:val="19"/>
          <w:color w:val="auto"/>
        </w:rPr>
        <w:t>.</w:t>
      </w:r>
    </w:p>
    <w:p>
      <w:pPr>
        <w:spacing w:after="0" w:line="233" w:lineRule="exact"/>
        <w:rPr>
          <w:sz w:val="20"/>
          <w:szCs w:val="20"/>
          <w:color w:val="auto"/>
        </w:rPr>
      </w:pPr>
    </w:p>
    <w:p>
      <w:pPr>
        <w:ind w:right="160" w:firstLine="656"/>
        <w:spacing w:after="0" w:line="251" w:lineRule="auto"/>
        <w:tabs>
          <w:tab w:leader="none" w:pos="1307"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Preferred Stock authorized by this Third Amended and Restated Certificate of Incorporation may be issued by the Board of Directors from time to time in one or more series.</w:t>
      </w:r>
    </w:p>
    <w:p>
      <w:pPr>
        <w:spacing w:after="0" w:line="200" w:lineRule="exact"/>
        <w:rPr>
          <w:rFonts w:ascii="Arial" w:cs="Arial" w:eastAsia="Arial" w:hAnsi="Arial"/>
          <w:sz w:val="22"/>
          <w:szCs w:val="22"/>
          <w:color w:val="auto"/>
        </w:rPr>
      </w:pPr>
    </w:p>
    <w:p>
      <w:pPr>
        <w:ind w:right="20" w:firstLine="656"/>
        <w:spacing w:after="0" w:line="238" w:lineRule="auto"/>
        <w:tabs>
          <w:tab w:leader="none" w:pos="130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Board of Directors is hereby authorized to fix or alter the dividend rights, dividend rate, conversion rights, voting rights, rights and terms of redemption, including sinking fund provisions, the redemption price or prices, and the liquidation preferences of any wholly unissued class or series of Preferred Stock, and the number of shares constituting any such series and the designation thereof, or any of them.</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Common Stock</w:t>
      </w:r>
      <w:r>
        <w:rPr>
          <w:rFonts w:ascii="Arial" w:cs="Arial" w:eastAsia="Arial" w:hAnsi="Arial"/>
          <w:sz w:val="19"/>
          <w:szCs w:val="19"/>
          <w:color w:val="auto"/>
        </w:rPr>
        <w:t>.</w:t>
      </w:r>
    </w:p>
    <w:p>
      <w:pPr>
        <w:spacing w:after="0" w:line="233" w:lineRule="exact"/>
        <w:rPr>
          <w:sz w:val="20"/>
          <w:szCs w:val="20"/>
          <w:color w:val="auto"/>
        </w:rPr>
      </w:pPr>
    </w:p>
    <w:p>
      <w:pPr>
        <w:ind w:left="1320" w:hanging="664"/>
        <w:spacing w:after="0"/>
        <w:tabs>
          <w:tab w:leader="none" w:pos="1320" w:val="left"/>
        </w:tabs>
        <w:numPr>
          <w:ilvl w:val="0"/>
          <w:numId w:val="8"/>
        </w:numPr>
        <w:rPr>
          <w:rFonts w:ascii="Arial" w:cs="Arial" w:eastAsia="Arial" w:hAnsi="Arial"/>
          <w:sz w:val="19"/>
          <w:szCs w:val="19"/>
          <w:color w:val="auto"/>
        </w:rPr>
      </w:pPr>
      <w:r>
        <w:rPr>
          <w:rFonts w:ascii="Arial" w:cs="Arial" w:eastAsia="Arial" w:hAnsi="Arial"/>
          <w:sz w:val="19"/>
          <w:szCs w:val="19"/>
          <w:color w:val="auto"/>
        </w:rPr>
        <w:t>Holders of Common Stock will be entitled to receive such dividends as may be declared by the Board of Directors.</w:t>
      </w:r>
    </w:p>
    <w:p>
      <w:pPr>
        <w:spacing w:after="0" w:line="267" w:lineRule="exact"/>
        <w:rPr>
          <w:rFonts w:ascii="Arial" w:cs="Arial" w:eastAsia="Arial" w:hAnsi="Arial"/>
          <w:sz w:val="19"/>
          <w:szCs w:val="19"/>
          <w:color w:val="auto"/>
        </w:rPr>
      </w:pPr>
    </w:p>
    <w:p>
      <w:pPr>
        <w:ind w:right="340" w:firstLine="656"/>
        <w:spacing w:after="0"/>
        <w:tabs>
          <w:tab w:leader="none" w:pos="130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the event of the voluntary or involuntary liquidation, distribution or winding up of the Corporation, holders of Common Stock will be entitled to receive pro rata all of the remaining assets of the Corporation available for distribution to its stockholders.</w:t>
      </w:r>
    </w:p>
    <w:p>
      <w:pPr>
        <w:spacing w:after="0" w:line="213" w:lineRule="exact"/>
        <w:rPr>
          <w:rFonts w:ascii="Arial" w:cs="Arial" w:eastAsia="Arial" w:hAnsi="Arial"/>
          <w:sz w:val="22"/>
          <w:szCs w:val="22"/>
          <w:color w:val="auto"/>
        </w:rPr>
      </w:pPr>
    </w:p>
    <w:p>
      <w:pPr>
        <w:ind w:right="740" w:firstLine="656"/>
        <w:spacing w:after="0" w:line="328" w:lineRule="auto"/>
        <w:tabs>
          <w:tab w:leader="none" w:pos="1307"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holders of Common Stock shall have the general right to vote for all purposes, including the election of directors, as provided by law. Each holder of Common Stock shall be entitled to one vote for each share thereof held.</w:t>
      </w:r>
    </w:p>
    <w:p>
      <w:pPr>
        <w:spacing w:after="0" w:line="1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Certain Limitations</w:t>
      </w:r>
      <w:r>
        <w:rPr>
          <w:rFonts w:ascii="Arial" w:cs="Arial" w:eastAsia="Arial" w:hAnsi="Arial"/>
          <w:sz w:val="19"/>
          <w:szCs w:val="19"/>
          <w:color w:val="auto"/>
        </w:rPr>
        <w:t>. Notwithstanding anything in this Article IV to the contrary, pursuant to Section 1123(a)</w:t>
      </w:r>
    </w:p>
    <w:p>
      <w:pPr>
        <w:spacing w:after="0" w:line="8" w:lineRule="exact"/>
        <w:rPr>
          <w:sz w:val="20"/>
          <w:szCs w:val="20"/>
          <w:color w:val="auto"/>
        </w:rPr>
      </w:pPr>
    </w:p>
    <w:p>
      <w:pPr>
        <w:ind w:right="40" w:firstLine="8"/>
        <w:spacing w:after="0" w:line="237" w:lineRule="auto"/>
        <w:tabs>
          <w:tab w:leader="none" w:pos="306" w:val="left"/>
        </w:tabs>
        <w:numPr>
          <w:ilvl w:val="0"/>
          <w:numId w:val="9"/>
        </w:numPr>
        <w:rPr>
          <w:rFonts w:ascii="Arial" w:cs="Arial" w:eastAsia="Arial" w:hAnsi="Arial"/>
          <w:sz w:val="22"/>
          <w:szCs w:val="22"/>
          <w:color w:val="auto"/>
        </w:rPr>
      </w:pPr>
      <w:r>
        <w:rPr>
          <w:rFonts w:ascii="Arial" w:cs="Arial" w:eastAsia="Arial" w:hAnsi="Arial"/>
          <w:sz w:val="22"/>
          <w:szCs w:val="22"/>
          <w:color w:val="auto"/>
        </w:rPr>
        <w:t>of the Bankruptcy Code of 1978, as amended, the Corporation shall be prohibited from authorizing the issuance of any class, or series thereof, of nonvoting equity shares, within the meaning of such section.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both"/>
        <w:ind w:right="900" w:firstLine="648"/>
        <w:spacing w:after="0"/>
        <w:rPr>
          <w:sz w:val="20"/>
          <w:szCs w:val="20"/>
          <w:color w:val="auto"/>
        </w:rPr>
      </w:pPr>
      <w:r>
        <w:rPr>
          <w:rFonts w:ascii="Arial" w:cs="Arial" w:eastAsia="Arial" w:hAnsi="Arial"/>
          <w:sz w:val="22"/>
          <w:szCs w:val="22"/>
          <w:color w:val="auto"/>
        </w:rPr>
        <w:t>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213" w:lineRule="exact"/>
        <w:rPr>
          <w:sz w:val="20"/>
          <w:szCs w:val="20"/>
          <w:color w:val="auto"/>
        </w:rPr>
      </w:pPr>
    </w:p>
    <w:p>
      <w:pPr>
        <w:ind w:right="40" w:firstLine="648"/>
        <w:spacing w:after="0" w:line="328"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Number of Directors</w:t>
      </w:r>
      <w:r>
        <w:rPr>
          <w:rFonts w:ascii="Arial" w:cs="Arial" w:eastAsia="Arial" w:hAnsi="Arial"/>
          <w:sz w:val="19"/>
          <w:szCs w:val="19"/>
          <w:color w:val="auto"/>
        </w:rPr>
        <w:t>. The number of directors of the Corporation shall be such as from time to time fixed by, or in the manner provided in the Corporation’s bylaws. Election of directors need not be by ballot unless the bylaws so provide.</w:t>
      </w:r>
    </w:p>
    <w:p>
      <w:pPr>
        <w:spacing w:after="0" w:line="1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Powers of the Board of Directors</w:t>
      </w:r>
      <w:r>
        <w:rPr>
          <w:rFonts w:ascii="Arial" w:cs="Arial" w:eastAsia="Arial" w:hAnsi="Arial"/>
          <w:sz w:val="19"/>
          <w:szCs w:val="19"/>
          <w:color w:val="auto"/>
        </w:rPr>
        <w:t>.</w:t>
      </w:r>
    </w:p>
    <w:p>
      <w:pPr>
        <w:spacing w:after="0" w:line="233" w:lineRule="exact"/>
        <w:rPr>
          <w:sz w:val="20"/>
          <w:szCs w:val="20"/>
          <w:color w:val="auto"/>
        </w:rPr>
      </w:pPr>
    </w:p>
    <w:p>
      <w:pPr>
        <w:ind w:right="120" w:firstLine="656"/>
        <w:spacing w:after="0" w:line="238" w:lineRule="auto"/>
        <w:tabs>
          <w:tab w:leader="none" w:pos="1307"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Board of Directors shall have power, without the assent or vote of the stockholders: to fix and vary the amount to be reserved for any proper purpose; to authorize and cause to be executed mortgages and liens upon all or any part of the property of the Corporation; to determine the use and disposition of any surplus or net profits; and to fix the times for the declaration and payment of dividends.</w:t>
      </w:r>
    </w:p>
    <w:p>
      <w:pPr>
        <w:spacing w:after="0" w:line="212" w:lineRule="exact"/>
        <w:rPr>
          <w:rFonts w:ascii="Arial" w:cs="Arial" w:eastAsia="Arial" w:hAnsi="Arial"/>
          <w:sz w:val="22"/>
          <w:szCs w:val="22"/>
          <w:color w:val="auto"/>
        </w:rPr>
      </w:pPr>
    </w:p>
    <w:p>
      <w:pPr>
        <w:ind w:right="80" w:firstLine="656"/>
        <w:spacing w:after="0" w:line="277" w:lineRule="auto"/>
        <w:tabs>
          <w:tab w:leader="none" w:pos="1305"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stockholders as though it had been approved or ratified by every stockholder of the Corporation, whether or not the contract or act would otherwise be open to legal attack because of directors’ interest, or for any other reason.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firstLine="656"/>
        <w:spacing w:after="0" w:line="238" w:lineRule="auto"/>
        <w:tabs>
          <w:tab w:leader="none" w:pos="1307"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and of this Third Amended and Restated Certificate of Incorporation.</w:t>
      </w:r>
    </w:p>
    <w:p>
      <w:pPr>
        <w:spacing w:after="0" w:line="212"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Amendment of Bylaws</w:t>
      </w:r>
      <w:r>
        <w:rPr>
          <w:rFonts w:ascii="Arial" w:cs="Arial" w:eastAsia="Arial" w:hAnsi="Arial"/>
          <w:sz w:val="19"/>
          <w:szCs w:val="19"/>
          <w:color w:val="auto"/>
        </w:rPr>
        <w:t>. In furtherance and not in limitation of the powers conferred upon it by the laws of the State of Delaware, the Board of Directors shall have power, without the assent or vote of the stockholders, to alter, amend, change, add to, repeal, rescind or make new bylaws of the Corporation. In addition, the bylaws may be altered, amended, changed,</w:t>
      </w:r>
    </w:p>
    <w:p>
      <w:pPr>
        <w:sectPr>
          <w:pgSz w:w="11900" w:h="16838" w:orient="portrait"/>
          <w:cols w:equalWidth="0" w:num="1">
            <w:col w:w="11380"/>
          </w:cols>
          <w:pgMar w:left="240" w:top="118" w:right="279" w:bottom="0" w:gutter="0" w:footer="0" w:header="0"/>
        </w:sectPr>
      </w:pPr>
    </w:p>
    <w:bookmarkStart w:id="6" w:name="page7"/>
    <w:bookmarkEnd w:id="6"/>
    <w:p>
      <w:pPr>
        <w:ind w:right="480"/>
        <w:spacing w:after="0" w:line="251" w:lineRule="auto"/>
        <w:rPr>
          <w:sz w:val="20"/>
          <w:szCs w:val="20"/>
          <w:color w:val="auto"/>
        </w:rPr>
      </w:pPr>
      <w:r>
        <w:rPr>
          <w:rFonts w:ascii="Arial" w:cs="Arial" w:eastAsia="Arial" w:hAnsi="Arial"/>
          <w:sz w:val="22"/>
          <w:szCs w:val="22"/>
          <w:color w:val="auto"/>
        </w:rPr>
        <w:t>added to, repealed or rescinded, or new bylaws may be made, by the affirmative vote of the holders of at least a majority of the voting power of the outstanding shares entitled to vote thereon.</w:t>
      </w:r>
    </w:p>
    <w:p>
      <w:pPr>
        <w:spacing w:after="0" w:line="201"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u w:val="single" w:color="auto"/>
          <w:color w:val="auto"/>
        </w:rPr>
        <w:t>Amendment of Certificate of Incorporation</w:t>
      </w:r>
      <w:r>
        <w:rPr>
          <w:rFonts w:ascii="Arial" w:cs="Arial" w:eastAsia="Arial" w:hAnsi="Arial"/>
          <w:sz w:val="21"/>
          <w:szCs w:val="21"/>
          <w:color w:val="auto"/>
        </w:rPr>
        <w:t>. The Corporation reserves the right to alter, amend, change, add to, repeal or rescind any provision contained in this Third Amended and Restated Certificate of Incorporation in the manner now or hereafter prescribed in this Third Amended and Restated Certificate of Incorporation or the DGCL, and all rights herein conferred upon stockholders are granted subject to such reservation.</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w:t>
      </w:r>
    </w:p>
    <w:p>
      <w:pPr>
        <w:spacing w:after="0" w:line="233"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Liability of Directors</w:t>
      </w:r>
      <w:r>
        <w:rPr>
          <w:rFonts w:ascii="Arial" w:cs="Arial" w:eastAsia="Arial" w:hAnsi="Arial"/>
          <w:sz w:val="22"/>
          <w:szCs w:val="22"/>
          <w:color w:val="auto"/>
        </w:rPr>
        <w:t>. The personal liability of the directors of the Corporation is hereby eliminated to the fullest extent permitted by paragraph (7) of subsection (b) of Section 102 of the DGCL, as the same may be amended and supplemented.</w:t>
      </w:r>
    </w:p>
    <w:p>
      <w:pPr>
        <w:spacing w:after="0" w:line="213"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Indemnification of Directors and Officers</w:t>
      </w:r>
      <w:r>
        <w:rPr>
          <w:rFonts w:ascii="Arial" w:cs="Arial" w:eastAsia="Arial" w:hAnsi="Arial"/>
          <w:sz w:val="19"/>
          <w:szCs w:val="19"/>
          <w:color w:val="auto"/>
        </w:rPr>
        <w:t>. The Corporation, to the fullest extent permitted by Section 145 of the DGCL, as the same may be amended and supplemented, shall indemnify the directors and officers of the Corporation under said section from and against any and all of the expenses, liabilities or other matter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administration of such a person.</w:t>
      </w:r>
    </w:p>
    <w:p>
      <w:pPr>
        <w:spacing w:after="0" w:line="180" w:lineRule="exact"/>
        <w:rPr>
          <w:sz w:val="20"/>
          <w:szCs w:val="20"/>
          <w:color w:val="auto"/>
        </w:rPr>
      </w:pPr>
    </w:p>
    <w:p>
      <w:pPr>
        <w:jc w:val="both"/>
        <w:ind w:right="120" w:firstLine="648"/>
        <w:spacing w:after="0"/>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Amendments to Article VI</w:t>
      </w:r>
      <w:r>
        <w:rPr>
          <w:rFonts w:ascii="Arial" w:cs="Arial" w:eastAsia="Arial" w:hAnsi="Arial"/>
          <w:sz w:val="22"/>
          <w:szCs w:val="22"/>
          <w:color w:val="auto"/>
        </w:rPr>
        <w:t>. Any modification of this Article VI by the stockholders of the Corporation shall be prospective only and shall not adversely affect any limitation on the personal liability of a director or officer of the Corporation existing at the time of such appeal on modification.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[END]</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40" w:firstLine="1297"/>
        <w:spacing w:after="0" w:line="273" w:lineRule="auto"/>
        <w:rPr>
          <w:sz w:val="20"/>
          <w:szCs w:val="20"/>
          <w:color w:val="auto"/>
        </w:rPr>
      </w:pPr>
      <w:r>
        <w:rPr>
          <w:rFonts w:ascii="Arial" w:cs="Arial" w:eastAsia="Arial" w:hAnsi="Arial"/>
          <w:sz w:val="22"/>
          <w:szCs w:val="22"/>
          <w:color w:val="auto"/>
        </w:rPr>
        <w:t>IN WITNESS WHEREOF, the Corporation has caused this Third Amended and Restated Certificate of Incorporation to be executed on its behalf this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2014.</w:t>
      </w:r>
    </w:p>
    <w:p>
      <w:pPr>
        <w:spacing w:after="0" w:line="75"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ACTIVISION BLIZZARD, INC.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60" w:type="dxa"/>
            <w:vAlign w:val="bottom"/>
          </w:tcPr>
          <w:p>
            <w:pPr>
              <w:ind w:left="5100"/>
              <w:spacing w:after="0"/>
              <w:rPr>
                <w:sz w:val="20"/>
                <w:szCs w:val="20"/>
                <w:color w:val="auto"/>
              </w:rPr>
            </w:pPr>
            <w:r>
              <w:rPr>
                <w:rFonts w:ascii="Arial" w:cs="Arial" w:eastAsia="Arial" w:hAnsi="Arial"/>
                <w:sz w:val="22"/>
                <w:szCs w:val="22"/>
                <w:color w:val="auto"/>
              </w:rPr>
              <w:t>By:</w:t>
            </w:r>
          </w:p>
        </w:tc>
        <w:tc>
          <w:tcPr>
            <w:tcW w:w="5160" w:type="dxa"/>
            <w:vAlign w:val="bottom"/>
          </w:tcPr>
          <w:p>
            <w:pPr>
              <w:spacing w:after="0"/>
              <w:rPr>
                <w:sz w:val="20"/>
                <w:szCs w:val="20"/>
                <w:color w:val="auto"/>
              </w:rPr>
            </w:pPr>
            <w:r>
              <w:rPr>
                <w:rFonts w:ascii="Arial" w:cs="Arial" w:eastAsia="Arial" w:hAnsi="Arial"/>
                <w:sz w:val="22"/>
                <w:szCs w:val="22"/>
                <w:color w:val="auto"/>
              </w:rPr>
              <w:t>/s/ Robert A. Kotick</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ind w:left="5460"/>
              <w:spacing w:after="0"/>
              <w:rPr>
                <w:sz w:val="20"/>
                <w:szCs w:val="20"/>
                <w:color w:val="auto"/>
              </w:rPr>
            </w:pPr>
            <w:r>
              <w:rPr>
                <w:rFonts w:ascii="Arial" w:cs="Arial" w:eastAsia="Arial" w:hAnsi="Arial"/>
                <w:sz w:val="22"/>
                <w:szCs w:val="22"/>
                <w:color w:val="auto"/>
              </w:rPr>
              <w:t>Name:</w:t>
            </w:r>
          </w:p>
        </w:tc>
        <w:tc>
          <w:tcPr>
            <w:tcW w:w="5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260" w:type="dxa"/>
            <w:vAlign w:val="bottom"/>
            <w:vMerge w:val="continue"/>
          </w:tcPr>
          <w:p>
            <w:pPr>
              <w:spacing w:after="0"/>
              <w:rPr>
                <w:sz w:val="18"/>
                <w:szCs w:val="18"/>
                <w:color w:val="auto"/>
              </w:rPr>
            </w:pPr>
          </w:p>
        </w:tc>
        <w:tc>
          <w:tcPr>
            <w:tcW w:w="5160" w:type="dxa"/>
            <w:vAlign w:val="bottom"/>
          </w:tcPr>
          <w:p>
            <w:pPr>
              <w:ind w:left="2620"/>
              <w:spacing w:after="0" w:line="216" w:lineRule="exact"/>
              <w:rPr>
                <w:sz w:val="20"/>
                <w:szCs w:val="20"/>
                <w:color w:val="auto"/>
              </w:rPr>
            </w:pPr>
            <w:r>
              <w:rPr>
                <w:rFonts w:ascii="Arial" w:cs="Arial" w:eastAsia="Arial" w:hAnsi="Arial"/>
                <w:sz w:val="22"/>
                <w:szCs w:val="22"/>
                <w:color w:val="auto"/>
              </w:rPr>
              <w:t>Robert A. Kotick</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260" w:type="dxa"/>
            <w:vAlign w:val="bottom"/>
          </w:tcPr>
          <w:p>
            <w:pPr>
              <w:ind w:left="5460"/>
              <w:spacing w:after="0"/>
              <w:rPr>
                <w:sz w:val="20"/>
                <w:szCs w:val="20"/>
                <w:color w:val="auto"/>
              </w:rPr>
            </w:pPr>
            <w:r>
              <w:rPr>
                <w:rFonts w:ascii="Arial" w:cs="Arial" w:eastAsia="Arial" w:hAnsi="Arial"/>
                <w:sz w:val="22"/>
                <w:szCs w:val="22"/>
                <w:color w:val="auto"/>
              </w:rPr>
              <w:t>Title:</w:t>
            </w:r>
          </w:p>
        </w:tc>
        <w:tc>
          <w:tcPr>
            <w:tcW w:w="5160" w:type="dxa"/>
            <w:vAlign w:val="bottom"/>
          </w:tcPr>
          <w:p>
            <w:pPr>
              <w:ind w:left="26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6260" w:type="dxa"/>
            <w:vAlign w:val="bottom"/>
            <w:tcBorders>
              <w:bottom w:val="single" w:sz="8" w:color="010101"/>
            </w:tcBorders>
          </w:tcPr>
          <w:p>
            <w:pPr>
              <w:spacing w:after="0"/>
              <w:rPr>
                <w:sz w:val="24"/>
                <w:szCs w:val="24"/>
                <w:color w:val="auto"/>
              </w:rPr>
            </w:pPr>
          </w:p>
        </w:tc>
        <w:tc>
          <w:tcPr>
            <w:tcW w:w="5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207" w:lineRule="exact"/>
        <w:rPr>
          <w:sz w:val="20"/>
          <w:szCs w:val="20"/>
          <w:color w:val="auto"/>
        </w:rPr>
      </w:pPr>
    </w:p>
    <w:p>
      <w:pPr>
        <w:ind w:right="60" w:firstLine="656"/>
        <w:spacing w:after="0" w:line="266"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Activision Blizzard, Inc. 2014 Incentive Plan is to attract and retain directors, officers and other employees of</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consultants to Activision Blizzard, Inc., a Delaware corporation, and its Subsidiaries, and to provide to such persons incentives and rewards for performance.</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w:t>
      </w:r>
    </w:p>
    <w:p>
      <w:pPr>
        <w:spacing w:after="0" w:line="225" w:lineRule="exact"/>
        <w:rPr>
          <w:rFonts w:ascii="Arial" w:cs="Arial" w:eastAsia="Arial" w:hAnsi="Arial"/>
          <w:sz w:val="18"/>
          <w:szCs w:val="18"/>
          <w:color w:val="auto"/>
        </w:rPr>
      </w:pPr>
    </w:p>
    <w:p>
      <w:pPr>
        <w:ind w:left="660" w:right="100" w:firstLine="645"/>
        <w:spacing w:after="0" w:line="282" w:lineRule="auto"/>
        <w:tabs>
          <w:tab w:leader="none" w:pos="19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 grant of a Stock Option, SARs, Performance Shares, Performance Units or a Senior Executive Bonus or a grant or sale of Restricted Shares, Restricted Share Units or an award contemplated by Section 10.</w:t>
      </w:r>
    </w:p>
    <w:p>
      <w:pPr>
        <w:spacing w:after="0" w:line="161"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Price</w:t>
      </w:r>
      <w:r>
        <w:rPr>
          <w:rFonts w:ascii="Arial" w:cs="Arial" w:eastAsia="Arial" w:hAnsi="Arial"/>
          <w:sz w:val="18"/>
          <w:szCs w:val="18"/>
          <w:color w:val="auto"/>
        </w:rPr>
        <w:t>” means the price per share specified in an Evidence of Award of a Freestanding SAR.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rFonts w:ascii="Arial" w:cs="Arial" w:eastAsia="Arial" w:hAnsi="Arial"/>
          <w:sz w:val="18"/>
          <w:szCs w:val="18"/>
          <w:color w:val="auto"/>
        </w:rPr>
      </w:pPr>
    </w:p>
    <w:p>
      <w:pPr>
        <w:ind w:left="660" w:right="940" w:firstLine="645"/>
        <w:spacing w:after="0" w:line="282" w:lineRule="auto"/>
        <w:tabs>
          <w:tab w:leader="none" w:pos="19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of the Board or such other committee of the Board responsible for administering the Plan pursuant to Section 11.</w:t>
      </w:r>
    </w:p>
    <w:p>
      <w:pPr>
        <w:spacing w:after="0" w:line="161" w:lineRule="exact"/>
        <w:rPr>
          <w:rFonts w:ascii="Arial" w:cs="Arial" w:eastAsia="Arial" w:hAnsi="Arial"/>
          <w:sz w:val="18"/>
          <w:szCs w:val="18"/>
          <w:color w:val="auto"/>
        </w:rPr>
      </w:pPr>
    </w:p>
    <w:p>
      <w:pPr>
        <w:ind w:left="660" w:right="40" w:firstLine="645"/>
        <w:spacing w:after="0" w:line="282" w:lineRule="auto"/>
        <w:tabs>
          <w:tab w:leader="none" w:pos="19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the shares of common stock, par value $0.000001 per share, of the Company or any security into which such Common Shares may be changed by reason of any transaction or event of the type referred to in Section 12.</w:t>
      </w:r>
    </w:p>
    <w:p>
      <w:pPr>
        <w:spacing w:after="0" w:line="161" w:lineRule="exact"/>
        <w:rPr>
          <w:rFonts w:ascii="Arial" w:cs="Arial" w:eastAsia="Arial" w:hAnsi="Arial"/>
          <w:sz w:val="18"/>
          <w:szCs w:val="18"/>
          <w:color w:val="auto"/>
        </w:rPr>
      </w:pPr>
    </w:p>
    <w:p>
      <w:pPr>
        <w:ind w:left="1980" w:hanging="675"/>
        <w:spacing w:after="0"/>
        <w:tabs>
          <w:tab w:leader="none" w:pos="1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Activision Blizzard, Inc., a Delaware corporation, and its successors.</w:t>
      </w:r>
    </w:p>
    <w:p>
      <w:pPr>
        <w:spacing w:after="0" w:line="225" w:lineRule="exact"/>
        <w:rPr>
          <w:rFonts w:ascii="Arial" w:cs="Arial" w:eastAsia="Arial" w:hAnsi="Arial"/>
          <w:sz w:val="18"/>
          <w:szCs w:val="18"/>
          <w:color w:val="auto"/>
        </w:rPr>
      </w:pPr>
    </w:p>
    <w:p>
      <w:pPr>
        <w:ind w:left="660" w:right="440" w:firstLine="645"/>
        <w:spacing w:after="0" w:line="282" w:lineRule="auto"/>
        <w:tabs>
          <w:tab w:leader="none" w:pos="1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Employee</w:t>
      </w:r>
      <w:r>
        <w:rPr>
          <w:rFonts w:ascii="Arial" w:cs="Arial" w:eastAsia="Arial" w:hAnsi="Arial"/>
          <w:sz w:val="18"/>
          <w:szCs w:val="18"/>
          <w:color w:val="auto"/>
        </w:rPr>
        <w:t>” means an “executive officer” of the Company within the meaning of Rule 3b-7 promulgated under the Exchange Act (or any successor rule).</w:t>
      </w:r>
    </w:p>
    <w:p>
      <w:pPr>
        <w:spacing w:after="0" w:line="161" w:lineRule="exact"/>
        <w:rPr>
          <w:rFonts w:ascii="Arial" w:cs="Arial" w:eastAsia="Arial" w:hAnsi="Arial"/>
          <w:sz w:val="18"/>
          <w:szCs w:val="18"/>
          <w:color w:val="auto"/>
        </w:rPr>
      </w:pPr>
    </w:p>
    <w:p>
      <w:pPr>
        <w:ind w:left="660" w:right="260" w:firstLine="645"/>
        <w:spacing w:after="0" w:line="266" w:lineRule="auto"/>
        <w:tabs>
          <w:tab w:leader="none" w:pos="19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Grant</w:t>
      </w:r>
      <w:r>
        <w:rPr>
          <w:rFonts w:ascii="Arial" w:cs="Arial" w:eastAsia="Arial" w:hAnsi="Arial"/>
          <w:sz w:val="18"/>
          <w:szCs w:val="18"/>
          <w:color w:val="auto"/>
        </w:rPr>
        <w:t>” means the date on which the Committee determines the terms of an Award (including the number of Common Shares to which it pertains, if any) or such later (but not earlier) date as may be specified by the Committee as the date on which such Award becomes effective.</w:t>
      </w:r>
    </w:p>
    <w:p>
      <w:pPr>
        <w:spacing w:after="0" w:line="176"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of Directors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approval of the Plan by the Company’s stockholders.</w:t>
      </w:r>
    </w:p>
    <w:p>
      <w:pPr>
        <w:spacing w:after="0" w:line="225" w:lineRule="exact"/>
        <w:rPr>
          <w:rFonts w:ascii="Arial" w:cs="Arial" w:eastAsia="Arial" w:hAnsi="Arial"/>
          <w:sz w:val="18"/>
          <w:szCs w:val="18"/>
          <w:color w:val="auto"/>
        </w:rPr>
      </w:pPr>
    </w:p>
    <w:p>
      <w:pPr>
        <w:ind w:left="660" w:right="120" w:firstLine="645"/>
        <w:spacing w:after="0" w:line="261" w:lineRule="auto"/>
        <w:tabs>
          <w:tab w:leader="none" w:pos="19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Evidence of Award</w:t>
      </w:r>
      <w:r>
        <w:rPr>
          <w:rFonts w:ascii="Arial" w:cs="Arial" w:eastAsia="Arial" w:hAnsi="Arial"/>
          <w:sz w:val="18"/>
          <w:szCs w:val="18"/>
          <w:color w:val="auto"/>
        </w:rPr>
        <w:t>” means an agreement, certificate, resolution or other type or form of writing or other evidence approved by the Committee that sets forth the terms and conditions of Awards. An Evidence of Award may be in an electronic medium, may be limited to notation on the books and records of the Company and, with the approval of the Committee, need not be signed by a representative of the Company or a Participant.</w:t>
      </w:r>
    </w:p>
    <w:p>
      <w:pPr>
        <w:spacing w:after="0" w:line="180" w:lineRule="exact"/>
        <w:rPr>
          <w:rFonts w:ascii="Arial" w:cs="Arial" w:eastAsia="Arial" w:hAnsi="Arial"/>
          <w:sz w:val="18"/>
          <w:szCs w:val="18"/>
          <w:color w:val="auto"/>
        </w:rPr>
      </w:pPr>
    </w:p>
    <w:p>
      <w:pPr>
        <w:ind w:left="660" w:right="160" w:firstLine="645"/>
        <w:spacing w:after="0" w:line="282"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 as such law, rules and regulations may be amended from time to time.</w:t>
      </w:r>
    </w:p>
    <w:p>
      <w:pPr>
        <w:spacing w:after="0" w:line="161"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 the purchase price per share payable on exercise of a Stock Option.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Freestanding SAR</w:t>
      </w:r>
      <w:r>
        <w:rPr>
          <w:rFonts w:ascii="Arial" w:cs="Arial" w:eastAsia="Arial" w:hAnsi="Arial"/>
          <w:sz w:val="18"/>
          <w:szCs w:val="18"/>
          <w:color w:val="auto"/>
        </w:rPr>
        <w:t>” means a SAR that is not granted in tandem with a Stock Option.</w:t>
      </w:r>
    </w:p>
    <w:p>
      <w:pPr>
        <w:spacing w:after="0" w:line="225" w:lineRule="exact"/>
        <w:rPr>
          <w:rFonts w:ascii="Arial" w:cs="Arial" w:eastAsia="Arial" w:hAnsi="Arial"/>
          <w:sz w:val="18"/>
          <w:szCs w:val="18"/>
          <w:color w:val="auto"/>
        </w:rPr>
      </w:pPr>
    </w:p>
    <w:p>
      <w:pPr>
        <w:ind w:left="660" w:right="260" w:firstLine="645"/>
        <w:spacing w:after="0" w:line="282" w:lineRule="auto"/>
        <w:tabs>
          <w:tab w:leader="none" w:pos="1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 Stock Option that is intended to qualify as an “incentive stock option” under Section 422 of the Code or any successor provision.</w:t>
      </w:r>
    </w:p>
    <w:p>
      <w:pPr>
        <w:spacing w:after="0" w:line="161" w:lineRule="exact"/>
        <w:rPr>
          <w:rFonts w:ascii="Arial" w:cs="Arial" w:eastAsia="Arial" w:hAnsi="Arial"/>
          <w:sz w:val="18"/>
          <w:szCs w:val="18"/>
          <w:color w:val="auto"/>
        </w:rPr>
      </w:pPr>
    </w:p>
    <w:p>
      <w:pPr>
        <w:ind w:left="660" w:right="60" w:firstLine="645"/>
        <w:spacing w:after="0" w:line="286" w:lineRule="auto"/>
        <w:tabs>
          <w:tab w:leader="none" w:pos="1974" w:val="left"/>
        </w:tabs>
        <w:numPr>
          <w:ilvl w:val="1"/>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Objectives</w:t>
      </w:r>
      <w:r>
        <w:rPr>
          <w:rFonts w:ascii="Arial" w:cs="Arial" w:eastAsia="Arial" w:hAnsi="Arial"/>
          <w:sz w:val="16"/>
          <w:szCs w:val="16"/>
          <w:color w:val="auto"/>
        </w:rPr>
        <w:t>” means the measurable performance objective or objectives established pursuant to the Plan for Participants who have received grants of Senior Executive Plan Bonuses, or, when so determined by the Committee, Stock Options, SARs, Restricted Shares, Restricted Share Units, Performance Shares, Performance Units and other Awards pursuant to the Plan. Management Objectives may be described in terms of Company-wide objectives or objectives that are related to the performance of the individual Participant or of a Subsidiary, division, department or function within the Company or a Subsidiary. The Committee may provide, in connection with the setting of the Management Objectives, that any evaluation of performance may include or exclude certain items that may occur during any Fiscal Year, including, without limitation, the following: (i) asset write downs; (ii) litigation or claim judgments or settlements; (iii) the effect of changes in tax laws, accounting principles or other laws or provisions affecting reported results; (iv) any reorganization and restructuring programs; (v) extraordinary nonrecurring items as described in Accounting Standards Codification Subtopic 225-20 and/or in management’s discussion and analysis of financial condition and results of operations appearing in the Company’s Annual Report on Form 10-K for the applicable year; (vi) acquisitions or divestitures; and (vii) foreign exchange gains and losses. Financial objectives need not be determined in accordance with generally accepted accounting principles. Without limiting the generality of the foregoing, the Management Objectives applicable to any Award to a Covered Employee which is intended to be deductible under Section 162(m) of the Code will be based on specified levels of, or relative peer company, performance in any one or more of the following objectives, or any combination thereof, as determined by the Committee in its sole discretion:</w:t>
      </w:r>
    </w:p>
    <w:p>
      <w:pPr>
        <w:spacing w:after="0" w:line="175" w:lineRule="exact"/>
        <w:rPr>
          <w:rFonts w:ascii="Arial" w:cs="Arial" w:eastAsia="Arial" w:hAnsi="Arial"/>
          <w:sz w:val="16"/>
          <w:szCs w:val="16"/>
          <w:color w:val="auto"/>
        </w:rPr>
      </w:pPr>
    </w:p>
    <w:p>
      <w:pPr>
        <w:ind w:left="2620" w:hanging="667"/>
        <w:spacing w:after="0"/>
        <w:tabs>
          <w:tab w:leader="none" w:pos="2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Adjusted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-3528060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8" w:name="page9"/>
    <w:bookmarkEnd w:id="8"/>
    <w:p>
      <w:pPr>
        <w:ind w:left="640" w:right="500" w:firstLine="653"/>
        <w:spacing w:after="0" w:line="277" w:lineRule="auto"/>
        <w:tabs>
          <w:tab w:leader="none" w:pos="19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Appreciation in and/or maintenance of the price of Common Shares (or any other publicly-traded securities of the Company), including, without limitation, comparisons with various stock market indices</w:t>
      </w:r>
    </w:p>
    <w:p>
      <w:pPr>
        <w:spacing w:after="0" w:line="170"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Attainment of strategic and operational initiatives</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Budget</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(including, without limitation, free cash flow)</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capital</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reduction</w:t>
      </w:r>
    </w:p>
    <w:p>
      <w:pPr>
        <w:spacing w:after="0" w:line="225" w:lineRule="exact"/>
        <w:rPr>
          <w:rFonts w:ascii="Arial" w:cs="Arial" w:eastAsia="Arial" w:hAnsi="Arial"/>
          <w:sz w:val="18"/>
          <w:szCs w:val="18"/>
          <w:color w:val="auto"/>
        </w:rPr>
      </w:pPr>
    </w:p>
    <w:p>
      <w:pPr>
        <w:ind w:left="640" w:right="140" w:firstLine="653"/>
        <w:spacing w:after="0" w:line="277" w:lineRule="auto"/>
        <w:tabs>
          <w:tab w:leader="none" w:pos="19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and earnings growth (including, without limitation, earnings per share, earnings before taxes, earnings before interest and taxes, and earnings before interest, taxes, depreciation and amortization)</w:t>
      </w:r>
    </w:p>
    <w:p>
      <w:pPr>
        <w:spacing w:after="0" w:line="170" w:lineRule="exact"/>
        <w:rPr>
          <w:rFonts w:ascii="Arial" w:cs="Arial" w:eastAsia="Arial" w:hAnsi="Arial"/>
          <w:sz w:val="18"/>
          <w:szCs w:val="18"/>
          <w:color w:val="auto"/>
        </w:rPr>
      </w:pPr>
    </w:p>
    <w:p>
      <w:pPr>
        <w:ind w:left="1940" w:hanging="647"/>
        <w:spacing w:after="0"/>
        <w:tabs>
          <w:tab w:leader="none" w:pos="1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profits</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of internal controls over financial reporting and corporate governance practices</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value added</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profit and operating income</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Pretax income before allocation of corporate overhead and bonus</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Recruitment and development of associates</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costs</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assets and return on net assets</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and sales growth</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acquisition/divestiture</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stockholder return and improvement of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-4077335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If the Committee determines that a change in the business, operations, corporate structure or capital structure of the Company, or the manner in which it conducts its business, or other events or circumstances, render previously established Management Objectives unsuitable, the Committee may in its discretion modify such Management Objectives or the related levels of achievement, in whole or in part, as the Committee deems appropriate and equitable.</w:t>
      </w:r>
    </w:p>
    <w:p>
      <w:pPr>
        <w:spacing w:after="0" w:line="183" w:lineRule="exact"/>
        <w:rPr>
          <w:sz w:val="20"/>
          <w:szCs w:val="20"/>
          <w:color w:val="auto"/>
        </w:rPr>
      </w:pPr>
    </w:p>
    <w:p>
      <w:pPr>
        <w:ind w:right="20" w:firstLine="645"/>
        <w:spacing w:after="0" w:line="266"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Value per Share</w:t>
      </w:r>
      <w:r>
        <w:rPr>
          <w:rFonts w:ascii="Arial" w:cs="Arial" w:eastAsia="Arial" w:hAnsi="Arial"/>
          <w:sz w:val="18"/>
          <w:szCs w:val="18"/>
          <w:color w:val="auto"/>
        </w:rPr>
        <w:t>” means, as of any particular date, (i) one hundred percent (100%) of the closing price per Common Share as reported on the principal securities exchange, association or quotation system on which Common Shares are then listed or quoted, or (ii) if clause (i) does not apply, the fair market value of a Common Share as determined by the Committee.</w:t>
      </w:r>
    </w:p>
    <w:p>
      <w:pPr>
        <w:spacing w:after="0" w:line="176" w:lineRule="exact"/>
        <w:rPr>
          <w:rFonts w:ascii="Arial" w:cs="Arial" w:eastAsia="Arial" w:hAnsi="Arial"/>
          <w:sz w:val="18"/>
          <w:szCs w:val="18"/>
          <w:color w:val="auto"/>
        </w:rPr>
      </w:pPr>
    </w:p>
    <w:p>
      <w:pPr>
        <w:ind w:left="1300" w:hanging="65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means the optionee named in an Evidence of Award evidencing an outstanding Stock Option.</w:t>
      </w:r>
    </w:p>
    <w:p>
      <w:pPr>
        <w:spacing w:after="0" w:line="225" w:lineRule="exact"/>
        <w:rPr>
          <w:rFonts w:ascii="Arial" w:cs="Arial" w:eastAsia="Arial" w:hAnsi="Arial"/>
          <w:sz w:val="18"/>
          <w:szCs w:val="18"/>
          <w:color w:val="auto"/>
        </w:rPr>
      </w:pPr>
    </w:p>
    <w:p>
      <w:pPr>
        <w:ind w:right="380" w:firstLine="645"/>
        <w:spacing w:after="0" w:line="282" w:lineRule="auto"/>
        <w:tabs>
          <w:tab w:leader="none" w:pos="1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person who is selected by the Committee to receive benefits under the Plan and who is at the time an officer, employee, consultant, advisor or director of the Company or of any Subsidiary.</w:t>
      </w:r>
    </w:p>
    <w:p>
      <w:pPr>
        <w:spacing w:after="0" w:line="161" w:lineRule="exact"/>
        <w:rPr>
          <w:rFonts w:ascii="Arial" w:cs="Arial" w:eastAsia="Arial" w:hAnsi="Arial"/>
          <w:sz w:val="18"/>
          <w:szCs w:val="18"/>
          <w:color w:val="auto"/>
        </w:rPr>
      </w:pPr>
    </w:p>
    <w:p>
      <w:pPr>
        <w:ind w:firstLine="645"/>
        <w:spacing w:after="0" w:line="258" w:lineRule="auto"/>
        <w:tabs>
          <w:tab w:leader="none" w:pos="1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in respect of a Performance Share, Performance Unit or Senior Executive Plan Bonus, a period of time established pursuant to Section 8 or Section 9, as the case may be, within which the Management Objectives or, in the case of a Performance Share or Performance Unit, other performance criteria relating to such Award are to be achieved. The Performance Period for a Senior Executive Plan Bonus will be the Fiscal Year and, unless otherwise expressly provided in the Plan, the Performance Period for all other Awards will be established by the Committee at the time of the Award.</w:t>
      </w:r>
    </w:p>
    <w:p>
      <w:pPr>
        <w:spacing w:after="0" w:line="183" w:lineRule="exact"/>
        <w:rPr>
          <w:rFonts w:ascii="Arial" w:cs="Arial" w:eastAsia="Arial" w:hAnsi="Arial"/>
          <w:sz w:val="18"/>
          <w:szCs w:val="18"/>
          <w:color w:val="auto"/>
        </w:rPr>
      </w:pPr>
    </w:p>
    <w:p>
      <w:pPr>
        <w:ind w:left="1320" w:hanging="675"/>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Share</w:t>
      </w:r>
      <w:r>
        <w:rPr>
          <w:rFonts w:ascii="Arial" w:cs="Arial" w:eastAsia="Arial" w:hAnsi="Arial"/>
          <w:sz w:val="17"/>
          <w:szCs w:val="17"/>
          <w:color w:val="auto"/>
        </w:rPr>
        <w:t>” means a bookkeeping entry that records the equivalent of one Common Share awarded pursuant to</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8.</w:t>
      </w:r>
    </w:p>
    <w:p>
      <w:pPr>
        <w:sectPr>
          <w:pgSz w:w="11900" w:h="16838" w:orient="portrait"/>
          <w:cols w:equalWidth="0" w:num="1">
            <w:col w:w="10640"/>
          </w:cols>
          <w:pgMar w:left="900" w:top="125" w:right="359" w:bottom="0" w:gutter="0" w:footer="0" w:header="0"/>
        </w:sectPr>
      </w:pPr>
    </w:p>
    <w:bookmarkStart w:id="9" w:name="page10"/>
    <w:bookmarkEnd w:id="9"/>
    <w:p>
      <w:pPr>
        <w:ind w:left="4" w:right="340" w:firstLine="645"/>
        <w:spacing w:after="0" w:line="282" w:lineRule="auto"/>
        <w:tabs>
          <w:tab w:leader="none" w:pos="1308"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 bookkeeping entry awarded pursuant to Section 8 that records a unit equivalent to $1.00 or such other value as is determined by the Committee.</w:t>
      </w:r>
    </w:p>
    <w:p>
      <w:pPr>
        <w:spacing w:after="0" w:line="161" w:lineRule="exact"/>
        <w:rPr>
          <w:rFonts w:ascii="Arial" w:cs="Arial" w:eastAsia="Arial" w:hAnsi="Arial"/>
          <w:sz w:val="18"/>
          <w:szCs w:val="18"/>
          <w:color w:val="auto"/>
        </w:rPr>
      </w:pPr>
    </w:p>
    <w:p>
      <w:pPr>
        <w:ind w:left="1304" w:hanging="655"/>
        <w:spacing w:after="0"/>
        <w:tabs>
          <w:tab w:leader="none" w:pos="1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Activision Blizzard, Inc. 2014 Incentive Plan, as may be amended from time to time.</w:t>
      </w:r>
    </w:p>
    <w:p>
      <w:pPr>
        <w:spacing w:after="0" w:line="225" w:lineRule="exact"/>
        <w:rPr>
          <w:rFonts w:ascii="Arial" w:cs="Arial" w:eastAsia="Arial" w:hAnsi="Arial"/>
          <w:sz w:val="18"/>
          <w:szCs w:val="18"/>
          <w:color w:val="auto"/>
        </w:rPr>
      </w:pPr>
    </w:p>
    <w:p>
      <w:pPr>
        <w:ind w:left="4" w:right="60" w:firstLine="645"/>
        <w:spacing w:after="0" w:line="258"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Plan</w:t>
      </w:r>
      <w:r>
        <w:rPr>
          <w:rFonts w:ascii="Arial" w:cs="Arial" w:eastAsia="Arial" w:hAnsi="Arial"/>
          <w:sz w:val="18"/>
          <w:szCs w:val="18"/>
          <w:color w:val="auto"/>
        </w:rPr>
        <w:t>” means any of the following: (i) Activision, Inc. 1998 Incentive Plan, as amended, (ii) Activision, Inc. 1999 Incentive Plan, as amended, (iii) Activision, Inc. 2001 Incentive Plan, as amended, (iv) Activision, Inc. 2002 Incentive Plan, as amended, (v) Activision, Inc. 2002 Executive Incentive Plan, as amended, (vi) Activision, Inc. 2002 Studio Employee Retention Incentive Plan, as amended, (vii) Activision, Inc. 2003 Incentive Plan, as amended, (viii) Activision, Inc. 2007 Incentive Plan; and (ix) Activision Blizzard, Inc. 2008 Incentive Plan, as amended and restated.</w:t>
      </w:r>
    </w:p>
    <w:p>
      <w:pPr>
        <w:spacing w:after="0" w:line="184" w:lineRule="exact"/>
        <w:rPr>
          <w:sz w:val="20"/>
          <w:szCs w:val="20"/>
          <w:color w:val="auto"/>
        </w:rPr>
      </w:pPr>
    </w:p>
    <w:p>
      <w:pPr>
        <w:ind w:left="1284" w:hanging="635"/>
        <w:spacing w:after="0"/>
        <w:tabs>
          <w:tab w:leader="none" w:pos="12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SAR</w:t>
      </w:r>
      <w:r>
        <w:rPr>
          <w:rFonts w:ascii="Arial" w:cs="Arial" w:eastAsia="Arial" w:hAnsi="Arial"/>
          <w:sz w:val="18"/>
          <w:szCs w:val="18"/>
          <w:color w:val="auto"/>
        </w:rPr>
        <w:t>” means a SAR granted pursuant to Section 5 that is granted in tandem with a Stock Option.</w:t>
      </w:r>
    </w:p>
    <w:p>
      <w:pPr>
        <w:spacing w:after="0" w:line="225" w:lineRule="exact"/>
        <w:rPr>
          <w:rFonts w:ascii="Arial" w:cs="Arial" w:eastAsia="Arial" w:hAnsi="Arial"/>
          <w:sz w:val="18"/>
          <w:szCs w:val="18"/>
          <w:color w:val="auto"/>
        </w:rPr>
      </w:pPr>
    </w:p>
    <w:p>
      <w:pPr>
        <w:ind w:left="4" w:right="520" w:firstLine="645"/>
        <w:spacing w:after="0" w:line="282" w:lineRule="auto"/>
        <w:tabs>
          <w:tab w:leader="none" w:pos="13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Shares</w:t>
      </w:r>
      <w:r>
        <w:rPr>
          <w:rFonts w:ascii="Arial" w:cs="Arial" w:eastAsia="Arial" w:hAnsi="Arial"/>
          <w:sz w:val="18"/>
          <w:szCs w:val="18"/>
          <w:color w:val="auto"/>
        </w:rPr>
        <w:t>” means Common Shares granted or sold pursuant to Section 6 as to which neither the substantial risk of forfeiture nor the prohibition on transfers has expired.</w:t>
      </w:r>
    </w:p>
    <w:p>
      <w:pPr>
        <w:spacing w:after="0" w:line="161" w:lineRule="exact"/>
        <w:rPr>
          <w:rFonts w:ascii="Arial" w:cs="Arial" w:eastAsia="Arial" w:hAnsi="Arial"/>
          <w:sz w:val="18"/>
          <w:szCs w:val="18"/>
          <w:color w:val="auto"/>
        </w:rPr>
      </w:pPr>
    </w:p>
    <w:p>
      <w:pPr>
        <w:ind w:left="4" w:right="140" w:firstLine="645"/>
        <w:spacing w:after="0" w:line="282" w:lineRule="auto"/>
        <w:tabs>
          <w:tab w:leader="none" w:pos="13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 Unit</w:t>
      </w:r>
      <w:r>
        <w:rPr>
          <w:rFonts w:ascii="Arial" w:cs="Arial" w:eastAsia="Arial" w:hAnsi="Arial"/>
          <w:sz w:val="18"/>
          <w:szCs w:val="18"/>
          <w:color w:val="auto"/>
        </w:rPr>
        <w:t>” means an award granted pursuant to Section 7 of the right to receive Common Shares or cash at the end of a specified period.</w:t>
      </w:r>
    </w:p>
    <w:p>
      <w:pPr>
        <w:spacing w:after="0" w:line="161" w:lineRule="exact"/>
        <w:rPr>
          <w:rFonts w:ascii="Arial" w:cs="Arial" w:eastAsia="Arial" w:hAnsi="Arial"/>
          <w:sz w:val="18"/>
          <w:szCs w:val="18"/>
          <w:color w:val="auto"/>
        </w:rPr>
      </w:pPr>
    </w:p>
    <w:p>
      <w:pPr>
        <w:ind w:left="4" w:right="620" w:firstLine="645"/>
        <w:spacing w:after="0" w:line="282" w:lineRule="auto"/>
        <w:tabs>
          <w:tab w:leader="none" w:pos="13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RSU Vesting Period</w:t>
      </w:r>
      <w:r>
        <w:rPr>
          <w:rFonts w:ascii="Arial" w:cs="Arial" w:eastAsia="Arial" w:hAnsi="Arial"/>
          <w:sz w:val="18"/>
          <w:szCs w:val="18"/>
          <w:color w:val="auto"/>
        </w:rPr>
        <w:t>” means the period of time during which Restricted Share Units are subject to deferral limitations, as provided in Section 7.</w:t>
      </w:r>
    </w:p>
    <w:p>
      <w:pPr>
        <w:spacing w:after="0" w:line="161" w:lineRule="exact"/>
        <w:rPr>
          <w:rFonts w:ascii="Arial" w:cs="Arial" w:eastAsia="Arial" w:hAnsi="Arial"/>
          <w:sz w:val="18"/>
          <w:szCs w:val="18"/>
          <w:color w:val="auto"/>
        </w:rPr>
      </w:pPr>
    </w:p>
    <w:p>
      <w:pPr>
        <w:ind w:left="4" w:right="280" w:firstLine="645"/>
        <w:spacing w:after="0" w:line="282" w:lineRule="auto"/>
        <w:tabs>
          <w:tab w:leader="none" w:pos="13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or “</w:t>
      </w:r>
      <w:r>
        <w:rPr>
          <w:rFonts w:ascii="Arial" w:cs="Arial" w:eastAsia="Arial" w:hAnsi="Arial"/>
          <w:sz w:val="18"/>
          <w:szCs w:val="18"/>
          <w:b w:val="1"/>
          <w:bCs w:val="1"/>
          <w:color w:val="auto"/>
        </w:rPr>
        <w:t>Share Appreciation Right</w:t>
      </w:r>
      <w:r>
        <w:rPr>
          <w:rFonts w:ascii="Arial" w:cs="Arial" w:eastAsia="Arial" w:hAnsi="Arial"/>
          <w:sz w:val="18"/>
          <w:szCs w:val="18"/>
          <w:color w:val="auto"/>
        </w:rPr>
        <w:t>” means a right granted pursuant to Section 5 to receive a percentage of the Spread upon exercise, and includes both Freestanding SARs and Related SARs.</w:t>
      </w:r>
    </w:p>
    <w:p>
      <w:pPr>
        <w:spacing w:after="0" w:line="161" w:lineRule="exact"/>
        <w:rPr>
          <w:rFonts w:ascii="Arial" w:cs="Arial" w:eastAsia="Arial" w:hAnsi="Arial"/>
          <w:sz w:val="18"/>
          <w:szCs w:val="18"/>
          <w:color w:val="auto"/>
        </w:rPr>
      </w:pPr>
    </w:p>
    <w:p>
      <w:pPr>
        <w:ind w:left="4" w:right="40" w:firstLine="645"/>
        <w:spacing w:after="0" w:line="282"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Executive Plan Bonus</w:t>
      </w:r>
      <w:r>
        <w:rPr>
          <w:rFonts w:ascii="Arial" w:cs="Arial" w:eastAsia="Arial" w:hAnsi="Arial"/>
          <w:sz w:val="18"/>
          <w:szCs w:val="18"/>
          <w:color w:val="auto"/>
        </w:rPr>
        <w:t>” means an award of annual incentive compensation made pursuant to and subject to the conditions set forth in Section 9.</w:t>
      </w:r>
    </w:p>
    <w:p>
      <w:pPr>
        <w:spacing w:after="0" w:line="161" w:lineRule="exact"/>
        <w:rPr>
          <w:rFonts w:ascii="Arial" w:cs="Arial" w:eastAsia="Arial" w:hAnsi="Arial"/>
          <w:sz w:val="18"/>
          <w:szCs w:val="18"/>
          <w:color w:val="auto"/>
        </w:rPr>
      </w:pPr>
    </w:p>
    <w:p>
      <w:pPr>
        <w:ind w:left="4" w:right="260" w:firstLine="645"/>
        <w:spacing w:after="0" w:line="282" w:lineRule="auto"/>
        <w:tabs>
          <w:tab w:leader="none" w:pos="13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Spread</w:t>
      </w:r>
      <w:r>
        <w:rPr>
          <w:rFonts w:ascii="Arial" w:cs="Arial" w:eastAsia="Arial" w:hAnsi="Arial"/>
          <w:sz w:val="18"/>
          <w:szCs w:val="18"/>
          <w:color w:val="auto"/>
        </w:rPr>
        <w:t>” means the excess of the Market Value per Share on the date when a SAR is exercised over the Exercise Price or Base Price provided for in the related Stock Option or Freestanding SAR, respectively.</w:t>
      </w:r>
    </w:p>
    <w:p>
      <w:pPr>
        <w:spacing w:after="0" w:line="161" w:lineRule="exact"/>
        <w:rPr>
          <w:rFonts w:ascii="Arial" w:cs="Arial" w:eastAsia="Arial" w:hAnsi="Arial"/>
          <w:sz w:val="18"/>
          <w:szCs w:val="18"/>
          <w:color w:val="auto"/>
        </w:rPr>
      </w:pPr>
    </w:p>
    <w:p>
      <w:pPr>
        <w:ind w:left="1304" w:hanging="655"/>
        <w:spacing w:after="0"/>
        <w:tabs>
          <w:tab w:leader="none" w:pos="1304"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Option</w:t>
      </w:r>
      <w:r>
        <w:rPr>
          <w:rFonts w:ascii="Arial" w:cs="Arial" w:eastAsia="Arial" w:hAnsi="Arial"/>
          <w:sz w:val="17"/>
          <w:szCs w:val="17"/>
          <w:color w:val="auto"/>
        </w:rPr>
        <w:t>” means the right to purchase Common Shares upon exercise of an option granted pursuant to Section 4.</w:t>
      </w:r>
    </w:p>
    <w:p>
      <w:pPr>
        <w:spacing w:after="0" w:line="236" w:lineRule="exact"/>
        <w:rPr>
          <w:rFonts w:ascii="Arial" w:cs="Arial" w:eastAsia="Arial" w:hAnsi="Arial"/>
          <w:sz w:val="17"/>
          <w:szCs w:val="17"/>
          <w:color w:val="auto"/>
        </w:rPr>
      </w:pPr>
    </w:p>
    <w:p>
      <w:pPr>
        <w:ind w:left="4" w:right="300" w:firstLine="645"/>
        <w:spacing w:after="0" w:line="273" w:lineRule="auto"/>
        <w:tabs>
          <w:tab w:leader="none" w:pos="1331"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 corporation, company or other entity (i) at least 50 percent of whose outstanding shares or securities (representing the right to vote for the election of directors or other managing authority) are, or (ii) which does not have outstanding shares or securities (as may be the case in a partnership, joint venture or unincorporated association), but at least 50 percent of whose ownership interests representing the right generally to make decisions for such other entity are, now or hereafter, owned or controlled, directly or indirectly, by the Company, except that for purposes of determining whether any person may be a Participant for purposes of any grant of Incentive Stock Options, “Subsidiary” means any corporation in which at the time the Company owns or controls, directly or indirectly, at least 50 percent of the total combined voting power represented by all classes of stock issued by such corporation.</w:t>
      </w:r>
    </w:p>
    <w:p>
      <w:pPr>
        <w:spacing w:after="0" w:line="172" w:lineRule="exact"/>
        <w:rPr>
          <w:rFonts w:ascii="Arial" w:cs="Arial" w:eastAsia="Arial" w:hAnsi="Arial"/>
          <w:sz w:val="17"/>
          <w:szCs w:val="17"/>
          <w:color w:val="auto"/>
        </w:rPr>
      </w:pPr>
    </w:p>
    <w:p>
      <w:pPr>
        <w:ind w:left="644" w:hanging="644"/>
        <w:spacing w:after="0"/>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Shares Available Under the Plan.</w:t>
      </w:r>
    </w:p>
    <w:p>
      <w:pPr>
        <w:spacing w:after="0" w:line="229" w:lineRule="exact"/>
        <w:rPr>
          <w:rFonts w:ascii="Arial" w:cs="Arial" w:eastAsia="Arial" w:hAnsi="Arial"/>
          <w:sz w:val="18"/>
          <w:szCs w:val="18"/>
          <w:color w:val="auto"/>
        </w:rPr>
      </w:pPr>
    </w:p>
    <w:p>
      <w:pPr>
        <w:ind w:left="4" w:right="420" w:firstLine="645"/>
        <w:spacing w:after="0" w:line="312" w:lineRule="auto"/>
        <w:tabs>
          <w:tab w:leader="none" w:pos="1297" w:val="left"/>
        </w:tabs>
        <w:numPr>
          <w:ilvl w:val="1"/>
          <w:numId w:val="17"/>
        </w:numPr>
        <w:rPr>
          <w:rFonts w:ascii="Arial" w:cs="Arial" w:eastAsia="Arial" w:hAnsi="Arial"/>
          <w:sz w:val="16"/>
          <w:szCs w:val="16"/>
          <w:color w:val="auto"/>
        </w:rPr>
      </w:pPr>
      <w:r>
        <w:rPr>
          <w:rFonts w:ascii="Arial" w:cs="Arial" w:eastAsia="Arial" w:hAnsi="Arial"/>
          <w:sz w:val="16"/>
          <w:szCs w:val="16"/>
          <w:color w:val="auto"/>
        </w:rPr>
        <w:t>Subject to adjustment as provided in Section 12, the number of Common Shares that may be issued or transferred (i) upon the exercise of Stock Options, (ii) in payment of SARs, (iii) as Restricted Shares, (iv) in payment of Restricted Share Units, (v) in payment of Performance Shares or Performance Units, (vi) in payment of Senior Executive Bonuses, (vii) as or pursuant to Awards contemplated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168910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Section 10, or (viii) in payment of dividend equivalents paid with respect to Awards made under the Plan will not exceed in the aggregate 46,000,000 Common Shares, which maximum number will be increased by the following: (A) the number of shares relating to awards outstanding under any Prior Plan as of the Effective Date that (1) expire, or are forfeited, terminated or cancelled without the issuance of shares, (2) are settled in cash in lieu of shares, or (3) are exchanged with the Committee’s permission, prior to the issuance of Common Shares, for awards not involving Common Shares; (B) if the exercise price of any stock option outstanding under any Prior Plan as of the Effective Date is, or the tax withholding requirements with respect to any award outstanding under any Prior Plan as of the Effective Date are, satisfied by withholding shares otherwise then deliverable in respect of the award or the actual or constructive transfer to the Company of shares already owned, the number of shares equal to the withheld or transferred shares; and (C) if a share appreciation right under any Prior Plan as of the Effective Date is exercised and settled in Common Shares, a number of shares equal to the difference between the total number of shares for which the share appreciation right was exercised and the number of shares actually issued or transferred.</w:t>
      </w:r>
    </w:p>
    <w:p>
      <w:pPr>
        <w:spacing w:after="0" w:line="178" w:lineRule="exact"/>
        <w:rPr>
          <w:sz w:val="20"/>
          <w:szCs w:val="20"/>
          <w:color w:val="auto"/>
        </w:rPr>
      </w:pPr>
    </w:p>
    <w:p>
      <w:pPr>
        <w:ind w:left="4" w:right="60" w:firstLine="645"/>
        <w:spacing w:after="0" w:line="287" w:lineRule="auto"/>
        <w:tabs>
          <w:tab w:leader="none" w:pos="13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 the Plan, (i) if all or any portion of an Award expires, or is forfeited, terminated or cancelled, without the issuance of Common Shares, or is settled in cash in lieu of Common Shares, or is exchanged with the Committee’s permission, prior to the issuance of Common Shares, for an Award not involving Common Shares, the number of Common Shares expired, forfeited, terminated or cancelled, or settled or exchanged, as the case may be, will again be available for issuance or transfer under the Plan; (ii) if the Exercise Price of any Stock Option is, or the tax withholding requirements with respect to any Award are, satisfied through the withholding by the Company of shares otherwise then deliverable in respect of such Award or actual or constructive transfer to the Company of shares already owned, a number of shares equal to such withheld or transferred shares will again be available for issuance or transfer under the Plan; and (iii) if a SAR is exercised and settled in Common Shares, a number of shares equal to the difference between the total number of shares for which the SAR was exercised and the number of shares actually issued or transferred will again be available for issuance or transfer under the Plan, with the result being that only the number of Common Shares actually issued or transferred upon exercise of the SAR are counted against the maximum number of Common Shares available for issuance or transfer under the Plan. Shares utilized under the Plan may be shares of original issuance or treasury shares or a combination of the foregoing.</w:t>
      </w:r>
    </w:p>
    <w:p>
      <w:pPr>
        <w:sectPr>
          <w:pgSz w:w="11900" w:h="16838" w:orient="portrait"/>
          <w:cols w:equalWidth="0" w:num="1">
            <w:col w:w="10764"/>
          </w:cols>
          <w:pgMar w:left="896" w:top="729" w:right="239" w:bottom="0" w:gutter="0" w:footer="0" w:header="0"/>
        </w:sectPr>
      </w:pPr>
    </w:p>
    <w:bookmarkStart w:id="10" w:name="page11"/>
    <w:bookmarkEnd w:id="10"/>
    <w:p>
      <w:pPr>
        <w:spacing w:after="0" w:line="105" w:lineRule="exact"/>
        <w:rPr>
          <w:sz w:val="20"/>
          <w:szCs w:val="20"/>
          <w:color w:val="auto"/>
        </w:rPr>
      </w:pPr>
    </w:p>
    <w:p>
      <w:pPr>
        <w:ind w:left="1304" w:hanging="655"/>
        <w:spacing w:after="0"/>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and subject to adjustment as provided in Section 12:</w:t>
      </w:r>
    </w:p>
    <w:p>
      <w:pPr>
        <w:spacing w:after="0" w:line="225" w:lineRule="exact"/>
        <w:rPr>
          <w:sz w:val="20"/>
          <w:szCs w:val="20"/>
          <w:color w:val="auto"/>
        </w:rPr>
      </w:pPr>
    </w:p>
    <w:p>
      <w:pPr>
        <w:ind w:left="1304" w:right="200" w:hanging="655"/>
        <w:spacing w:after="0" w:line="277" w:lineRule="auto"/>
        <w:tabs>
          <w:tab w:leader="none" w:pos="12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Common Shares actually issued or transferred by the Company upon the exercise of Incentive Stock Options will not exceed 44,000,000.</w:t>
      </w:r>
    </w:p>
    <w:p>
      <w:pPr>
        <w:spacing w:after="0" w:line="170" w:lineRule="exact"/>
        <w:rPr>
          <w:rFonts w:ascii="Arial" w:cs="Arial" w:eastAsia="Arial" w:hAnsi="Arial"/>
          <w:sz w:val="18"/>
          <w:szCs w:val="18"/>
          <w:color w:val="auto"/>
        </w:rPr>
      </w:pPr>
    </w:p>
    <w:p>
      <w:pPr>
        <w:ind w:left="1304" w:right="440" w:hanging="655"/>
        <w:spacing w:after="0" w:line="277" w:lineRule="auto"/>
        <w:tabs>
          <w:tab w:leader="none" w:pos="12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issuable or transferable in respect of Stock Options and SARs granted to any one Participant in a single Fiscal Year may not exceed 4,000,000 in the aggregate.</w:t>
      </w:r>
    </w:p>
    <w:p>
      <w:pPr>
        <w:spacing w:after="0" w:line="170" w:lineRule="exact"/>
        <w:rPr>
          <w:rFonts w:ascii="Arial" w:cs="Arial" w:eastAsia="Arial" w:hAnsi="Arial"/>
          <w:sz w:val="18"/>
          <w:szCs w:val="18"/>
          <w:color w:val="auto"/>
        </w:rPr>
      </w:pPr>
    </w:p>
    <w:p>
      <w:pPr>
        <w:ind w:left="1304" w:right="220" w:hanging="655"/>
        <w:spacing w:after="0" w:line="264" w:lineRule="auto"/>
        <w:tabs>
          <w:tab w:leader="none" w:pos="13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(A) Restricted Shares granted to any one Participant in a single Fiscal Year and (B) Common Shares issuable or transferable in respect of Restricted Share Units granted to such Participant in such Fiscal Year, may not exceed 3,000,000 in the aggregate.</w:t>
      </w:r>
    </w:p>
    <w:p>
      <w:pPr>
        <w:spacing w:after="0" w:line="181" w:lineRule="exact"/>
        <w:rPr>
          <w:rFonts w:ascii="Arial" w:cs="Arial" w:eastAsia="Arial" w:hAnsi="Arial"/>
          <w:sz w:val="18"/>
          <w:szCs w:val="18"/>
          <w:color w:val="auto"/>
        </w:rPr>
      </w:pPr>
    </w:p>
    <w:p>
      <w:pPr>
        <w:ind w:left="1304" w:right="680" w:hanging="655"/>
        <w:spacing w:after="0" w:line="277" w:lineRule="auto"/>
        <w:tabs>
          <w:tab w:leader="none" w:pos="12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Performance Shares granted to any one Participant in a single Fiscal Year may not exceed 6,000,000 in the aggregate.</w:t>
      </w:r>
    </w:p>
    <w:p>
      <w:pPr>
        <w:spacing w:after="0" w:line="170" w:lineRule="exact"/>
        <w:rPr>
          <w:rFonts w:ascii="Arial" w:cs="Arial" w:eastAsia="Arial" w:hAnsi="Arial"/>
          <w:sz w:val="18"/>
          <w:szCs w:val="18"/>
          <w:color w:val="auto"/>
        </w:rPr>
      </w:pPr>
    </w:p>
    <w:p>
      <w:pPr>
        <w:ind w:left="1304" w:right="120" w:hanging="655"/>
        <w:spacing w:after="0" w:line="277" w:lineRule="auto"/>
        <w:tabs>
          <w:tab w:leader="none" w:pos="12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Performance Units granted to any one Participant in a single Fiscal Year may not exceed $6,000,000 in the aggregate (with the value of any such award to be determined as of the date of such award).</w:t>
      </w:r>
    </w:p>
    <w:p>
      <w:pPr>
        <w:spacing w:after="0" w:line="170" w:lineRule="exact"/>
        <w:rPr>
          <w:rFonts w:ascii="Arial" w:cs="Arial" w:eastAsia="Arial" w:hAnsi="Arial"/>
          <w:sz w:val="18"/>
          <w:szCs w:val="18"/>
          <w:color w:val="auto"/>
        </w:rPr>
      </w:pPr>
    </w:p>
    <w:p>
      <w:pPr>
        <w:ind w:left="1304" w:right="780" w:hanging="655"/>
        <w:spacing w:after="0" w:line="277" w:lineRule="auto"/>
        <w:tabs>
          <w:tab w:leader="none" w:pos="12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any Senior Executive Plan Bonuses paid to any one Participant for any single Fiscal Year may not exceed $10,000,000 in the aggregate.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1304" w:right="320" w:hanging="655"/>
        <w:spacing w:after="0" w:line="302" w:lineRule="auto"/>
        <w:tabs>
          <w:tab w:leader="none" w:pos="13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Common Shares issuable or transferable in respect of Awards contemplated by Section 10 granted to any one Participant in a single Fiscal Year may not exceed 3,000,000 in the aggregate. The value of any Awards contemplated by Section 10 that do not involve the issuance or transfer of Common Shares granted to any one Participant in a single Fiscal Year may not exceed $6,000,000 in the aggregate (with the value of any such award to be determined as of the date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-966470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34" w:lineRule="exact"/>
        <w:rPr>
          <w:sz w:val="20"/>
          <w:szCs w:val="20"/>
          <w:color w:val="auto"/>
        </w:rPr>
      </w:pPr>
    </w:p>
    <w:p>
      <w:pPr>
        <w:jc w:val="both"/>
        <w:ind w:left="4" w:right="40" w:firstLine="645"/>
        <w:spacing w:after="0" w:line="264" w:lineRule="auto"/>
        <w:tabs>
          <w:tab w:leader="none" w:pos="13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Subject to the rules and regulations of any securities exchange, association or quotation system on which Common Shares are then listed or quoted, if a Participant has elected to give up the right to receive compensation in exchange for Common Shares based on fair market value, such Common Shares will not count against the number of shares available in Section 3(a) above.</w:t>
      </w:r>
    </w:p>
    <w:p>
      <w:pPr>
        <w:spacing w:after="0" w:line="177" w:lineRule="exact"/>
        <w:rPr>
          <w:rFonts w:ascii="Arial" w:cs="Arial" w:eastAsia="Arial" w:hAnsi="Arial"/>
          <w:sz w:val="18"/>
          <w:szCs w:val="18"/>
          <w:color w:val="auto"/>
        </w:rPr>
      </w:pPr>
    </w:p>
    <w:p>
      <w:pPr>
        <w:ind w:left="-656" w:firstLine="656"/>
        <w:spacing w:after="0" w:line="26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Committee may, from time to time and upon such terms and conditions as it may determine, authorize the grant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of options to purchase Common Shares. Each such grant may utilize any or all of the authorizations, and will be subject to all of the requirements, contained in the following provisions:</w:t>
      </w:r>
    </w:p>
    <w:p>
      <w:pPr>
        <w:spacing w:after="0" w:line="180" w:lineRule="exact"/>
        <w:rPr>
          <w:rFonts w:ascii="Arial" w:cs="Arial" w:eastAsia="Arial" w:hAnsi="Arial"/>
          <w:sz w:val="18"/>
          <w:szCs w:val="18"/>
          <w:color w:val="auto"/>
        </w:rPr>
      </w:pPr>
    </w:p>
    <w:p>
      <w:pPr>
        <w:ind w:left="1284" w:hanging="635"/>
        <w:spacing w:after="0"/>
        <w:tabs>
          <w:tab w:leader="none" w:pos="12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grant will specify the number of Common Shares to which it pertains.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grant will specify an Exercise Price per share, which may not be less than the Market Value per Share on the Date of Grant.</w:t>
      </w:r>
    </w:p>
    <w:p>
      <w:pPr>
        <w:spacing w:after="0" w:line="248" w:lineRule="exact"/>
        <w:rPr>
          <w:rFonts w:ascii="Arial" w:cs="Arial" w:eastAsia="Arial" w:hAnsi="Arial"/>
          <w:sz w:val="16"/>
          <w:szCs w:val="16"/>
          <w:color w:val="auto"/>
        </w:rPr>
      </w:pPr>
    </w:p>
    <w:p>
      <w:pPr>
        <w:ind w:left="4" w:right="180" w:firstLine="645"/>
        <w:spacing w:after="0" w:line="276" w:lineRule="auto"/>
        <w:tabs>
          <w:tab w:leader="none" w:pos="1311" w:val="left"/>
        </w:tabs>
        <w:numPr>
          <w:ilvl w:val="1"/>
          <w:numId w:val="22"/>
        </w:numPr>
        <w:rPr>
          <w:rFonts w:ascii="Arial" w:cs="Arial" w:eastAsia="Arial" w:hAnsi="Arial"/>
          <w:sz w:val="17"/>
          <w:szCs w:val="17"/>
          <w:color w:val="auto"/>
        </w:rPr>
      </w:pPr>
      <w:r>
        <w:rPr>
          <w:rFonts w:ascii="Arial" w:cs="Arial" w:eastAsia="Arial" w:hAnsi="Arial"/>
          <w:sz w:val="17"/>
          <w:szCs w:val="17"/>
          <w:color w:val="auto"/>
        </w:rPr>
        <w:t>Each grant may specify that the Exercise Price will be payable (i) by bank check or certified check or by wire transfer of immediately available funds, (ii) through the delivery of irrevocable instructions, in form acceptable to the Company, to a brokerage firm approved by the Optionee to sell some or all of the Common Shares being purchased upon such exercise and to thereafter deliver promptly to the Company from the proceeds of such sale an amount in cash equal to the aggregate Exercise Price of the Common Shares being purchased, (iii) by a combination of such methods of payment, or (iv) by such other methods as may be approved by the Committee.</w:t>
      </w:r>
    </w:p>
    <w:p>
      <w:pPr>
        <w:spacing w:after="0" w:line="172" w:lineRule="exact"/>
        <w:rPr>
          <w:rFonts w:ascii="Arial" w:cs="Arial" w:eastAsia="Arial" w:hAnsi="Arial"/>
          <w:sz w:val="17"/>
          <w:szCs w:val="17"/>
          <w:color w:val="auto"/>
        </w:rPr>
      </w:pPr>
    </w:p>
    <w:p>
      <w:pPr>
        <w:ind w:left="4" w:right="240" w:firstLine="645"/>
        <w:spacing w:after="0" w:line="277" w:lineRule="auto"/>
        <w:tabs>
          <w:tab w:leader="none" w:pos="13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Successive grants may be made to the same Participant whether or not any Stock Options previously granted to such Participant remain unexercised.</w:t>
      </w:r>
    </w:p>
    <w:p>
      <w:pPr>
        <w:spacing w:after="0" w:line="170" w:lineRule="exact"/>
        <w:rPr>
          <w:rFonts w:ascii="Arial" w:cs="Arial" w:eastAsia="Arial" w:hAnsi="Arial"/>
          <w:sz w:val="18"/>
          <w:szCs w:val="18"/>
          <w:color w:val="auto"/>
        </w:rPr>
      </w:pPr>
    </w:p>
    <w:p>
      <w:pPr>
        <w:ind w:left="4" w:right="80" w:firstLine="645"/>
        <w:spacing w:after="0" w:line="279" w:lineRule="auto"/>
        <w:tabs>
          <w:tab w:leader="none" w:pos="1311" w:val="left"/>
        </w:tabs>
        <w:numPr>
          <w:ilvl w:val="1"/>
          <w:numId w:val="22"/>
        </w:numPr>
        <w:rPr>
          <w:rFonts w:ascii="Arial" w:cs="Arial" w:eastAsia="Arial" w:hAnsi="Arial"/>
          <w:sz w:val="17"/>
          <w:szCs w:val="17"/>
          <w:color w:val="auto"/>
        </w:rPr>
      </w:pPr>
      <w:r>
        <w:rPr>
          <w:rFonts w:ascii="Arial" w:cs="Arial" w:eastAsia="Arial" w:hAnsi="Arial"/>
          <w:sz w:val="17"/>
          <w:szCs w:val="17"/>
          <w:color w:val="auto"/>
        </w:rPr>
        <w:t>Each grant will specify the period or periods of continuous employment or other service by the Optionee with the Company or a Subsidiary that is necessary before the Stock Options or installments thereof will become exercisable. A grant of Stock Options may provide for the accelerated vesting and exercisability of all or a portion of such Stock Options in the event of the retirement, death, disability or other termination of the Optionee’s service or a change of control of the Company or a Subsidiary (or other similar transaction or event).</w:t>
      </w:r>
    </w:p>
    <w:p>
      <w:pPr>
        <w:spacing w:after="0" w:line="171" w:lineRule="exact"/>
        <w:rPr>
          <w:rFonts w:ascii="Arial" w:cs="Arial" w:eastAsia="Arial" w:hAnsi="Arial"/>
          <w:sz w:val="17"/>
          <w:szCs w:val="17"/>
          <w:color w:val="auto"/>
        </w:rPr>
      </w:pPr>
    </w:p>
    <w:p>
      <w:pPr>
        <w:ind w:left="4" w:right="160" w:firstLine="645"/>
        <w:spacing w:after="0" w:line="277" w:lineRule="auto"/>
        <w:tabs>
          <w:tab w:leader="none" w:pos="13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grant of Stock Options may specify Management Objectives or other performance criteria that must be achieved as a condition to the exercise of such rights or that may result in the accelerated exercisability of such rights.</w:t>
      </w:r>
    </w:p>
    <w:p>
      <w:pPr>
        <w:spacing w:after="0" w:line="170" w:lineRule="exact"/>
        <w:rPr>
          <w:rFonts w:ascii="Arial" w:cs="Arial" w:eastAsia="Arial" w:hAnsi="Arial"/>
          <w:sz w:val="18"/>
          <w:szCs w:val="18"/>
          <w:color w:val="auto"/>
        </w:rPr>
      </w:pPr>
    </w:p>
    <w:p>
      <w:pPr>
        <w:ind w:left="4" w:right="220" w:firstLine="645"/>
        <w:spacing w:after="0" w:line="277" w:lineRule="auto"/>
        <w:tabs>
          <w:tab w:leader="none" w:pos="13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Stock Options may be (i) options that are intended to qualify under the Code as Incentive Stock Options, (ii) options that are not intended to so qualify, or (iii) combinations of the foregoing.</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exercise of a Stock Option will result in the cancellation on a share- for-share basis of any Related SAR authorized under</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Section 5.</w:t>
      </w:r>
    </w:p>
    <w:p>
      <w:pPr>
        <w:spacing w:after="0" w:line="210" w:lineRule="exact"/>
        <w:rPr>
          <w:rFonts w:ascii="Arial" w:cs="Arial" w:eastAsia="Arial" w:hAnsi="Arial"/>
          <w:sz w:val="17"/>
          <w:szCs w:val="17"/>
          <w:color w:val="auto"/>
        </w:rPr>
      </w:pPr>
    </w:p>
    <w:p>
      <w:pPr>
        <w:ind w:left="1324" w:hanging="675"/>
        <w:spacing w:after="0"/>
        <w:tabs>
          <w:tab w:leader="none" w:pos="13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 Stock Option will be exercisable more than 10 years from the Date of Grant.</w:t>
      </w:r>
    </w:p>
    <w:p>
      <w:pPr>
        <w:spacing w:after="0" w:line="225" w:lineRule="exact"/>
        <w:rPr>
          <w:rFonts w:ascii="Arial" w:cs="Arial" w:eastAsia="Arial" w:hAnsi="Arial"/>
          <w:sz w:val="18"/>
          <w:szCs w:val="18"/>
          <w:color w:val="auto"/>
        </w:rPr>
      </w:pPr>
    </w:p>
    <w:p>
      <w:pPr>
        <w:ind w:left="4" w:right="140" w:firstLine="645"/>
        <w:spacing w:after="0" w:line="277" w:lineRule="auto"/>
        <w:tabs>
          <w:tab w:leader="none" w:pos="13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grant of Stock Options will be evidenced by an Evidence of Award. Each Evidence of Award will be subject to the Plan and will contain such terms and provisions, consistent with the Plan, as the Committee may approve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656" w:right="20" w:firstLine="656"/>
        <w:spacing w:after="0" w:line="303"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SARs. </w:t>
      </w:r>
      <w:r>
        <w:rPr>
          <w:rFonts w:ascii="Arial" w:cs="Arial" w:eastAsia="Arial" w:hAnsi="Arial"/>
          <w:sz w:val="16"/>
          <w:szCs w:val="16"/>
          <w:color w:val="auto"/>
        </w:rPr>
        <w:t>The Committee may also authorize the grant to any Optionee of Related SARs in respect of Stock Options granted hereunder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 to any Participant of Freestanding SARs. A Related SAR will be a right of the Optionee, exercisable by surrender of the related Stock Option, to receive from the Company an amount determined by the Committee, which will be expressed as a percentage of the Spread (not exceeding 100 percent) at the time of exercise. Related SARs must be granted concurrently with the related Stock Option. A Freestanding SAR will be a right of the Participant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-965835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44" w:orient="portrait"/>
          <w:cols w:equalWidth="0" w:num="1">
            <w:col w:w="10764"/>
          </w:cols>
          <w:pgMar w:left="896" w:top="125" w:right="239" w:bottom="0" w:gutter="0" w:footer="0" w:header="0"/>
        </w:sectPr>
      </w:pPr>
    </w:p>
    <w:bookmarkStart w:id="11" w:name="page12"/>
    <w:bookmarkEnd w:id="11"/>
    <w:p>
      <w:pPr>
        <w:spacing w:after="0" w:line="69"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from the Company an amount determined by the Committee, which will be expressed as a percentage of the Spread (not exceeding 100 percent) at the time of exercise. Each grant of SARs may utilize any or all of the authorizations, and will be subject to all of the requirements, contained in the following provisions:</w:t>
      </w:r>
    </w:p>
    <w:p>
      <w:pPr>
        <w:spacing w:after="0" w:line="124" w:lineRule="exact"/>
        <w:rPr>
          <w:sz w:val="20"/>
          <w:szCs w:val="20"/>
          <w:color w:val="auto"/>
        </w:rPr>
      </w:pPr>
    </w:p>
    <w:p>
      <w:pPr>
        <w:ind w:left="1940" w:hanging="635"/>
        <w:spacing w:after="0"/>
        <w:tabs>
          <w:tab w:leader="none" w:pos="1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grant will specify the number of Common Shares to which it pertains.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grant of Freestanding SARs will specify the Base Price, which may not be less than the Market Value per Share on the Date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10" w:lineRule="exact"/>
        <w:rPr>
          <w:rFonts w:ascii="Arial" w:cs="Arial" w:eastAsia="Arial" w:hAnsi="Arial"/>
          <w:sz w:val="16"/>
          <w:szCs w:val="16"/>
          <w:color w:val="auto"/>
        </w:rPr>
      </w:pPr>
    </w:p>
    <w:p>
      <w:pPr>
        <w:ind w:left="660" w:right="100" w:firstLine="645"/>
        <w:spacing w:after="0" w:line="277" w:lineRule="auto"/>
        <w:tabs>
          <w:tab w:leader="none" w:pos="1967" w:val="left"/>
        </w:tabs>
        <w:numPr>
          <w:ilvl w:val="1"/>
          <w:numId w:val="23"/>
        </w:numPr>
        <w:rPr>
          <w:rFonts w:ascii="Arial" w:cs="Arial" w:eastAsia="Arial" w:hAnsi="Arial"/>
          <w:sz w:val="18"/>
          <w:szCs w:val="18"/>
          <w:color w:val="auto"/>
        </w:rPr>
      </w:pPr>
      <w:r>
        <w:rPr>
          <w:rFonts w:ascii="Arial" w:cs="Arial" w:eastAsia="Arial" w:hAnsi="Arial"/>
          <w:sz w:val="18"/>
          <w:szCs w:val="18"/>
          <w:color w:val="auto"/>
        </w:rPr>
        <w:t>Upon exercise, each SAR will be payable in Common Shares having an aggregate Market Value per Share equal to the Spread (or the designated percentage of the Spread).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grant may specify that the amount payable on exercise of a SAR may not exceed a maximum specified by the Committee at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Date of Grant.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grant may specify waiting periods before exercise and permissible exercise dates or periods.</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196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grant may specify that the exercisability of a SAR may be conditioned on, or may be accelerated in whole or in part in the event of, the retirement, death, disability or other termination of the Participant’s service or a change of control of the Company or a Subsidiary (or other similar transaction or event).</w:t>
      </w:r>
    </w:p>
    <w:p>
      <w:pPr>
        <w:spacing w:after="0" w:line="181" w:lineRule="exact"/>
        <w:rPr>
          <w:rFonts w:ascii="Arial" w:cs="Arial" w:eastAsia="Arial" w:hAnsi="Arial"/>
          <w:sz w:val="18"/>
          <w:szCs w:val="18"/>
          <w:color w:val="auto"/>
        </w:rPr>
      </w:pPr>
    </w:p>
    <w:p>
      <w:pPr>
        <w:ind w:left="660" w:right="280" w:firstLine="645"/>
        <w:spacing w:after="0" w:line="277" w:lineRule="auto"/>
        <w:tabs>
          <w:tab w:leader="none" w:pos="19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grant of SARs may specify Management Objectives or other performance criteria that must be achieved as a condition of the exercise of such SARs or that may result in the accelerated exercisability of such SARs.</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grant of SARs will be evidenced by an Evidence of Award, which Evidence of Award will describe such SARs, identify the related Stock Options (if applicable), and contain such other terms and provisions, consistent with the Plan, as the Committee may approve from time to time.</w:t>
      </w:r>
    </w:p>
    <w:p>
      <w:pPr>
        <w:spacing w:after="0" w:line="181" w:lineRule="exact"/>
        <w:rPr>
          <w:rFonts w:ascii="Arial" w:cs="Arial" w:eastAsia="Arial" w:hAnsi="Arial"/>
          <w:sz w:val="18"/>
          <w:szCs w:val="18"/>
          <w:color w:val="auto"/>
        </w:rPr>
      </w:pPr>
    </w:p>
    <w:p>
      <w:pPr>
        <w:ind w:left="660" w:firstLine="645"/>
        <w:spacing w:after="0" w:line="312" w:lineRule="auto"/>
        <w:tabs>
          <w:tab w:leader="none" w:pos="19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grant of Related SARs will provide that such Related SARs may be exercised only at a time when the related Stock Option is also exercisable and at a time when the Spread is positive, and by surrender of the related Stock Option for cancellation. Successive grants of Related SARs may be made to the same Participant regardless of whether any Related SARs previously granted to the Participant remain unexercised.</w:t>
      </w:r>
    </w:p>
    <w:p>
      <w:pPr>
        <w:spacing w:after="0" w:line="146" w:lineRule="exact"/>
        <w:rPr>
          <w:rFonts w:ascii="Arial" w:cs="Arial" w:eastAsia="Arial" w:hAnsi="Arial"/>
          <w:sz w:val="16"/>
          <w:szCs w:val="16"/>
          <w:color w:val="auto"/>
        </w:rPr>
      </w:pPr>
    </w:p>
    <w:p>
      <w:pPr>
        <w:ind w:left="660" w:right="520" w:firstLine="645"/>
        <w:spacing w:after="0" w:line="277" w:lineRule="auto"/>
        <w:tabs>
          <w:tab w:leader="none" w:pos="19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Successive grants of Freestanding SARs may be made to the same Participant regardless of whether any Freestanding SARs previously granted to the Participant remain unexercised.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Freestanding SAR granted under the Plan may be exercised more than 10 years from the Date of Grant.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6" w:lineRule="exact"/>
        <w:rPr>
          <w:rFonts w:ascii="Arial" w:cs="Arial" w:eastAsia="Arial" w:hAnsi="Arial"/>
          <w:sz w:val="18"/>
          <w:szCs w:val="18"/>
          <w:color w:val="auto"/>
        </w:rPr>
      </w:pPr>
    </w:p>
    <w:p>
      <w:pPr>
        <w:ind w:right="100" w:firstLine="656"/>
        <w:spacing w:after="0" w:line="258" w:lineRule="auto"/>
        <w:tabs>
          <w:tab w:leader="none" w:pos="129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Restricted Shares. </w:t>
      </w:r>
      <w:r>
        <w:rPr>
          <w:rFonts w:ascii="Arial" w:cs="Arial" w:eastAsia="Arial" w:hAnsi="Arial"/>
          <w:sz w:val="18"/>
          <w:szCs w:val="18"/>
          <w:color w:val="auto"/>
        </w:rPr>
        <w:t>The Committee may also authorize the grant or sale of Restricted Shares to Participants. Each such grant or sale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immediate transfer of the ownership of Common Shares to the Participant in consideration of the performance of services or other benefit to the Company, entitling such Participant to voting, dividend and other ownership rights, but subject to the substantial risk of forfeiture (within the meaning of Section 83 of the Code) and restrictions on transfer hereinafter referred to. Each such grant or sale may utilize any or all of the authorizations, and will be subject to all of the requirements, contained in the following provisions:</w:t>
      </w:r>
    </w:p>
    <w:p>
      <w:pPr>
        <w:spacing w:after="0" w:line="187" w:lineRule="exact"/>
        <w:rPr>
          <w:rFonts w:ascii="Arial" w:cs="Arial" w:eastAsia="Arial" w:hAnsi="Arial"/>
          <w:sz w:val="18"/>
          <w:szCs w:val="18"/>
          <w:color w:val="auto"/>
        </w:rPr>
      </w:pPr>
    </w:p>
    <w:p>
      <w:pPr>
        <w:ind w:left="1940" w:hanging="635"/>
        <w:spacing w:after="0"/>
        <w:tabs>
          <w:tab w:leader="none" w:pos="19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grant will specify the number of Common Shares to which it pertains.</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1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the Participant that is less than the Market Value per Share at the Date of Grant.</w:t>
      </w:r>
    </w:p>
    <w:p>
      <w:pPr>
        <w:spacing w:after="0" w:line="170" w:lineRule="exact"/>
        <w:rPr>
          <w:rFonts w:ascii="Arial" w:cs="Arial" w:eastAsia="Arial" w:hAnsi="Arial"/>
          <w:sz w:val="18"/>
          <w:szCs w:val="18"/>
          <w:color w:val="auto"/>
        </w:rPr>
      </w:pPr>
    </w:p>
    <w:p>
      <w:pPr>
        <w:ind w:left="660" w:right="160" w:firstLine="645"/>
        <w:spacing w:after="0" w:line="279" w:lineRule="auto"/>
        <w:tabs>
          <w:tab w:leader="none" w:pos="1967" w:val="left"/>
        </w:tabs>
        <w:numPr>
          <w:ilvl w:val="1"/>
          <w:numId w:val="24"/>
        </w:numPr>
        <w:rPr>
          <w:rFonts w:ascii="Arial" w:cs="Arial" w:eastAsia="Arial" w:hAnsi="Arial"/>
          <w:sz w:val="17"/>
          <w:szCs w:val="17"/>
          <w:color w:val="auto"/>
        </w:rPr>
      </w:pPr>
      <w:r>
        <w:rPr>
          <w:rFonts w:ascii="Arial" w:cs="Arial" w:eastAsia="Arial" w:hAnsi="Arial"/>
          <w:sz w:val="17"/>
          <w:szCs w:val="17"/>
          <w:color w:val="auto"/>
        </w:rPr>
        <w:t>Each such grant or sale will specify the period or periods of continuous employment or other service by the Participant with the Company or a Subsidiary (or other risk of forfeiture) that must be satisfied before the restrictions specified pursuant to this Section 6 will lapse and the Restricted Shares will become vested, and/or may provide that all or a portion of the restrictions on the Restricted Shares will lapse upon the achievement of Management Objectives or other performance criteria (as provided in Section 6(e) below).</w:t>
      </w:r>
    </w:p>
    <w:p>
      <w:pPr>
        <w:spacing w:after="0" w:line="171" w:lineRule="exact"/>
        <w:rPr>
          <w:rFonts w:ascii="Arial" w:cs="Arial" w:eastAsia="Arial" w:hAnsi="Arial"/>
          <w:sz w:val="17"/>
          <w:szCs w:val="17"/>
          <w:color w:val="auto"/>
        </w:rPr>
      </w:pPr>
    </w:p>
    <w:p>
      <w:pPr>
        <w:ind w:left="660" w:firstLine="645"/>
        <w:spacing w:after="0" w:line="259" w:lineRule="auto"/>
        <w:tabs>
          <w:tab w:leader="none" w:pos="1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such grant or sale will provide that, during the period for which the risk of forfeiture continues, the transferability of the Restricted Shares will be prohibited or restricted in the manner and to the extent prescribed by the Committee at the Date of Grant (which restrictions may include, without limitation, rights of repurchase or first refusal in the Company or provisions subjecting the Restricted Shares to a continuing substantial risk of forfeiture in the hands of any transferee).</w:t>
      </w:r>
    </w:p>
    <w:p>
      <w:pPr>
        <w:spacing w:after="0" w:line="186" w:lineRule="exact"/>
        <w:rPr>
          <w:rFonts w:ascii="Arial" w:cs="Arial" w:eastAsia="Arial" w:hAnsi="Arial"/>
          <w:sz w:val="18"/>
          <w:szCs w:val="18"/>
          <w:color w:val="auto"/>
        </w:rPr>
      </w:pPr>
    </w:p>
    <w:p>
      <w:pPr>
        <w:ind w:left="660" w:right="40" w:firstLine="645"/>
        <w:spacing w:after="0" w:line="257" w:lineRule="auto"/>
        <w:tabs>
          <w:tab w:leader="none" w:pos="196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grant of Restricted Shares may specify Management Objectives or other performance criteria that, if achieved, will result in the lapse or early lapse of the restrictions applicable to all or a portion of such Restricted Shares. Each grant may specify in respect of such Management Objectives or other performance criteria a minimum acceptable level of achievement and may set forth a formula for determining the number of Restricted Shares with respect to which restrictions will lapse if performance is at or above the minimum level, but falls short of maximum achievement of the specified Management Objectives or criteria.</w:t>
      </w:r>
    </w:p>
    <w:p>
      <w:pPr>
        <w:spacing w:after="0" w:line="188" w:lineRule="exact"/>
        <w:rPr>
          <w:rFonts w:ascii="Arial" w:cs="Arial" w:eastAsia="Arial" w:hAnsi="Arial"/>
          <w:sz w:val="18"/>
          <w:szCs w:val="18"/>
          <w:color w:val="auto"/>
        </w:rPr>
      </w:pPr>
    </w:p>
    <w:p>
      <w:pPr>
        <w:ind w:left="660" w:right="580" w:firstLine="645"/>
        <w:spacing w:after="0" w:line="312" w:lineRule="auto"/>
        <w:tabs>
          <w:tab w:leader="none" w:pos="1961"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Plan, a grant or sale of Restricted Shares may provide for the acceleration in whole or in part of the lapse of the restrictions on the Restricted Shares in the event of the retirement, death, disability or other termination of the Participant’s service or a change of control of the Company or a Subsidiary (or other similar transaction or event).</w:t>
      </w:r>
    </w:p>
    <w:p>
      <w:pPr>
        <w:spacing w:after="0" w:line="146" w:lineRule="exact"/>
        <w:rPr>
          <w:rFonts w:ascii="Arial" w:cs="Arial" w:eastAsia="Arial" w:hAnsi="Arial"/>
          <w:sz w:val="16"/>
          <w:szCs w:val="16"/>
          <w:color w:val="auto"/>
        </w:rPr>
      </w:pPr>
    </w:p>
    <w:p>
      <w:pPr>
        <w:ind w:left="660" w:right="120" w:firstLine="645"/>
        <w:spacing w:after="0" w:line="264" w:lineRule="auto"/>
        <w:tabs>
          <w:tab w:leader="none" w:pos="19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grant or sale of Restricted Shares may require that any or all dividends or other distributions paid thereon during the period of such restrictions be automatically deferred and reinvested in additional shares of Restricted Shares, which may be subject to the same restrictions as the underlying Award.</w:t>
      </w:r>
    </w:p>
    <w:p>
      <w:pPr>
        <w:spacing w:after="0" w:line="181" w:lineRule="exact"/>
        <w:rPr>
          <w:rFonts w:ascii="Arial" w:cs="Arial" w:eastAsia="Arial" w:hAnsi="Arial"/>
          <w:sz w:val="18"/>
          <w:szCs w:val="18"/>
          <w:color w:val="auto"/>
        </w:rPr>
      </w:pPr>
    </w:p>
    <w:p>
      <w:pPr>
        <w:ind w:left="660" w:right="180" w:firstLine="645"/>
        <w:spacing w:after="0" w:line="342" w:lineRule="auto"/>
        <w:tabs>
          <w:tab w:leader="none" w:pos="196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Each grant or sale of Restricted Shares will be evidenced by an Evidence of Award and will contain such terms and provisions, consistent with the Plan, as the Committee may approve. Unless otherwise directed by the Committee, all Restricted Shares will be held in custody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-5513705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08" w:orient="portrait"/>
          <w:cols w:equalWidth="0" w:num="1">
            <w:col w:w="11420"/>
          </w:cols>
          <w:pgMar w:left="240" w:top="125" w:right="239" w:bottom="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t>by the Company or its transfer agent and registrar until all restrictions thereon have lapsed.</w:t>
      </w:r>
    </w:p>
    <w:p>
      <w:pPr>
        <w:spacing w:after="0" w:line="221" w:lineRule="exact"/>
        <w:rPr>
          <w:sz w:val="20"/>
          <w:szCs w:val="20"/>
          <w:color w:val="auto"/>
        </w:rPr>
      </w:pPr>
    </w:p>
    <w:p>
      <w:pPr>
        <w:ind w:left="-656" w:right="60" w:firstLine="656"/>
        <w:spacing w:after="0" w:line="277"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Restricted Share Units. </w:t>
      </w:r>
      <w:r>
        <w:rPr>
          <w:rFonts w:ascii="Arial" w:cs="Arial" w:eastAsia="Arial" w:hAnsi="Arial"/>
          <w:sz w:val="17"/>
          <w:szCs w:val="17"/>
          <w:color w:val="auto"/>
        </w:rPr>
        <w:t>The Committee may also authorize the grant or sale of Restricted Share Units to Participants. Each such grant or</w:t>
      </w:r>
      <w:r>
        <w:rPr>
          <w:rFonts w:ascii="Arial" w:cs="Arial" w:eastAsia="Arial" w:hAnsi="Arial"/>
          <w:sz w:val="17"/>
          <w:szCs w:val="17"/>
          <w:b w:val="1"/>
          <w:bCs w:val="1"/>
          <w:color w:val="auto"/>
        </w:rPr>
        <w:t xml:space="preserve"> </w:t>
      </w:r>
      <w:r>
        <w:rPr>
          <w:rFonts w:ascii="Arial" w:cs="Arial" w:eastAsia="Arial" w:hAnsi="Arial"/>
          <w:sz w:val="17"/>
          <w:szCs w:val="17"/>
          <w:color w:val="auto"/>
        </w:rPr>
        <w:t>sale will constitute the agreement by the Company to deliver Common Shares or cash to the Participant in the future in consideration of the performance of services or other benefit to the Company, but subject to the fulfillment of such conditions (which may include the achievement of Management Objectives or other performance criteria) during the RSU Vesting Period as the Committee may specify. Each such grant or sale may utilize any or all of the authorizations, and will be subject to all of the requirements, contained in the following provisions:</w:t>
      </w:r>
    </w:p>
    <w:p>
      <w:pPr>
        <w:spacing w:after="0" w:line="172" w:lineRule="exact"/>
        <w:rPr>
          <w:rFonts w:ascii="Arial" w:cs="Arial" w:eastAsia="Arial" w:hAnsi="Arial"/>
          <w:sz w:val="17"/>
          <w:szCs w:val="17"/>
          <w:color w:val="auto"/>
        </w:rPr>
      </w:pPr>
    </w:p>
    <w:p>
      <w:pPr>
        <w:ind w:left="1284" w:hanging="635"/>
        <w:spacing w:after="0"/>
        <w:tabs>
          <w:tab w:leader="none" w:pos="12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grant will specify the number of Common Shares to which it pertains.</w:t>
      </w:r>
    </w:p>
    <w:p>
      <w:pPr>
        <w:spacing w:after="0" w:line="225" w:lineRule="exact"/>
        <w:rPr>
          <w:rFonts w:ascii="Arial" w:cs="Arial" w:eastAsia="Arial" w:hAnsi="Arial"/>
          <w:sz w:val="18"/>
          <w:szCs w:val="18"/>
          <w:color w:val="auto"/>
        </w:rPr>
      </w:pPr>
    </w:p>
    <w:p>
      <w:pPr>
        <w:ind w:left="4" w:right="260" w:firstLine="645"/>
        <w:spacing w:after="0" w:line="286" w:lineRule="auto"/>
        <w:tabs>
          <w:tab w:leader="none" w:pos="130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Each grant may specify in respect of such Management Objectives or other performance criteria a minimum acceptable level of achievement and may set forth a formula for determining the number of Restricted Share Units which will vest if performance is at or above the minimum level, but falls short of maximum achievement of the specified Management Objectives or criteria.</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4" w:right="100" w:firstLine="645"/>
        <w:spacing w:after="0" w:line="277" w:lineRule="auto"/>
        <w:tabs>
          <w:tab w:leader="none" w:pos="13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Market Value per Share at the Date of Grant.</w:t>
      </w:r>
    </w:p>
    <w:p>
      <w:pPr>
        <w:spacing w:after="0" w:line="170" w:lineRule="exact"/>
        <w:rPr>
          <w:rFonts w:ascii="Arial" w:cs="Arial" w:eastAsia="Arial" w:hAnsi="Arial"/>
          <w:sz w:val="18"/>
          <w:szCs w:val="18"/>
          <w:color w:val="auto"/>
        </w:rPr>
      </w:pPr>
    </w:p>
    <w:p>
      <w:pPr>
        <w:ind w:left="4" w:right="420" w:firstLine="645"/>
        <w:spacing w:after="0" w:line="259" w:lineRule="auto"/>
        <w:tabs>
          <w:tab w:leader="none" w:pos="1308"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a grant or sale may provide for the accelerated vesting of Restricted Share Units and the lapse or other modification of the RSU Vesting Period in whole or in part in the event of the retirement, death, disability or other termination of the Participant’s service or a change of control of the Company or a Subsidiary (or other similar transaction or event).</w:t>
      </w:r>
    </w:p>
    <w:p>
      <w:pPr>
        <w:spacing w:after="0" w:line="186" w:lineRule="exact"/>
        <w:rPr>
          <w:rFonts w:ascii="Arial" w:cs="Arial" w:eastAsia="Arial" w:hAnsi="Arial"/>
          <w:sz w:val="18"/>
          <w:szCs w:val="18"/>
          <w:color w:val="auto"/>
        </w:rPr>
      </w:pPr>
    </w:p>
    <w:p>
      <w:pPr>
        <w:jc w:val="both"/>
        <w:ind w:left="4" w:right="160" w:firstLine="645"/>
        <w:spacing w:after="0" w:line="259" w:lineRule="auto"/>
        <w:tabs>
          <w:tab w:leader="none" w:pos="13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During the RSU Vesting Period, the Participant will have no rights of ownership in the Restricted Share Units and will have no right to vote Common Shares underlying the Restricted Share Units. An Evidence of Award may, but is not required to, authorize the payment of dividend equivalents on Restricted Share Units, in cash, Common Shares or additional Restricted Share Units, which may be on a current, deferred or contingent basis.</w:t>
      </w:r>
    </w:p>
    <w:p>
      <w:pPr>
        <w:spacing w:after="0" w:line="186" w:lineRule="exact"/>
        <w:rPr>
          <w:rFonts w:ascii="Arial" w:cs="Arial" w:eastAsia="Arial" w:hAnsi="Arial"/>
          <w:sz w:val="18"/>
          <w:szCs w:val="18"/>
          <w:color w:val="auto"/>
        </w:rPr>
      </w:pPr>
    </w:p>
    <w:p>
      <w:pPr>
        <w:ind w:left="4" w:firstLine="645"/>
        <w:spacing w:after="0" w:line="264" w:lineRule="auto"/>
        <w:tabs>
          <w:tab w:leader="none" w:pos="13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grant or sale will specify the time and manner of payment of the Restricted Share Units that have been earned. A grant or sale may specify that the amount payable with respect thereto may be paid by the Company in cash, in Common Shares or in any combination thereof and may either grant to the Participant or retain in the Committee the right to elect among those alternatives.</w:t>
      </w:r>
    </w:p>
    <w:p>
      <w:pPr>
        <w:spacing w:after="0" w:line="181" w:lineRule="exact"/>
        <w:rPr>
          <w:rFonts w:ascii="Arial" w:cs="Arial" w:eastAsia="Arial" w:hAnsi="Arial"/>
          <w:sz w:val="18"/>
          <w:szCs w:val="18"/>
          <w:color w:val="auto"/>
        </w:rPr>
      </w:pPr>
    </w:p>
    <w:p>
      <w:pPr>
        <w:ind w:left="4" w:right="760" w:firstLine="645"/>
        <w:spacing w:after="0" w:line="277" w:lineRule="auto"/>
        <w:tabs>
          <w:tab w:leader="none" w:pos="132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grant or sale of Restricted Share Units will be evidenced by an Evidence of Award and will contain such terms and provisions, consistent with the Plan, as the Committee may approve from time to time.</w:t>
      </w:r>
    </w:p>
    <w:p>
      <w:pPr>
        <w:spacing w:after="0" w:line="166" w:lineRule="exact"/>
        <w:rPr>
          <w:rFonts w:ascii="Arial" w:cs="Arial" w:eastAsia="Arial" w:hAnsi="Arial"/>
          <w:sz w:val="18"/>
          <w:szCs w:val="18"/>
          <w:color w:val="auto"/>
        </w:rPr>
      </w:pPr>
    </w:p>
    <w:p>
      <w:pPr>
        <w:ind w:left="-656" w:right="100" w:firstLine="656"/>
        <w:spacing w:after="0" w:line="314"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Performance Shares and Performance Units. </w:t>
      </w:r>
      <w:r>
        <w:rPr>
          <w:rFonts w:ascii="Arial" w:cs="Arial" w:eastAsia="Arial" w:hAnsi="Arial"/>
          <w:sz w:val="16"/>
          <w:szCs w:val="16"/>
          <w:color w:val="auto"/>
        </w:rPr>
        <w:t>The Committee may also authorize the grant of Performance Shares and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Units that will become payable to a Participant upon achievement of specified Management Objectives or other performance criteria during the Performance Period. Each such grant may utilize any or all of the authorizations, and will be subject to all of the requirements, contained in the following provisions:</w:t>
      </w:r>
    </w:p>
    <w:p>
      <w:pPr>
        <w:spacing w:after="0" w:line="146" w:lineRule="exact"/>
        <w:rPr>
          <w:rFonts w:ascii="Arial" w:cs="Arial" w:eastAsia="Arial" w:hAnsi="Arial"/>
          <w:sz w:val="16"/>
          <w:szCs w:val="16"/>
          <w:color w:val="auto"/>
        </w:rPr>
      </w:pPr>
    </w:p>
    <w:p>
      <w:pPr>
        <w:ind w:left="4" w:right="440" w:firstLine="645"/>
        <w:spacing w:after="0" w:line="277" w:lineRule="auto"/>
        <w:tabs>
          <w:tab w:leader="none" w:pos="129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grant will specify the number of Performance Shares or Performance Units to which it pertains, and may provide for an adjustment to that number in the case of changes in compensation or other factors.</w:t>
      </w:r>
    </w:p>
    <w:p>
      <w:pPr>
        <w:spacing w:after="0" w:line="170" w:lineRule="exact"/>
        <w:rPr>
          <w:rFonts w:ascii="Arial" w:cs="Arial" w:eastAsia="Arial" w:hAnsi="Arial"/>
          <w:sz w:val="18"/>
          <w:szCs w:val="18"/>
          <w:color w:val="auto"/>
        </w:rPr>
      </w:pPr>
    </w:p>
    <w:p>
      <w:pPr>
        <w:ind w:left="4" w:right="140" w:firstLine="645"/>
        <w:spacing w:after="0" w:line="259" w:lineRule="auto"/>
        <w:tabs>
          <w:tab w:leader="none" w:pos="130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Performance Period with respect to each Performance Share or Performance Unit will be such period of time as will be determined by the Committee at the Date of Grant, which may be subject to earlier lapse or other modification in the event of the retirement, death, disability or other termination of the Participant’s service or a change of control of the Company or a Subsidiary (or other similar transaction or event).</w:t>
      </w:r>
    </w:p>
    <w:p>
      <w:pPr>
        <w:spacing w:after="0" w:line="186" w:lineRule="exact"/>
        <w:rPr>
          <w:rFonts w:ascii="Arial" w:cs="Arial" w:eastAsia="Arial" w:hAnsi="Arial"/>
          <w:sz w:val="18"/>
          <w:szCs w:val="18"/>
          <w:color w:val="auto"/>
        </w:rPr>
      </w:pPr>
    </w:p>
    <w:p>
      <w:pPr>
        <w:ind w:left="4" w:right="120" w:firstLine="645"/>
        <w:spacing w:after="0" w:line="257" w:lineRule="auto"/>
        <w:tabs>
          <w:tab w:leader="none" w:pos="13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grant of Performance Shares or Performance Units will specify Management Objectives or other performance criteria which, if achieved, will result in payment or early payment of the Award, and each grant may specify in respect of such specified Management Objectives or other performance criteria a level or levels of achievement and will set forth a formula for determining the number of Performance Shares or Performance Units that will be earned if performance is at or above the minimum level or levels, but falls short of maximum achievement of the specified Management Objectives or criteria.</w:t>
      </w:r>
    </w:p>
    <w:p>
      <w:pPr>
        <w:spacing w:after="0" w:line="188" w:lineRule="exact"/>
        <w:rPr>
          <w:rFonts w:ascii="Arial" w:cs="Arial" w:eastAsia="Arial" w:hAnsi="Arial"/>
          <w:sz w:val="18"/>
          <w:szCs w:val="18"/>
          <w:color w:val="auto"/>
        </w:rPr>
      </w:pPr>
    </w:p>
    <w:p>
      <w:pPr>
        <w:ind w:left="4" w:right="280" w:firstLine="645"/>
        <w:spacing w:after="0" w:line="286" w:lineRule="auto"/>
        <w:tabs>
          <w:tab w:leader="none" w:pos="130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Each grant will specify the time and manner of payment of Performance Shares or Performance Units that have been earned. A grant may specify that the amount payable with respect thereto may be paid by the Company in cash, in Common Shares or in any combination thereof and may either grant to the Participant or retain in the Committee the right to elect among those alternatives.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4" w:right="60" w:firstLine="645"/>
        <w:spacing w:after="0" w:line="264" w:lineRule="auto"/>
        <w:tabs>
          <w:tab w:leader="none" w:pos="13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grant of Performance Shares may specify that the amount payable with respect thereto may not exceed a maximum specified by the Committee at the Date of Grant. A grant of Performance Units may specify that the amount payable or the number of Common Shares issued with respect thereto may not exceed maximums specified by the Committee at the Date of Grant.</w:t>
      </w:r>
    </w:p>
    <w:p>
      <w:pPr>
        <w:spacing w:after="0" w:line="181" w:lineRule="exact"/>
        <w:rPr>
          <w:rFonts w:ascii="Arial" w:cs="Arial" w:eastAsia="Arial" w:hAnsi="Arial"/>
          <w:sz w:val="18"/>
          <w:szCs w:val="18"/>
          <w:color w:val="auto"/>
        </w:rPr>
      </w:pPr>
    </w:p>
    <w:p>
      <w:pPr>
        <w:ind w:left="4" w:right="400" w:firstLine="645"/>
        <w:spacing w:after="0" w:line="264" w:lineRule="auto"/>
        <w:tabs>
          <w:tab w:leader="none" w:pos="13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At the Date of Grant of Performance Shares, the Committee may, but is not required to, provide for the payment of dividend equivalents to the holder thereof, in cash, Common Shares or additional Performance Shares, which may be on a current, deferred or contingent basis.</w:t>
      </w:r>
    </w:p>
    <w:p>
      <w:pPr>
        <w:spacing w:after="0" w:line="181" w:lineRule="exact"/>
        <w:rPr>
          <w:rFonts w:ascii="Arial" w:cs="Arial" w:eastAsia="Arial" w:hAnsi="Arial"/>
          <w:sz w:val="18"/>
          <w:szCs w:val="18"/>
          <w:color w:val="auto"/>
        </w:rPr>
      </w:pPr>
    </w:p>
    <w:p>
      <w:pPr>
        <w:ind w:left="4" w:right="200" w:firstLine="645"/>
        <w:spacing w:after="0" w:line="277" w:lineRule="auto"/>
        <w:tabs>
          <w:tab w:leader="none" w:pos="132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grant of Performance Shares or Performance Units will be evidenced by an Evidence of Award and will contain such other terms and provisions, consistent with the Plan, as the Committee may approve from time to time.</w:t>
      </w:r>
    </w:p>
    <w:p>
      <w:pPr>
        <w:spacing w:after="0" w:line="166" w:lineRule="exact"/>
        <w:rPr>
          <w:rFonts w:ascii="Arial" w:cs="Arial" w:eastAsia="Arial" w:hAnsi="Arial"/>
          <w:sz w:val="18"/>
          <w:szCs w:val="18"/>
          <w:color w:val="auto"/>
        </w:rPr>
      </w:pPr>
    </w:p>
    <w:p>
      <w:pPr>
        <w:ind w:left="-656" w:right="40" w:firstLine="656"/>
        <w:spacing w:after="0" w:line="347"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Senior Executive Plan Bonuses. </w:t>
      </w:r>
      <w:r>
        <w:rPr>
          <w:rFonts w:ascii="Arial" w:cs="Arial" w:eastAsia="Arial" w:hAnsi="Arial"/>
          <w:sz w:val="16"/>
          <w:szCs w:val="16"/>
          <w:color w:val="auto"/>
        </w:rPr>
        <w:t>The Committee may from time to time authorize the payment of annual incentive compensation to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who is a Covered Employee, which incentive compensation will become payable upon achievement of specified Management Objectives.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-8440420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-2223135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125" w:right="259" w:bottom="0" w:gutter="0" w:footer="0" w:header="0"/>
        </w:sectPr>
      </w:pPr>
    </w:p>
    <w:bookmarkStart w:id="13" w:name="page14"/>
    <w:bookmarkEnd w:id="13"/>
    <w:p>
      <w:pPr>
        <w:spacing w:after="0" w:line="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Section 3(b)(vii), Senior Executive Plan Bonuses will be payable upon such terms and conditions as the Committee may determine in accordance with the following provisions:</w:t>
      </w:r>
    </w:p>
    <w:p>
      <w:pPr>
        <w:spacing w:after="0" w:line="170" w:lineRule="exact"/>
        <w:rPr>
          <w:sz w:val="20"/>
          <w:szCs w:val="20"/>
          <w:color w:val="auto"/>
        </w:rPr>
      </w:pPr>
    </w:p>
    <w:p>
      <w:pPr>
        <w:ind w:left="660" w:right="700" w:firstLine="645"/>
        <w:spacing w:after="0" w:line="277" w:lineRule="auto"/>
        <w:tabs>
          <w:tab w:leader="none" w:pos="19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later than 90 days after the first day of the Fiscal Year, the Committee will specify the Management Objectives that, if achieved, will result in the payment of a Senior Executive Plan Bonus for such Fiscal Year.</w:t>
      </w:r>
    </w:p>
    <w:p>
      <w:pPr>
        <w:spacing w:after="0" w:line="170" w:lineRule="exact"/>
        <w:rPr>
          <w:rFonts w:ascii="Arial" w:cs="Arial" w:eastAsia="Arial" w:hAnsi="Arial"/>
          <w:sz w:val="18"/>
          <w:szCs w:val="18"/>
          <w:color w:val="auto"/>
        </w:rPr>
      </w:pPr>
    </w:p>
    <w:p>
      <w:pPr>
        <w:ind w:left="660" w:right="200" w:firstLine="645"/>
        <w:spacing w:after="0" w:line="255" w:lineRule="auto"/>
        <w:tabs>
          <w:tab w:leader="none" w:pos="1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Following the close of the Fiscal Year, the Committee will certify in writing whether the specified Management Objectives have been achieved. Approved minutes of a meeting of the Committee at which such certification is made will be treated as written certification for this purpose. The Committee will also specify the time and manner of payment of a Senior Executive Plan Bonus which becomes payable, which payment may be made in (i) cash, (ii) Common Shares having an aggregate Market Value per Share equal to the aggregate value of the Senior Executive Plan Bonus which has become payable, or (iii) any combination thereof, as determined by the Committee in its discretion at the time of payment.</w:t>
      </w:r>
    </w:p>
    <w:p>
      <w:pPr>
        <w:spacing w:after="0" w:line="193" w:lineRule="exact"/>
        <w:rPr>
          <w:rFonts w:ascii="Arial" w:cs="Arial" w:eastAsia="Arial" w:hAnsi="Arial"/>
          <w:sz w:val="18"/>
          <w:szCs w:val="18"/>
          <w:color w:val="auto"/>
        </w:rPr>
      </w:pPr>
    </w:p>
    <w:p>
      <w:pPr>
        <w:ind w:left="660" w:firstLine="645"/>
        <w:spacing w:after="0" w:line="276" w:lineRule="auto"/>
        <w:tabs>
          <w:tab w:leader="none" w:pos="1967"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Committee may provide that, if a change in control of the Company occurs during a Performance Period, the Senior Executive Plan Bonus payable to each Participant for the Performance Period will be determined at the highest level of achievement of the Management Objectives, without regard to actual performance and without proration for less than a full Performance Period. In such event, the Senior Executive Plan Bonus will be paid at such time following the change in control as the Committee determines in its discretion, but in no event later than 30 days after the date of an event which results in a change in control.</w:t>
      </w:r>
    </w:p>
    <w:p>
      <w:pPr>
        <w:spacing w:after="0" w:line="172" w:lineRule="exact"/>
        <w:rPr>
          <w:rFonts w:ascii="Arial" w:cs="Arial" w:eastAsia="Arial" w:hAnsi="Arial"/>
          <w:sz w:val="17"/>
          <w:szCs w:val="17"/>
          <w:color w:val="auto"/>
        </w:rPr>
      </w:pPr>
    </w:p>
    <w:p>
      <w:pPr>
        <w:jc w:val="both"/>
        <w:ind w:left="660" w:right="420" w:firstLine="645"/>
        <w:spacing w:after="0" w:line="264" w:lineRule="auto"/>
        <w:tabs>
          <w:tab w:leader="none" w:pos="1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grant may be evidenced by an Evidence of Award, which will contain such terms and provisions as the Committee may determine consistent with the Plan, including without limitation provisions relating to the Participant’s termination of employment by reason of retirement, death, disability or otherwise.</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29" w:lineRule="exact"/>
        <w:rPr>
          <w:rFonts w:ascii="Arial" w:cs="Arial" w:eastAsia="Arial" w:hAnsi="Arial"/>
          <w:sz w:val="18"/>
          <w:szCs w:val="18"/>
          <w:color w:val="auto"/>
        </w:rPr>
      </w:pPr>
    </w:p>
    <w:p>
      <w:pPr>
        <w:ind w:left="660" w:right="20" w:firstLine="645"/>
        <w:spacing w:after="0" w:line="255" w:lineRule="auto"/>
        <w:tabs>
          <w:tab w:leader="none" w:pos="19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addition to Stock Options, SARs, Performance Shares, Performance Units, Restricted Shares, Restricted Share Units and Senior Executive Plan Bonuses, the Committee may, subject to limitations under applicable law, make other Awards (i) that may be denominated or payable in, valued in whole or in part by reference to, or otherwise based on, or related to, Common Shares or factors that may influence the value of such shares, including, without limitation, convertible or exchangeable debt securities, other rights convertible or exchangeable into Common Shares, purchase rights for Common Shares, (ii) with value and payment contingent upon performance of the Company or specified Subsidiaries or other business units thereof or any other factors designated by the Committee (including, without limitation, achievement of Management Objectives), or (iii) valued by reference to the book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right="200"/>
        <w:spacing w:after="0" w:line="279" w:lineRule="auto"/>
        <w:rPr>
          <w:sz w:val="20"/>
          <w:szCs w:val="20"/>
          <w:color w:val="auto"/>
        </w:rPr>
      </w:pPr>
      <w:r>
        <w:rPr>
          <w:rFonts w:ascii="Arial" w:cs="Arial" w:eastAsia="Arial" w:hAnsi="Arial"/>
          <w:sz w:val="17"/>
          <w:szCs w:val="17"/>
          <w:color w:val="auto"/>
        </w:rPr>
        <w:t>Common Shares or the value of securities of, or the performance of specified Subsidiaries or other business units of the Company. The Committee will determine the terms and conditions of such Awards. Common Shares delivered pursuant to an Award in the nature of a purchase right granted under this Section 10 will be purchased for such consideration, paid for at such time, by such methods, and in such forms, including, without limitation, cash, Common Shares, other Awards, notes or other property, as the Committee determines.</w:t>
      </w:r>
    </w:p>
    <w:p>
      <w:pPr>
        <w:spacing w:after="0" w:line="171" w:lineRule="exact"/>
        <w:rPr>
          <w:sz w:val="20"/>
          <w:szCs w:val="20"/>
          <w:color w:val="auto"/>
        </w:rPr>
      </w:pPr>
    </w:p>
    <w:p>
      <w:pPr>
        <w:ind w:left="1960" w:hanging="655"/>
        <w:spacing w:after="0"/>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Cash awards, as an element of or a supplement to any other Award made under the Plan, may also be made pursuant to this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10.</w:t>
      </w:r>
    </w:p>
    <w:p>
      <w:pPr>
        <w:spacing w:after="0" w:line="210" w:lineRule="exact"/>
        <w:rPr>
          <w:rFonts w:ascii="Arial" w:cs="Arial" w:eastAsia="Arial" w:hAnsi="Arial"/>
          <w:sz w:val="17"/>
          <w:szCs w:val="17"/>
          <w:color w:val="auto"/>
        </w:rPr>
      </w:pPr>
    </w:p>
    <w:p>
      <w:pPr>
        <w:jc w:val="both"/>
        <w:ind w:left="660" w:right="400" w:firstLine="645"/>
        <w:spacing w:after="0" w:line="264" w:lineRule="auto"/>
        <w:tabs>
          <w:tab w:leader="none" w:pos="196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Committee may grant Common Shares as a bonus, or may make other Awards in lieu of obligations of the Company or a Subsidiary to pay cash or deliver other property under the Plan or under other plans or compensatory arrangements, subject to such terms as are determined by the Committee from time to time.</w:t>
      </w:r>
    </w:p>
    <w:p>
      <w:pPr>
        <w:spacing w:after="0" w:line="181" w:lineRule="exact"/>
        <w:rPr>
          <w:rFonts w:ascii="Arial" w:cs="Arial" w:eastAsia="Arial" w:hAnsi="Arial"/>
          <w:sz w:val="18"/>
          <w:szCs w:val="18"/>
          <w:color w:val="auto"/>
        </w:rPr>
      </w:pPr>
    </w:p>
    <w:p>
      <w:pPr>
        <w:ind w:left="660" w:right="680" w:firstLine="645"/>
        <w:spacing w:after="0" w:line="277" w:lineRule="auto"/>
        <w:tabs>
          <w:tab w:leader="none" w:pos="1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award made pursuant to this Section 10 will be evidenced by an Evidence of Award and will contain such terms and provisions, consistent with the Plan, as the Committee may approve from time to time.</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color w:val="auto"/>
        </w:rPr>
      </w:pPr>
    </w:p>
    <w:p>
      <w:pPr>
        <w:ind w:left="660" w:right="40" w:firstLine="645"/>
        <w:spacing w:after="0" w:line="257" w:lineRule="auto"/>
        <w:tabs>
          <w:tab w:leader="none" w:pos="19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Plan will be administered by the Committee. The composition of the Committee will comply with applicable independence requirements under the rules and regulations of any securities exchange, association or quotation system on which Common Shares are then listed or quoted, and the Board will also consider the advisability of appointing to the Committee members who satisfy the requirements of (i) the definition of the term “non-employee director” used Rule 16b-3 promulgated under the Exchange Act and (ii) the definition of the term “outside director” used in Section 162(m) of the Code.</w:t>
      </w:r>
    </w:p>
    <w:p>
      <w:pPr>
        <w:spacing w:after="0" w:line="188" w:lineRule="exact"/>
        <w:rPr>
          <w:rFonts w:ascii="Arial" w:cs="Arial" w:eastAsia="Arial" w:hAnsi="Arial"/>
          <w:sz w:val="18"/>
          <w:szCs w:val="18"/>
          <w:color w:val="auto"/>
        </w:rPr>
      </w:pPr>
    </w:p>
    <w:p>
      <w:pPr>
        <w:jc w:val="both"/>
        <w:ind w:left="660" w:right="40" w:firstLine="645"/>
        <w:spacing w:after="0" w:line="264" w:lineRule="auto"/>
        <w:tabs>
          <w:tab w:leader="none" w:pos="1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Committee may from time to time delegate all or any part of its authority under the Plan to a subcommittee of the Committee or to any other committee of the Board or a subcommittee thereof. To the extent of any such delegation, references in the Plan to the Committee will be deemed to be references to such committee or subcommittee.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Notwithstanding any other provision of the Plan, any Award to a member of the Committee must be approved by the Board to be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effective.</w:t>
      </w:r>
    </w:p>
    <w:p>
      <w:pPr>
        <w:spacing w:after="0" w:line="210" w:lineRule="exact"/>
        <w:rPr>
          <w:rFonts w:ascii="Arial" w:cs="Arial" w:eastAsia="Arial" w:hAnsi="Arial"/>
          <w:sz w:val="16"/>
          <w:szCs w:val="16"/>
          <w:color w:val="auto"/>
        </w:rPr>
      </w:pPr>
    </w:p>
    <w:p>
      <w:pPr>
        <w:ind w:left="660" w:right="40" w:firstLine="645"/>
        <w:spacing w:after="0" w:line="255" w:lineRule="auto"/>
        <w:tabs>
          <w:tab w:leader="none" w:pos="1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Committee will have sole discretion to (i) interpret any provision of the Plan or an Evidence of Award, (ii) make any determination necessary or advisable for the administration of the Plan and Awards hereunder, and (iii) waive any condition or right of the Company under an Award or discontinue or terminate an Evidence of Award. Without intending to limit the generality or effect of the foregoing, any decision or determination made by the Committee with respect to the Plan or an Award, including whether to grant or withhold any required consent, will be made by the Committee in its sole and absolute discretion, subject to the terms of the Plan. The interpretation and construction by the Committee of any provision of the Plan or of any Evidence of Award and any determination by the Committee pursuant to any provision of the Plan or of any such Evidence of Award will be final and conclusive.</w:t>
      </w:r>
    </w:p>
    <w:p>
      <w:pPr>
        <w:spacing w:after="0" w:line="189" w:lineRule="exact"/>
        <w:rPr>
          <w:rFonts w:ascii="Arial" w:cs="Arial" w:eastAsia="Arial" w:hAnsi="Arial"/>
          <w:sz w:val="18"/>
          <w:szCs w:val="18"/>
          <w:color w:val="auto"/>
        </w:rPr>
      </w:pPr>
    </w:p>
    <w:p>
      <w:pPr>
        <w:jc w:val="both"/>
        <w:ind w:left="660" w:right="160" w:firstLine="645"/>
        <w:spacing w:after="0" w:line="342" w:lineRule="auto"/>
        <w:tabs>
          <w:tab w:leader="none" w:pos="1967"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Committee may delegate to one or more of its members or to one or more officers of the Company, or to one or more agents or advisors, such administrative duties or powers as it may deem advisable, and the Committee, or any person to whom duties or powers have been</w:t>
      </w:r>
    </w:p>
    <w:p>
      <w:pPr>
        <w:sectPr>
          <w:pgSz w:w="11900" w:h="16908" w:orient="portrait"/>
          <w:cols w:equalWidth="0" w:num="1">
            <w:col w:w="11400"/>
          </w:cols>
          <w:pgMar w:left="240" w:top="125" w:right="259" w:bottom="0" w:gutter="0" w:footer="0" w:header="0"/>
        </w:sectPr>
      </w:pPr>
    </w:p>
    <w:bookmarkStart w:id="14" w:name="page15"/>
    <w:bookmarkEnd w:id="14"/>
    <w:p>
      <w:pPr>
        <w:spacing w:after="0" w:line="103" w:lineRule="exact"/>
        <w:rPr>
          <w:sz w:val="20"/>
          <w:szCs w:val="20"/>
          <w:color w:val="auto"/>
        </w:rPr>
      </w:pPr>
    </w:p>
    <w:p>
      <w:pPr>
        <w:jc w:val="both"/>
        <w:ind w:left="660" w:right="20"/>
        <w:spacing w:after="0" w:line="288" w:lineRule="auto"/>
        <w:rPr>
          <w:sz w:val="20"/>
          <w:szCs w:val="20"/>
          <w:color w:val="auto"/>
        </w:rPr>
      </w:pPr>
      <w:r>
        <w:rPr>
          <w:rFonts w:ascii="Arial" w:cs="Arial" w:eastAsia="Arial" w:hAnsi="Arial"/>
          <w:sz w:val="16"/>
          <w:szCs w:val="16"/>
          <w:color w:val="auto"/>
        </w:rPr>
        <w:t>so delegated, may employ one or more persons to render advice with respect to any responsibility the Committee or such person may have under the Plan. Without limiting the foregoing and subject to applicable law, the Committee may, by resolution, authorize one or more officers of the Company to do one or both of the following on the same basis as the Committee: (i) designate employees to be recipients of Awards under the Plan; and</w:t>
      </w:r>
    </w:p>
    <w:p>
      <w:pPr>
        <w:ind w:left="660" w:right="40" w:hanging="4"/>
        <w:spacing w:after="0" w:line="254" w:lineRule="auto"/>
        <w:tabs>
          <w:tab w:leader="none" w:pos="9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determine the size of any such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the Committee will not delegate such responsibilities to any such officer for Awards to an executive officer or any person subject to Section 162(m) of the Code; (B) the resolution providing for such authorization sets forth the total number of Common Shares such officer(s) may grant; and (C) the officer(s) will report periodically to the Committee regarding the nature and scope of the Awards made pursuant to the authority delegated.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656"/>
        <w:spacing w:after="0" w:line="286" w:lineRule="auto"/>
        <w:tabs>
          <w:tab w:leader="none" w:pos="1292"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The Committee will make or provide for such adjustments in the number of Common Shares authorized under Section 3,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Common Shares covered by outstanding Awards, in the Exercise Price of outstanding Stock Options and any amounts payable for Common Shares under other outstanding Awards, in the Base Price of outstanding SARs, and in the kind of shares covered thereby, as is equitably required to prevent dilution or enlargement of the rights of Participants or Optionees that otherwise would result from (a) any stock dividend, extraordinary dividend, stock split, combination of shares, recapitalization or other change in the capital structure of the Company, or (b) any change of control, merger, consolidation, spin-off, split- 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any or all outstanding Awards under the Plan such alternative consideration (including, without limitation, cash), if any, as it may determine to be equitable under the circumstances and may require in connection therewith the surrender of all Awards so replaced. The Committee will also make or provide for such adjustments in the numbers of shares specified in Section 3(c) as the Committee in its sole discretion, exercised in good faith, may determine is appropriate to reflect any transaction or event described in this Section 12; provided, however, that any such adjustment will be made only if and to the extent that (i) such adjustment would not cause any option intended to qualify as an Incentive Stock Option to fail to so qualify and (ii) such adjustment would not result in negative tax consequences under Section 409A of the Code. Without limiting the generality of the foregoing, in the event that the Company issues warrants or other rights to acquire Common Shares on a pro rata basis to all stockholders, the Committee will make such adjustments in the number of Common Shares authorized under the Plan and in the limits contained herein as it may deem to be equitable, including, without limitation, proportionately increasing the number of authorized Common Shares or any such limit.</w:t>
      </w:r>
    </w:p>
    <w:p>
      <w:pPr>
        <w:spacing w:after="0" w:line="165" w:lineRule="exact"/>
        <w:rPr>
          <w:rFonts w:ascii="Arial" w:cs="Arial" w:eastAsia="Arial" w:hAnsi="Arial"/>
          <w:sz w:val="16"/>
          <w:szCs w:val="16"/>
          <w:color w:val="auto"/>
        </w:rPr>
      </w:pPr>
    </w:p>
    <w:p>
      <w:pPr>
        <w:ind w:right="100" w:firstLine="656"/>
        <w:spacing w:after="0" w:line="271" w:lineRule="auto"/>
        <w:tabs>
          <w:tab w:leader="none" w:pos="1292"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Non U.S. Participants. </w:t>
      </w:r>
      <w:r>
        <w:rPr>
          <w:rFonts w:ascii="Arial" w:cs="Arial" w:eastAsia="Arial" w:hAnsi="Arial"/>
          <w:sz w:val="17"/>
          <w:szCs w:val="17"/>
          <w:color w:val="auto"/>
        </w:rPr>
        <w:t>In order to facilitate the making of any grant or combination of grants under the Plan, the Committee may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for such special terms for Awards to Participants who are foreign nationals or who are employed by the Company or any Subsidiary outside of the United States of America or who provide services to the Company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the Plan (including, without limitation, sub-plans) as it may consider necessary or appropriate for such purposes, without thereby affecting the terms of the Plan as in effect for any other purpose, and the Secretary or other appropriate officer of the Company may certify any such document as having been approved and adopted in the same manner as the Plan. No such special terms, supplements, amendments or restatements, however, will include any provisions that are inconsistent with the terms of the Plan as then in effect unless the Plan could have been amended to eliminate such inconsistency without further approval by the stockholders of the Company.</w:t>
      </w:r>
    </w:p>
    <w:p>
      <w:pPr>
        <w:spacing w:after="0" w:line="174" w:lineRule="exact"/>
        <w:rPr>
          <w:rFonts w:ascii="Arial" w:cs="Arial" w:eastAsia="Arial" w:hAnsi="Arial"/>
          <w:sz w:val="17"/>
          <w:szCs w:val="17"/>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29" w:lineRule="exact"/>
        <w:rPr>
          <w:rFonts w:ascii="Arial" w:cs="Arial" w:eastAsia="Arial" w:hAnsi="Arial"/>
          <w:sz w:val="18"/>
          <w:szCs w:val="18"/>
          <w:color w:val="auto"/>
        </w:rPr>
      </w:pPr>
    </w:p>
    <w:p>
      <w:pPr>
        <w:ind w:left="660" w:right="60" w:firstLine="645"/>
        <w:spacing w:after="0" w:line="270" w:lineRule="auto"/>
        <w:tabs>
          <w:tab w:leader="none" w:pos="1954"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Except as provided below or as otherwise determined by the Committee, (i) no Award will be transferable by a Participant except by will or the laws of descent and distribution and (ii) Stock Options and SARs will be exercisable during the Participant’s lifetime only by the Participant or, in the event of the Participant’s legal incapacity to do so, by the Participant’s guardian or legal representative acting on behalf of the Participant in a fiduciary capacity under state law and/or court supervision. With the consent of the Company, which may be granted or withheld in its sole and absolute discretion, a Participant may transfer an Award for estate planning purposes or pursuant to a domestic relations order; provided that such transferee will be bound by and subject to all of the terms and conditions of the Plan and the Evidence of Award relating to the Award and executes an agreement satisfactory to the Company evidencing such obligations;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such Participant will remain bound by the terms and conditions of the Plan. Notwithstanding the foregoing, no Stock Option that is intended to be an Incentive Stock Option or any Related SAR granted in tandem therewith may be transferred.</w:t>
      </w:r>
    </w:p>
    <w:p>
      <w:pPr>
        <w:spacing w:after="0" w:line="181" w:lineRule="exact"/>
        <w:rPr>
          <w:rFonts w:ascii="Arial" w:cs="Arial" w:eastAsia="Arial" w:hAnsi="Arial"/>
          <w:sz w:val="17"/>
          <w:szCs w:val="17"/>
          <w:color w:val="auto"/>
        </w:rPr>
      </w:pPr>
    </w:p>
    <w:p>
      <w:pPr>
        <w:jc w:val="both"/>
        <w:ind w:left="660" w:right="200" w:firstLine="645"/>
        <w:spacing w:after="0" w:line="302" w:lineRule="auto"/>
        <w:tabs>
          <w:tab w:leader="none" w:pos="19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Committee may specify at the Date of Grant that part or all of the Common Shares that are (i) to be issued or transferred by the Company upon the exercise of Stock Options or SARs, upon the termination of the RSU Vesting Period applicable to Restricted Share Units or upon payment under any grant of Performance Shares, Performance Units or a Senior Executive Plan Bonus or (ii) no longer subject to the substantial risk of forfeiture and restrictions on transfer specified pursuant to Section 6, will be subject to further restrictions on transfer.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right="160" w:firstLine="656"/>
        <w:spacing w:after="0" w:line="277" w:lineRule="auto"/>
        <w:tabs>
          <w:tab w:leader="none" w:pos="1292"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To the extent that the Company or a Subsidiary is required to withhold federal, state, local or foreign taxes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payment made to, or benefit realized by, a Participant or other person under the Plan, and the amounts available to the Company or Subsidiary for such withholding are insufficient, it will be a condition to the receipt of such payment or the realization of such benefit that the Participant or such other person make arrangements satisfactory to the Company for payment of the balance of such taxes required to be withheld, which arrangements (in the discretion of the Committee) may include relinquishment of a portion of such benefit.</w:t>
      </w:r>
    </w:p>
    <w:p>
      <w:pPr>
        <w:spacing w:after="0" w:line="168" w:lineRule="exact"/>
        <w:rPr>
          <w:rFonts w:ascii="Arial" w:cs="Arial" w:eastAsia="Arial" w:hAnsi="Arial"/>
          <w:sz w:val="17"/>
          <w:szCs w:val="17"/>
          <w:color w:val="auto"/>
        </w:rPr>
      </w:pPr>
    </w:p>
    <w:p>
      <w:pPr>
        <w:jc w:val="both"/>
        <w:ind w:right="100" w:firstLine="656"/>
        <w:spacing w:after="0" w:line="289" w:lineRule="auto"/>
        <w:tabs>
          <w:tab w:leader="none" w:pos="1292"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To the extent applicable, it is intended that the Plan and any Awards hereunder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Section 409A of the Code. The Plan and any Awards hereunder will be administrated in a manner consistent with this intent. Any reference in the Plan to Section 409A of the Code will also include any proposed, temporary or final regulations, or any other guidance, promulgated by the U.S.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Department of the Treasury or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-1753870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7" w:lineRule="exact"/>
        <w:rPr>
          <w:sz w:val="20"/>
          <w:szCs w:val="20"/>
          <w:color w:val="auto"/>
        </w:rPr>
      </w:pPr>
    </w:p>
    <w:p>
      <w:pPr>
        <w:ind w:left="1940" w:hanging="635"/>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8"/>
          <w:szCs w:val="18"/>
          <w:b w:val="1"/>
          <w:bCs w:val="1"/>
          <w:color w:val="auto"/>
        </w:rPr>
        <w:t>mendments.</w:t>
      </w:r>
    </w:p>
    <w:p>
      <w:pPr>
        <w:spacing w:after="0" w:line="229" w:lineRule="exact"/>
        <w:rPr>
          <w:sz w:val="20"/>
          <w:szCs w:val="20"/>
          <w:color w:val="auto"/>
        </w:rPr>
      </w:pPr>
    </w:p>
    <w:p>
      <w:pPr>
        <w:ind w:left="660" w:right="80" w:firstLine="645"/>
        <w:spacing w:after="0" w:line="297" w:lineRule="auto"/>
        <w:tabs>
          <w:tab w:leader="none" w:pos="19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Committee may at any time and from time to time amend or suspend the Plan in whole or in part;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 amendment must be approved by the stockholders of the Company in order to comply with applicable legal requirements or the requirements of the principal securities exchange, association or quotation system on which the Common Shares are then listed or quoted, then such amendment will be subject to stockholder approval and will not be effective unless and until such approval has been obtained. Without intending to limit the generality or effect of the foregoing, if an amendment to the Plan would increase the number of Common Shares that may be issued or transferred</w:t>
      </w:r>
    </w:p>
    <w:p>
      <w:pPr>
        <w:sectPr>
          <w:pgSz w:w="11900" w:h="16941" w:orient="portrait"/>
          <w:cols w:equalWidth="0" w:num="1">
            <w:col w:w="11420"/>
          </w:cols>
          <w:pgMar w:left="240" w:top="125" w:right="239" w:bottom="0" w:gutter="0" w:footer="0" w:header="0"/>
        </w:sectPr>
      </w:pPr>
    </w:p>
    <w:bookmarkStart w:id="15" w:name="page16"/>
    <w:bookmarkEnd w:id="15"/>
    <w:p>
      <w:pPr>
        <w:ind w:left="4" w:right="20"/>
        <w:spacing w:after="0" w:line="277" w:lineRule="auto"/>
        <w:rPr>
          <w:sz w:val="20"/>
          <w:szCs w:val="20"/>
          <w:color w:val="auto"/>
        </w:rPr>
      </w:pPr>
      <w:r>
        <w:rPr>
          <w:rFonts w:ascii="Arial" w:cs="Arial" w:eastAsia="Arial" w:hAnsi="Arial"/>
          <w:sz w:val="18"/>
          <w:szCs w:val="18"/>
          <w:color w:val="auto"/>
        </w:rPr>
        <w:t>upon the exercise of Incentive Stock Options, then such amendment will be subject to stockholder approval and will not be effective unless and until such approval has been obtained.</w:t>
      </w:r>
    </w:p>
    <w:p>
      <w:pPr>
        <w:spacing w:after="0" w:line="170" w:lineRule="exact"/>
        <w:rPr>
          <w:sz w:val="20"/>
          <w:szCs w:val="20"/>
          <w:color w:val="auto"/>
        </w:rPr>
      </w:pPr>
    </w:p>
    <w:p>
      <w:pPr>
        <w:ind w:left="4" w:right="160" w:firstLine="645"/>
        <w:spacing w:after="0" w:line="257" w:lineRule="auto"/>
        <w:tabs>
          <w:tab w:leader="none" w:pos="130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Committee will not, without the further approval of the stockholders of the Company, authorize the amendment of any outstanding Stock Option or SAR to reduce the Exercise Price or Base Price. Furthermore, no Stock Option or SAR will be cancelled and replaced with Awards having a lower Exercise Price or Base Price without further approval of the stockholders of the Company. This Section 17(b) is intended to prohibit the repricing of “underwater” Stock Options and SARs and will not be construed to prohibit the adjustments provided for in Section 12.</w:t>
      </w:r>
    </w:p>
    <w:p>
      <w:pPr>
        <w:spacing w:after="0" w:line="188" w:lineRule="exact"/>
        <w:rPr>
          <w:rFonts w:ascii="Arial" w:cs="Arial" w:eastAsia="Arial" w:hAnsi="Arial"/>
          <w:sz w:val="18"/>
          <w:szCs w:val="18"/>
          <w:color w:val="auto"/>
        </w:rPr>
      </w:pPr>
    </w:p>
    <w:p>
      <w:pPr>
        <w:jc w:val="both"/>
        <w:ind w:left="4" w:right="80" w:firstLine="645"/>
        <w:spacing w:after="0" w:line="264" w:lineRule="auto"/>
        <w:tabs>
          <w:tab w:leader="none" w:pos="13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Subject to Section 17(b) hereof, the Committee may amend the terms of any Award under the Plan prospectively or retroactively. Subject to Section 12, no amendment to any Award may materially and adversely affect the rights of any Participant taken as a whole without his or her consent.</w:t>
      </w:r>
    </w:p>
    <w:p>
      <w:pPr>
        <w:spacing w:after="0" w:line="181" w:lineRule="exact"/>
        <w:rPr>
          <w:rFonts w:ascii="Arial" w:cs="Arial" w:eastAsia="Arial" w:hAnsi="Arial"/>
          <w:sz w:val="18"/>
          <w:szCs w:val="18"/>
          <w:color w:val="auto"/>
        </w:rPr>
      </w:pPr>
    </w:p>
    <w:p>
      <w:pPr>
        <w:ind w:left="4" w:right="80" w:firstLine="645"/>
        <w:spacing w:after="0" w:line="270" w:lineRule="auto"/>
        <w:tabs>
          <w:tab w:leader="none" w:pos="1308" w:val="left"/>
        </w:tabs>
        <w:numPr>
          <w:ilvl w:val="1"/>
          <w:numId w:val="34"/>
        </w:numPr>
        <w:rPr>
          <w:rFonts w:ascii="Arial" w:cs="Arial" w:eastAsia="Arial" w:hAnsi="Arial"/>
          <w:sz w:val="17"/>
          <w:szCs w:val="17"/>
          <w:color w:val="auto"/>
        </w:rPr>
      </w:pPr>
      <w:r>
        <w:rPr>
          <w:rFonts w:ascii="Arial" w:cs="Arial" w:eastAsia="Arial" w:hAnsi="Arial"/>
          <w:sz w:val="17"/>
          <w:szCs w:val="17"/>
          <w:color w:val="auto"/>
        </w:rPr>
        <w:t>If permitted by Section 409A of the Code, in case of termination of employment by reason of the death, disability or normal or early retirement, or in the case of unforeseeable emergency or other special circumstances, of a Participant who holds a Stock Option or SAR not immediately exercisable in full, or any Restricted Shares as to which the risk of forfeiture or the prohibition or restriction on transfer has not lapsed, or any Restricted Share Units as to which the RSU Vesting Period has not been completed, or any Performance Shares or Performance Units which have not been fully earned, or any other Award made pursuant to Section 10 subject to any vesting schedule or transfer restriction, or who holds Common Shares subject to any transfer restriction imposed pursuant to Section 12(b), the Committee may, in its sole discretion, accelerate the time at which such Stock Option, SAR or other Award may be exercised, the time at which such risk of forfeiture or prohibition or restriction on transfer will lapse, the time when such RSU Vesting Period will end, the time at which such Performance Shares or Performance Units will be deemed to have been fully earned or the time when such transfer restriction will terminate, or may waive any other limitation or requirement under any such Award.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4" w:right="740" w:firstLine="645"/>
        <w:spacing w:after="0" w:line="342" w:lineRule="auto"/>
        <w:tabs>
          <w:tab w:leader="none" w:pos="1311"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Committee may, in its discretion, terminate the Plan at any time. Termination of the Plan will not affect the rights of Participants or their successors under any Awards outstanding hereunder and not exercised in full on the date of termination.</w:t>
      </w:r>
    </w:p>
    <w:p>
      <w:pPr>
        <w:spacing w:after="0" w:line="119" w:lineRule="exact"/>
        <w:rPr>
          <w:rFonts w:ascii="Arial" w:cs="Arial" w:eastAsia="Arial" w:hAnsi="Arial"/>
          <w:sz w:val="16"/>
          <w:szCs w:val="16"/>
          <w:color w:val="auto"/>
        </w:rPr>
      </w:pPr>
    </w:p>
    <w:p>
      <w:pPr>
        <w:ind w:left="-656" w:right="80" w:firstLine="656"/>
        <w:spacing w:after="0" w:line="282"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and all Awards and actions taken thereunder will be governed by and construed in accordance with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substantive laws of the State of Delaware.</w:t>
      </w:r>
    </w:p>
    <w:p>
      <w:pPr>
        <w:spacing w:after="0" w:line="161" w:lineRule="exact"/>
        <w:rPr>
          <w:rFonts w:ascii="Arial" w:cs="Arial" w:eastAsia="Arial" w:hAnsi="Arial"/>
          <w:sz w:val="18"/>
          <w:szCs w:val="18"/>
          <w:color w:val="auto"/>
        </w:rPr>
      </w:pPr>
    </w:p>
    <w:p>
      <w:pPr>
        <w:ind w:left="-656" w:right="400" w:firstLine="656"/>
        <w:spacing w:after="0" w:line="313" w:lineRule="auto"/>
        <w:tabs>
          <w:tab w:leader="none" w:pos="636"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Term of Plan. </w:t>
      </w:r>
      <w:r>
        <w:rPr>
          <w:rFonts w:ascii="Arial" w:cs="Arial" w:eastAsia="Arial" w:hAnsi="Arial"/>
          <w:sz w:val="17"/>
          <w:szCs w:val="17"/>
          <w:color w:val="auto"/>
        </w:rPr>
        <w:t>The Plan will be effective as of the Effective Date. No Award will be made under the Plan more than 10 years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but all Awards made on or prior to such date will continue in effect thereafter subject to the terms thereof and of the Plan.</w:t>
      </w:r>
    </w:p>
    <w:p>
      <w:pPr>
        <w:spacing w:after="0" w:line="138" w:lineRule="exact"/>
        <w:rPr>
          <w:rFonts w:ascii="Arial" w:cs="Arial" w:eastAsia="Arial" w:hAnsi="Arial"/>
          <w:sz w:val="17"/>
          <w:szCs w:val="17"/>
          <w:color w:val="auto"/>
        </w:rPr>
      </w:pPr>
    </w:p>
    <w:p>
      <w:pPr>
        <w:ind w:left="644" w:hanging="644"/>
        <w:spacing w:after="0"/>
        <w:tabs>
          <w:tab w:leader="none" w:pos="644"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29" w:lineRule="exact"/>
        <w:rPr>
          <w:rFonts w:ascii="Arial" w:cs="Arial" w:eastAsia="Arial" w:hAnsi="Arial"/>
          <w:sz w:val="18"/>
          <w:szCs w:val="18"/>
          <w:color w:val="auto"/>
        </w:rPr>
      </w:pPr>
    </w:p>
    <w:p>
      <w:pPr>
        <w:ind w:left="4" w:right="180" w:firstLine="645"/>
        <w:spacing w:after="0" w:line="277" w:lineRule="auto"/>
        <w:tabs>
          <w:tab w:leader="none" w:pos="12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will not be required to issue any fractional Common Shares pursuant to the Plan. The Committee may provide for the elimination of fractions or for the settlement of fractions in cash.</w:t>
      </w:r>
    </w:p>
    <w:p>
      <w:pPr>
        <w:spacing w:after="0" w:line="170" w:lineRule="exact"/>
        <w:rPr>
          <w:rFonts w:ascii="Arial" w:cs="Arial" w:eastAsia="Arial" w:hAnsi="Arial"/>
          <w:sz w:val="18"/>
          <w:szCs w:val="18"/>
          <w:color w:val="auto"/>
        </w:rPr>
      </w:pPr>
    </w:p>
    <w:p>
      <w:pPr>
        <w:ind w:left="4" w:right="40" w:firstLine="645"/>
        <w:spacing w:after="0" w:line="293" w:lineRule="auto"/>
        <w:tabs>
          <w:tab w:leader="none" w:pos="130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Plan will not confer upon any Participant any right with respect to continuance of employment or other service with the Company or a Subsidiary, nor will it interfere in any way with any right the Company or a Subsidiary would otherwise have to terminate such Participant’s employment or other service at any time. Except as specifically provided by the Committee, the Company will not be liable for the loss of existing or potential profit with respect to an Award hereunder in the event of termination of employment or other relationship, even if the termination is in violation of an obligation of the Company or a Subsidiary to the Participant. The Committee’s making of an Award to a Participant hereunder will not confer upon the Participant any right to receive any other Awards hereunder or under any other plan or arrangement.</w:t>
      </w:r>
    </w:p>
    <w:p>
      <w:pPr>
        <w:spacing w:after="0" w:line="164" w:lineRule="exact"/>
        <w:rPr>
          <w:rFonts w:ascii="Arial" w:cs="Arial" w:eastAsia="Arial" w:hAnsi="Arial"/>
          <w:sz w:val="16"/>
          <w:szCs w:val="16"/>
          <w:color w:val="auto"/>
        </w:rPr>
      </w:pPr>
    </w:p>
    <w:p>
      <w:pPr>
        <w:ind w:left="4" w:right="120" w:firstLine="645"/>
        <w:spacing w:after="0" w:line="342" w:lineRule="auto"/>
        <w:tabs>
          <w:tab w:leader="none" w:pos="1311"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Evidence of Award may provide for the effect on any Common Shares issued or other payment made with respect to the Award of any conduct of the Participant determined by the Committee to be injurious, detrimental or prejudicial to the Company or any Subsidiary.</w:t>
      </w:r>
    </w:p>
    <w:p>
      <w:pPr>
        <w:spacing w:after="0" w:line="123" w:lineRule="exact"/>
        <w:rPr>
          <w:rFonts w:ascii="Arial" w:cs="Arial" w:eastAsia="Arial" w:hAnsi="Arial"/>
          <w:sz w:val="16"/>
          <w:szCs w:val="16"/>
          <w:color w:val="auto"/>
        </w:rPr>
      </w:pPr>
    </w:p>
    <w:p>
      <w:pPr>
        <w:ind w:left="4" w:right="120" w:firstLine="645"/>
        <w:spacing w:after="0" w:line="255" w:lineRule="auto"/>
        <w:tabs>
          <w:tab w:leader="none" w:pos="13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any Award to the contrary, no Award may be effectuated, through exercise by the holder thereof or otherwise, if the delivery of cash or stock to the holder of such Award pursuant to the terms thereof would be, based on advice of counsel to the Company, contrary to law or the regulations of any duly constituted authority having jurisdiction over the Plan. Notwithstanding any other provision of the Plan to the contrary, each issuance of Common Shares to a Participant pursuant to the Plan or an Award will be made for such consideration as is required by applicable law to ensure that such Common Shares are validly issued, fully paid and nonassessable upon such issuance.</w:t>
      </w:r>
    </w:p>
    <w:p>
      <w:pPr>
        <w:spacing w:after="0" w:line="193" w:lineRule="exact"/>
        <w:rPr>
          <w:rFonts w:ascii="Arial" w:cs="Arial" w:eastAsia="Arial" w:hAnsi="Arial"/>
          <w:sz w:val="18"/>
          <w:szCs w:val="18"/>
          <w:color w:val="auto"/>
        </w:rPr>
      </w:pPr>
    </w:p>
    <w:p>
      <w:pPr>
        <w:ind w:left="4" w:firstLine="645"/>
        <w:spacing w:after="0" w:line="264" w:lineRule="auto"/>
        <w:tabs>
          <w:tab w:leader="none" w:pos="131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Absence on leave approved by a duly constituted officer of the Company or a Subsidiary will not be considered interruption or termination of service of any employee for any purposes of the Plan or an Award, except that no Award may be made to an employee while he or she is absent on leave.</w:t>
      </w:r>
    </w:p>
    <w:p>
      <w:pPr>
        <w:spacing w:after="0" w:line="181" w:lineRule="exact"/>
        <w:rPr>
          <w:rFonts w:ascii="Arial" w:cs="Arial" w:eastAsia="Arial" w:hAnsi="Arial"/>
          <w:sz w:val="18"/>
          <w:szCs w:val="18"/>
          <w:color w:val="auto"/>
        </w:rPr>
      </w:pPr>
    </w:p>
    <w:p>
      <w:pPr>
        <w:ind w:left="4" w:right="160" w:firstLine="645"/>
        <w:spacing w:after="0" w:line="264" w:lineRule="auto"/>
        <w:tabs>
          <w:tab w:leader="none" w:pos="13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Participant will have any rights as a stockholder with respect to any Common Shares subject to an Award made to him or her under the Plan prior to the date as of which he or she is actually recorded as the holder of such Common Shares upon the stock records of the Company.</w:t>
      </w:r>
    </w:p>
    <w:p>
      <w:pPr>
        <w:spacing w:after="0" w:line="181" w:lineRule="exact"/>
        <w:rPr>
          <w:rFonts w:ascii="Arial" w:cs="Arial" w:eastAsia="Arial" w:hAnsi="Arial"/>
          <w:sz w:val="18"/>
          <w:szCs w:val="18"/>
          <w:color w:val="auto"/>
        </w:rPr>
      </w:pPr>
    </w:p>
    <w:p>
      <w:pPr>
        <w:ind w:left="4" w:right="60" w:firstLine="645"/>
        <w:spacing w:after="0" w:line="342" w:lineRule="auto"/>
        <w:tabs>
          <w:tab w:leader="none" w:pos="1321"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Committee may condition any Award or combination of Awards authorized under the Plan on the surrender or deferral by the Participant of his or her right to receive a cash bonus or other compensation otherwise payable by the Company or a Subsidiary to the Participant.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jc w:val="both"/>
        <w:ind w:left="4" w:right="80" w:firstLine="645"/>
        <w:spacing w:after="0" w:line="312" w:lineRule="auto"/>
        <w:tabs>
          <w:tab w:leader="none" w:pos="1308"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any provision of the Plan is or becomes invalid, illegal or unenforceable in any jurisdiction, or would disqualify the Plan or any Award under any law deemed applicable by the Committee, such provision will be construed or deemed amended or limited in scope to conform to applicable laws or, in the discretion of the Committee, will be stricken and the remainder of the Plan will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-7051040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-833755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125" w:right="279" w:bottom="0" w:gutter="0" w:footer="0" w:header="0"/>
        </w:sectPr>
      </w:pPr>
    </w:p>
    <w:bookmarkStart w:id="16" w:name="page17"/>
    <w:bookmarkEnd w:id="16"/>
    <w:p>
      <w:pPr>
        <w:ind w:left="-540" w:firstLine="645"/>
        <w:spacing w:after="0" w:line="270" w:lineRule="auto"/>
        <w:tabs>
          <w:tab w:leader="none" w:pos="778"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Each individual who is or has been a member of the Board or a committee appointed by the Board will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in settlement thereof with the Company’s approval, or paid in satisfaction of any judgment in any such action, suit or proceeding against the individual,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is given the opportunity, at its own expense, to handle and defend such claim, action, suit or proceeding before the individual undertakes to handle and defend such claim, action, suit or proceeding on his or her own behalf, unless such loss, cost, liability or expense is a result of such individual’s own willful misconduct or except as expressly provided by statute. The foregoing right of indemnification will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188595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120"/>
      </w:cols>
      <w:pgMar w:left="14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1)"/>
      <w:numFmt w:val="lowerLetter"/>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lowerLetter"/>
      <w:start w:val="3"/>
    </w:lvl>
  </w:abstractNum>
  <w:abstractNum w:abstractNumId="11">
    <w:nsid w:val="75A2A8D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2">
    <w:nsid w:val="8EDBDAB"/>
    <w:multiLevelType w:val="hybridMultilevel"/>
    <w:lvl w:ilvl="0">
      <w:lvlJc w:val="left"/>
      <w:lvlText w:val="(%1)"/>
      <w:numFmt w:val="upperLetter"/>
      <w:start w:val="2"/>
    </w:lvl>
  </w:abstractNum>
  <w:abstractNum w:abstractNumId="13">
    <w:nsid w:val="79838CB2"/>
    <w:multiLevelType w:val="hybridMultilevel"/>
    <w:lvl w:ilvl="0">
      <w:lvlJc w:val="left"/>
      <w:lvlText w:val="(%1)"/>
      <w:numFmt w:val="lowerLetter"/>
      <w:start w:val="19"/>
    </w:lvl>
  </w:abstractNum>
  <w:abstractNum w:abstractNumId="14">
    <w:nsid w:val="4353D0CD"/>
    <w:multiLevelType w:val="hybridMultilevel"/>
    <w:lvl w:ilvl="0">
      <w:lvlJc w:val="left"/>
      <w:lvlText w:val="(%1)"/>
      <w:numFmt w:val="lowerLetter"/>
      <w:start w:val="24"/>
    </w:lvl>
  </w:abstractNum>
  <w:abstractNum w:abstractNumId="15">
    <w:nsid w:val="B03E0C6"/>
    <w:multiLevelType w:val="hybridMultilevel"/>
    <w:lvl w:ilvl="0">
      <w:lvlJc w:val="left"/>
      <w:lvlText w:val="%1"/>
      <w:numFmt w:val="decimal"/>
      <w:start w:val="1"/>
    </w:lvl>
    <w:lvl w:ilvl="1">
      <w:lvlJc w:val="left"/>
      <w:lvlText w:val="(%2)"/>
      <w:numFmt w:val="lowerLetter"/>
      <w:start w:val="27"/>
    </w:lvl>
  </w:abstractNum>
  <w:abstractNum w:abstractNumId="16">
    <w:nsid w:val="189A769B"/>
    <w:multiLevelType w:val="hybridMultilevel"/>
    <w:lvl w:ilvl="0">
      <w:lvlJc w:val="left"/>
      <w:lvlText w:val="%1."/>
      <w:numFmt w:val="decimal"/>
      <w:start w:val="3"/>
    </w:lvl>
    <w:lvl w:ilvl="1">
      <w:lvlJc w:val="left"/>
      <w:lvlText w:val="(%2)"/>
      <w:numFmt w:val="lowerLetter"/>
      <w:start w:val="1"/>
    </w:lvl>
  </w:abstractNum>
  <w:abstractNum w:abstractNumId="17">
    <w:nsid w:val="54E49EB4"/>
    <w:multiLevelType w:val="hybridMultilevel"/>
    <w:lvl w:ilvl="0">
      <w:lvlJc w:val="left"/>
      <w:lvlText w:val="(%1)"/>
      <w:numFmt w:val="lowerLetter"/>
      <w:start w:val="2"/>
    </w:lvl>
  </w:abstractNum>
  <w:abstractNum w:abstractNumId="18">
    <w:nsid w:val="71F32454"/>
    <w:multiLevelType w:val="hybridMultilevel"/>
    <w:lvl w:ilvl="0">
      <w:lvlJc w:val="left"/>
      <w:lvlText w:val="(%1)"/>
      <w:numFmt w:val="lowerLetter"/>
      <w:start w:val="3"/>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1"/>
      <w:numFmt w:val="decimal"/>
      <w:start w:val="1"/>
    </w:lvl>
    <w:lvl w:ilvl="1">
      <w:lvlJc w:val="left"/>
      <w:lvlText w:val="(%2)"/>
      <w:numFmt w:val="lowerLetter"/>
      <w:start w:val="4"/>
    </w:lvl>
  </w:abstractNum>
  <w:abstractNum w:abstractNumId="21">
    <w:nsid w:val="2901D82"/>
    <w:multiLevelType w:val="hybridMultilevel"/>
    <w:lvl w:ilvl="0">
      <w:lvlJc w:val="left"/>
      <w:lvlText w:val="%1."/>
      <w:numFmt w:val="decimal"/>
      <w:start w:val="4"/>
    </w:lvl>
    <w:lvl w:ilvl="1">
      <w:lvlJc w:val="left"/>
      <w:lvlText w:val="(%2)"/>
      <w:numFmt w:val="lowerLetter"/>
      <w:start w:val="1"/>
    </w:lvl>
  </w:abstractNum>
  <w:abstractNum w:abstractNumId="22">
    <w:nsid w:val="3A95F874"/>
    <w:multiLevelType w:val="hybridMultilevel"/>
    <w:lvl w:ilvl="0">
      <w:lvlJc w:val="left"/>
      <w:lvlText w:val="%1"/>
      <w:numFmt w:val="decimal"/>
      <w:start w:val="1"/>
    </w:lvl>
    <w:lvl w:ilvl="1">
      <w:lvlJc w:val="left"/>
      <w:lvlText w:val="(%2)"/>
      <w:numFmt w:val="lowerLetter"/>
      <w:start w:val="1"/>
    </w:lvl>
  </w:abstractNum>
  <w:abstractNum w:abstractNumId="23">
    <w:nsid w:val="8138641"/>
    <w:multiLevelType w:val="hybridMultilevel"/>
    <w:lvl w:ilvl="0">
      <w:lvlJc w:val="left"/>
      <w:lvlText w:val="%1."/>
      <w:numFmt w:val="decimal"/>
      <w:start w:val="6"/>
    </w:lvl>
    <w:lvl w:ilvl="1">
      <w:lvlJc w:val="left"/>
      <w:lvlText w:val="(%2)"/>
      <w:numFmt w:val="lowerLetter"/>
      <w:start w:val="1"/>
    </w:lvl>
  </w:abstractNum>
  <w:abstractNum w:abstractNumId="24">
    <w:nsid w:val="1E7FF521"/>
    <w:multiLevelType w:val="hybridMultilevel"/>
    <w:lvl w:ilvl="0">
      <w:lvlJc w:val="left"/>
      <w:lvlText w:val="%1."/>
      <w:numFmt w:val="decimal"/>
      <w:start w:val="7"/>
    </w:lvl>
    <w:lvl w:ilvl="1">
      <w:lvlJc w:val="left"/>
      <w:lvlText w:val="(%2)"/>
      <w:numFmt w:val="lowerLetter"/>
      <w:start w:val="1"/>
    </w:lvl>
  </w:abstractNum>
  <w:abstractNum w:abstractNumId="25">
    <w:nsid w:val="7C3DBD3D"/>
    <w:multiLevelType w:val="hybridMultilevel"/>
    <w:lvl w:ilvl="0">
      <w:lvlJc w:val="left"/>
      <w:lvlText w:val="%1"/>
      <w:numFmt w:val="decimal"/>
      <w:start w:val="1"/>
    </w:lvl>
    <w:lvl w:ilvl="1">
      <w:lvlJc w:val="left"/>
      <w:lvlText w:val="(%2)"/>
      <w:numFmt w:val="lowerLetter"/>
      <w:start w:val="1"/>
    </w:lvl>
  </w:abstractNum>
  <w:abstractNum w:abstractNumId="26">
    <w:nsid w:val="737B8DDC"/>
    <w:multiLevelType w:val="hybridMultilevel"/>
    <w:lvl w:ilvl="0">
      <w:lvlJc w:val="left"/>
      <w:lvlText w:val="%1."/>
      <w:numFmt w:val="decimal"/>
      <w:start w:val="10"/>
    </w:lvl>
    <w:lvl w:ilvl="1">
      <w:lvlJc w:val="left"/>
      <w:lvlText w:val="(%2)"/>
      <w:numFmt w:val="lowerLetter"/>
      <w:start w:val="1"/>
    </w:lvl>
  </w:abstractNum>
  <w:abstractNum w:abstractNumId="27">
    <w:nsid w:val="6CEAF087"/>
    <w:multiLevelType w:val="hybridMultilevel"/>
    <w:lvl w:ilvl="0">
      <w:lvlJc w:val="left"/>
      <w:lvlText w:val="%1"/>
      <w:numFmt w:val="decimal"/>
      <w:start w:val="1"/>
    </w:lvl>
    <w:lvl w:ilvl="1">
      <w:lvlJc w:val="left"/>
      <w:lvlText w:val="(%2)"/>
      <w:numFmt w:val="lowerLetter"/>
      <w:start w:val="2"/>
    </w:lvl>
  </w:abstractNum>
  <w:abstractNum w:abstractNumId="28">
    <w:nsid w:val="22221A70"/>
    <w:multiLevelType w:val="hybridMultilevel"/>
    <w:lvl w:ilvl="0">
      <w:lvlJc w:val="left"/>
      <w:lvlText w:val="%1."/>
      <w:numFmt w:val="decimal"/>
      <w:start w:val="11"/>
    </w:lvl>
    <w:lvl w:ilvl="1">
      <w:lvlJc w:val="left"/>
      <w:lvlText w:val="(%2)"/>
      <w:numFmt w:val="lowerLetter"/>
      <w:start w:val="1"/>
    </w:lvl>
  </w:abstractNum>
  <w:abstractNum w:abstractNumId="29">
    <w:nsid w:val="4516DDE9"/>
    <w:multiLevelType w:val="hybridMultilevel"/>
    <w:lvl w:ilvl="0">
      <w:lvlJc w:val="left"/>
      <w:lvlText w:val="(%1)"/>
      <w:numFmt w:val="lowerRoman"/>
      <w:start w:val="2"/>
    </w:lvl>
  </w:abstractNum>
  <w:abstractNum w:abstractNumId="30">
    <w:nsid w:val="3006C83E"/>
    <w:multiLevelType w:val="hybridMultilevel"/>
    <w:lvl w:ilvl="0">
      <w:lvlJc w:val="left"/>
      <w:lvlText w:val="%1."/>
      <w:numFmt w:val="decimal"/>
      <w:start w:val="12"/>
    </w:lvl>
    <w:lvl w:ilvl="1">
      <w:lvlJc w:val="left"/>
      <w:lvlText w:val="(%2)"/>
      <w:numFmt w:val="lowerLetter"/>
      <w:start w:val="1"/>
    </w:lvl>
  </w:abstractNum>
  <w:abstractNum w:abstractNumId="31">
    <w:nsid w:val="614FD4A1"/>
    <w:multiLevelType w:val="hybridMultilevel"/>
    <w:lvl w:ilvl="0">
      <w:lvlJc w:val="left"/>
      <w:lvlText w:val="%1."/>
      <w:numFmt w:val="decimal"/>
      <w:start w:val="17"/>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2"/>
    </w:lvl>
  </w:abstractNum>
  <w:abstractNum w:abstractNumId="34">
    <w:nsid w:val="440BADFC"/>
    <w:multiLevelType w:val="hybridMultilevel"/>
    <w:lvl w:ilvl="0">
      <w:lvlJc w:val="left"/>
      <w:lvlText w:val="%1."/>
      <w:numFmt w:val="decimal"/>
      <w:start w:val="18"/>
    </w:lvl>
    <w:lvl w:ilvl="1">
      <w:lvlJc w:val="left"/>
      <w:lvlText w:val="(%2)"/>
      <w:numFmt w:val="lowerLetter"/>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2019-12-05T19:24:49Z</dcterms:created>
  <dcterms:modified xsi:type="dcterms:W3CDTF">2019-12-05T19:24:49Z</dcterms:modified>
</cp:coreProperties>
</file>