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Wasserman Casey</w:t>
              </w:r>
            </w:hyperlink>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Activision Blizzard,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ATVI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3"/>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20" w:type="dxa"/>
            <w:vAlign w:val="bottom"/>
          </w:tcPr>
          <w:p>
            <w:pPr>
              <w:ind w:left="140"/>
              <w:spacing w:after="0"/>
              <w:rPr>
                <w:sz w:val="20"/>
                <w:szCs w:val="20"/>
                <w:color w:val="auto"/>
              </w:rPr>
            </w:pPr>
            <w:r>
              <w:rPr>
                <w:rFonts w:ascii="Arial" w:cs="Arial" w:eastAsia="Arial" w:hAnsi="Arial"/>
                <w:sz w:val="13"/>
                <w:szCs w:val="13"/>
                <w:color w:val="auto"/>
                <w:w w:val="97"/>
              </w:rPr>
              <w:t>(Middle)</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0" w:type="dxa"/>
            <w:vAlign w:val="bottom"/>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5"/>
            <w:vMerge w:val="restart"/>
          </w:tcPr>
          <w:p>
            <w:pPr>
              <w:spacing w:after="0"/>
              <w:rPr>
                <w:sz w:val="20"/>
                <w:szCs w:val="20"/>
                <w:color w:val="auto"/>
              </w:rPr>
            </w:pPr>
            <w:r>
              <w:rPr>
                <w:rFonts w:ascii="Arial" w:cs="Arial" w:eastAsia="Arial" w:hAnsi="Arial"/>
                <w:sz w:val="17"/>
                <w:szCs w:val="17"/>
                <w:color w:val="0000FF"/>
              </w:rPr>
              <w:t>C/O ACTIVISION BLIZZARD, INC.</w:t>
            </w:r>
          </w:p>
        </w:tc>
        <w:tc>
          <w:tcPr>
            <w:tcW w:w="720" w:type="dxa"/>
            <w:vAlign w:val="bottom"/>
          </w:tcPr>
          <w:p>
            <w:pPr>
              <w:spacing w:after="0"/>
              <w:rPr>
                <w:sz w:val="19"/>
                <w:szCs w:val="19"/>
                <w:color w:val="auto"/>
              </w:rPr>
            </w:pPr>
          </w:p>
        </w:tc>
        <w:tc>
          <w:tcPr>
            <w:tcW w:w="146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5"/>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5"/>
          </w:tcPr>
          <w:p>
            <w:pPr>
              <w:spacing w:after="0"/>
              <w:rPr>
                <w:sz w:val="20"/>
                <w:szCs w:val="20"/>
                <w:color w:val="auto"/>
              </w:rPr>
            </w:pPr>
            <w:r>
              <w:rPr>
                <w:rFonts w:ascii="Arial" w:cs="Arial" w:eastAsia="Arial" w:hAnsi="Arial"/>
                <w:sz w:val="17"/>
                <w:szCs w:val="17"/>
                <w:color w:val="0000FF"/>
              </w:rPr>
              <w:t>3100 OCEAN PARK BOULEVARD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0" w:type="dxa"/>
            <w:vAlign w:val="bottom"/>
            <w:gridSpan w:val="9"/>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4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620" w:type="dxa"/>
            <w:vAlign w:val="bottom"/>
            <w:vMerge w:val="restart"/>
          </w:tcPr>
          <w:p>
            <w:pPr>
              <w:ind w:left="140"/>
              <w:spacing w:after="0"/>
              <w:rPr>
                <w:sz w:val="20"/>
                <w:szCs w:val="20"/>
                <w:color w:val="auto"/>
              </w:rPr>
            </w:pPr>
            <w:r>
              <w:rPr>
                <w:rFonts w:ascii="Arial" w:cs="Arial" w:eastAsia="Arial" w:hAnsi="Arial"/>
                <w:sz w:val="17"/>
                <w:szCs w:val="17"/>
                <w:color w:val="0000FF"/>
                <w:w w:val="97"/>
              </w:rPr>
              <w:t>90405</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0" w:type="dxa"/>
            <w:vAlign w:val="bottom"/>
            <w:gridSpan w:val="9"/>
            <w:vMerge w:val="restart"/>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MONICA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20" w:type="dxa"/>
            <w:vAlign w:val="bottom"/>
          </w:tcPr>
          <w:p>
            <w:pPr>
              <w:ind w:left="14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5"/>
                <w:szCs w:val="15"/>
                <w:color w:val="auto"/>
              </w:rPr>
            </w:pP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Borders>
              <w:bottom w:val="single" w:sz="8" w:color="2C2C2C"/>
            </w:tcBorders>
            <w:gridSpan w:val="6"/>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$0.000001</w:t>
            </w:r>
          </w:p>
        </w:tc>
        <w:tc>
          <w:tcPr>
            <w:tcW w:w="1120" w:type="dxa"/>
            <w:vAlign w:val="bottom"/>
            <w:gridSpan w:val="4"/>
            <w:vMerge w:val="restart"/>
          </w:tcPr>
          <w:p>
            <w:pPr>
              <w:ind w:left="100"/>
              <w:spacing w:after="0"/>
              <w:rPr>
                <w:sz w:val="20"/>
                <w:szCs w:val="20"/>
                <w:color w:val="auto"/>
              </w:rPr>
            </w:pPr>
            <w:r>
              <w:rPr>
                <w:rFonts w:ascii="Arial" w:cs="Arial" w:eastAsia="Arial" w:hAnsi="Arial"/>
                <w:sz w:val="17"/>
                <w:szCs w:val="17"/>
                <w:color w:val="0000FF"/>
              </w:rPr>
              <w:t>06/16/2020</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0000FF"/>
              </w:rPr>
              <w:t>3,425</w:t>
            </w:r>
            <w:r>
              <w:rPr>
                <w:rFonts w:ascii="Arial" w:cs="Arial" w:eastAsia="Arial" w:hAnsi="Arial"/>
                <w:sz w:val="22"/>
                <w:szCs w:val="22"/>
                <w:color w:val="008000"/>
                <w:vertAlign w:val="superscript"/>
              </w:rPr>
              <w:t>(1)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42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4"/>
            <w:vMerge w:val="restart"/>
          </w:tcPr>
          <w:p>
            <w:pPr>
              <w:jc w:val="center"/>
              <w:ind w:left="25"/>
              <w:spacing w:after="0"/>
              <w:rPr>
                <w:sz w:val="20"/>
                <w:szCs w:val="20"/>
                <w:color w:val="auto"/>
              </w:rPr>
            </w:pPr>
            <w:r>
              <w:rPr>
                <w:rFonts w:ascii="Arial" w:cs="Arial" w:eastAsia="Arial" w:hAnsi="Arial"/>
                <w:sz w:val="17"/>
                <w:szCs w:val="17"/>
                <w:color w:val="0000FF"/>
                <w:w w:val="88"/>
              </w:rPr>
              <w:t>31,712</w:t>
            </w:r>
            <w:r>
              <w:rPr>
                <w:rFonts w:ascii="Arial" w:cs="Arial" w:eastAsia="Arial" w:hAnsi="Arial"/>
                <w:sz w:val="22"/>
                <w:szCs w:val="22"/>
                <w:color w:val="008000"/>
                <w:w w:val="88"/>
                <w:vertAlign w:val="superscript"/>
              </w:rPr>
              <w:t>(2)</w:t>
            </w:r>
          </w:p>
        </w:tc>
        <w:tc>
          <w:tcPr>
            <w:tcW w:w="340" w:type="dxa"/>
            <w:vAlign w:val="bottom"/>
          </w:tcPr>
          <w:p>
            <w:pPr>
              <w:spacing w:after="0"/>
              <w:rPr>
                <w:sz w:val="22"/>
                <w:szCs w:val="22"/>
                <w:color w:val="auto"/>
              </w:rPr>
            </w:pP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$0.000001</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gridSpan w:val="5"/>
          </w:tcPr>
          <w:p>
            <w:pPr>
              <w:ind w:left="20"/>
              <w:spacing w:after="0"/>
              <w:rPr>
                <w:sz w:val="20"/>
                <w:szCs w:val="20"/>
                <w:color w:val="auto"/>
              </w:rPr>
            </w:pPr>
            <w:r>
              <w:rPr>
                <w:rFonts w:ascii="Arial" w:cs="Arial" w:eastAsia="Arial" w:hAnsi="Arial"/>
                <w:sz w:val="17"/>
                <w:szCs w:val="17"/>
                <w:color w:val="0000FF"/>
              </w:rPr>
              <w:t>by Mr.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restart"/>
          </w:tcPr>
          <w:p>
            <w:pPr>
              <w:jc w:val="center"/>
              <w:ind w:left="445"/>
              <w:spacing w:after="0"/>
              <w:rPr>
                <w:sz w:val="20"/>
                <w:szCs w:val="20"/>
                <w:color w:val="auto"/>
              </w:rPr>
            </w:pPr>
            <w:r>
              <w:rPr>
                <w:rFonts w:ascii="Arial" w:cs="Arial" w:eastAsia="Arial" w:hAnsi="Arial"/>
                <w:sz w:val="17"/>
                <w:szCs w:val="17"/>
                <w:color w:val="0000FF"/>
                <w:w w:val="89"/>
              </w:rPr>
              <w:t>5.459</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5"/>
            <w:vMerge w:val="restart"/>
          </w:tcPr>
          <w:p>
            <w:pPr>
              <w:ind w:left="20"/>
              <w:spacing w:after="0"/>
              <w:rPr>
                <w:sz w:val="20"/>
                <w:szCs w:val="20"/>
                <w:color w:val="auto"/>
              </w:rPr>
            </w:pPr>
            <w:r>
              <w:rPr>
                <w:rFonts w:ascii="Arial" w:cs="Arial" w:eastAsia="Arial" w:hAnsi="Arial"/>
                <w:sz w:val="17"/>
                <w:szCs w:val="17"/>
                <w:color w:val="0000FF"/>
              </w:rPr>
              <w:t>Wasserman's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$0.000001</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gridSpan w:val="5"/>
          </w:tcPr>
          <w:p>
            <w:pPr>
              <w:ind w:left="20"/>
              <w:spacing w:after="0"/>
              <w:rPr>
                <w:sz w:val="20"/>
                <w:szCs w:val="20"/>
                <w:color w:val="auto"/>
              </w:rPr>
            </w:pPr>
            <w:r>
              <w:rPr>
                <w:rFonts w:ascii="Arial" w:cs="Arial" w:eastAsia="Arial" w:hAnsi="Arial"/>
                <w:sz w:val="17"/>
                <w:szCs w:val="17"/>
                <w:color w:val="0000FF"/>
              </w:rPr>
              <w:t>by Mr.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restart"/>
          </w:tcPr>
          <w:p>
            <w:pPr>
              <w:jc w:val="center"/>
              <w:ind w:left="445"/>
              <w:spacing w:after="0"/>
              <w:rPr>
                <w:sz w:val="20"/>
                <w:szCs w:val="20"/>
                <w:color w:val="auto"/>
              </w:rPr>
            </w:pPr>
            <w:r>
              <w:rPr>
                <w:rFonts w:ascii="Arial" w:cs="Arial" w:eastAsia="Arial" w:hAnsi="Arial"/>
                <w:sz w:val="17"/>
                <w:szCs w:val="17"/>
                <w:color w:val="0000FF"/>
              </w:rPr>
              <w:t>2</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5"/>
            <w:vMerge w:val="restart"/>
          </w:tcPr>
          <w:p>
            <w:pPr>
              <w:ind w:left="20"/>
              <w:spacing w:after="0"/>
              <w:rPr>
                <w:sz w:val="20"/>
                <w:szCs w:val="20"/>
                <w:color w:val="auto"/>
              </w:rPr>
            </w:pPr>
            <w:r>
              <w:rPr>
                <w:rFonts w:ascii="Arial" w:cs="Arial" w:eastAsia="Arial" w:hAnsi="Arial"/>
                <w:sz w:val="17"/>
                <w:szCs w:val="17"/>
                <w:color w:val="0000FF"/>
              </w:rPr>
              <w:t>Wasserman's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minor 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0" w:type="dxa"/>
            <w:vAlign w:val="bottom"/>
            <w:gridSpan w:val="15"/>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78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-3990975</wp:posOffset>
            </wp:positionV>
            <wp:extent cx="7031355" cy="4036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360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grant was for 3,425 restricted stock units, each representing the right to receive one share of the Company's common stock, which will vest in equal installments on September 16, 2020, December 16, 2020, March 16, 2021, and June 16, 2021.</w:t>
      </w:r>
    </w:p>
    <w:p>
      <w:pPr>
        <w:spacing w:after="0" w:line="1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on this Form 4, Mr. Wasserman held (a) 26,935 shares of our Common Stock held by the Casey Wasserman Living Trust and (b) 4,777 restricted stock units, each representing the right to receive one share of the Company's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Casey Wasserman</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06/18/2020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7938" TargetMode="External"/><Relationship Id="rId14" Type="http://schemas.openxmlformats.org/officeDocument/2006/relationships/hyperlink" Target="http://www.sec.gov/cgi-bin/browse-edgar?action=getcompany&amp;CIK=0000718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2020-06-18T18:12:20Z</dcterms:created>
  <dcterms:modified xsi:type="dcterms:W3CDTF">2020-06-18T18:12:20Z</dcterms:modified>
</cp:coreProperties>
</file>