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Activision Incorporated</w:t>
      </w:r>
    </w:p>
    <w:tbl>
      <w:tblPr>
        <w:tblLayout w:type="fixed"/>
        <w:tblInd w:w="0" w:type="dxa"/>
        <w:tblCellMar>
          <w:top w:w="0" w:type="dxa"/>
          <w:left w:w="0" w:type="dxa"/>
          <w:bottom w:w="0" w:type="dxa"/>
          <w:right w:w="0" w:type="dxa"/>
        </w:tblCellMar>
      </w:tblPr>
      <w:tr>
        <w:trPr>
          <w:trHeight w:val="203"/>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004930202</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004930202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Reporting Person - Fidelity International Limited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Bermuda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365,130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365,130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1,140,120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4.823%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51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004930202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1,140,120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1,140,120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4.823%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004930202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1,140,120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1,140,120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4.823%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13d-1(c)</w:t>
      </w:r>
    </w:p>
    <w:p>
      <w:pPr>
        <w:sectPr>
          <w:pgSz w:w="11900" w:h="16855"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Activision Incorporated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3100 Ocean Park Boulevard</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Santa Monica, CA 90405</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Fidelity International Limited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Pembroke Hall, 42 Crowlane</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Hamilton, Bermuda</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004930202</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13d-1(c).</w:t>
      </w:r>
    </w:p>
    <w:p>
      <w:pPr>
        <w:spacing w:after="0" w:line="2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1,140,120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4.823%</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w w:val="92"/>
              </w:rPr>
              <w:t>365,130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365,130</w:t>
      </w:r>
    </w:p>
    <w:p>
      <w:pPr>
        <w:spacing w:after="0" w:line="207"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 Stock.</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Fidelity International Limited's beneficial ownership of the common stock of Activision Incorporated at September 6, 2000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September 12, 2000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Fidelity International Limited and it</w:t>
      </w:r>
    </w:p>
    <w:p>
      <w:pPr>
        <w:ind w:left="860"/>
        <w:spacing w:after="0" w:line="238" w:lineRule="auto"/>
        <w:rPr>
          <w:sz w:val="20"/>
          <w:szCs w:val="20"/>
          <w:color w:val="auto"/>
        </w:rPr>
      </w:pPr>
      <w:r>
        <w:rPr>
          <w:rFonts w:ascii="Courier New" w:cs="Courier New" w:eastAsia="Courier New" w:hAnsi="Courier New"/>
          <w:sz w:val="18"/>
          <w:szCs w:val="18"/>
          <w:color w:val="auto"/>
        </w:rPr>
        <w:t>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13d-1(c)</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68"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521,700 shares or</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2.207% of the common stock outstanding of Activision Incorporated ("the Company") as a result of acting as investment adviser to various investment companies (the "funds") registered under Section 8 of the Investment Company Act of 1940.</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collectively each has sole power to dispose of the 521,700 shares owned by the Funds.</w:t>
      </w:r>
    </w:p>
    <w:p>
      <w:pPr>
        <w:spacing w:after="0" w:line="209" w:lineRule="exact"/>
        <w:rPr>
          <w:sz w:val="20"/>
          <w:szCs w:val="20"/>
          <w:color w:val="auto"/>
        </w:rPr>
      </w:pPr>
    </w:p>
    <w:p>
      <w:pPr>
        <w:ind w:right="2739" w:firstLine="843"/>
        <w:spacing w:after="0" w:line="273" w:lineRule="auto"/>
        <w:rPr>
          <w:sz w:val="20"/>
          <w:szCs w:val="20"/>
          <w:color w:val="auto"/>
        </w:rPr>
      </w:pPr>
      <w:r>
        <w:rPr>
          <w:rFonts w:ascii="Courier New" w:cs="Courier New" w:eastAsia="Courier New" w:hAnsi="Courier New"/>
          <w:sz w:val="16"/>
          <w:szCs w:val="16"/>
          <w:color w:val="auto"/>
        </w:rPr>
        <w:t>Neither FMR Corp. nor Edward C. Johnson 3d, Chairman of FMR Corp., has the sole power to vote or direct the voting of the shares owned directly by the funds, which power resides with the funds' Boards of Trustees. Fidelity carries out the voting of the shares under written guidelines established by the funds' Boards of Trustees.</w:t>
      </w:r>
    </w:p>
    <w:p>
      <w:pPr>
        <w:spacing w:after="0" w:line="185"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253,290 shares or 1.071%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253,290 shares and sole power to vote or to direct the voting of 253,290 shares.</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159" w:firstLine="843"/>
        <w:spacing w:after="0" w:line="271"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and certain institutional investors. Fidelity International Limited is the beneficial owner of 365,130 shares or 1.544% of the common stock outstanding of the Company. Additional information with respect to the beneficial ownership of Fidelity International Limited is shown on Exhibit B.</w:t>
      </w:r>
    </w:p>
    <w:p>
      <w:pPr>
        <w:spacing w:after="0" w:line="186" w:lineRule="exact"/>
        <w:rPr>
          <w:sz w:val="20"/>
          <w:szCs w:val="20"/>
          <w:color w:val="auto"/>
        </w:rPr>
      </w:pPr>
    </w:p>
    <w:p>
      <w:pPr>
        <w:ind w:right="2519" w:firstLine="843"/>
        <w:spacing w:after="0" w:line="268" w:lineRule="auto"/>
        <w:rPr>
          <w:sz w:val="20"/>
          <w:szCs w:val="20"/>
          <w:color w:val="auto"/>
        </w:rPr>
      </w:pPr>
      <w:r>
        <w:rPr>
          <w:rFonts w:ascii="Courier New" w:cs="Courier New" w:eastAsia="Courier New" w:hAnsi="Courier New"/>
          <w:sz w:val="16"/>
          <w:szCs w:val="16"/>
          <w:color w:val="auto"/>
        </w:rPr>
        <w:t>FMR Corp. and Fidelity International Limited are of the view that they are not acting as a "group" for purposes of Section 13(d) under</w:t>
      </w:r>
    </w:p>
    <w:p>
      <w:pPr>
        <w:ind w:right="2839"/>
        <w:spacing w:after="0" w:line="271" w:lineRule="auto"/>
        <w:rPr>
          <w:sz w:val="20"/>
          <w:szCs w:val="20"/>
          <w:color w:val="auto"/>
        </w:rPr>
      </w:pPr>
      <w:r>
        <w:rPr>
          <w:rFonts w:ascii="Courier New" w:cs="Courier New" w:eastAsia="Courier New" w:hAnsi="Courier New"/>
          <w:sz w:val="16"/>
          <w:szCs w:val="16"/>
          <w:color w:val="auto"/>
        </w:rPr>
        <w:t>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Fidelity International Limited is making this filing on a voluntary basis as if all of the shares are beneficially owned by FMR Corp. and Fidelity International Limited on a joint basis.</w:t>
      </w:r>
    </w:p>
    <w:p>
      <w:pPr>
        <w:spacing w:after="0" w:line="184"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EXHIBIT to SCHEDULE 13G - TO BE INCLUDED IN STATEMENTS FILED PURSUANT TO RULE 13d-1(c)</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instructions in Item 7 of Schedule 13G, this Exhibit</w:t>
      </w:r>
    </w:p>
    <w:p>
      <w:pPr>
        <w:sectPr>
          <w:pgSz w:w="11900" w:h="16838" w:orient="portrait"/>
          <w:cols w:equalWidth="0" w:num="1">
            <w:col w:w="10219"/>
          </w:cols>
          <w:pgMar w:left="240" w:top="344" w:right="1440" w:bottom="0" w:gutter="0" w:footer="0" w:header="0"/>
        </w:sectPr>
      </w:pPr>
    </w:p>
    <w:bookmarkStart w:id="3" w:name="page4"/>
    <w:bookmarkEnd w:id="3"/>
    <w:p>
      <w:pPr>
        <w:ind w:right="2739"/>
        <w:spacing w:after="0" w:line="237" w:lineRule="auto"/>
        <w:rPr>
          <w:sz w:val="20"/>
          <w:szCs w:val="20"/>
          <w:color w:val="auto"/>
        </w:rPr>
      </w:pPr>
      <w:r>
        <w:rPr>
          <w:rFonts w:ascii="Courier New" w:cs="Courier New" w:eastAsia="Courier New" w:hAnsi="Courier New"/>
          <w:sz w:val="18"/>
          <w:szCs w:val="18"/>
          <w:color w:val="auto"/>
        </w:rPr>
        <w:t>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365,130 shares or 1.544% of the common stock outstanding of Activision Incorporated.</w:t>
      </w:r>
    </w:p>
    <w:p>
      <w:pPr>
        <w:spacing w:after="0" w:line="211"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519" w:firstLine="843"/>
        <w:spacing w:after="0" w:line="268" w:lineRule="auto"/>
        <w:rPr>
          <w:sz w:val="20"/>
          <w:szCs w:val="20"/>
          <w:color w:val="auto"/>
        </w:rPr>
      </w:pPr>
      <w:r>
        <w:rPr>
          <w:rFonts w:ascii="Courier New" w:cs="Courier New" w:eastAsia="Courier New" w:hAnsi="Courier New"/>
          <w:sz w:val="16"/>
          <w:szCs w:val="16"/>
          <w:color w:val="auto"/>
        </w:rPr>
        <w:t>FMR Corp. and Fidelity International Limited are of the view that they are not acting as a "group" for purposes of Section 13(d) under</w:t>
      </w:r>
    </w:p>
    <w:p>
      <w:pPr>
        <w:ind w:right="2839"/>
        <w:spacing w:after="0" w:line="271" w:lineRule="auto"/>
        <w:rPr>
          <w:sz w:val="20"/>
          <w:szCs w:val="20"/>
          <w:color w:val="auto"/>
        </w:rPr>
      </w:pPr>
      <w:r>
        <w:rPr>
          <w:rFonts w:ascii="Courier New" w:cs="Courier New" w:eastAsia="Courier New" w:hAnsi="Courier New"/>
          <w:sz w:val="16"/>
          <w:szCs w:val="16"/>
          <w:color w:val="auto"/>
        </w:rPr>
        <w:t>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Fidelity International Limited is making this filing on a voluntary basis as if all of the shares are beneficially owned by FMR Corp. and Fidelity International Limited on a joint basis.</w:t>
      </w:r>
    </w:p>
    <w:p>
      <w:pPr>
        <w:spacing w:after="0" w:line="18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365,130 shares owned by the International Funds. FIL has sole power to vote or direct the voting of 365,130 shares of common stock held by the International Funds as reported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13d-1(c)</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undersigned persons, on September 12, 2000, agree and consent to the joint filing on their behalf of this Schedule 13G in connection with their beneficial ownership of the common stock of Activision Incorporated at September 6,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International Limited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458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5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dated December 30, 1997, by and on behalf</w:t>
            </w:r>
          </w:p>
        </w:tc>
      </w:tr>
      <w:tr>
        <w:trPr>
          <w:trHeight w:val="203"/>
        </w:trPr>
        <w:tc>
          <w:tcPr>
            <w:tcW w:w="380" w:type="dxa"/>
            <w:vAlign w:val="bottom"/>
          </w:tcPr>
          <w:p>
            <w:pPr>
              <w:spacing w:after="0"/>
              <w:rPr>
                <w:sz w:val="17"/>
                <w:szCs w:val="17"/>
                <w:color w:val="auto"/>
              </w:rPr>
            </w:pPr>
          </w:p>
        </w:tc>
        <w:tc>
          <w:tcPr>
            <w:tcW w:w="5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of Fidelity International Limited and its direct</w:t>
            </w:r>
          </w:p>
        </w:tc>
      </w:tr>
      <w:tr>
        <w:trPr>
          <w:trHeight w:val="203"/>
        </w:trPr>
        <w:tc>
          <w:tcPr>
            <w:tcW w:w="5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indirect subsidiaries.</w:t>
            </w:r>
          </w:p>
        </w:tc>
      </w:tr>
      <w:tr>
        <w:trPr>
          <w:trHeight w:val="405"/>
        </w:trPr>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5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5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dated December 30, 1997, by and on behalf</w:t>
            </w:r>
          </w:p>
        </w:tc>
      </w:tr>
      <w:tr>
        <w:trPr>
          <w:trHeight w:val="203"/>
        </w:trPr>
        <w:tc>
          <w:tcPr>
            <w:tcW w:w="380" w:type="dxa"/>
            <w:vAlign w:val="bottom"/>
          </w:tcPr>
          <w:p>
            <w:pPr>
              <w:spacing w:after="0"/>
              <w:rPr>
                <w:sz w:val="17"/>
                <w:szCs w:val="17"/>
                <w:color w:val="auto"/>
              </w:rPr>
            </w:pPr>
          </w:p>
        </w:tc>
        <w:tc>
          <w:tcPr>
            <w:tcW w:w="5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90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5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5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dated December 30, 1997, by and on behalf</w:t>
            </w:r>
          </w:p>
        </w:tc>
      </w:tr>
      <w:tr>
        <w:trPr>
          <w:trHeight w:val="203"/>
        </w:trPr>
        <w:tc>
          <w:tcPr>
            <w:tcW w:w="380" w:type="dxa"/>
            <w:vAlign w:val="bottom"/>
          </w:tcPr>
          <w:p>
            <w:pPr>
              <w:spacing w:after="0"/>
              <w:rPr>
                <w:sz w:val="17"/>
                <w:szCs w:val="17"/>
                <w:color w:val="auto"/>
              </w:rPr>
            </w:pPr>
          </w:p>
        </w:tc>
        <w:tc>
          <w:tcPr>
            <w:tcW w:w="5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7"/>
              </w:rPr>
              <w:t>By   /s/Eric</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Eric</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Duly</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authorized under Power of Attorney</w:t>
            </w:r>
          </w:p>
        </w:tc>
      </w:tr>
    </w:tbl>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subsidiaries.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2019-12-13T12:49:46Z</dcterms:created>
  <dcterms:modified xsi:type="dcterms:W3CDTF">2019-12-13T12:49:46Z</dcterms:modified>
</cp:coreProperties>
</file>