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27964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1270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31" w:lineRule="exact"/>
        <w:rPr>
          <w:sz w:val="24"/>
          <w:szCs w:val="24"/>
          <w:color w:val="auto"/>
        </w:rPr>
      </w:pPr>
    </w:p>
    <w:p>
      <w:pPr>
        <w:ind w:left="17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2019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 w:lineRule="exact"/>
        <w:rPr>
          <w:sz w:val="24"/>
          <w:szCs w:val="24"/>
          <w:color w:val="auto"/>
        </w:rPr>
      </w:pPr>
    </w:p>
    <w:p>
      <w:pPr>
        <w:ind w:left="17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8" w:lineRule="exact"/>
        <w:rPr>
          <w:sz w:val="24"/>
          <w:szCs w:val="24"/>
          <w:color w:val="auto"/>
        </w:rPr>
      </w:pPr>
    </w:p>
    <w:p>
      <w:pPr>
        <w:ind w:left="4060"/>
        <w:spacing w:after="0"/>
        <w:tabs>
          <w:tab w:leader="none" w:pos="6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12065</wp:posOffset>
            </wp:positionV>
            <wp:extent cx="1714500" cy="532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ACTIVISION BLIZZARD,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jc w:val="center"/>
              <w:ind w:left="191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right"/>
              <w:ind w:right="2352"/>
              <w:spacing w:after="0"/>
              <w:rPr>
                <w:sz w:val="20"/>
                <w:szCs w:val="20"/>
                <w:color w:val="auto"/>
              </w:rPr>
            </w:pPr>
            <w:r>
              <w:rPr>
                <w:rFonts w:ascii="Times New Roman" w:cs="Times New Roman" w:eastAsia="Times New Roman" w:hAnsi="Times New Roman"/>
                <w:sz w:val="14"/>
                <w:szCs w:val="14"/>
                <w:b w:val="1"/>
                <w:bCs w:val="1"/>
                <w:color w:val="auto"/>
              </w:rPr>
              <w:t>95-4803544</w:t>
            </w:r>
          </w:p>
        </w:tc>
      </w:tr>
      <w:tr>
        <w:trPr>
          <w:trHeight w:val="21"/>
        </w:trPr>
        <w:tc>
          <w:tcPr>
            <w:tcW w:w="4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4740" w:type="dxa"/>
            <w:vAlign w:val="bottom"/>
            <w:gridSpan w:val="4"/>
          </w:tcPr>
          <w:p>
            <w:pPr>
              <w:jc w:val="center"/>
              <w:ind w:left="692"/>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center"/>
              <w:ind w:right="1432"/>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297"/>
        </w:trPr>
        <w:tc>
          <w:tcPr>
            <w:tcW w:w="35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3100 Ocean Park Boulevard</w:t>
            </w: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Santa Monica,</w:t>
            </w: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CA</w:t>
            </w:r>
          </w:p>
        </w:tc>
        <w:tc>
          <w:tcPr>
            <w:tcW w:w="4000" w:type="dxa"/>
            <w:vAlign w:val="bottom"/>
          </w:tcPr>
          <w:p>
            <w:pPr>
              <w:jc w:val="right"/>
              <w:ind w:right="2512"/>
              <w:spacing w:after="0"/>
              <w:rPr>
                <w:sz w:val="20"/>
                <w:szCs w:val="20"/>
                <w:color w:val="auto"/>
              </w:rPr>
            </w:pPr>
            <w:r>
              <w:rPr>
                <w:rFonts w:ascii="Times New Roman" w:cs="Times New Roman" w:eastAsia="Times New Roman" w:hAnsi="Times New Roman"/>
                <w:sz w:val="14"/>
                <w:szCs w:val="14"/>
                <w:b w:val="1"/>
                <w:bCs w:val="1"/>
                <w:color w:val="auto"/>
              </w:rPr>
              <w:t>90405</w:t>
            </w:r>
          </w:p>
        </w:tc>
      </w:tr>
      <w:tr>
        <w:trPr>
          <w:trHeight w:val="21"/>
        </w:trPr>
        <w:tc>
          <w:tcPr>
            <w:tcW w:w="4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4740" w:type="dxa"/>
            <w:vAlign w:val="bottom"/>
            <w:gridSpan w:val="4"/>
          </w:tcPr>
          <w:p>
            <w:pPr>
              <w:jc w:val="center"/>
              <w:ind w:left="712"/>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center"/>
              <w:ind w:right="1412"/>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6"/>
        </w:trPr>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(310) 255-2000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2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327"/>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86"/>
        </w:trPr>
        <w:tc>
          <w:tcPr>
            <w:tcW w:w="35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3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Common Stock, par value $0.000001 per share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ATVI</w:t>
            </w:r>
          </w:p>
        </w:tc>
        <w:tc>
          <w:tcPr>
            <w:tcW w:w="4000" w:type="dxa"/>
            <w:vAlign w:val="bottom"/>
          </w:tcPr>
          <w:p>
            <w:pPr>
              <w:jc w:val="center"/>
              <w:ind w:right="612"/>
              <w:spacing w:after="0"/>
              <w:rPr>
                <w:sz w:val="20"/>
                <w:szCs w:val="20"/>
                <w:color w:val="auto"/>
              </w:rPr>
            </w:pPr>
            <w:r>
              <w:rPr>
                <w:rFonts w:ascii="Times New Roman" w:cs="Times New Roman" w:eastAsia="Times New Roman" w:hAnsi="Times New Roman"/>
                <w:sz w:val="14"/>
                <w:szCs w:val="14"/>
                <w:color w:val="auto"/>
                <w:w w:val="96"/>
              </w:rPr>
              <w:t>The Nasdaq Global Select Market</w:t>
            </w:r>
          </w:p>
        </w:tc>
      </w:tr>
    </w:tbl>
    <w:p>
      <w:pPr>
        <w:spacing w:after="0" w:line="90" w:lineRule="exact"/>
        <w:rPr>
          <w:sz w:val="24"/>
          <w:szCs w:val="24"/>
          <w:color w:val="auto"/>
        </w:rPr>
      </w:pPr>
    </w:p>
    <w:p>
      <w:pPr>
        <w:jc w:val="both"/>
        <w:ind w:firstLine="245"/>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0" w:firstLine="245"/>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209" w:right="219" w:bottom="1440" w:gutter="0" w:footer="0" w:header="0"/>
        </w:sectPr>
      </w:pPr>
    </w:p>
    <w:p>
      <w:pPr>
        <w:spacing w:after="0" w:line="94"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6">
            <w:col w:w="2280" w:space="720"/>
            <w:col w:w="960" w:space="720"/>
            <w:col w:w="1480" w:space="720"/>
            <w:col w:w="1080" w:space="720"/>
            <w:col w:w="1340" w:space="720"/>
            <w:col w:w="720"/>
          </w:cols>
          <w:pgMar w:left="220" w:top="209" w:right="219" w:bottom="1440" w:gutter="0" w:footer="0" w:header="0"/>
          <w:type w:val="continuous"/>
        </w:sectPr>
      </w:pPr>
    </w:p>
    <w:p>
      <w:pPr>
        <w:spacing w:after="0" w:line="33"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2">
            <w:col w:w="10040" w:space="720"/>
            <w:col w:w="700"/>
          </w:cols>
          <w:pgMar w:left="220" w:top="209" w:right="219" w:bottom="1440" w:gutter="0" w:footer="0" w:header="0"/>
          <w:type w:val="continuous"/>
        </w:sectPr>
      </w:pPr>
    </w:p>
    <w:p>
      <w:pPr>
        <w:spacing w:after="0" w:line="33"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9" w:lineRule="exact"/>
        <w:rPr>
          <w:sz w:val="24"/>
          <w:szCs w:val="24"/>
          <w:color w:val="auto"/>
        </w:rPr>
      </w:pPr>
    </w:p>
    <w:p>
      <w:pPr>
        <w:sectPr>
          <w:pgSz w:w="11900" w:h="16838" w:orient="portrait"/>
          <w:cols w:equalWidth="0" w:num="2">
            <w:col w:w="10040" w:space="720"/>
            <w:col w:w="700"/>
          </w:cols>
          <w:pgMar w:left="220" w:top="209" w:right="219" w:bottom="1440" w:gutter="0" w:footer="0" w:header="0"/>
          <w:type w:val="continuous"/>
        </w:sectPr>
      </w:pPr>
    </w:p>
    <w:p>
      <w:pPr>
        <w:ind w:right="40" w:firstLine="245"/>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240" w:right="424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outstanding at August 1, 2019 was 767,025,940.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131445</wp:posOffset>
            </wp:positionV>
            <wp:extent cx="710438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4380" cy="1270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66040</wp:posOffset>
            </wp:positionV>
            <wp:extent cx="7104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4380" cy="63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860" w:type="dxa"/>
            <w:vAlign w:val="bottom"/>
            <w:gridSpan w:val="7"/>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7"/>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gridSpan w:val="9"/>
          </w:tcPr>
          <w:p>
            <w:pPr>
              <w:jc w:val="center"/>
              <w:ind w:right="2660"/>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102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7"/>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w w:val="95"/>
              </w:rPr>
              <w:t>Table of Contents</w:t>
            </w:r>
          </w:p>
        </w:tc>
        <w:tc>
          <w:tcPr>
            <w:tcW w:w="102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Cautionary Statement</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3">
              <w:r>
                <w:rPr>
                  <w:rFonts w:ascii="Times New Roman" w:cs="Times New Roman" w:eastAsia="Times New Roman" w:hAnsi="Times New Roman"/>
                  <w:sz w:val="14"/>
                  <w:szCs w:val="14"/>
                  <w:color w:val="auto"/>
                </w:rPr>
                <w:t>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PART I.</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FINANCIAL INFORMATION</w:t>
              </w:r>
            </w:hyperlink>
          </w:p>
        </w:tc>
        <w:tc>
          <w:tcPr>
            <w:tcW w:w="1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rFonts w:ascii="Times New Roman" w:cs="Times New Roman" w:eastAsia="Times New Roman" w:hAnsi="Times New Roman"/>
                <w:sz w:val="14"/>
                <w:szCs w:val="14"/>
                <w:color w:val="0000EE"/>
                <w:w w:val="85"/>
              </w:rPr>
            </w:pPr>
            <w:hyperlink w:anchor="page4">
              <w:r>
                <w:rPr>
                  <w:rFonts w:ascii="Times New Roman" w:cs="Times New Roman" w:eastAsia="Times New Roman" w:hAnsi="Times New Roman"/>
                  <w:sz w:val="14"/>
                  <w:szCs w:val="14"/>
                  <w:color w:val="0000EE"/>
                  <w:w w:val="85"/>
                </w:rPr>
                <w:t>Item 1.</w:t>
              </w:r>
            </w:hyperlink>
          </w:p>
        </w:tc>
        <w:tc>
          <w:tcPr>
            <w:tcW w:w="1460" w:type="dxa"/>
            <w:vAlign w:val="bottom"/>
            <w:gridSpan w:val="5"/>
          </w:tcPr>
          <w:p>
            <w:pPr>
              <w:spacing w:after="0"/>
              <w:rPr>
                <w:sz w:val="24"/>
                <w:szCs w:val="24"/>
                <w:color w:val="auto"/>
              </w:rPr>
            </w:pPr>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Financial Statements (Unaudited)</w:t>
              </w:r>
            </w:hyperlink>
          </w:p>
        </w:tc>
        <w:tc>
          <w:tcPr>
            <w:tcW w:w="1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Condensed Consolidated Balance Sheets at June 30, 2019 and December 31, 2018</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4">
              <w:r>
                <w:rPr>
                  <w:rFonts w:ascii="Times New Roman" w:cs="Times New Roman" w:eastAsia="Times New Roman" w:hAnsi="Times New Roman"/>
                  <w:sz w:val="14"/>
                  <w:szCs w:val="14"/>
                  <w:color w:val="auto"/>
                </w:rPr>
                <w:t>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2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7"/>
              </w:rPr>
            </w:pPr>
            <w:hyperlink w:anchor="page5">
              <w:r>
                <w:rPr>
                  <w:rFonts w:ascii="Times New Roman" w:cs="Times New Roman" w:eastAsia="Times New Roman" w:hAnsi="Times New Roman"/>
                  <w:sz w:val="14"/>
                  <w:szCs w:val="14"/>
                  <w:color w:val="0000EE"/>
                  <w:w w:val="97"/>
                </w:rPr>
                <w:t>Condensed Consolidated Statements of Operations for the three and six months ended June 30, 2019 and June 30, 2018</w:t>
              </w:r>
            </w:hyperlink>
          </w:p>
        </w:tc>
        <w:tc>
          <w:tcPr>
            <w:tcW w:w="204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5">
              <w:r>
                <w:rPr>
                  <w:rFonts w:ascii="Times New Roman" w:cs="Times New Roman" w:eastAsia="Times New Roman" w:hAnsi="Times New Roman"/>
                  <w:sz w:val="14"/>
                  <w:szCs w:val="14"/>
                  <w:color w:val="auto"/>
                </w:rPr>
                <w:t>5</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w:anchor="page6">
              <w:r>
                <w:rPr>
                  <w:rFonts w:ascii="Times New Roman" w:cs="Times New Roman" w:eastAsia="Times New Roman" w:hAnsi="Times New Roman"/>
                  <w:sz w:val="14"/>
                  <w:szCs w:val="14"/>
                  <w:color w:val="0000EE"/>
                  <w:w w:val="97"/>
                </w:rPr>
                <w:t>Condensed Consolidated Statements of Comprehensive Income for the three and six months ended June 30, 2019 and June 30, 2018</w:t>
              </w:r>
            </w:hyperlink>
          </w:p>
        </w:tc>
        <w:tc>
          <w:tcPr>
            <w:tcW w:w="1340" w:type="dxa"/>
            <w:vAlign w:val="bottom"/>
            <w:gridSpan w:val="2"/>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6">
              <w:r>
                <w:rPr>
                  <w:rFonts w:ascii="Times New Roman" w:cs="Times New Roman" w:eastAsia="Times New Roman" w:hAnsi="Times New Roman"/>
                  <w:sz w:val="14"/>
                  <w:szCs w:val="14"/>
                  <w:color w:val="auto"/>
                </w:rPr>
                <w:t>6</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2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w:anchor="page7">
              <w:r>
                <w:rPr>
                  <w:rFonts w:ascii="Times New Roman" w:cs="Times New Roman" w:eastAsia="Times New Roman" w:hAnsi="Times New Roman"/>
                  <w:sz w:val="14"/>
                  <w:szCs w:val="14"/>
                  <w:color w:val="0000EE"/>
                  <w:w w:val="97"/>
                </w:rPr>
                <w:t>Condensed Consolidated Statements of Cash Flows for the six months ended June 30, 2019 and June 30, 2018</w:t>
              </w:r>
            </w:hyperlink>
          </w:p>
        </w:tc>
        <w:tc>
          <w:tcPr>
            <w:tcW w:w="2540" w:type="dxa"/>
            <w:vAlign w:val="bottom"/>
            <w:gridSpan w:val="4"/>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7">
              <w:r>
                <w:rPr>
                  <w:rFonts w:ascii="Times New Roman" w:cs="Times New Roman" w:eastAsia="Times New Roman" w:hAnsi="Times New Roman"/>
                  <w:sz w:val="14"/>
                  <w:szCs w:val="14"/>
                  <w:color w:val="auto"/>
                </w:rPr>
                <w:t>7</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Condensed Consolidated Statement of Changes in Shareholders’ Equity for the three and six months ended June 30, 2019 and June 30, 2018</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8">
              <w:r>
                <w:rPr>
                  <w:rFonts w:ascii="Times New Roman" w:cs="Times New Roman" w:eastAsia="Times New Roman" w:hAnsi="Times New Roman"/>
                  <w:sz w:val="14"/>
                  <w:szCs w:val="14"/>
                  <w:color w:val="auto"/>
                </w:rPr>
                <w:t>8</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tcBorders>
              <w:top w:val="single" w:sz="8" w:color="0000EE"/>
            </w:tcBorders>
            <w:gridSpan w:val="16"/>
          </w:tcPr>
          <w:p>
            <w:pPr>
              <w:spacing w:after="0"/>
              <w:rPr>
                <w:rFonts w:ascii="Times New Roman" w:cs="Times New Roman" w:eastAsia="Times New Roman" w:hAnsi="Times New Roman"/>
                <w:sz w:val="14"/>
                <w:szCs w:val="14"/>
                <w:color w:val="0000EE"/>
              </w:rPr>
            </w:pPr>
            <w:hyperlink w:anchor="page10">
              <w:r>
                <w:rPr>
                  <w:rFonts w:ascii="Times New Roman" w:cs="Times New Roman" w:eastAsia="Times New Roman" w:hAnsi="Times New Roman"/>
                  <w:sz w:val="14"/>
                  <w:szCs w:val="14"/>
                  <w:color w:val="0000EE"/>
                </w:rPr>
                <w:t>Notes to Condensed Consolidated Financial Statements</w:t>
              </w:r>
            </w:hyperlink>
          </w:p>
        </w:tc>
        <w:tc>
          <w:tcPr>
            <w:tcW w:w="900" w:type="dxa"/>
            <w:vAlign w:val="bottom"/>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10">
              <w:r>
                <w:rPr>
                  <w:rFonts w:ascii="Times New Roman" w:cs="Times New Roman" w:eastAsia="Times New Roman" w:hAnsi="Times New Roman"/>
                  <w:sz w:val="14"/>
                  <w:szCs w:val="14"/>
                  <w:color w:val="auto"/>
                </w:rPr>
                <w:t>10</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39">
              <w:r>
                <w:rPr>
                  <w:rFonts w:ascii="Times New Roman" w:cs="Times New Roman" w:eastAsia="Times New Roman" w:hAnsi="Times New Roman"/>
                  <w:sz w:val="14"/>
                  <w:szCs w:val="14"/>
                  <w:color w:val="0000EE"/>
                </w:rPr>
                <w:t>Item 2.</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39">
              <w:r>
                <w:rPr>
                  <w:rFonts w:ascii="Times New Roman" w:cs="Times New Roman" w:eastAsia="Times New Roman" w:hAnsi="Times New Roman"/>
                  <w:sz w:val="14"/>
                  <w:szCs w:val="14"/>
                  <w:color w:val="0000EE"/>
                </w:rPr>
                <w:t>Management’s Discussion and Analysis of Financial Condition and Results of Operations</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39">
              <w:r>
                <w:rPr>
                  <w:rFonts w:ascii="Times New Roman" w:cs="Times New Roman" w:eastAsia="Times New Roman" w:hAnsi="Times New Roman"/>
                  <w:sz w:val="14"/>
                  <w:szCs w:val="14"/>
                  <w:color w:val="auto"/>
                </w:rPr>
                <w:t>39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65">
              <w:r>
                <w:rPr>
                  <w:rFonts w:ascii="Times New Roman" w:cs="Times New Roman" w:eastAsia="Times New Roman" w:hAnsi="Times New Roman"/>
                  <w:sz w:val="14"/>
                  <w:szCs w:val="14"/>
                  <w:color w:val="0000EE"/>
                </w:rPr>
                <w:t>Item 3.</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5">
              <w:r>
                <w:rPr>
                  <w:rFonts w:ascii="Times New Roman" w:cs="Times New Roman" w:eastAsia="Times New Roman" w:hAnsi="Times New Roman"/>
                  <w:sz w:val="14"/>
                  <w:szCs w:val="14"/>
                  <w:color w:val="0000EE"/>
                </w:rPr>
                <w:t>Quantitative and Qualitative Disclosures About Market Risk</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5">
              <w:r>
                <w:rPr>
                  <w:rFonts w:ascii="Times New Roman" w:cs="Times New Roman" w:eastAsia="Times New Roman" w:hAnsi="Times New Roman"/>
                  <w:sz w:val="14"/>
                  <w:szCs w:val="14"/>
                  <w:color w:val="auto"/>
                </w:rPr>
                <w:t>65</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Item 4.</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Controls and Procedures</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7">
              <w:r>
                <w:rPr>
                  <w:rFonts w:ascii="Times New Roman" w:cs="Times New Roman" w:eastAsia="Times New Roman" w:hAnsi="Times New Roman"/>
                  <w:sz w:val="14"/>
                  <w:szCs w:val="14"/>
                  <w:color w:val="auto"/>
                </w:rPr>
                <w:t>67</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PART II.</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OTHER INFORMATION</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7">
              <w:r>
                <w:rPr>
                  <w:rFonts w:ascii="Times New Roman" w:cs="Times New Roman" w:eastAsia="Times New Roman" w:hAnsi="Times New Roman"/>
                  <w:sz w:val="14"/>
                  <w:szCs w:val="14"/>
                  <w:color w:val="auto"/>
                </w:rPr>
                <w:t>67</w:t>
              </w:r>
            </w:hyperlink>
          </w:p>
        </w:tc>
      </w:tr>
      <w:tr>
        <w:trPr>
          <w:trHeight w:val="389"/>
        </w:trPr>
        <w:tc>
          <w:tcPr>
            <w:tcW w:w="2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Item 1.</w:t>
              </w:r>
            </w:hyperlink>
          </w:p>
        </w:tc>
        <w:tc>
          <w:tcPr>
            <w:tcW w:w="1360" w:type="dxa"/>
            <w:vAlign w:val="bottom"/>
            <w:gridSpan w:val="4"/>
          </w:tcPr>
          <w:p>
            <w:pPr>
              <w:spacing w:after="0"/>
              <w:rPr>
                <w:sz w:val="24"/>
                <w:szCs w:val="24"/>
                <w:color w:val="auto"/>
              </w:rPr>
            </w:pPr>
          </w:p>
        </w:tc>
        <w:tc>
          <w:tcPr>
            <w:tcW w:w="144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Legal Proceedings</w:t>
              </w:r>
            </w:hyperlink>
          </w:p>
        </w:tc>
        <w:tc>
          <w:tcPr>
            <w:tcW w:w="7120" w:type="dxa"/>
            <w:vAlign w:val="bottom"/>
            <w:gridSpan w:val="11"/>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67">
              <w:r>
                <w:rPr>
                  <w:rFonts w:ascii="Times New Roman" w:cs="Times New Roman" w:eastAsia="Times New Roman" w:hAnsi="Times New Roman"/>
                  <w:sz w:val="14"/>
                  <w:szCs w:val="14"/>
                  <w:color w:val="auto"/>
                </w:rPr>
                <w:t>67</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560" w:type="dxa"/>
            <w:vAlign w:val="bottom"/>
            <w:tcBorders>
              <w:left w:val="single" w:sz="8" w:color="0000EE"/>
            </w:tcBorders>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Item 1A.</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Risk Factors</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8">
              <w:r>
                <w:rPr>
                  <w:rFonts w:ascii="Times New Roman" w:cs="Times New Roman" w:eastAsia="Times New Roman" w:hAnsi="Times New Roman"/>
                  <w:sz w:val="14"/>
                  <w:szCs w:val="14"/>
                  <w:color w:val="auto"/>
                </w:rPr>
                <w:t>68</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80" w:type="dxa"/>
            <w:vAlign w:val="bottom"/>
            <w:gridSpan w:val="2"/>
          </w:tcPr>
          <w:p>
            <w:pPr>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Item 5.</w:t>
              </w:r>
            </w:hyperlink>
          </w:p>
        </w:tc>
        <w:tc>
          <w:tcPr>
            <w:tcW w:w="1360" w:type="dxa"/>
            <w:vAlign w:val="bottom"/>
            <w:gridSpan w:val="4"/>
          </w:tcPr>
          <w:p>
            <w:pPr>
              <w:spacing w:after="0"/>
              <w:rPr>
                <w:sz w:val="24"/>
                <w:szCs w:val="24"/>
                <w:color w:val="auto"/>
              </w:rPr>
            </w:pPr>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Other Information</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9">
              <w:r>
                <w:rPr>
                  <w:rFonts w:ascii="Times New Roman" w:cs="Times New Roman" w:eastAsia="Times New Roman" w:hAnsi="Times New Roman"/>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63"/>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Item 6.</w:t>
              </w:r>
            </w:hyperlink>
          </w:p>
        </w:tc>
        <w:tc>
          <w:tcPr>
            <w:tcW w:w="8560" w:type="dxa"/>
            <w:vAlign w:val="bottom"/>
            <w:gridSpan w:val="17"/>
          </w:tcPr>
          <w:p>
            <w:pPr>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Exhibits</w:t>
              </w:r>
            </w:hyperlink>
          </w:p>
        </w:tc>
        <w:tc>
          <w:tcPr>
            <w:tcW w:w="1020" w:type="dxa"/>
            <w:vAlign w:val="bottom"/>
          </w:tcPr>
          <w:p>
            <w:pPr>
              <w:jc w:val="right"/>
              <w:spacing w:after="0"/>
              <w:rPr>
                <w:rFonts w:ascii="Times New Roman" w:cs="Times New Roman" w:eastAsia="Times New Roman" w:hAnsi="Times New Roman"/>
                <w:sz w:val="14"/>
                <w:szCs w:val="14"/>
                <w:color w:val="auto"/>
              </w:rPr>
            </w:pPr>
            <w:hyperlink w:anchor="page69">
              <w:r>
                <w:rPr>
                  <w:rFonts w:ascii="Times New Roman" w:cs="Times New Roman" w:eastAsia="Times New Roman" w:hAnsi="Times New Roman"/>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70">
              <w:r>
                <w:rPr>
                  <w:rFonts w:ascii="Times New Roman" w:cs="Times New Roman" w:eastAsia="Times New Roman" w:hAnsi="Times New Roman"/>
                  <w:sz w:val="14"/>
                  <w:szCs w:val="14"/>
                  <w:color w:val="0000EE"/>
                </w:rPr>
                <w:t>EXHIBIT INDEX</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70">
              <w:r>
                <w:rPr>
                  <w:rFonts w:ascii="Times New Roman" w:cs="Times New Roman" w:eastAsia="Times New Roman" w:hAnsi="Times New Roman"/>
                  <w:sz w:val="14"/>
                  <w:szCs w:val="14"/>
                  <w:color w:val="auto"/>
                </w:rPr>
                <w:t>70</w:t>
              </w:r>
            </w:hyperlink>
          </w:p>
        </w:tc>
      </w:tr>
      <w:tr>
        <w:trPr>
          <w:trHeight w:val="399"/>
        </w:trPr>
        <w:tc>
          <w:tcPr>
            <w:tcW w:w="20" w:type="dxa"/>
            <w:vAlign w:val="bottom"/>
          </w:tcPr>
          <w:p>
            <w:pPr>
              <w:spacing w:after="0"/>
              <w:rPr>
                <w:sz w:val="24"/>
                <w:szCs w:val="24"/>
                <w:color w:val="auto"/>
              </w:rPr>
            </w:pPr>
          </w:p>
        </w:tc>
        <w:tc>
          <w:tcPr>
            <w:tcW w:w="1000" w:type="dxa"/>
            <w:vAlign w:val="bottom"/>
            <w:tcBorders>
              <w:top w:val="single" w:sz="8" w:color="0000EE"/>
            </w:tcBorders>
            <w:gridSpan w:val="5"/>
          </w:tcPr>
          <w:p>
            <w:pPr>
              <w:spacing w:after="0"/>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SIGNATURE</w:t>
              </w:r>
            </w:hyperlink>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4"/>
                <w:szCs w:val="14"/>
                <w:color w:val="auto"/>
              </w:rPr>
            </w:pPr>
            <w:hyperlink w:anchor="page71">
              <w:r>
                <w:rPr>
                  <w:rFonts w:ascii="Times New Roman" w:cs="Times New Roman" w:eastAsia="Times New Roman" w:hAnsi="Times New Roman"/>
                  <w:sz w:val="14"/>
                  <w:szCs w:val="14"/>
                  <w:color w:val="auto"/>
                </w:rPr>
                <w:t>71</w:t>
              </w:r>
            </w:hyperlink>
          </w:p>
        </w:tc>
      </w:tr>
      <w:tr>
        <w:trPr>
          <w:trHeight w:val="542"/>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80" w:type="dxa"/>
            <w:vAlign w:val="bottom"/>
            <w:gridSpan w:val="11"/>
          </w:tcPr>
          <w:p>
            <w:pPr>
              <w:jc w:val="center"/>
              <w:ind w:left="3192"/>
              <w:spacing w:after="0"/>
              <w:rPr>
                <w:sz w:val="20"/>
                <w:szCs w:val="20"/>
                <w:color w:val="auto"/>
              </w:rPr>
            </w:pPr>
            <w:r>
              <w:rPr>
                <w:rFonts w:ascii="Times New Roman" w:cs="Times New Roman" w:eastAsia="Times New Roman" w:hAnsi="Times New Roman"/>
                <w:sz w:val="14"/>
                <w:szCs w:val="14"/>
                <w:color w:val="auto"/>
                <w:w w:val="85"/>
              </w:rPr>
              <w:t>2</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40"/>
          </w:cols>
          <w:pgMar w:left="220" w:top="111"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w:t>
      </w:r>
    </w:p>
    <w:p>
      <w:pPr>
        <w:spacing w:after="0" w:line="168" w:lineRule="exact"/>
        <w:rPr>
          <w:sz w:val="20"/>
          <w:szCs w:val="20"/>
          <w:color w:val="auto"/>
        </w:rPr>
      </w:pPr>
    </w:p>
    <w:p>
      <w:pPr>
        <w:ind w:right="20" w:firstLine="245"/>
        <w:spacing w:after="0" w:line="248"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45" w:lineRule="exact"/>
        <w:rPr>
          <w:sz w:val="20"/>
          <w:szCs w:val="20"/>
          <w:color w:val="auto"/>
        </w:rPr>
      </w:pPr>
    </w:p>
    <w:p>
      <w:pPr>
        <w:ind w:firstLine="245"/>
        <w:spacing w:after="0" w:line="290" w:lineRule="auto"/>
        <w:rPr>
          <w:sz w:val="20"/>
          <w:szCs w:val="20"/>
          <w:color w:val="auto"/>
        </w:rPr>
      </w:pPr>
      <w:r>
        <w:rPr>
          <w:rFonts w:ascii="Times New Roman" w:cs="Times New Roman" w:eastAsia="Times New Roman" w:hAnsi="Times New Roman"/>
          <w:sz w:val="12"/>
          <w:szCs w:val="12"/>
          <w:i w:val="1"/>
          <w:iCs w:val="1"/>
          <w:color w:val="auto"/>
        </w:rPr>
        <w:t>We caution that a number of important factors could cause our actual future results and other future circumstances to differ materially from those expressed in any forward-looking statements. Such factors include, but are not limited to: our ability to consistently deliver popular, high-quality titles in a timely manner; our ability to satisfy the expectations of consumers with respect to our brands, games, services, and/or business practices; concentration of revenue among a small number of titles;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our ability to realize the expected financial and operational benefits of, and effectively manage, our recently announced restructuring plans; increasing importance of revenues derived from digital distribution channels; risks associated with the retail sales business model; substantial influence of third-party platform providers over our products and costs; success and availability of video game consoles manufactured by third parties; risks associated with the free-to-play business model, including dependence on a relatively small number of consumers for a significant portion of revenues and profits from any given game; risks and costs associated with legal proceedings; changes in tax rates or exposure to additional tax liabilities, as well as the outcome of current or future tax disputes; rapid changes in technology and industry standards; competition, including from other forms of entertainment; our ability to sell products at assumed pricing levels; our ability to attract, retain, and motivate skilled personnel; reliance on external developers for development of some of our software products; the amount of our debt and the limitations imposed by the covenants in the agreements governing our debt; counterparty risks relating to customers, licensees, licensors, and manufacturers; intellectual property claims; piracy and unauthorized copying of our products; risks and uncertainties of conducting business outside the United States (“U.S.”); fluctuations in currency exchange rates; increasing regulation of our business, products, and distribution in key territories; compliance with continually evolving laws and regulations concerning data privacy; potential data breaches and other cybersecurity risks; and the other factors identified in “Risk Factors” included in Part I, Item 1A of our Annual Report on Form 10-K for the year ended December 31, 2018.</w:t>
      </w:r>
    </w:p>
    <w:p>
      <w:pPr>
        <w:spacing w:after="0" w:line="290" w:lineRule="exact"/>
        <w:rPr>
          <w:sz w:val="20"/>
          <w:szCs w:val="20"/>
          <w:color w:val="auto"/>
        </w:rPr>
      </w:pPr>
    </w:p>
    <w:p>
      <w:pPr>
        <w:ind w:right="20" w:firstLine="245"/>
        <w:spacing w:after="0" w:line="256" w:lineRule="auto"/>
        <w:rPr>
          <w:sz w:val="20"/>
          <w:szCs w:val="20"/>
          <w:color w:val="auto"/>
        </w:rPr>
      </w:pPr>
      <w:r>
        <w:rPr>
          <w:rFonts w:ascii="Times New Roman" w:cs="Times New Roman" w:eastAsia="Times New Roman" w:hAnsi="Times New Roman"/>
          <w:sz w:val="14"/>
          <w:szCs w:val="14"/>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39" w:lineRule="exact"/>
        <w:rPr>
          <w:sz w:val="20"/>
          <w:szCs w:val="20"/>
          <w:color w:val="auto"/>
        </w:rPr>
      </w:pPr>
    </w:p>
    <w:p>
      <w:pPr>
        <w:jc w:val="both"/>
        <w:ind w:right="200" w:firstLine="245"/>
        <w:spacing w:after="0" w:line="256" w:lineRule="auto"/>
        <w:rPr>
          <w:sz w:val="20"/>
          <w:szCs w:val="20"/>
          <w:color w:val="auto"/>
        </w:rPr>
      </w:pPr>
      <w:r>
        <w:rPr>
          <w:rFonts w:ascii="Times New Roman" w:cs="Times New Roman" w:eastAsia="Times New Roman" w:hAnsi="Times New Roman"/>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40"/>
          </w:cols>
          <w:pgMar w:left="220" w:top="1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12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6160" w:type="dxa"/>
            <w:vAlign w:val="bottom"/>
          </w:tcPr>
          <w:p>
            <w:pPr>
              <w:jc w:val="center"/>
              <w:ind w:left="3332"/>
              <w:spacing w:after="0"/>
              <w:rPr>
                <w:sz w:val="20"/>
                <w:szCs w:val="20"/>
                <w:color w:val="auto"/>
              </w:rPr>
            </w:pPr>
            <w:r>
              <w:rPr>
                <w:rFonts w:ascii="Times New Roman" w:cs="Times New Roman" w:eastAsia="Times New Roman" w:hAnsi="Times New Roman"/>
                <w:sz w:val="14"/>
                <w:szCs w:val="14"/>
                <w:b w:val="1"/>
                <w:bCs w:val="1"/>
                <w:color w:val="auto"/>
                <w:w w:val="96"/>
              </w:rPr>
              <w:t>PART I. FINANCIAL INFORMATION</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7"/>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11"/>
        </w:trPr>
        <w:tc>
          <w:tcPr>
            <w:tcW w:w="960" w:type="dxa"/>
            <w:vAlign w:val="bottom"/>
          </w:tcPr>
          <w:p>
            <w:pPr>
              <w:spacing w:after="0"/>
              <w:rPr>
                <w:sz w:val="24"/>
                <w:szCs w:val="24"/>
                <w:color w:val="auto"/>
              </w:rPr>
            </w:pPr>
          </w:p>
        </w:tc>
        <w:tc>
          <w:tcPr>
            <w:tcW w:w="7700" w:type="dxa"/>
            <w:vAlign w:val="bottom"/>
            <w:gridSpan w:val="2"/>
          </w:tcPr>
          <w:p>
            <w:pPr>
              <w:jc w:val="center"/>
              <w:ind w:left="1772"/>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7700" w:type="dxa"/>
            <w:vAlign w:val="bottom"/>
            <w:gridSpan w:val="2"/>
          </w:tcPr>
          <w:p>
            <w:pPr>
              <w:jc w:val="center"/>
              <w:ind w:left="1772"/>
              <w:spacing w:after="0"/>
              <w:rPr>
                <w:sz w:val="20"/>
                <w:szCs w:val="20"/>
                <w:color w:val="auto"/>
              </w:rPr>
            </w:pPr>
            <w:r>
              <w:rPr>
                <w:rFonts w:ascii="Times New Roman" w:cs="Times New Roman" w:eastAsia="Times New Roman" w:hAnsi="Times New Roman"/>
                <w:sz w:val="14"/>
                <w:szCs w:val="14"/>
                <w:b w:val="1"/>
                <w:bCs w:val="1"/>
                <w:color w:val="auto"/>
                <w:w w:val="97"/>
              </w:rPr>
              <w:t>CONDENSED CONSOLIDATED BALANCE SHEETS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6160" w:type="dxa"/>
            <w:vAlign w:val="bottom"/>
          </w:tcPr>
          <w:p>
            <w:pPr>
              <w:jc w:val="center"/>
              <w:ind w:left="3312"/>
              <w:spacing w:after="0"/>
              <w:rPr>
                <w:sz w:val="20"/>
                <w:szCs w:val="20"/>
                <w:color w:val="auto"/>
              </w:rPr>
            </w:pPr>
            <w:r>
              <w:rPr>
                <w:rFonts w:ascii="Times New Roman" w:cs="Times New Roman" w:eastAsia="Times New Roman" w:hAnsi="Times New Roman"/>
                <w:sz w:val="14"/>
                <w:szCs w:val="14"/>
                <w:color w:val="auto"/>
                <w:w w:val="97"/>
              </w:rPr>
              <w:t>(Unaudited)</w:t>
            </w: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6160" w:type="dxa"/>
            <w:vAlign w:val="bottom"/>
          </w:tcPr>
          <w:p>
            <w:pPr>
              <w:jc w:val="center"/>
              <w:ind w:left="3312"/>
              <w:spacing w:after="0"/>
              <w:rPr>
                <w:sz w:val="20"/>
                <w:szCs w:val="20"/>
                <w:color w:val="auto"/>
              </w:rPr>
            </w:pPr>
            <w:r>
              <w:rPr>
                <w:rFonts w:ascii="Times New Roman" w:cs="Times New Roman" w:eastAsia="Times New Roman" w:hAnsi="Times New Roman"/>
                <w:sz w:val="14"/>
                <w:szCs w:val="14"/>
                <w:color w:val="auto"/>
                <w:w w:val="97"/>
              </w:rPr>
              <w:t>(Amounts in millions, except share data)</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86"/>
        </w:trPr>
        <w:tc>
          <w:tcPr>
            <w:tcW w:w="9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65"/>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tcBorders>
              <w:bottom w:val="single" w:sz="8" w:color="CCEEFF"/>
            </w:tcBorders>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4,592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4,225</w:t>
            </w:r>
          </w:p>
        </w:tc>
      </w:tr>
      <w:tr>
        <w:trPr>
          <w:trHeight w:val="183"/>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allowances of $108 and $190, at June 30, 2019 and December 31, 2018, respectively</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1,035</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r>
      <w:tr>
        <w:trPr>
          <w:trHeight w:val="183"/>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Software development</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264</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5"/>
        </w:trPr>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539</w:t>
            </w:r>
          </w:p>
        </w:tc>
      </w:tr>
      <w:tr>
        <w:trPr>
          <w:trHeight w:val="173"/>
        </w:trPr>
        <w:tc>
          <w:tcPr>
            <w:tcW w:w="7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5,663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6,106</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 development</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282</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458</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482</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735</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9,763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9,762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9"/>
        </w:trPr>
        <w:tc>
          <w:tcPr>
            <w:tcW w:w="7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540" w:type="dxa"/>
            <w:vAlign w:val="bottom"/>
            <w:tcBorders>
              <w:bottom w:val="single" w:sz="8" w:color="auto"/>
            </w:tcBorders>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17,495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17,890</w:t>
            </w:r>
          </w:p>
        </w:tc>
      </w:tr>
      <w:tr>
        <w:trPr>
          <w:trHeight w:val="20"/>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1"/>
        </w:trPr>
        <w:tc>
          <w:tcPr>
            <w:tcW w:w="9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5"/>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540" w:type="dxa"/>
            <w:vAlign w:val="bottom"/>
            <w:tcBorders>
              <w:bottom w:val="single" w:sz="8" w:color="CCEEFF"/>
            </w:tcBorders>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253</w:t>
            </w:r>
          </w:p>
        </w:tc>
      </w:tr>
      <w:tr>
        <w:trPr>
          <w:trHeight w:val="183"/>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1,493</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5"/>
        </w:trPr>
        <w:tc>
          <w:tcPr>
            <w:tcW w:w="7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896</w:t>
            </w:r>
          </w:p>
        </w:tc>
      </w:tr>
      <w:tr>
        <w:trPr>
          <w:trHeight w:val="173"/>
        </w:trPr>
        <w:tc>
          <w:tcPr>
            <w:tcW w:w="7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1,639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2,642</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net</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2,671</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1,167</w:t>
            </w:r>
          </w:p>
        </w:tc>
      </w:tr>
      <w:tr>
        <w:trPr>
          <w:trHeight w:val="173"/>
        </w:trPr>
        <w:tc>
          <w:tcPr>
            <w:tcW w:w="7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5,518</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6,498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65"/>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15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r>
      <w:tr>
        <w:trPr>
          <w:trHeight w:val="18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1"/>
        </w:trPr>
        <w:tc>
          <w:tcPr>
            <w:tcW w:w="7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Common stock, $0.000001 par value, 2,400,000,000 shares authorized, 1,195,517,884 and 1,192,093,991 shares issued at June</w:t>
            </w:r>
          </w:p>
        </w:tc>
        <w:tc>
          <w:tcPr>
            <w:tcW w:w="1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r>
      <w:tr>
        <w:trPr>
          <w:trHeight w:val="177"/>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 2019 and December 31, 2018, respectively</w:t>
            </w:r>
          </w:p>
        </w:tc>
        <w:tc>
          <w:tcPr>
            <w:tcW w:w="15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11,063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10,963</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Treasury stock, at cost, 428,676,471 shares at June 30, 2019 and December 31, 2018</w:t>
            </w:r>
          </w:p>
        </w:tc>
        <w:tc>
          <w:tcPr>
            <w:tcW w:w="1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r>
      <w:tr>
        <w:trPr>
          <w:trHeight w:val="183"/>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5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6,593</w:t>
            </w:r>
          </w:p>
        </w:tc>
      </w:tr>
      <w:tr>
        <w:trPr>
          <w:trHeight w:val="21"/>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5"/>
        </w:trPr>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3"/>
        </w:trPr>
        <w:tc>
          <w:tcPr>
            <w:tcW w:w="7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11,977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11,392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9"/>
        </w:trPr>
        <w:tc>
          <w:tcPr>
            <w:tcW w:w="7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540" w:type="dxa"/>
            <w:vAlign w:val="bottom"/>
            <w:tcBorders>
              <w:bottom w:val="single" w:sz="8" w:color="auto"/>
            </w:tcBorders>
            <w:shd w:val="clear" w:color="auto" w:fill="CCEEFF"/>
          </w:tcPr>
          <w:p>
            <w:pPr>
              <w:jc w:val="right"/>
              <w:ind w:right="13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17,495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17,890</w:t>
            </w:r>
          </w:p>
        </w:tc>
      </w:tr>
      <w:tr>
        <w:trPr>
          <w:trHeight w:val="20"/>
        </w:trPr>
        <w:tc>
          <w:tcPr>
            <w:tcW w:w="9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111" w:right="2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 except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338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7"/>
              </w:rPr>
              <w:t>For the Six Months Ended June 30,</w:t>
            </w:r>
          </w:p>
        </w:tc>
      </w:tr>
      <w:tr>
        <w:trPr>
          <w:trHeight w:val="21"/>
        </w:trPr>
        <w:tc>
          <w:tcPr>
            <w:tcW w:w="3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3"/>
        </w:trPr>
        <w:tc>
          <w:tcPr>
            <w:tcW w:w="334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sales</w:t>
            </w:r>
          </w:p>
        </w:tc>
        <w:tc>
          <w:tcPr>
            <w:tcW w:w="132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5"/>
                <w:szCs w:val="15"/>
                <w:color w:val="auto"/>
              </w:rPr>
            </w:pPr>
          </w:p>
        </w:tc>
        <w:tc>
          <w:tcPr>
            <w:tcW w:w="1300" w:type="dxa"/>
            <w:vAlign w:val="bottom"/>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46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1,184</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licensing, and other revenues</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2,423</w:t>
            </w:r>
          </w:p>
        </w:tc>
      </w:tr>
      <w:tr>
        <w:trPr>
          <w:trHeight w:val="17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3,607</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5"/>
        </w:trPr>
        <w:tc>
          <w:tcPr>
            <w:tcW w:w="3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3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289</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w:t>
            </w:r>
          </w:p>
        </w:tc>
        <w:tc>
          <w:tcPr>
            <w:tcW w:w="1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7"/>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property licenses</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194</w:t>
            </w:r>
          </w:p>
        </w:tc>
      </w:tr>
      <w:tr>
        <w:trPr>
          <w:trHeight w:val="171"/>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revenues—subscription, licensing, and other</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521</w:t>
            </w:r>
          </w:p>
        </w:tc>
      </w:tr>
      <w:tr>
        <w:trPr>
          <w:trHeight w:val="171"/>
        </w:trPr>
        <w:tc>
          <w:tcPr>
            <w:tcW w:w="3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3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licenses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169</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513</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477</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415</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related costs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2,578</w:t>
            </w:r>
          </w:p>
        </w:tc>
      </w:tr>
      <w:tr>
        <w:trPr>
          <w:trHeight w:val="205"/>
        </w:trPr>
        <w:tc>
          <w:tcPr>
            <w:tcW w:w="33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1,029</w:t>
            </w: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 (Note 15)</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54</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975</w:t>
            </w: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73</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center"/>
              <w:ind w:right="2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902</w:t>
            </w:r>
          </w:p>
        </w:tc>
      </w:tr>
      <w:tr>
        <w:trPr>
          <w:trHeight w:val="20"/>
        </w:trPr>
        <w:tc>
          <w:tcPr>
            <w:tcW w:w="3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1"/>
        </w:trPr>
        <w:tc>
          <w:tcPr>
            <w:tcW w:w="3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32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Pr>
          <w:p>
            <w:pPr>
              <w:spacing w:after="0"/>
              <w:rPr>
                <w:sz w:val="15"/>
                <w:szCs w:val="15"/>
                <w:color w:val="auto"/>
              </w:rPr>
            </w:pPr>
          </w:p>
        </w:tc>
        <w:tc>
          <w:tcPr>
            <w:tcW w:w="1300" w:type="dxa"/>
            <w:vAlign w:val="bottom"/>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5"/>
                <w:szCs w:val="15"/>
                <w:color w:val="auto"/>
              </w:rPr>
            </w:pP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46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320" w:type="dxa"/>
            <w:vAlign w:val="bottom"/>
            <w:tcBorders>
              <w:bottom w:val="single" w:sz="8" w:color="CCEEFF"/>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center"/>
              <w:ind w:right="2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1.17</w:t>
            </w:r>
          </w:p>
        </w:tc>
      </w:tr>
      <w:tr>
        <w:trPr>
          <w:trHeight w:val="215"/>
        </w:trPr>
        <w:tc>
          <w:tcPr>
            <w:tcW w:w="3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number of shares outstanding</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760</w:t>
            </w:r>
          </w:p>
        </w:tc>
      </w:tr>
      <w:tr>
        <w:trPr>
          <w:trHeight w:val="21"/>
        </w:trPr>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770</w:t>
            </w:r>
          </w:p>
        </w:tc>
      </w:tr>
      <w:tr>
        <w:trPr>
          <w:trHeight w:val="21"/>
        </w:trPr>
        <w:tc>
          <w:tcPr>
            <w:tcW w:w="33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127" w:right="2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34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1"/>
        </w:trPr>
        <w:tc>
          <w:tcPr>
            <w:tcW w:w="3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7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tcBorders>
              <w:bottom w:val="single" w:sz="8" w:color="CCEEFF"/>
            </w:tcBorders>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902</w:t>
            </w:r>
          </w:p>
        </w:tc>
      </w:tr>
      <w:tr>
        <w:trPr>
          <w:trHeight w:val="245"/>
        </w:trPr>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Unrealized gains (losses) on forward contracts designated</w:t>
            </w:r>
          </w:p>
        </w:tc>
        <w:tc>
          <w:tcPr>
            <w:tcW w:w="1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 hedges, net of tax</w:t>
            </w:r>
          </w:p>
        </w:tc>
        <w:tc>
          <w:tcPr>
            <w:tcW w:w="13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36</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gains (losses) on investments, net of tax</w:t>
            </w:r>
          </w:p>
        </w:tc>
        <w:tc>
          <w:tcPr>
            <w:tcW w:w="138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380" w:type="dxa"/>
            <w:vAlign w:val="bottom"/>
            <w:tcBorders>
              <w:bottom w:val="single" w:sz="8" w:color="CCEEFF"/>
            </w:tcBorders>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30</w:t>
            </w: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380" w:type="dxa"/>
            <w:vAlign w:val="bottom"/>
            <w:tcBorders>
              <w:top w:val="single" w:sz="8" w:color="auto"/>
              <w:bottom w:val="single" w:sz="8" w:color="auto"/>
            </w:tcBorders>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932</w:t>
            </w:r>
          </w:p>
        </w:tc>
      </w:tr>
      <w:tr>
        <w:trPr>
          <w:trHeight w:val="20"/>
        </w:trPr>
        <w:tc>
          <w:tcPr>
            <w:tcW w:w="3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12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4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42"/>
        </w:trPr>
        <w:tc>
          <w:tcPr>
            <w:tcW w:w="960" w:type="dxa"/>
            <w:vAlign w:val="bottom"/>
            <w:tcBorders>
              <w:top w:val="single" w:sz="8" w:color="0000EE"/>
            </w:tcBorders>
          </w:tcPr>
          <w:p>
            <w:pPr>
              <w:spacing w:after="0"/>
              <w:rPr>
                <w:sz w:val="24"/>
                <w:szCs w:val="2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7820" w:type="dxa"/>
            <w:vAlign w:val="bottom"/>
            <w:gridSpan w:val="2"/>
          </w:tcPr>
          <w:p>
            <w:pPr>
              <w:jc w:val="center"/>
              <w:ind w:left="1652"/>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STATEMENTS OF CASH FLOWS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(Unaudited)</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(Amounts in millions)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86"/>
        </w:trPr>
        <w:tc>
          <w:tcPr>
            <w:tcW w:w="9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38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2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3"/>
        </w:trPr>
        <w:tc>
          <w:tcPr>
            <w:tcW w:w="9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5"/>
                <w:szCs w:val="15"/>
                <w:color w:val="auto"/>
              </w:rPr>
            </w:pP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5"/>
                <w:szCs w:val="15"/>
                <w:color w:val="auto"/>
              </w:rPr>
            </w:pPr>
          </w:p>
        </w:tc>
        <w:tc>
          <w:tcPr>
            <w:tcW w:w="1320" w:type="dxa"/>
            <w:vAlign w:val="bottom"/>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902</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95</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capitalized software development costs and intellectual property licenses (1)</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206</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Share-based compensation expense (2)</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110</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on equity investment (Note 8)</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511</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Software development and intellectual property licenses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revenues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538</w:t>
            </w:r>
          </w:p>
        </w:tc>
      </w:tr>
      <w:tr>
        <w:trPr>
          <w:trHeight w:val="205"/>
        </w:trPr>
        <w:tc>
          <w:tcPr>
            <w:tcW w:w="9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18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maturities of available-for-sale investments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investments</w:t>
            </w:r>
          </w:p>
        </w:tc>
        <w:tc>
          <w:tcPr>
            <w:tcW w:w="1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5"/>
        </w:trPr>
        <w:tc>
          <w:tcPr>
            <w:tcW w:w="96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to employees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77</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units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7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145</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at beginning of period</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4,229</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4,720</w:t>
            </w:r>
          </w:p>
        </w:tc>
      </w:tr>
      <w:tr>
        <w:trPr>
          <w:trHeight w:val="18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at end of period</w:t>
            </w:r>
          </w:p>
        </w:tc>
        <w:tc>
          <w:tcPr>
            <w:tcW w:w="1320" w:type="dxa"/>
            <w:vAlign w:val="bottom"/>
            <w:tcBorders>
              <w:top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4,599</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6985</wp:posOffset>
            </wp:positionV>
            <wp:extent cx="25457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6350"/>
                    </a:xfrm>
                    <a:prstGeom prst="rect">
                      <a:avLst/>
                    </a:prstGeom>
                    <a:noFill/>
                  </pic:spPr>
                </pic:pic>
              </a:graphicData>
            </a:graphic>
          </wp:anchor>
        </w:drawing>
      </w:r>
    </w:p>
    <w:p>
      <w:pPr>
        <w:spacing w:after="0" w:line="11" w:lineRule="exact"/>
        <w:rPr>
          <w:sz w:val="20"/>
          <w:szCs w:val="20"/>
          <w:color w:val="auto"/>
        </w:rPr>
      </w:pPr>
    </w:p>
    <w:p>
      <w:pPr>
        <w:ind w:left="240" w:hanging="238"/>
        <w:spacing w:after="0"/>
        <w:tabs>
          <w:tab w:leader="none" w:pos="2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deferral and amortization of share-based compensation expense.</w:t>
      </w:r>
    </w:p>
    <w:p>
      <w:pPr>
        <w:spacing w:after="0" w:line="19" w:lineRule="exact"/>
        <w:rPr>
          <w:rFonts w:ascii="Times New Roman" w:cs="Times New Roman" w:eastAsia="Times New Roman" w:hAnsi="Times New Roman"/>
          <w:sz w:val="12"/>
          <w:szCs w:val="12"/>
          <w:color w:val="auto"/>
        </w:rPr>
      </w:pPr>
    </w:p>
    <w:p>
      <w:pPr>
        <w:ind w:left="240" w:hanging="238"/>
        <w:spacing w:after="0"/>
        <w:tabs>
          <w:tab w:leader="none" w:pos="2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-186690</wp:posOffset>
            </wp:positionV>
            <wp:extent cx="25457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5715" cy="635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60"/>
          </w:cols>
          <w:pgMar w:left="220" w:top="111" w:right="21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2019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and shares in millions,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3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3"/>
                <w:szCs w:val="13"/>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5"/>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2018</w:t>
            </w:r>
          </w:p>
        </w:tc>
        <w:tc>
          <w:tcPr>
            <w:tcW w:w="10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10,963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6,593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11,392</w:t>
            </w:r>
          </w:p>
        </w:tc>
        <w:tc>
          <w:tcPr>
            <w:tcW w:w="0" w:type="dxa"/>
            <w:vAlign w:val="bottom"/>
          </w:tcPr>
          <w:p>
            <w:pPr>
              <w:spacing w:after="0"/>
              <w:rPr>
                <w:sz w:val="1"/>
                <w:szCs w:val="1"/>
                <w:color w:val="auto"/>
              </w:rPr>
            </w:pPr>
          </w:p>
        </w:tc>
      </w:tr>
      <w:tr>
        <w:trPr>
          <w:trHeight w:val="200"/>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w w:val="99"/>
              </w:rPr>
              <w:t>Issuance of common stock pursuant to restricted stock</w:t>
            </w: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04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($0.37 per common share)</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2019</w:t>
            </w: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1,195</w:t>
            </w:r>
          </w:p>
        </w:tc>
        <w:tc>
          <w:tcPr>
            <w:tcW w:w="120" w:type="dxa"/>
            <w:vAlign w:val="bottom"/>
          </w:tcPr>
          <w:p>
            <w:pPr>
              <w:spacing w:after="0"/>
              <w:rPr>
                <w:sz w:val="16"/>
                <w:szCs w:val="16"/>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tcPr>
          <w:p>
            <w:pPr>
              <w:spacing w:after="0"/>
              <w:rPr>
                <w:sz w:val="16"/>
                <w:szCs w:val="16"/>
                <w:color w:val="auto"/>
              </w:rPr>
            </w:pP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11,004</w:t>
            </w:r>
          </w:p>
        </w:tc>
        <w:tc>
          <w:tcPr>
            <w:tcW w:w="120" w:type="dxa"/>
            <w:vAlign w:val="bottom"/>
          </w:tcPr>
          <w:p>
            <w:pPr>
              <w:spacing w:after="0"/>
              <w:rPr>
                <w:sz w:val="16"/>
                <w:szCs w:val="16"/>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6,757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(602)</w:t>
            </w:r>
          </w:p>
        </w:tc>
        <w:tc>
          <w:tcPr>
            <w:tcW w:w="1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11,596</w:t>
            </w:r>
          </w:p>
        </w:tc>
        <w:tc>
          <w:tcPr>
            <w:tcW w:w="0" w:type="dxa"/>
            <w:vAlign w:val="bottom"/>
          </w:tcPr>
          <w:p>
            <w:pPr>
              <w:spacing w:after="0"/>
              <w:rPr>
                <w:sz w:val="1"/>
                <w:szCs w:val="1"/>
                <w:color w:val="auto"/>
              </w:rPr>
            </w:pPr>
          </w:p>
        </w:tc>
      </w:tr>
      <w:tr>
        <w:trPr>
          <w:trHeight w:val="19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328</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1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0"/>
                <w:szCs w:val="10"/>
                <w:color w:val="auto"/>
              </w:rPr>
            </w:pP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6"/>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2019</w:t>
            </w:r>
          </w:p>
        </w:tc>
        <w:tc>
          <w:tcPr>
            <w:tcW w:w="10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11,063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7,085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11,977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127" w:right="21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2018</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and shares in millions,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3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3"/>
                <w:szCs w:val="13"/>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5"/>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2017</w:t>
            </w:r>
          </w:p>
        </w:tc>
        <w:tc>
          <w:tcPr>
            <w:tcW w:w="10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10,747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4,916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9,462</w:t>
            </w: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Cumulative impact from adoption of new revenue</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accounting standard</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w w:val="99"/>
              </w:rPr>
              <w:t>Issuance of common stock pursuant to restricted stock</w:t>
            </w:r>
          </w:p>
        </w:tc>
        <w:tc>
          <w:tcPr>
            <w:tcW w:w="10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0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1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($0.34 per common share)</w:t>
            </w:r>
          </w:p>
        </w:tc>
        <w:tc>
          <w:tcPr>
            <w:tcW w:w="10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(259)</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2018</w:t>
            </w:r>
          </w:p>
        </w:tc>
        <w:tc>
          <w:tcPr>
            <w:tcW w:w="10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10,786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5,245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9,819</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402</w:t>
            </w: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0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10"/>
                <w:szCs w:val="10"/>
                <w:color w:val="auto"/>
              </w:rPr>
            </w:pPr>
          </w:p>
        </w:tc>
        <w:tc>
          <w:tcPr>
            <w:tcW w:w="10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2018</w:t>
            </w: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1,191</w:t>
            </w:r>
          </w:p>
        </w:tc>
        <w:tc>
          <w:tcPr>
            <w:tcW w:w="120" w:type="dxa"/>
            <w:vAlign w:val="bottom"/>
          </w:tcPr>
          <w:p>
            <w:pPr>
              <w:spacing w:after="0"/>
              <w:rPr>
                <w:sz w:val="15"/>
                <w:szCs w:val="15"/>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tcPr>
          <w:p>
            <w:pPr>
              <w:spacing w:after="0"/>
              <w:rPr>
                <w:sz w:val="15"/>
                <w:szCs w:val="15"/>
                <w:color w:val="auto"/>
              </w:rPr>
            </w:pP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10,867</w:t>
            </w:r>
          </w:p>
        </w:tc>
        <w:tc>
          <w:tcPr>
            <w:tcW w:w="120" w:type="dxa"/>
            <w:vAlign w:val="bottom"/>
          </w:tcPr>
          <w:p>
            <w:pPr>
              <w:spacing w:after="0"/>
              <w:rPr>
                <w:sz w:val="15"/>
                <w:szCs w:val="15"/>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5,647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(605)</w:t>
            </w:r>
          </w:p>
        </w:tc>
        <w:tc>
          <w:tcPr>
            <w:tcW w:w="12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10,346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127" w:right="2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 and Basis of Consolidation and Presentation</w:t>
      </w:r>
    </w:p>
    <w:p>
      <w:pPr>
        <w:spacing w:after="0" w:line="201" w:lineRule="exact"/>
        <w:rPr>
          <w:sz w:val="20"/>
          <w:szCs w:val="20"/>
          <w:color w:val="auto"/>
        </w:rPr>
      </w:pPr>
    </w:p>
    <w:p>
      <w:pPr>
        <w:ind w:right="180" w:firstLine="245"/>
        <w:spacing w:after="0" w:line="254" w:lineRule="auto"/>
        <w:rPr>
          <w:sz w:val="20"/>
          <w:szCs w:val="20"/>
          <w:color w:val="auto"/>
        </w:rPr>
      </w:pPr>
      <w:r>
        <w:rPr>
          <w:rFonts w:ascii="Times New Roman" w:cs="Times New Roman" w:eastAsia="Times New Roman" w:hAnsi="Times New Roman"/>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3" w:lineRule="exact"/>
        <w:rPr>
          <w:sz w:val="20"/>
          <w:szCs w:val="20"/>
          <w:color w:val="auto"/>
        </w:rPr>
      </w:pPr>
    </w:p>
    <w:p>
      <w:pPr>
        <w:ind w:right="300" w:firstLine="245"/>
        <w:spacing w:after="0" w:line="265" w:lineRule="auto"/>
        <w:rPr>
          <w:sz w:val="20"/>
          <w:szCs w:val="20"/>
          <w:color w:val="auto"/>
        </w:rPr>
      </w:pPr>
      <w:r>
        <w:rPr>
          <w:rFonts w:ascii="Times New Roman" w:cs="Times New Roman" w:eastAsia="Times New Roman" w:hAnsi="Times New Roman"/>
          <w:sz w:val="14"/>
          <w:szCs w:val="14"/>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Segments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Based upon our organizational structure, we conduct our business through three reportable segments, as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 Activision Publishing, Inc.</w:t>
      </w:r>
    </w:p>
    <w:p>
      <w:pPr>
        <w:spacing w:after="0" w:line="168" w:lineRule="exact"/>
        <w:rPr>
          <w:sz w:val="20"/>
          <w:szCs w:val="20"/>
          <w:color w:val="auto"/>
        </w:rPr>
      </w:pPr>
    </w:p>
    <w:p>
      <w:pPr>
        <w:ind w:right="120" w:firstLine="245"/>
        <w:spacing w:after="0" w:line="227" w:lineRule="auto"/>
        <w:rPr>
          <w:sz w:val="20"/>
          <w:szCs w:val="20"/>
          <w:color w:val="auto"/>
        </w:rPr>
      </w:pPr>
      <w:r>
        <w:rPr>
          <w:rFonts w:ascii="Times New Roman" w:cs="Times New Roman" w:eastAsia="Times New Roman" w:hAnsi="Times New Roman"/>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first-person shooter for the console and PC platforms.</w:t>
      </w:r>
    </w:p>
    <w:p>
      <w:pPr>
        <w:spacing w:after="0" w:line="155"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 Blizzard Entertainment, Inc.</w:t>
      </w:r>
    </w:p>
    <w:p>
      <w:pPr>
        <w:spacing w:after="0" w:line="168" w:lineRule="exact"/>
        <w:rPr>
          <w:sz w:val="20"/>
          <w:szCs w:val="20"/>
          <w:color w:val="auto"/>
        </w:rPr>
      </w:pPr>
    </w:p>
    <w:p>
      <w:pPr>
        <w:ind w:right="40" w:firstLine="245"/>
        <w:spacing w:after="0" w:line="216" w:lineRule="auto"/>
        <w:rPr>
          <w:sz w:val="20"/>
          <w:szCs w:val="20"/>
          <w:color w:val="auto"/>
        </w:rPr>
      </w:pPr>
      <w:r>
        <w:rPr>
          <w:rFonts w:ascii="Times New Roman" w:cs="Times New Roman" w:eastAsia="Times New Roman" w:hAnsi="Times New Roman"/>
          <w:sz w:val="14"/>
          <w:szCs w:val="14"/>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which facilitates digital distribution of Blizzard content and selected Activision content, online social connectivity, and the creation of user-generated content. Blizzard also includes the activities of the Overwatch League</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3" w:lineRule="exact"/>
        <w:rPr>
          <w:sz w:val="20"/>
          <w:szCs w:val="20"/>
          <w:color w:val="auto"/>
        </w:rPr>
      </w:pPr>
    </w:p>
    <w:p>
      <w:pPr>
        <w:ind w:right="60" w:firstLine="245"/>
        <w:spacing w:after="0" w:line="201" w:lineRule="auto"/>
        <w:rPr>
          <w:sz w:val="20"/>
          <w:szCs w:val="20"/>
          <w:color w:val="auto"/>
        </w:rPr>
      </w:pPr>
      <w:r>
        <w:rPr>
          <w:rFonts w:ascii="Times New Roman" w:cs="Times New Roman" w:eastAsia="Times New Roman" w:hAnsi="Times New Roman"/>
          <w:sz w:val="14"/>
          <w:szCs w:val="14"/>
          <w:color w:val="auto"/>
        </w:rPr>
        <w:t>Blizzard’s key product franchises include: World of Warcraft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subscription-based massive multi-player online role-playing game for the PC platform; StarCraft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real-time strategy franchise for the PC platform; Diablo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action role-playing franchise for the PC and console platforms; Hearthstone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online collectible card franchise for the PC and mobile platforms; and Overwatch</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team-based first-person shooter for the PC and console platforms.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(iii) King Digital Entertainment</w:t>
      </w:r>
    </w:p>
    <w:p>
      <w:pPr>
        <w:spacing w:after="0" w:line="168"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King Digital Entertainment (“King”) is a leading global developer and publisher of interactive entertainment content and services, primarily for the mobile platform, including for Google Inc.’s Android and Apple Inc.’s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127" w:right="2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80" w:firstLine="245"/>
        <w:spacing w:after="0" w:line="265" w:lineRule="auto"/>
        <w:rPr>
          <w:sz w:val="20"/>
          <w:szCs w:val="20"/>
          <w:color w:val="auto"/>
        </w:rPr>
      </w:pPr>
      <w:r>
        <w:rPr>
          <w:rFonts w:ascii="Times New Roman" w:cs="Times New Roman" w:eastAsia="Times New Roman" w:hAnsi="Times New Roman"/>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also engage in other businesses that do not represent reportable segments, including:</w:t>
      </w:r>
    </w:p>
    <w:p>
      <w:pPr>
        <w:spacing w:after="0" w:line="166" w:lineRule="exact"/>
        <w:rPr>
          <w:sz w:val="20"/>
          <w:szCs w:val="20"/>
          <w:color w:val="auto"/>
        </w:rPr>
      </w:pPr>
    </w:p>
    <w:p>
      <w:pPr>
        <w:ind w:left="740" w:right="40" w:hanging="247"/>
        <w:spacing w:after="0" w:line="265" w:lineRule="auto"/>
        <w:tabs>
          <w:tab w:leader="none" w:pos="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4"/>
          <w:szCs w:val="14"/>
          <w:i w:val="1"/>
          <w:iCs w:val="1"/>
          <w:color w:val="auto"/>
        </w:rPr>
        <w:t>Skylanders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Academy</w:t>
      </w:r>
      <w:r>
        <w:rPr>
          <w:rFonts w:ascii="Times New Roman" w:cs="Times New Roman" w:eastAsia="Times New Roman" w:hAnsi="Times New Roman"/>
          <w:sz w:val="14"/>
          <w:szCs w:val="14"/>
          <w:color w:val="auto"/>
        </w:rPr>
        <w:t xml:space="preserve"> on Netflix; and</w:t>
      </w:r>
    </w:p>
    <w:p>
      <w:pPr>
        <w:spacing w:after="0" w:line="135" w:lineRule="exact"/>
        <w:rPr>
          <w:rFonts w:ascii="Times New Roman" w:cs="Times New Roman" w:eastAsia="Times New Roman" w:hAnsi="Times New Roman"/>
          <w:sz w:val="14"/>
          <w:szCs w:val="14"/>
          <w:color w:val="auto"/>
        </w:rPr>
      </w:pPr>
    </w:p>
    <w:p>
      <w:pPr>
        <w:ind w:left="740" w:right="40" w:hanging="247"/>
        <w:spacing w:after="0" w:line="265" w:lineRule="auto"/>
        <w:tabs>
          <w:tab w:leader="none" w:pos="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 and Presentation</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2018.</w:t>
      </w:r>
    </w:p>
    <w:p>
      <w:pPr>
        <w:spacing w:after="0" w:line="147" w:lineRule="exact"/>
        <w:rPr>
          <w:sz w:val="20"/>
          <w:szCs w:val="20"/>
          <w:color w:val="auto"/>
        </w:rPr>
      </w:pPr>
    </w:p>
    <w:p>
      <w:pPr>
        <w:ind w:right="240" w:firstLine="245"/>
        <w:spacing w:after="0" w:line="251"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and operations of the Company. All intercompany accounts and transactions have been eliminated.</w:t>
      </w:r>
    </w:p>
    <w:p>
      <w:pPr>
        <w:spacing w:after="0" w:line="166" w:lineRule="exact"/>
        <w:rPr>
          <w:sz w:val="20"/>
          <w:szCs w:val="20"/>
          <w:color w:val="auto"/>
        </w:rPr>
      </w:pPr>
    </w:p>
    <w:p>
      <w:pPr>
        <w:ind w:right="40" w:firstLine="245"/>
        <w:spacing w:after="0" w:line="306" w:lineRule="auto"/>
        <w:rPr>
          <w:sz w:val="20"/>
          <w:szCs w:val="20"/>
          <w:color w:val="auto"/>
        </w:rPr>
      </w:pPr>
      <w:r>
        <w:rPr>
          <w:rFonts w:ascii="Times New Roman" w:cs="Times New Roman" w:eastAsia="Times New Roman" w:hAnsi="Times New Roman"/>
          <w:sz w:val="12"/>
          <w:szCs w:val="12"/>
          <w:color w:val="auto"/>
        </w:rPr>
        <w:t>During the three months ended March 31, 2019, we identified an error principally related to the initial recognition of global intangible low-taxed income of foreign subsidiaries income taxes which should have been recorded in the three months and year ended December 31, 2018. Income tax expense for the three months and year ended December 31, 2018 should have been reduced by $35 million. This amount is not material to the consolidated financial statements for the year ended December 31, 2018, and we will revise our 2018 consolidated financial statements to correct this matter in our Annual Report on Form 10-K for the year ending December 31, 2019. Our condensed consolidated balance sheet as of December 31, 2018, as presented in this Form 10-Q, has been revised to reflect the correction of this error.</w:t>
      </w:r>
    </w:p>
    <w:p>
      <w:pPr>
        <w:spacing w:after="0" w:line="114"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70" w:lineRule="exact"/>
        <w:rPr>
          <w:sz w:val="20"/>
          <w:szCs w:val="20"/>
          <w:color w:val="auto"/>
        </w:rPr>
      </w:pPr>
    </w:p>
    <w:p>
      <w:pPr>
        <w:ind w:right="480" w:firstLine="245"/>
        <w:spacing w:after="0" w:line="265" w:lineRule="auto"/>
        <w:rPr>
          <w:sz w:val="20"/>
          <w:szCs w:val="20"/>
          <w:color w:val="auto"/>
        </w:rPr>
      </w:pPr>
      <w:r>
        <w:rPr>
          <w:rFonts w:ascii="Times New Roman" w:cs="Times New Roman" w:eastAsia="Times New Roman" w:hAnsi="Times New Roman"/>
          <w:sz w:val="14"/>
          <w:szCs w:val="14"/>
          <w:color w:val="auto"/>
        </w:rPr>
        <w:t>The beginning and ending cash and cash equivalents and restricted cash reported within our condensed consolidated statement of cash flows included restricted cash amounts as follows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1640" w:type="dxa"/>
            <w:vAlign w:val="bottom"/>
          </w:tcPr>
          <w:p>
            <w:pPr>
              <w:spacing w:after="0"/>
              <w:rPr>
                <w:sz w:val="15"/>
                <w:szCs w:val="15"/>
                <w:color w:val="auto"/>
              </w:rPr>
            </w:pPr>
          </w:p>
        </w:tc>
      </w:tr>
      <w:tr>
        <w:trPr>
          <w:trHeight w:val="21"/>
        </w:trPr>
        <w:tc>
          <w:tcPr>
            <w:tcW w:w="3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3"/>
        </w:trPr>
        <w:tc>
          <w:tcPr>
            <w:tcW w:w="3540" w:type="dxa"/>
            <w:vAlign w:val="bottom"/>
          </w:tcPr>
          <w:p>
            <w:pPr>
              <w:spacing w:after="0"/>
              <w:rPr>
                <w:sz w:val="15"/>
                <w:szCs w:val="15"/>
                <w:color w:val="auto"/>
              </w:rPr>
            </w:pPr>
          </w:p>
        </w:tc>
        <w:tc>
          <w:tcPr>
            <w:tcW w:w="4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35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restricted cash</w:t>
            </w:r>
          </w:p>
        </w:tc>
        <w:tc>
          <w:tcPr>
            <w:tcW w:w="4880" w:type="dxa"/>
            <w:vAlign w:val="bottom"/>
            <w:tcBorders>
              <w:bottom w:val="single" w:sz="8" w:color="CCEEFF"/>
            </w:tcBorders>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restricted cash</w:t>
            </w:r>
          </w:p>
        </w:tc>
        <w:tc>
          <w:tcPr>
            <w:tcW w:w="3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532"/>
        </w:trPr>
        <w:tc>
          <w:tcPr>
            <w:tcW w:w="3540" w:type="dxa"/>
            <w:vAlign w:val="bottom"/>
          </w:tcPr>
          <w:p>
            <w:pPr>
              <w:spacing w:after="0"/>
              <w:rPr>
                <w:sz w:val="24"/>
                <w:szCs w:val="24"/>
                <w:color w:val="auto"/>
              </w:rPr>
            </w:pPr>
          </w:p>
        </w:tc>
        <w:tc>
          <w:tcPr>
            <w:tcW w:w="324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11</w:t>
            </w: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Accounting Standards Codification (“ASC”) 842: Leases</w:t>
      </w:r>
    </w:p>
    <w:p>
      <w:pPr>
        <w:spacing w:after="0" w:line="170"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In February 2016, the Financial Accounting Standards Board (“FASB”) issued new guidance related to the accounting for leases. The new standard replaces all current U.S. GAAP guidance on this topic. The new standard, among other things, requires a lessee to classify a lease as either an operating or financing lease, and to recognize a lease liability and a right-of-use (“ROU”) asset for its leases. On January 1, 2019, we adopted the new lease accounting standard. As a result, we have updated our significant accounting policy disclosure to include our accounting policy for leases under the new standard. Refer to Note 3 for information about the impact of adoption on our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jc w:val="both"/>
        <w:ind w:right="40" w:firstLine="245"/>
        <w:spacing w:after="0" w:line="291" w:lineRule="auto"/>
        <w:rPr>
          <w:sz w:val="20"/>
          <w:szCs w:val="20"/>
          <w:color w:val="auto"/>
        </w:rPr>
      </w:pPr>
      <w:r>
        <w:rPr>
          <w:rFonts w:ascii="Times New Roman" w:cs="Times New Roman" w:eastAsia="Times New Roman" w:hAnsi="Times New Roman"/>
          <w:sz w:val="12"/>
          <w:szCs w:val="12"/>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Included in the lease liability are future lease payments that are fixed, in-substance fixed, or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ROU asset also includes any lease payments made prior to commencement, initial direct costs incurred, and lease incentives received. As most of our leases do not provide an implicit rate, we generally use our incremental borrowing rate in determining the present value of future payments. The incremental borrowing rate represents the rate required to borrow funds over a similar term to purchase the leased asset, and is based on the information available at the commencement date of the lease. For leased assets with similar lease terms and asset type we applied a portfolio approach in determining a single incremental borrowing rate to apply to the leased assets.</w:t>
      </w:r>
    </w:p>
    <w:p>
      <w:pPr>
        <w:spacing w:after="0" w:line="152" w:lineRule="exact"/>
        <w:rPr>
          <w:sz w:val="20"/>
          <w:szCs w:val="20"/>
          <w:color w:val="auto"/>
        </w:rPr>
      </w:pPr>
    </w:p>
    <w:p>
      <w:pPr>
        <w:ind w:right="80" w:firstLine="245"/>
        <w:spacing w:after="0" w:line="251" w:lineRule="auto"/>
        <w:rPr>
          <w:sz w:val="20"/>
          <w:szCs w:val="20"/>
          <w:color w:val="auto"/>
        </w:rPr>
      </w:pPr>
      <w:r>
        <w:rPr>
          <w:rFonts w:ascii="Times New Roman" w:cs="Times New Roman" w:eastAsia="Times New Roman" w:hAnsi="Times New Roman"/>
          <w:sz w:val="14"/>
          <w:szCs w:val="14"/>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145" w:lineRule="exact"/>
        <w:rPr>
          <w:sz w:val="20"/>
          <w:szCs w:val="20"/>
          <w:color w:val="auto"/>
        </w:rPr>
      </w:pPr>
    </w:p>
    <w:p>
      <w:pPr>
        <w:ind w:right="60" w:firstLine="245"/>
        <w:spacing w:after="0" w:line="317" w:lineRule="auto"/>
        <w:rPr>
          <w:sz w:val="20"/>
          <w:szCs w:val="20"/>
          <w:color w:val="auto"/>
        </w:rPr>
      </w:pPr>
      <w:r>
        <w:rPr>
          <w:rFonts w:ascii="Times New Roman" w:cs="Times New Roman" w:eastAsia="Times New Roman" w:hAnsi="Times New Roman"/>
          <w:sz w:val="12"/>
          <w:szCs w:val="12"/>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08" w:lineRule="exact"/>
        <w:rPr>
          <w:sz w:val="20"/>
          <w:szCs w:val="20"/>
          <w:color w:val="auto"/>
        </w:rPr>
      </w:pPr>
    </w:p>
    <w:p>
      <w:pPr>
        <w:ind w:right="560" w:firstLine="245"/>
        <w:spacing w:after="0" w:line="265" w:lineRule="auto"/>
        <w:rPr>
          <w:sz w:val="20"/>
          <w:szCs w:val="20"/>
          <w:color w:val="auto"/>
        </w:rPr>
      </w:pPr>
      <w:r>
        <w:rPr>
          <w:rFonts w:ascii="Times New Roman" w:cs="Times New Roman" w:eastAsia="Times New Roman" w:hAnsi="Times New Roman"/>
          <w:sz w:val="14"/>
          <w:szCs w:val="14"/>
          <w:color w:val="auto"/>
        </w:rPr>
        <w:t>Operating lease ROU assets are presented in “Other assets” and operating lease liabilities are presented in “Accrued expenses and other current liabilities” and “Other liabilities” on our condensed consolidated balance sheet.</w:t>
      </w:r>
    </w:p>
    <w:p>
      <w:pPr>
        <w:spacing w:after="0" w:line="135" w:lineRule="exact"/>
        <w:rPr>
          <w:sz w:val="20"/>
          <w:szCs w:val="20"/>
          <w:color w:val="auto"/>
        </w:r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Finance lease ROU assets are presented in “Property and equipment, net” and finance lease liabilities are presented in “Accrued expenses and other current liabilities” and “Other liabilities” on our condensed consolidated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Recently Issued Accounting Pronouncements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ind w:right="240" w:firstLine="245"/>
        <w:spacing w:after="0" w:line="254" w:lineRule="auto"/>
        <w:rPr>
          <w:sz w:val="20"/>
          <w:szCs w:val="20"/>
          <w:color w:val="auto"/>
        </w:rPr>
      </w:pPr>
      <w:r>
        <w:rPr>
          <w:rFonts w:ascii="Times New Roman" w:cs="Times New Roman" w:eastAsia="Times New Roman" w:hAnsi="Times New Roman"/>
          <w:sz w:val="14"/>
          <w:szCs w:val="14"/>
          <w:color w:val="auto"/>
        </w:rPr>
        <w:t>As noted in Note 2 above,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7" w:right="2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impact from the adoption of the new lease accounting standard to our condensed consolidated balance sheet at January 1, 2019, was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 due to adoption of new</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w:t>
            </w:r>
          </w:p>
        </w:tc>
        <w:tc>
          <w:tcPr>
            <w:tcW w:w="120" w:type="dxa"/>
            <w:vAlign w:val="bottom"/>
          </w:tcPr>
          <w:p>
            <w:pPr>
              <w:spacing w:after="0"/>
              <w:rPr>
                <w:sz w:val="14"/>
                <w:szCs w:val="1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2018</w:t>
            </w:r>
          </w:p>
        </w:tc>
        <w:tc>
          <w:tcPr>
            <w:tcW w:w="18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lease accounting standard</w:t>
            </w:r>
          </w:p>
        </w:tc>
        <w:tc>
          <w:tcPr>
            <w:tcW w:w="160" w:type="dxa"/>
            <w:vAlign w:val="bottom"/>
          </w:tcPr>
          <w:p>
            <w:pPr>
              <w:spacing w:after="0"/>
              <w:rPr>
                <w:sz w:val="14"/>
                <w:szCs w:val="14"/>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Balance at January 1, 2019</w:t>
            </w:r>
          </w:p>
        </w:tc>
      </w:tr>
      <w:tr>
        <w:trPr>
          <w:trHeight w:val="25"/>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r>
      <w:tr>
        <w:trPr>
          <w:trHeight w:val="183"/>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531</w:t>
            </w: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734</w:t>
            </w:r>
          </w:p>
        </w:tc>
      </w:tr>
      <w:tr>
        <w:trPr>
          <w:trHeight w:val="18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950</w:t>
            </w:r>
          </w:p>
        </w:tc>
      </w:tr>
      <w:tr>
        <w:trPr>
          <w:trHeight w:val="183"/>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5"/>
                <w:szCs w:val="15"/>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1,357</w:t>
            </w:r>
          </w:p>
        </w:tc>
      </w:tr>
    </w:tbl>
    <w:p>
      <w:pPr>
        <w:spacing w:after="0" w:line="3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adoption of this standard did not have an impact on our condensed consolidated statement of operations or condensed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68"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In January 2017, the FASB issued new guidance that eliminates Step 2 from the goodwill impairment test. Instead, if an entity forgoes a Step 0 test, that entity will be required to perform its annual or interim goodwill impairment test by comparing the fair value of a reporting unit, as 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are evaluating the impact, if any, of adopting this new accounting guidance on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Cloud Computing Arrangements</w:t>
      </w:r>
    </w:p>
    <w:p>
      <w:pPr>
        <w:spacing w:after="0" w:line="168"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14"/>
          <w:szCs w:val="14"/>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The new standard is effective for fiscal years beginning after December 15, 2019, and can be applied retrospectively or prospectively. Early adoption is permitted. We are evaluating the impact, if any, of adopting this new accounting guidance on our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Inventories, Net</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8"/>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Inventories, net, consist of the following (amounts in millions):</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50"/>
        </w:trPr>
        <w:tc>
          <w:tcPr>
            <w:tcW w:w="6780" w:type="dxa"/>
            <w:vAlign w:val="bottom"/>
          </w:tcPr>
          <w:p>
            <w:pPr>
              <w:spacing w:after="0"/>
              <w:rPr>
                <w:sz w:val="24"/>
                <w:szCs w:val="24"/>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840" w:type="dxa"/>
            <w:vAlign w:val="bottom"/>
            <w:tcBorders>
              <w:bottom w:val="single" w:sz="8" w:color="CCEEFF"/>
            </w:tcBorders>
            <w:shd w:val="clear" w:color="auto" w:fill="CCEEFF"/>
          </w:tcPr>
          <w:p>
            <w:pPr>
              <w:jc w:val="right"/>
              <w:ind w:right="16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parts and components</w:t>
            </w:r>
          </w:p>
        </w:tc>
        <w:tc>
          <w:tcPr>
            <w:tcW w:w="184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1840" w:type="dxa"/>
            <w:vAlign w:val="bottom"/>
            <w:tcBorders>
              <w:bottom w:val="single" w:sz="8" w:color="auto"/>
            </w:tcBorders>
            <w:shd w:val="clear" w:color="auto" w:fill="CCEEFF"/>
          </w:tcPr>
          <w:p>
            <w:pPr>
              <w:jc w:val="right"/>
              <w:ind w:right="16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6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June 30, 2019 and December 31, 2018, inventory reserves were $18 million and $22 million, respectively.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60"/>
          </w:cols>
          <w:pgMar w:left="220" w:top="127" w:right="21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Software Development and Intellectual Property Licenses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the components of our capitalized software development costs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Internally-developed software costs</w:t>
            </w:r>
          </w:p>
        </w:tc>
        <w:tc>
          <w:tcPr>
            <w:tcW w:w="1800" w:type="dxa"/>
            <w:vAlign w:val="bottom"/>
            <w:tcBorders>
              <w:bottom w:val="single" w:sz="8" w:color="CCEEFF"/>
            </w:tcBorders>
            <w:shd w:val="clear" w:color="auto" w:fill="CCEEFF"/>
          </w:tcPr>
          <w:p>
            <w:pPr>
              <w:jc w:val="right"/>
              <w:ind w:right="165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291</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made to third-party software developers</w:t>
            </w:r>
          </w:p>
        </w:tc>
        <w:tc>
          <w:tcPr>
            <w:tcW w:w="18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software development costs</w:t>
            </w:r>
          </w:p>
        </w:tc>
        <w:tc>
          <w:tcPr>
            <w:tcW w:w="1800" w:type="dxa"/>
            <w:vAlign w:val="bottom"/>
            <w:tcBorders>
              <w:bottom w:val="single" w:sz="8" w:color="auto"/>
            </w:tcBorders>
            <w:shd w:val="clear" w:color="auto" w:fill="CCEEFF"/>
          </w:tcPr>
          <w:p>
            <w:pPr>
              <w:jc w:val="right"/>
              <w:ind w:right="165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329</w:t>
            </w:r>
          </w:p>
        </w:tc>
      </w:tr>
      <w:tr>
        <w:trPr>
          <w:trHeight w:val="20"/>
        </w:trPr>
        <w:tc>
          <w:tcPr>
            <w:tcW w:w="67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both June 30, 2019 and December 31, 2018, capitalized intellectual property licenses were not material.</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Amortization of capitalized software development costs and intellectual property licenses was as follows (amounts in millions):</w:t>
      </w:r>
    </w:p>
    <w:p>
      <w:pPr>
        <w:sectPr>
          <w:pgSz w:w="11900" w:h="16838" w:orient="portrait"/>
          <w:cols w:equalWidth="0" w:num="1">
            <w:col w:w="11460"/>
          </w:cols>
          <w:pgMar w:left="220" w:top="127" w:right="219" w:bottom="1440" w:gutter="0" w:footer="0" w:header="0"/>
        </w:sectPr>
      </w:pPr>
    </w:p>
    <w:p>
      <w:pPr>
        <w:spacing w:after="0" w:line="28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40005</wp:posOffset>
            </wp:positionV>
            <wp:extent cx="25520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2065" cy="6350"/>
                    </a:xfrm>
                    <a:prstGeom prst="rect">
                      <a:avLst/>
                    </a:prstGeom>
                    <a:noFill/>
                  </pic:spPr>
                </pic:pic>
              </a:graphicData>
            </a:graphic>
          </wp:anchor>
        </w:drawing>
      </w:r>
    </w:p>
    <w:p>
      <w:pPr>
        <w:spacing w:after="0" w:line="57" w:lineRule="exact"/>
        <w:rPr>
          <w:sz w:val="20"/>
          <w:szCs w:val="20"/>
          <w:color w:val="auto"/>
        </w:rPr>
      </w:pPr>
    </w:p>
    <w:p>
      <w:pPr>
        <w:ind w:left="418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25400</wp:posOffset>
            </wp:positionV>
            <wp:extent cx="25393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9365" cy="6350"/>
                    </a:xfrm>
                    <a:prstGeom prst="rect">
                      <a:avLst/>
                    </a:prstGeom>
                    <a:noFill/>
                  </pic:spPr>
                </pic:pic>
              </a:graphicData>
            </a:graphic>
          </wp:anchor>
        </w:drawing>
      </w:r>
    </w:p>
    <w:p>
      <w:pPr>
        <w:spacing w:after="0" w:line="34"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p>
    <w:p>
      <w:pPr>
        <w:sectPr>
          <w:pgSz w:w="11900" w:h="16838" w:orient="portrait"/>
          <w:cols w:equalWidth="0" w:num="2">
            <w:col w:w="7580" w:space="720"/>
            <w:col w:w="3160"/>
          </w:cols>
          <w:pgMar w:left="220" w:top="127" w:right="2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Amortization of capitalized software development costs and</w:t>
            </w:r>
          </w:p>
        </w:tc>
        <w:tc>
          <w:tcPr>
            <w:tcW w:w="12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7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licenses</w:t>
            </w:r>
          </w:p>
        </w:tc>
        <w:tc>
          <w:tcPr>
            <w:tcW w:w="1260" w:type="dxa"/>
            <w:vAlign w:val="bottom"/>
            <w:tcBorders>
              <w:bottom w:val="single" w:sz="8" w:color="CCEEFF"/>
            </w:tcBorders>
            <w:shd w:val="clear" w:color="auto" w:fill="CCEEFF"/>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4"/>
                <w:szCs w:val="14"/>
                <w:color w:val="auto"/>
                <w:w w:val="85"/>
              </w:rPr>
              <w:t>54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209</w:t>
            </w:r>
          </w:p>
        </w:tc>
      </w:tr>
      <w:tr>
        <w:trPr>
          <w:trHeight w:val="490"/>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Intangible Assets, Net</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8"/>
        </w:trPr>
        <w:tc>
          <w:tcPr>
            <w:tcW w:w="4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Intangible assets, net, consist of the following (amounts in millions):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6"/>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jc w:val="right"/>
              <w:ind w:right="814"/>
              <w:spacing w:after="0"/>
              <w:rPr>
                <w:sz w:val="20"/>
                <w:szCs w:val="20"/>
                <w:color w:val="auto"/>
              </w:rPr>
            </w:pPr>
            <w:r>
              <w:rPr>
                <w:rFonts w:ascii="Times New Roman" w:cs="Times New Roman" w:eastAsia="Times New Roman" w:hAnsi="Times New Roman"/>
                <w:sz w:val="12"/>
                <w:szCs w:val="12"/>
                <w:b w:val="1"/>
                <w:bCs w:val="1"/>
                <w:color w:val="auto"/>
              </w:rPr>
              <w:t>At June 30, 2019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Estimated useful lives</w:t>
            </w:r>
          </w:p>
        </w:tc>
        <w:tc>
          <w:tcPr>
            <w:tcW w:w="1700" w:type="dxa"/>
            <w:vAlign w:val="bottom"/>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1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16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definite-lived intangible assets:</w:t>
            </w:r>
          </w:p>
        </w:tc>
        <w:tc>
          <w:tcPr>
            <w:tcW w:w="1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Internally-developed franchises</w:t>
            </w:r>
          </w:p>
        </w:tc>
        <w:tc>
          <w:tcPr>
            <w:tcW w:w="1260" w:type="dxa"/>
            <w:vAlign w:val="bottom"/>
          </w:tcPr>
          <w:p>
            <w:pPr>
              <w:spacing w:after="0"/>
              <w:rPr>
                <w:sz w:val="15"/>
                <w:szCs w:val="15"/>
                <w:color w:val="auto"/>
              </w:rPr>
            </w:pPr>
          </w:p>
        </w:tc>
        <w:tc>
          <w:tcPr>
            <w:tcW w:w="600" w:type="dxa"/>
            <w:vAlign w:val="bottom"/>
          </w:tcPr>
          <w:p>
            <w:pPr>
              <w:jc w:val="center"/>
              <w:ind w:left="373"/>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11 years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86</w:t>
            </w:r>
          </w:p>
        </w:tc>
      </w:tr>
      <w:tr>
        <w:trPr>
          <w:trHeight w:val="21"/>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Developed software</w:t>
            </w:r>
          </w:p>
        </w:tc>
        <w:tc>
          <w:tcPr>
            <w:tcW w:w="1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years</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1260" w:type="dxa"/>
            <w:vAlign w:val="bottom"/>
          </w:tcPr>
          <w:p>
            <w:pPr>
              <w:spacing w:after="0"/>
              <w:rPr>
                <w:sz w:val="15"/>
                <w:szCs w:val="15"/>
                <w:color w:val="auto"/>
              </w:rPr>
            </w:pPr>
          </w:p>
        </w:tc>
        <w:tc>
          <w:tcPr>
            <w:tcW w:w="600" w:type="dxa"/>
            <w:vAlign w:val="bottom"/>
          </w:tcPr>
          <w:p>
            <w:pPr>
              <w:jc w:val="center"/>
              <w:ind w:left="373"/>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years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w:t>
            </w:r>
          </w:p>
        </w:tc>
      </w:tr>
      <w:tr>
        <w:trPr>
          <w:trHeight w:val="21"/>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 years</w:t>
            </w: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definite-lived intangible assets (1)</w:t>
            </w:r>
          </w:p>
        </w:tc>
        <w:tc>
          <w:tcPr>
            <w:tcW w:w="1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200</w:t>
            </w:r>
          </w:p>
        </w:tc>
      </w:tr>
      <w:tr>
        <w:trPr>
          <w:trHeight w:val="191"/>
        </w:trPr>
        <w:tc>
          <w:tcPr>
            <w:tcW w:w="3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indefinite-lived intangible assets:</w:t>
            </w: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Activision trademark</w:t>
            </w:r>
          </w:p>
        </w:tc>
        <w:tc>
          <w:tcPr>
            <w:tcW w:w="1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4"/>
            <w:shd w:val="clear" w:color="auto" w:fill="CCEEFF"/>
          </w:tcPr>
          <w:p>
            <w:pPr>
              <w:jc w:val="center"/>
              <w:ind w:right="740"/>
              <w:spacing w:after="0"/>
              <w:rPr>
                <w:sz w:val="20"/>
                <w:szCs w:val="20"/>
                <w:color w:val="auto"/>
              </w:rPr>
            </w:pPr>
            <w:r>
              <w:rPr>
                <w:rFonts w:ascii="Times New Roman" w:cs="Times New Roman" w:eastAsia="Times New Roman" w:hAnsi="Times New Roman"/>
                <w:sz w:val="14"/>
                <w:szCs w:val="14"/>
                <w:color w:val="auto"/>
                <w:w w:val="95"/>
              </w:rPr>
              <w:t>Indefinite</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386</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trade names</w:t>
            </w: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color w:val="auto"/>
                <w:w w:val="95"/>
              </w:rPr>
              <w:t>Indefinite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1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433</w:t>
            </w: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633</w:t>
            </w:r>
          </w:p>
        </w:tc>
      </w:tr>
      <w:tr>
        <w:trPr>
          <w:trHeight w:val="20"/>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5660" w:right="2080" w:hanging="5658"/>
        <w:spacing w:after="0" w:line="783"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with the first quarter of 2019, the balances of the customer base intangible assets have been removed as such amounts were fully amortized in the prior year. 14</w:t>
      </w:r>
    </w:p>
    <w:p>
      <w:pPr>
        <w:sectPr>
          <w:pgSz w:w="11900" w:h="16838" w:orient="portrait"/>
          <w:cols w:equalWidth="0" w:num="1">
            <w:col w:w="11460"/>
          </w:cols>
          <w:pgMar w:left="220" w:top="127" w:right="21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2"/>
                <w:szCs w:val="12"/>
                <w:b w:val="1"/>
                <w:bCs w:val="1"/>
                <w:color w:val="auto"/>
              </w:rPr>
              <w:t>At December 31, 2018</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
        </w:trPr>
        <w:tc>
          <w:tcPr>
            <w:tcW w:w="460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460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Estimated useful lives</w:t>
            </w: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16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definite-lived intangible assets:</w:t>
            </w: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Internally-developed franchises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122</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Developed software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145</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base</w:t>
            </w:r>
          </w:p>
        </w:tc>
        <w:tc>
          <w:tcPr>
            <w:tcW w:w="5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2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15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302</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1"/>
        </w:trPr>
        <w:tc>
          <w:tcPr>
            <w:tcW w:w="4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Activision trademark</w:t>
            </w:r>
          </w:p>
        </w:tc>
        <w:tc>
          <w:tcPr>
            <w:tcW w:w="5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386</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Acquired trade names</w:t>
            </w:r>
          </w:p>
        </w:tc>
        <w:tc>
          <w:tcPr>
            <w:tcW w:w="5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17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433</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735</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60" w:firstLine="245"/>
        <w:spacing w:after="0" w:line="265" w:lineRule="auto"/>
        <w:rPr>
          <w:sz w:val="20"/>
          <w:szCs w:val="20"/>
          <w:color w:val="auto"/>
        </w:rPr>
      </w:pPr>
      <w:r>
        <w:rPr>
          <w:rFonts w:ascii="Times New Roman" w:cs="Times New Roman" w:eastAsia="Times New Roman" w:hAnsi="Times New Roman"/>
          <w:sz w:val="14"/>
          <w:szCs w:val="14"/>
          <w:color w:val="auto"/>
        </w:rPr>
        <w:t>Amortization expense of our intangible assets was $48 million and $103 million for the three and six months ended June 30, 2019, respectively. Amortization expense of our intangible assets was $77 million and $196 million for the three and six months ended June 30, 2018, respectively.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June 30, 2019, future amortization of definite-lived intangible assets is estimated as follows (amounts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 (remaining six months)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Goodwill</w:t>
            </w: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6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The changes in the carrying amount of goodwill by reportable segment are as follows (amounts in millions):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3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38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6,897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2,675</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9,762</w:t>
            </w:r>
          </w:p>
        </w:tc>
        <w:tc>
          <w:tcPr>
            <w:tcW w:w="0" w:type="dxa"/>
            <w:vAlign w:val="bottom"/>
          </w:tcPr>
          <w:p>
            <w:pPr>
              <w:spacing w:after="0"/>
              <w:rPr>
                <w:sz w:val="1"/>
                <w:szCs w:val="1"/>
                <w:color w:val="auto"/>
              </w:rPr>
            </w:pPr>
          </w:p>
        </w:tc>
      </w:tr>
      <w:tr>
        <w:trPr>
          <w:trHeight w:val="183"/>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5"/>
                <w:szCs w:val="15"/>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2,675</w:t>
            </w: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Fair Value Measurements</w:t>
      </w:r>
    </w:p>
    <w:p>
      <w:pPr>
        <w:spacing w:after="0" w:line="201" w:lineRule="exact"/>
        <w:rPr>
          <w:sz w:val="20"/>
          <w:szCs w:val="20"/>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35" w:lineRule="exact"/>
        <w:rPr>
          <w:sz w:val="20"/>
          <w:szCs w:val="20"/>
          <w:color w:val="auto"/>
        </w:rPr>
      </w:pPr>
    </w:p>
    <w:p>
      <w:pPr>
        <w:ind w:left="500" w:hanging="130"/>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166" w:lineRule="exact"/>
        <w:rPr>
          <w:rFonts w:ascii="Times New Roman" w:cs="Times New Roman" w:eastAsia="Times New Roman" w:hAnsi="Times New Roman"/>
          <w:sz w:val="14"/>
          <w:szCs w:val="14"/>
          <w:color w:val="auto"/>
        </w:rPr>
      </w:pPr>
    </w:p>
    <w:p>
      <w:pPr>
        <w:ind w:left="500" w:hanging="130"/>
        <w:spacing w:after="0" w:line="265"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60"/>
          </w:cols>
          <w:pgMar w:left="220" w:top="127" w:right="2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500" w:right="40" w:hanging="130"/>
        <w:spacing w:after="0" w:line="265"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 on a Recurring Basis</w:t>
      </w:r>
    </w:p>
    <w:p>
      <w:pPr>
        <w:spacing w:after="0" w:line="170"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6"/>
          </w:tcPr>
          <w:p>
            <w:pPr>
              <w:ind w:left="620"/>
              <w:spacing w:after="0"/>
              <w:rPr>
                <w:sz w:val="20"/>
                <w:szCs w:val="20"/>
                <w:color w:val="auto"/>
              </w:rPr>
            </w:pPr>
            <w:r>
              <w:rPr>
                <w:rFonts w:ascii="Times New Roman" w:cs="Times New Roman" w:eastAsia="Times New Roman" w:hAnsi="Times New Roman"/>
                <w:sz w:val="12"/>
                <w:szCs w:val="12"/>
                <w:b w:val="1"/>
                <w:bCs w:val="1"/>
                <w:color w:val="auto"/>
              </w:rPr>
              <w:t>Fair Value Measurements at June 30, 2019 Using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5"/>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Active Markets for</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Significant Unobservable</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Identical Assets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102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As of June 30, 2019</w:t>
            </w: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6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spacing w:after="0"/>
              <w:rPr>
                <w:sz w:val="14"/>
                <w:szCs w:val="14"/>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Recurring fair value measurements: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3,866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government treasury bills</w:t>
            </w:r>
          </w:p>
        </w:tc>
        <w:tc>
          <w:tcPr>
            <w:tcW w:w="14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treasuries and government agency securities</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14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1"/>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97"/>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3,999</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3,982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r>
      <w:tr>
        <w:trPr>
          <w:trHeight w:val="191"/>
        </w:trPr>
        <w:tc>
          <w:tcPr>
            <w:tcW w:w="3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7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hedges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r>
      <w:tr>
        <w:trPr>
          <w:trHeight w:val="510"/>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6"/>
          </w:tcPr>
          <w:p>
            <w:pPr>
              <w:ind w:left="480"/>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2018 Using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5"/>
        </w:trPr>
        <w:tc>
          <w:tcPr>
            <w:tcW w:w="3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Active Markets for</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Significant Unobservable</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Identical Assets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102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1"/>
        </w:trPr>
        <w:tc>
          <w:tcPr>
            <w:tcW w:w="33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2018</w:t>
            </w: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2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Recurring fair value measurements: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government treasury bills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treasuries and government agency securities</w:t>
            </w: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97"/>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5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r>
      <w:tr>
        <w:trPr>
          <w:trHeight w:val="201"/>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5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r>
      <w:tr>
        <w:trPr>
          <w:trHeight w:val="21"/>
        </w:trPr>
        <w:tc>
          <w:tcPr>
            <w:tcW w:w="33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Forward Contracts Designated as Hedges (“Cash Flow Hedges”)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total gross notional amounts and fair values of our Cash Flow Hedges are as follows (amounts in millions):</w:t>
      </w:r>
    </w:p>
    <w:p>
      <w:pPr>
        <w:sectPr>
          <w:pgSz w:w="11900" w:h="16838" w:orient="portrait"/>
          <w:cols w:equalWidth="0" w:num="1">
            <w:col w:w="11460"/>
          </w:cols>
          <w:pgMar w:left="220" w:top="127" w:right="219" w:bottom="1440" w:gutter="0" w:footer="0" w:header="0"/>
        </w:sectPr>
      </w:pPr>
    </w:p>
    <w:p>
      <w:pPr>
        <w:spacing w:after="0" w:line="29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79640"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63"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48"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Times New Roman" w:cs="Times New Roman" w:eastAsia="Times New Roman" w:hAnsi="Times New Roman"/>
          <w:sz w:val="14"/>
          <w:szCs w:val="14"/>
          <w:color w:val="auto"/>
        </w:rPr>
        <w:t>Buy USD, Sell Euro</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409</w:t>
        <w:tab/>
        <w:t>$</w:t>
      </w:r>
      <w:r>
        <w:rPr>
          <w:sz w:val="20"/>
          <w:szCs w:val="20"/>
          <w:color w:val="auto"/>
        </w:rPr>
        <w:tab/>
      </w: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723</w:t>
        <w:tab/>
        <w:t>$</w:t>
      </w:r>
      <w:r>
        <w:rPr>
          <w:sz w:val="20"/>
          <w:szCs w:val="20"/>
          <w:color w:val="auto"/>
        </w:rPr>
        <w:tab/>
      </w:r>
      <w:r>
        <w:rPr>
          <w:rFonts w:ascii="Times New Roman" w:cs="Times New Roman" w:eastAsia="Times New Roman" w:hAnsi="Times New Roman"/>
          <w:sz w:val="14"/>
          <w:szCs w:val="14"/>
          <w:color w:val="auto"/>
        </w:rPr>
        <w:t>12</w:t>
      </w:r>
    </w:p>
    <w:p>
      <w:pPr>
        <w:spacing w:after="0" w:line="350"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At June 30, 2019, our Cash Flow Hedges have remaining maturities of six months or less. Additionally, $2 million of net realized but unrecognized gains are recorded within “Accumulated other comprehensive income (loss)” at June 30, 2019 for Cash Flow Hedges that had settled but were deferred and will be amortized into earnings, along with the associated hedged revenues. Such amounts will be reclassified into earnings within the next 12 months.</w:t>
      </w:r>
    </w:p>
    <w:p>
      <w:pPr>
        <w:spacing w:after="0" w:line="143"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200" w:type="dxa"/>
            <w:vAlign w:val="bottom"/>
            <w:gridSpan w:val="3"/>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3"/>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5"/>
        </w:trPr>
        <w:tc>
          <w:tcPr>
            <w:tcW w:w="16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59"/>
        </w:trPr>
        <w:tc>
          <w:tcPr>
            <w:tcW w:w="1600" w:type="dxa"/>
            <w:vAlign w:val="bottom"/>
          </w:tcPr>
          <w:p>
            <w:pPr>
              <w:spacing w:after="0"/>
              <w:rPr>
                <w:sz w:val="13"/>
                <w:szCs w:val="13"/>
                <w:color w:val="auto"/>
              </w:rPr>
            </w:pPr>
          </w:p>
        </w:tc>
        <w:tc>
          <w:tcPr>
            <w:tcW w:w="1360" w:type="dxa"/>
            <w:vAlign w:val="bottom"/>
          </w:tcPr>
          <w:p>
            <w:pPr>
              <w:jc w:val="right"/>
              <w:ind w:right="236"/>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Pr>
          <w:p>
            <w:pPr>
              <w:spacing w:after="0"/>
              <w:rPr>
                <w:sz w:val="13"/>
                <w:szCs w:val="13"/>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Pr>
          <w:p>
            <w:pPr>
              <w:spacing w:after="0"/>
              <w:rPr>
                <w:sz w:val="13"/>
                <w:szCs w:val="13"/>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Statement of Operations Classification</w:t>
            </w:r>
          </w:p>
        </w:tc>
      </w:tr>
      <w:tr>
        <w:trPr>
          <w:trHeight w:val="25"/>
        </w:trPr>
        <w:tc>
          <w:tcPr>
            <w:tcW w:w="1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7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36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Net revenues</w:t>
            </w:r>
          </w:p>
        </w:tc>
      </w:tr>
      <w:tr>
        <w:trPr>
          <w:trHeight w:val="21"/>
        </w:trPr>
        <w:tc>
          <w:tcPr>
            <w:tcW w:w="16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60"/>
          </w:cols>
          <w:pgMar w:left="220" w:top="127" w:right="21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Forward Contracts Not Designated as Hedges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gross notional amounts and fair values of our foreign currency forward contracts not designated as hedges are as follows (amounts in millions):</w:t>
      </w:r>
    </w:p>
    <w:p>
      <w:pPr>
        <w:sectPr>
          <w:pgSz w:w="11900" w:h="16838" w:orient="portrait"/>
          <w:cols w:equalWidth="0" w:num="1">
            <w:col w:w="11460"/>
          </w:cols>
          <w:pgMar w:left="220" w:top="127" w:right="219" w:bottom="1440" w:gutter="0" w:footer="0" w:header="0"/>
        </w:sectPr>
      </w:pPr>
    </w:p>
    <w:p>
      <w:pPr>
        <w:spacing w:after="0" w:line="148"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9"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USD, Sell SEK</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EUR</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EUR,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GBP</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55</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GBP,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bl>
    <w:p>
      <w:pPr>
        <w:spacing w:after="0" w:line="3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three and six months ended June 30, 2019 and 2018, pre-tax net gains (losses) associated with these forward contracts were recorded in “General and administrative expenses” and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 on a Non-Recurring Basis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measure the fair value of certain assets on a non-recurring basis, generally annually or when events or changes in circumstances indicate that the carrying amount of the assets may not be recoverable.</w:t>
      </w:r>
    </w:p>
    <w:p>
      <w:pPr>
        <w:spacing w:after="0" w:line="189" w:lineRule="exact"/>
        <w:rPr>
          <w:sz w:val="20"/>
          <w:szCs w:val="20"/>
          <w:color w:val="auto"/>
        </w:rPr>
      </w:pPr>
    </w:p>
    <w:p>
      <w:pPr>
        <w:ind w:right="100" w:firstLine="245"/>
        <w:spacing w:after="0" w:line="251" w:lineRule="auto"/>
        <w:rPr>
          <w:sz w:val="20"/>
          <w:szCs w:val="20"/>
          <w:color w:val="auto"/>
        </w:rPr>
      </w:pPr>
      <w:r>
        <w:rPr>
          <w:rFonts w:ascii="Times New Roman" w:cs="Times New Roman" w:eastAsia="Times New Roman" w:hAnsi="Times New Roman"/>
          <w:sz w:val="14"/>
          <w:szCs w:val="14"/>
          <w:color w:val="auto"/>
        </w:rPr>
        <w:t>During the three months ended June 30, 2019, we recorded an upward adjustment of $38 million to an investment in equity securities, which has been historically recorded at cost, based on an observable and orderly transaction in the common stock of the investee. We recognized a corresponding unrealized gain within “Interest and other expense (income), net” in our condensed consolidated statement of operations. As of June 30, 2019, the carrying value of the investment is $42 million and is recorded in “Other assets” on our condensed consolidated balance sheet. We classify this investment as Level 3 in the fair value hierarchy as we estimated the value based on valuation methods using the observable transaction price in a market with limited activity.</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and six months ended June 30, 2019 and 2018, there were no impairment charges related to assets that are measured on a non-recurring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Deferred revenues</w:t>
      </w:r>
    </w:p>
    <w:p>
      <w:pPr>
        <w:spacing w:after="0" w:line="201" w:lineRule="exact"/>
        <w:rPr>
          <w:sz w:val="20"/>
          <w:szCs w:val="20"/>
          <w:color w:val="auto"/>
        </w:rPr>
      </w:pPr>
    </w:p>
    <w:p>
      <w:pPr>
        <w:ind w:firstLine="245"/>
        <w:spacing w:after="0" w:line="297" w:lineRule="auto"/>
        <w:rPr>
          <w:sz w:val="20"/>
          <w:szCs w:val="20"/>
          <w:color w:val="auto"/>
        </w:rPr>
      </w:pPr>
      <w:r>
        <w:rPr>
          <w:rFonts w:ascii="Times New Roman" w:cs="Times New Roman" w:eastAsia="Times New Roman" w:hAnsi="Times New Roman"/>
          <w:sz w:val="12"/>
          <w:szCs w:val="12"/>
          <w:color w:val="auto"/>
        </w:rPr>
        <w:t>We record deferred revenues when cash payments are received or due in advance of the fulfillment of our associated performance obligations. The opening balance of deferred revenues as of January 1, 2019 and the ending balance as of June 30, 2019, were $1.6 billion and $0.8 billion, respectively, including our current and non-current balances. For the six months ended June 30, 2019,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three and six months ended June 30, 2019, $0.4 billion and $1.3 billion of revenues, respectively, were recognized that were included in the deferred revenues balance at December 31, 2018. During the three and six months ended June 30, 2018, $0.4 billion and $1.5 billion of revenues, respectively, were recognized that were included in the deferred revenues balance at January 1, 2018, as adjusted for the adoption of the new revenue standard in the prior year.</w:t>
      </w:r>
    </w:p>
    <w:p>
      <w:pPr>
        <w:spacing w:after="0" w:line="121"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As of June 30, 2019, the aggregate amount of contracted revenues allocated to our unsatisfied performance obligations is $1.9 billion, which includes our deferred revenues balances and amounts to be invoiced and recognized as revenue in future periods. We expect to recognize approximately $0.9 billion over the next 12 months, $0.4 billion in the subsequent 12 month period, and the remainder thereafter. This balance does not include an estimate for variable consideration arising from sales-based royalty license revenue in excess of the contractual minimum guarantee.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7" w:right="21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Leases</w:t>
      </w:r>
    </w:p>
    <w:p>
      <w:pPr>
        <w:spacing w:after="0" w:line="201" w:lineRule="exact"/>
        <w:rPr>
          <w:sz w:val="20"/>
          <w:szCs w:val="20"/>
          <w:color w:val="auto"/>
        </w:rPr>
      </w:pPr>
    </w:p>
    <w:p>
      <w:pPr>
        <w:jc w:val="both"/>
        <w:ind w:right="100" w:firstLine="245"/>
        <w:spacing w:after="0" w:line="317" w:lineRule="auto"/>
        <w:rPr>
          <w:sz w:val="20"/>
          <w:szCs w:val="20"/>
          <w:color w:val="auto"/>
        </w:rPr>
      </w:pPr>
      <w:r>
        <w:rPr>
          <w:rFonts w:ascii="Times New Roman" w:cs="Times New Roman" w:eastAsia="Times New Roman" w:hAnsi="Times New Roman"/>
          <w:sz w:val="12"/>
          <w:szCs w:val="12"/>
          <w:color w:val="auto"/>
        </w:rPr>
        <w:t>Our lease arrangements are primarily for: (1) corporate, administrative, and development studio offices; (2) data centers and server equipment; and (3) live event production equipment. Our existing leases have remaining lease terms ranging from one to 10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 our financing leases are not material.</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Components of our lease costs are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40" w:type="dxa"/>
            <w:vAlign w:val="bottom"/>
          </w:tcPr>
          <w:p>
            <w:pPr>
              <w:spacing w:after="0"/>
              <w:rPr>
                <w:sz w:val="15"/>
                <w:szCs w:val="15"/>
                <w:color w:val="auto"/>
              </w:rPr>
            </w:pPr>
          </w:p>
        </w:tc>
        <w:tc>
          <w:tcPr>
            <w:tcW w:w="21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2019</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w:t>
            </w:r>
          </w:p>
        </w:tc>
      </w:tr>
      <w:tr>
        <w:trPr>
          <w:trHeight w:val="21"/>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5"/>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lease costs</w:t>
            </w: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r>
      <w:tr>
        <w:trPr>
          <w:trHeight w:val="326"/>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supplemental information related to our operating leases is as follows (amounts in millions):</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2019</w:t>
            </w:r>
          </w:p>
        </w:tc>
      </w:tr>
      <w:tr>
        <w:trPr>
          <w:trHeight w:val="21"/>
        </w:trPr>
        <w:tc>
          <w:tcPr>
            <w:tcW w:w="9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Operating Cash Flows Information</w:t>
            </w:r>
          </w:p>
        </w:tc>
        <w:tc>
          <w:tcPr>
            <w:tcW w:w="14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r>
      <w:tr>
        <w:trPr>
          <w:trHeight w:val="183"/>
        </w:trPr>
        <w:tc>
          <w:tcPr>
            <w:tcW w:w="9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w:t>
            </w:r>
          </w:p>
        </w:tc>
      </w:tr>
      <w:tr>
        <w:trPr>
          <w:trHeight w:val="21"/>
        </w:trPr>
        <w:tc>
          <w:tcPr>
            <w:tcW w:w="9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ROU assets obtained in exchange for new lease obligations</w:t>
            </w:r>
          </w:p>
        </w:tc>
        <w:tc>
          <w:tcPr>
            <w:tcW w:w="14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47</w:t>
            </w:r>
          </w:p>
        </w:tc>
      </w:tr>
      <w:tr>
        <w:trPr>
          <w:trHeight w:val="21"/>
        </w:trPr>
        <w:tc>
          <w:tcPr>
            <w:tcW w:w="9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60" w:type="dxa"/>
            <w:vAlign w:val="bottom"/>
          </w:tcPr>
          <w:p>
            <w:pPr>
              <w:spacing w:after="0"/>
              <w:rPr>
                <w:sz w:val="15"/>
                <w:szCs w:val="15"/>
                <w:color w:val="auto"/>
              </w:rPr>
            </w:pPr>
          </w:p>
        </w:tc>
        <w:tc>
          <w:tcPr>
            <w:tcW w:w="23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At June 30, 2019</w:t>
            </w:r>
          </w:p>
        </w:tc>
      </w:tr>
      <w:tr>
        <w:trPr>
          <w:trHeight w:val="21"/>
        </w:trPr>
        <w:tc>
          <w:tcPr>
            <w:tcW w:w="91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7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Lease terms and discount rates</w:t>
            </w:r>
          </w:p>
        </w:tc>
        <w:tc>
          <w:tcPr>
            <w:tcW w:w="2300" w:type="dxa"/>
            <w:vAlign w:val="bottom"/>
            <w:tcBorders>
              <w:bottom w:val="single" w:sz="8" w:color="CCEEFF"/>
            </w:tcBorders>
            <w:shd w:val="clear" w:color="auto" w:fill="CCEEFF"/>
          </w:tcPr>
          <w:p>
            <w:pPr>
              <w:spacing w:after="0"/>
              <w:rPr>
                <w:sz w:val="15"/>
                <w:szCs w:val="15"/>
                <w:color w:val="auto"/>
              </w:rPr>
            </w:pPr>
          </w:p>
        </w:tc>
      </w:tr>
      <w:tr>
        <w:trPr>
          <w:trHeight w:val="183"/>
        </w:trPr>
        <w:tc>
          <w:tcPr>
            <w:tcW w:w="9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Remaining lease term</w:t>
            </w:r>
          </w:p>
        </w:tc>
        <w:tc>
          <w:tcPr>
            <w:tcW w:w="2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5.34 years</w:t>
            </w:r>
          </w:p>
        </w:tc>
      </w:tr>
      <w:tr>
        <w:trPr>
          <w:trHeight w:val="21"/>
        </w:trPr>
        <w:tc>
          <w:tcPr>
            <w:tcW w:w="9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3"/>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Discount rate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1"/>
        </w:trPr>
        <w:tc>
          <w:tcPr>
            <w:tcW w:w="91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Future undiscounted lease payments for our operating lease liabilities, and a reconciliation of these payments to our operating lease liabilities at June 30, 2019, are as follows (amounts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5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 (remaining six months)</w:t>
            </w:r>
          </w:p>
        </w:tc>
        <w:tc>
          <w:tcPr>
            <w:tcW w:w="630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5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5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5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3"/>
        </w:trPr>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5200" w:type="dxa"/>
            <w:vAlign w:val="bottom"/>
          </w:tcPr>
          <w:p>
            <w:pPr>
              <w:spacing w:after="0"/>
              <w:rPr>
                <w:sz w:val="15"/>
                <w:szCs w:val="15"/>
                <w:color w:val="auto"/>
              </w:rPr>
            </w:pPr>
          </w:p>
        </w:tc>
        <w:tc>
          <w:tcPr>
            <w:tcW w:w="110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1"/>
        </w:trPr>
        <w:tc>
          <w:tcPr>
            <w:tcW w:w="38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imputed interest</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5"/>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lease liabilities</w:t>
            </w:r>
          </w:p>
        </w:tc>
        <w:tc>
          <w:tcPr>
            <w:tcW w:w="5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200" w:type="dxa"/>
            <w:vAlign w:val="bottom"/>
            <w:vMerge w:val="restart"/>
          </w:tcPr>
          <w:p>
            <w:pPr>
              <w:jc w:val="right"/>
              <w:ind w:right="3192"/>
              <w:spacing w:after="0"/>
              <w:rPr>
                <w:sz w:val="20"/>
                <w:szCs w:val="20"/>
                <w:color w:val="auto"/>
              </w:rPr>
            </w:pPr>
            <w:r>
              <w:rPr>
                <w:rFonts w:ascii="Times New Roman" w:cs="Times New Roman" w:eastAsia="Times New Roman" w:hAnsi="Times New Roman"/>
                <w:sz w:val="14"/>
                <w:szCs w:val="14"/>
                <w:color w:val="auto"/>
              </w:rPr>
              <w:t>19</w:t>
            </w: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Operating lease ROU assets and liabilities recorded on our condensed consolidated balance sheet as of June 30, 2019, were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20" w:type="dxa"/>
            <w:vAlign w:val="bottom"/>
          </w:tcPr>
          <w:p>
            <w:pPr>
              <w:spacing w:after="0"/>
              <w:rPr>
                <w:sz w:val="15"/>
                <w:szCs w:val="15"/>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164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r>
      <w:tr>
        <w:trPr>
          <w:trHeight w:val="245"/>
        </w:trPr>
        <w:tc>
          <w:tcPr>
            <w:tcW w:w="4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18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64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r>
      <w:tr>
        <w:trPr>
          <w:trHeight w:val="18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64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r>
      <w:tr>
        <w:trPr>
          <w:trHeight w:val="189"/>
        </w:trPr>
        <w:tc>
          <w:tcPr>
            <w:tcW w:w="48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r>
      <w:tr>
        <w:trPr>
          <w:trHeight w:val="20"/>
        </w:trPr>
        <w:tc>
          <w:tcPr>
            <w:tcW w:w="4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Future minimum lease payments as of December 31, 2018, prior to our adoption of the new lease accounting standard, were as follows:</w:t>
            </w: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3"/>
        </w:trPr>
        <w:tc>
          <w:tcPr>
            <w:tcW w:w="9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8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110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w:t>
            </w: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w:t>
            </w: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r>
      <w:tr>
        <w:trPr>
          <w:trHeight w:val="189"/>
        </w:trPr>
        <w:tc>
          <w:tcPr>
            <w:tcW w:w="9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346</w:t>
            </w: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Debt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09" w:lineRule="exact"/>
        <w:rPr>
          <w:sz w:val="20"/>
          <w:szCs w:val="20"/>
          <w:color w:val="auto"/>
        </w:rPr>
      </w:pPr>
    </w:p>
    <w:p>
      <w:pPr>
        <w:ind w:right="200" w:firstLine="245"/>
        <w:spacing w:after="0" w:line="349" w:lineRule="auto"/>
        <w:rPr>
          <w:sz w:val="20"/>
          <w:szCs w:val="20"/>
          <w:color w:val="auto"/>
        </w:rPr>
      </w:pPr>
      <w:r>
        <w:rPr>
          <w:rFonts w:ascii="Times New Roman" w:cs="Times New Roman" w:eastAsia="Times New Roman" w:hAnsi="Times New Roman"/>
          <w:sz w:val="12"/>
          <w:szCs w:val="12"/>
          <w:color w:val="auto"/>
        </w:rPr>
        <w:t>As of June 30, 2019 and December 31, 2018,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June 30, 2019.</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Refer to Note 13 contained in our Annual Report on Form 10-K for the year ended December 31, 2018 for further details regarding the Credit Agreement, its key terms, and previous amendments made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Unsecured Senior Notes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June 30, 2019 and December 31, 2018, we had the following unsecured senior notes outstanding:</w:t>
      </w:r>
    </w:p>
    <w:p>
      <w:pPr>
        <w:spacing w:after="0" w:line="166" w:lineRule="exact"/>
        <w:rPr>
          <w:sz w:val="20"/>
          <w:szCs w:val="20"/>
          <w:color w:val="auto"/>
        </w:rPr>
      </w:pPr>
    </w:p>
    <w:p>
      <w:pPr>
        <w:ind w:left="740" w:hanging="247"/>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$650 million of 2.3% unsecured senior notes due September 2021 (the “2021 Notes”) and $850 million of 3.4% unsecured senior notes due September 2026 (the “2026 Notes”); and</w:t>
      </w:r>
    </w:p>
    <w:p>
      <w:pPr>
        <w:spacing w:after="0" w:line="166" w:lineRule="exact"/>
        <w:rPr>
          <w:rFonts w:ascii="Times New Roman" w:cs="Times New Roman" w:eastAsia="Times New Roman" w:hAnsi="Times New Roman"/>
          <w:sz w:val="14"/>
          <w:szCs w:val="14"/>
          <w:color w:val="auto"/>
        </w:rPr>
      </w:pPr>
    </w:p>
    <w:p>
      <w:pPr>
        <w:ind w:left="740" w:right="520" w:hanging="247"/>
        <w:spacing w:after="0" w:line="265" w:lineRule="auto"/>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 million of 2.6% unsecured senior notes due June 2022 (the “2022 Notes”), $400 million of 3.4% unsecured senior notes due June 2027 (the “2027 Notes”), and $400 million of 4.5% unsecured senior notes due June 2047 (the “2047 Notes”, and together with the 2021 Notes, the 2022 Notes, the 2026 Notes, and the 2027 Notes, the “Notes”).</w:t>
      </w:r>
    </w:p>
    <w:p>
      <w:pPr>
        <w:spacing w:after="0" w:line="133" w:lineRule="exact"/>
        <w:rPr>
          <w:sz w:val="20"/>
          <w:szCs w:val="20"/>
          <w:color w:val="auto"/>
        </w:rPr>
      </w:pPr>
    </w:p>
    <w:p>
      <w:pPr>
        <w:jc w:val="both"/>
        <w:ind w:right="160" w:firstLine="245"/>
        <w:spacing w:after="0" w:line="256" w:lineRule="auto"/>
        <w:rPr>
          <w:sz w:val="20"/>
          <w:szCs w:val="20"/>
          <w:color w:val="auto"/>
        </w:rPr>
      </w:pPr>
      <w:r>
        <w:rPr>
          <w:rFonts w:ascii="Times New Roman" w:cs="Times New Roman" w:eastAsia="Times New Roman" w:hAnsi="Times New Roman"/>
          <w:sz w:val="14"/>
          <w:szCs w:val="14"/>
          <w:color w:val="auto"/>
        </w:rPr>
        <w:t xml:space="preserve">The Notes are general senior obligations of the Company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We were in compliance with the terms of the Notes as of June 30, 2019.</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7" w:right="2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jc w:val="both"/>
        <w:ind w:right="120" w:firstLine="245"/>
        <w:spacing w:after="0" w:line="254" w:lineRule="auto"/>
        <w:rPr>
          <w:sz w:val="20"/>
          <w:szCs w:val="20"/>
          <w:color w:val="auto"/>
        </w:rPr>
      </w:pPr>
      <w:r>
        <w:rPr>
          <w:rFonts w:ascii="Times New Roman" w:cs="Times New Roman" w:eastAsia="Times New Roman" w:hAnsi="Times New Roman"/>
          <w:sz w:val="14"/>
          <w:szCs w:val="14"/>
          <w:color w:val="auto"/>
        </w:rPr>
        <w:t>Interest is payable semi-annually in arrears on March 15 and September 15 of each year for the 2021 Notes and the 2026 Notes, and payable semi-annually in arrears on June 15 and December 15 of each year for the 2022 Notes, the 2027 Notes, and the 2047 Notes. Accrued interest payable is recorded within “Accrued expenses and other liabilities” in our condensed consolidated balance sheets. As of June 30, 2019 and December 31, 2018, we had accrued interest payable of $15 million, related to the Notes.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Refer to Note 13 contained in our Annual Report on Form 10-K for the year ended December 31, 2018 for further details regarding key terms under our indentures that govern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and Financing Costs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Fees and discounts associated with the issuance of our debt instruments are recorded as debt discount, which reduces their respective carrying values, and are amortized over their respective terms.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is recorded within “Interest and other expense (income), net” in our condensed consolidated statement of operations.</w:t>
      </w:r>
    </w:p>
    <w:p>
      <w:pPr>
        <w:spacing w:after="0" w:line="154"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For the three and six months ended June 30, 2019, interest expense was $21 million and $43 million, respectively, and amortization of the debt discount and deferred financing costs was $1 million and $2 million, respectively. For the three and six months ended June 30, 2018, interest expense was $41 million and $80 million, respectively, and amortization of the debt discount and deferred financing costs was $2 million and $4 million, respectively.</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summary of our outstanding debt is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At June 30, 2019</w:t>
            </w: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58"/>
        </w:trPr>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r>
      <w:tr>
        <w:trPr>
          <w:trHeight w:val="179"/>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396</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391</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2,673</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25"/>
        </w:trPr>
        <w:tc>
          <w:tcPr>
            <w:tcW w:w="4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At December 31, 2018</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58"/>
        </w:trPr>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r>
      <w:tr>
        <w:trPr>
          <w:trHeight w:val="179"/>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89"/>
        </w:trPr>
        <w:tc>
          <w:tcPr>
            <w:tcW w:w="4700" w:type="dxa"/>
            <w:vAlign w:val="bottom"/>
          </w:tcPr>
          <w:p>
            <w:pPr>
              <w:spacing w:after="0"/>
              <w:rPr>
                <w:sz w:val="24"/>
                <w:szCs w:val="24"/>
                <w:color w:val="auto"/>
              </w:rPr>
            </w:pPr>
          </w:p>
        </w:tc>
        <w:tc>
          <w:tcPr>
            <w:tcW w:w="16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June 30, 2019, the scheduled maturities and contractual principal repayments of our debt for each of the five succeeding years and thereafter are as follows (amounts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3"/>
        </w:trPr>
        <w:tc>
          <w:tcPr>
            <w:tcW w:w="9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2019 (remaining six months)</w:t>
            </w: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5"/>
        </w:trPr>
        <w:tc>
          <w:tcPr>
            <w:tcW w:w="9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2020</w:t>
            </w: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9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650</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5"/>
        </w:trPr>
        <w:tc>
          <w:tcPr>
            <w:tcW w:w="9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400</w:t>
            </w:r>
          </w:p>
        </w:tc>
      </w:tr>
      <w:tr>
        <w:trPr>
          <w:trHeight w:val="183"/>
        </w:trPr>
        <w:tc>
          <w:tcPr>
            <w:tcW w:w="9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5"/>
        </w:trPr>
        <w:tc>
          <w:tcPr>
            <w:tcW w:w="9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shd w:val="clear" w:color="auto" w:fill="CCEEFF"/>
              </w:rPr>
              <w:t>Thereafter</w:t>
            </w:r>
          </w:p>
        </w:tc>
        <w:tc>
          <w:tcPr>
            <w:tcW w:w="9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1,650</w:t>
            </w:r>
          </w:p>
        </w:tc>
      </w:tr>
      <w:tr>
        <w:trPr>
          <w:trHeight w:val="189"/>
        </w:trPr>
        <w:tc>
          <w:tcPr>
            <w:tcW w:w="9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2,700</w:t>
            </w:r>
          </w:p>
        </w:tc>
      </w:tr>
      <w:tr>
        <w:trPr>
          <w:trHeight w:val="20"/>
        </w:trPr>
        <w:tc>
          <w:tcPr>
            <w:tcW w:w="9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 w:firstLine="245"/>
        <w:spacing w:after="0" w:line="349" w:lineRule="auto"/>
        <w:rPr>
          <w:sz w:val="20"/>
          <w:szCs w:val="20"/>
          <w:color w:val="auto"/>
        </w:rPr>
      </w:pPr>
      <w:r>
        <w:rPr>
          <w:rFonts w:ascii="Times New Roman" w:cs="Times New Roman" w:eastAsia="Times New Roman" w:hAnsi="Times New Roman"/>
          <w:sz w:val="12"/>
          <w:szCs w:val="12"/>
          <w:color w:val="auto"/>
        </w:rPr>
        <w:t>With the exception of the 2047 Notes, using Level 2 inputs (i.e., observable market prices in less-than-active markets) at June 30, 2019, the carrying values of the Notes approximated their fair values, as the interest rates were similar to the current rates at which we could borrow funds over the selected interest periods. At June 30, 2019, based on Level 2 inputs, the fair value of the 2047 Notes was $418 million.</w:t>
      </w:r>
    </w:p>
    <w:p>
      <w:pPr>
        <w:spacing w:after="0" w:line="90" w:lineRule="exact"/>
        <w:rPr>
          <w:sz w:val="20"/>
          <w:szCs w:val="20"/>
          <w:color w:val="auto"/>
        </w:rPr>
      </w:pPr>
    </w:p>
    <w:p>
      <w:pPr>
        <w:jc w:val="both"/>
        <w:ind w:firstLine="245"/>
        <w:spacing w:after="0" w:line="254" w:lineRule="auto"/>
        <w:rPr>
          <w:sz w:val="20"/>
          <w:szCs w:val="20"/>
          <w:color w:val="auto"/>
        </w:rPr>
      </w:pPr>
      <w:r>
        <w:rPr>
          <w:rFonts w:ascii="Times New Roman" w:cs="Times New Roman" w:eastAsia="Times New Roman" w:hAnsi="Times New Roman"/>
          <w:sz w:val="14"/>
          <w:szCs w:val="14"/>
          <w:color w:val="auto"/>
        </w:rPr>
        <w:t>Using Level 2 inputs at December 31, 2018, the carrying values of the 2021 Notes and the 2022 Notes approximated their fair values, as the interest rates were similar to the current rates at which we could borrow funds over the selected interest periods. At December 31, 2018, based on Level 2 inputs, the fair values of the 2026 Notes, the 2027 Notes, and the 2047 Notes were $800 million, $376 million, and $360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Accumulated Other Comprehensive Income (Loss)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components of accumulated other comprehensive income (loss) were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For the Six Months Ended June 30,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on available-for-sale securities</w:t>
            </w:r>
          </w:p>
        </w:tc>
        <w:tc>
          <w:tcPr>
            <w:tcW w:w="42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(601)</w:t>
            </w:r>
          </w:p>
        </w:tc>
      </w:tr>
      <w:tr>
        <w:trPr>
          <w:trHeight w:val="18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tcPr>
          <w:p>
            <w:pPr>
              <w:spacing w:after="0"/>
              <w:rPr>
                <w:sz w:val="15"/>
                <w:szCs w:val="15"/>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1"/>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7"/>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into earnings</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(18)</w:t>
            </w: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(608)</w:t>
            </w: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1"/>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For the Six Months Ended June 30, 2018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on available-for-sale securities</w:t>
            </w:r>
          </w:p>
        </w:tc>
        <w:tc>
          <w:tcPr>
            <w:tcW w:w="42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(638)</w:t>
            </w:r>
          </w:p>
        </w:tc>
      </w:tr>
      <w:tr>
        <w:trPr>
          <w:trHeight w:val="18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impact from adoption of new revenue accounting standard</w:t>
            </w:r>
          </w:p>
        </w:tc>
        <w:tc>
          <w:tcPr>
            <w:tcW w:w="100" w:type="dxa"/>
            <w:vAlign w:val="bottom"/>
          </w:tcPr>
          <w:p>
            <w:pPr>
              <w:spacing w:after="0"/>
              <w:rPr>
                <w:sz w:val="15"/>
                <w:szCs w:val="15"/>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into earnings</w:t>
            </w: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14</w:t>
            </w: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127" w:right="2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Operating Segments and Geographic Region</w:t>
      </w:r>
    </w:p>
    <w:p>
      <w:pPr>
        <w:spacing w:after="0" w:line="201"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aggregate operating segments.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Information on reportable segment net revenues and operating income for the three months ended June 30, 2019 and 2018, are presented below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King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5"/>
                <w:szCs w:val="15"/>
                <w:color w:val="auto"/>
              </w:rPr>
            </w:pP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1,148</w:t>
            </w:r>
          </w:p>
        </w:tc>
      </w:tr>
      <w:tr>
        <w:trPr>
          <w:trHeight w:val="21"/>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tc>
        <w:tc>
          <w:tcPr>
            <w:tcW w:w="1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1,151</w:t>
            </w:r>
          </w:p>
        </w:tc>
      </w:tr>
      <w:tr>
        <w:trPr>
          <w:trHeight w:val="201"/>
        </w:trPr>
        <w:tc>
          <w:tcPr>
            <w:tcW w:w="5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301</w:t>
            </w:r>
          </w:p>
        </w:tc>
      </w:tr>
      <w:tr>
        <w:trPr>
          <w:trHeight w:val="430"/>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King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1,325</w:t>
            </w:r>
          </w:p>
        </w:tc>
      </w:tr>
      <w:tr>
        <w:trPr>
          <w:trHeight w:val="21"/>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tc>
        <w:tc>
          <w:tcPr>
            <w:tcW w:w="1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1,329</w:t>
            </w:r>
          </w:p>
        </w:tc>
      </w:tr>
      <w:tr>
        <w:trPr>
          <w:trHeight w:val="201"/>
        </w:trPr>
        <w:tc>
          <w:tcPr>
            <w:tcW w:w="5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5"/>
                <w:szCs w:val="15"/>
                <w:color w:val="auto"/>
              </w:rPr>
            </w:pP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386</w:t>
            </w:r>
          </w:p>
        </w:tc>
      </w:tr>
      <w:tr>
        <w:trPr>
          <w:trHeight w:val="368"/>
        </w:trPr>
        <w:tc>
          <w:tcPr>
            <w:tcW w:w="516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38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7"/>
        </w:trPr>
        <w:tc>
          <w:tcPr>
            <w:tcW w:w="40" w:type="dxa"/>
            <w:vAlign w:val="bottom"/>
          </w:tcPr>
          <w:p>
            <w:pPr>
              <w:spacing w:after="0"/>
              <w:rPr>
                <w:sz w:val="24"/>
                <w:szCs w:val="24"/>
                <w:color w:val="auto"/>
              </w:rPr>
            </w:pPr>
          </w:p>
        </w:tc>
        <w:tc>
          <w:tcPr>
            <w:tcW w:w="930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w w:val="98"/>
              </w:rPr>
              <w:t>Information on reportable segment net revenues and operating income for the six months ended June 30, 2019 and 2018, are presented below (amounts 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King</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10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2,333</w:t>
            </w: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r>
      <w:tr>
        <w:trPr>
          <w:trHeight w:val="229"/>
        </w:trPr>
        <w:tc>
          <w:tcPr>
            <w:tcW w:w="40" w:type="dxa"/>
            <w:vAlign w:val="bottom"/>
          </w:tcPr>
          <w:p>
            <w:pPr>
              <w:spacing w:after="0"/>
              <w:rPr>
                <w:sz w:val="19"/>
                <w:szCs w:val="19"/>
                <w:color w:val="auto"/>
              </w:rPr>
            </w:pPr>
          </w:p>
        </w:tc>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10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2,341</w:t>
            </w:r>
          </w:p>
        </w:tc>
      </w:tr>
      <w:tr>
        <w:trPr>
          <w:trHeight w:val="201"/>
        </w:trPr>
        <w:tc>
          <w:tcPr>
            <w:tcW w:w="4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10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607</w:t>
            </w:r>
          </w:p>
        </w:tc>
      </w:tr>
      <w:tr>
        <w:trPr>
          <w:trHeight w:val="43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King</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10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2,651</w:t>
            </w: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r>
      <w:tr>
        <w:trPr>
          <w:trHeight w:val="229"/>
        </w:trPr>
        <w:tc>
          <w:tcPr>
            <w:tcW w:w="40" w:type="dxa"/>
            <w:vAlign w:val="bottom"/>
          </w:tcPr>
          <w:p>
            <w:pPr>
              <w:spacing w:after="0"/>
              <w:rPr>
                <w:sz w:val="19"/>
                <w:szCs w:val="19"/>
                <w:color w:val="auto"/>
              </w:rPr>
            </w:pPr>
          </w:p>
        </w:tc>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10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2,657</w:t>
            </w:r>
          </w:p>
        </w:tc>
      </w:tr>
      <w:tr>
        <w:trPr>
          <w:trHeight w:val="201"/>
        </w:trPr>
        <w:tc>
          <w:tcPr>
            <w:tcW w:w="4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10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790</w:t>
            </w:r>
          </w:p>
        </w:tc>
      </w:tr>
      <w:tr>
        <w:trPr>
          <w:trHeight w:val="348"/>
        </w:trPr>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Intersegment revenues reflect licensing and service fees charged between segments.</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52" w:lineRule="exact"/>
        <w:rPr>
          <w:sz w:val="20"/>
          <w:szCs w:val="20"/>
          <w:color w:val="auto"/>
        </w:rPr>
      </w:pPr>
    </w:p>
    <w:p>
      <w:pPr>
        <w:ind w:right="500" w:firstLine="245"/>
        <w:spacing w:after="0" w:line="265" w:lineRule="auto"/>
        <w:rPr>
          <w:sz w:val="20"/>
          <w:szCs w:val="20"/>
          <w:color w:val="auto"/>
        </w:rPr>
      </w:pPr>
      <w:r>
        <w:rPr>
          <w:rFonts w:ascii="Times New Roman" w:cs="Times New Roman" w:eastAsia="Times New Roman" w:hAnsi="Times New Roman"/>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278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4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consolidated net revenues:</w:t>
            </w:r>
          </w:p>
        </w:tc>
        <w:tc>
          <w:tcPr>
            <w:tcW w:w="9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5"/>
                <w:szCs w:val="15"/>
                <w:color w:val="auto"/>
              </w:rPr>
            </w:pPr>
          </w:p>
        </w:tc>
        <w:tc>
          <w:tcPr>
            <w:tcW w:w="106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1,329</w:t>
            </w:r>
          </w:p>
        </w:tc>
        <w:tc>
          <w:tcPr>
            <w:tcW w:w="12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2,657</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non-reportable segments (1)</w:t>
            </w:r>
          </w:p>
        </w:tc>
        <w:tc>
          <w:tcPr>
            <w:tcW w:w="9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 deferred net revenues (2)</w:t>
            </w:r>
          </w:p>
        </w:tc>
        <w:tc>
          <w:tcPr>
            <w:tcW w:w="96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838</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 of intersegment revenues (3)</w:t>
            </w: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3,220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3,607</w:t>
            </w:r>
          </w:p>
        </w:tc>
      </w:tr>
      <w:tr>
        <w:trPr>
          <w:trHeight w:val="191"/>
        </w:trPr>
        <w:tc>
          <w:tcPr>
            <w:tcW w:w="47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consolidated income before income tax expense: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income</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790</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 from non-reportable segments (1)</w:t>
            </w:r>
          </w:p>
        </w:tc>
        <w:tc>
          <w:tcPr>
            <w:tcW w:w="96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 deferred net revenues and related cost of</w:t>
            </w: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7"/>
        </w:trPr>
        <w:tc>
          <w:tcPr>
            <w:tcW w:w="4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revenues (2)</w:t>
            </w:r>
          </w:p>
        </w:tc>
        <w:tc>
          <w:tcPr>
            <w:tcW w:w="9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557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(111)</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(196)</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and related costs (4)</w:t>
            </w:r>
          </w:p>
        </w:tc>
        <w:tc>
          <w:tcPr>
            <w:tcW w:w="9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9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1,029</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9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income before income tax expense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975</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87"/>
        </w:trPr>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24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40"/>
          </w:cols>
          <w:pgMar w:left="220" w:top="112"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right="100" w:hanging="238"/>
        <w:spacing w:after="0" w:line="265" w:lineRule="auto"/>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35"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net effect from recognition (deferral) of deferred net revenues, along with related cost of revenues, on certain of our online-enabled products.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restructuring initiatives, primarily severance and other restructuring-related costs.</w:t>
      </w:r>
    </w:p>
    <w:p>
      <w:pPr>
        <w:spacing w:after="0" w:line="166"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Net revenues by distribution channel, including a reconciliation to each of our reportable segment’s revenues, for the three months ended June 30, 2019 and 2018, were as follows (amounts in millions):</w:t>
      </w:r>
    </w:p>
    <w:p>
      <w:pPr>
        <w:spacing w:after="0" w:line="24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25400</wp:posOffset>
            </wp:positionV>
            <wp:extent cx="479933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9933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248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428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4"/>
              </w:rPr>
              <w:t>Blizzard</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78"/>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1,086</w:t>
            </w:r>
          </w:p>
        </w:tc>
      </w:tr>
      <w:tr>
        <w:trPr>
          <w:trHeight w:val="205"/>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193</w:t>
            </w:r>
          </w:p>
        </w:tc>
      </w:tr>
      <w:tr>
        <w:trPr>
          <w:trHeight w:val="205"/>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117</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1,396</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04"/>
        </w:trPr>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5"/>
        </w:trPr>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5"/>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04"/>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317</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1,010</w:t>
            </w:r>
          </w:p>
        </w:tc>
      </w:tr>
      <w:tr>
        <w:trPr>
          <w:trHeight w:val="205"/>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81</w:t>
            </w:r>
          </w:p>
        </w:tc>
      </w:tr>
      <w:tr>
        <w:trPr>
          <w:trHeight w:val="205"/>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116</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384</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1,207</w:t>
            </w:r>
          </w:p>
        </w:tc>
      </w:tr>
      <w:tr>
        <w:trPr>
          <w:trHeight w:val="21"/>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-2077720</wp:posOffset>
            </wp:positionV>
            <wp:extent cx="7279640" cy="130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-1506220</wp:posOffset>
            </wp:positionV>
            <wp:extent cx="7279640" cy="130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-1246505</wp:posOffset>
            </wp:positionV>
            <wp:extent cx="7279640" cy="130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-675005</wp:posOffset>
            </wp:positionV>
            <wp:extent cx="7279640" cy="13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-415290</wp:posOffset>
            </wp:positionV>
            <wp:extent cx="7279640" cy="130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-154940</wp:posOffset>
            </wp:positionV>
            <wp:extent cx="7279640" cy="155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-986155</wp:posOffset>
            </wp:positionV>
            <wp:extent cx="7279640" cy="155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-1818005</wp:posOffset>
            </wp:positionV>
            <wp:extent cx="7279640" cy="155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-2343785</wp:posOffset>
            </wp:positionV>
            <wp:extent cx="7279640"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240"/>
            <w:col w:w="5940"/>
          </w:cols>
          <w:pgMar w:left="220" w:top="127" w:right="219" w:bottom="1440" w:gutter="0" w:footer="0" w:header="0"/>
          <w:type w:val="continuous"/>
        </w:sectPr>
      </w:pP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60"/>
          </w:cols>
          <w:pgMar w:left="220" w:top="127" w:right="21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82"/>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9"/>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intersegment revenues (3)</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1,259</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278</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1,641</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1,385</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by distribution channel, including a reconciliation to each of our reportable segment’s revenues, for the six months ended June 30, 2019 and 2018, were as follows (amounts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2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intersegment revenues (3)</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2,479</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505</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236</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3,220</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2,075</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161</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229</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2,465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82"/>
        </w:trPr>
        <w:tc>
          <w:tcPr>
            <w:tcW w:w="9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9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20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2,720</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690</w:t>
            </w: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197</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3,607</w:t>
            </w:r>
          </w:p>
        </w:tc>
      </w:tr>
      <w:tr>
        <w:trPr>
          <w:trHeight w:val="20"/>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2,401</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157</w:t>
            </w:r>
          </w:p>
        </w:tc>
      </w:tr>
      <w:tr>
        <w:trPr>
          <w:trHeight w:val="1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2,769</w:t>
            </w:r>
          </w:p>
        </w:tc>
      </w:tr>
      <w:tr>
        <w:trPr>
          <w:trHeight w:val="20"/>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“Digital online channels” include revenues from digitally-distributed subscriptions, downloadable content, microtransactions, and products, as well as licensing royalties.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111" w:right="2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Geographic information presented below is based on the location of the paying customer. Net revenues by geographic region, including a reconciliation to each of our reportable segment’s net revenues, for the three months ended June 30, 2019 and 2018, were as follows (amounts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764</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459</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173</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1,396</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644</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401</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1,207</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900</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552</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189</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1,641</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759</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452</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174</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1,385</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50"/>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Geographic information presented below is based on the location of the paying customer. Net revenues by geographic region, including a reconciliation to each of our reportable segment’s net revenues, for the six months ended June 30, 2019 and 2018, were as follows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9"/>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intersegment revenues (2)</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1,751</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1,073</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396</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3,220</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1,314</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814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337</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2,465</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1,966</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1,239</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402</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3,607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1,492</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937</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340</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2,769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“EMEA” consists of the Europe, Middle East, and Africa geographic regions.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Company’s net revenues in the U.S. were 49% and 49% of consolidated net revenues for the three months ended June 30, 2019 and 2018, respectively. The Company’s net revenues in the U.K. were</w:t>
      </w:r>
    </w:p>
    <w:p>
      <w:pPr>
        <w:spacing w:after="0" w:line="37"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4"/>
          <w:szCs w:val="14"/>
          <w:color w:val="auto"/>
        </w:rPr>
        <w:t>9% and 10% of consolidated net revenues for the three months ended June 30, 2019 and 2018, respectively. No other country’s net revenues exceeded 10% of consolidated net revenues for either the three months ended June 30, 2019 or 2018.</w:t>
      </w:r>
    </w:p>
    <w:p>
      <w:pPr>
        <w:spacing w:after="0" w:line="148"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The Company’s net revenues in the U.S. were 49% and 48% of consolidated net revenues for the six months ended June 30, 2019 and 2018, respectively. The Company’s net revenues in the U.K. were 9% and 10% of consolidated net revenues for the six months ended June 30, 2019 and 2018, respectively. No other country’s net revenues exceeded 10% of consolidated net revenues for either the six months ended June 30, 2019 or 2018.</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by platform, including a reconciliation to each of our reportable segment’s net revenues, for the three months ended June 30, 2019 and 2018, were as follows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8"/>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407</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361</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511</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117</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1,396</w:t>
            </w:r>
          </w:p>
        </w:tc>
      </w:tr>
      <w:tr>
        <w:trPr>
          <w:trHeight w:val="222"/>
        </w:trPr>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261</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311</w:t>
            </w: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519</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w:t>
            </w:r>
          </w:p>
        </w:tc>
      </w:tr>
      <w:tr>
        <w:trPr>
          <w:trHeight w:val="18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1,207</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87"/>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0"/>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565</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451</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521</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104</w:t>
            </w: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1,641</w:t>
            </w:r>
          </w:p>
        </w:tc>
      </w:tr>
      <w:tr>
        <w:trPr>
          <w:trHeight w:val="222"/>
        </w:trPr>
        <w:tc>
          <w:tcPr>
            <w:tcW w:w="9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333</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423</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112</w:t>
            </w: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1,385</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50"/>
        </w:trPr>
        <w:tc>
          <w:tcPr>
            <w:tcW w:w="9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by platform, including a reconciliation to each of our reportable segment’s net revenues, for the six months ended June 30, 2019 and 2018, were as follows (amounts in millions):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2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1,083</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855</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1,046</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236</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3,220</w:t>
            </w:r>
          </w:p>
        </w:tc>
      </w:tr>
      <w:tr>
        <w:trPr>
          <w:trHeight w:val="222"/>
        </w:trPr>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(544)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(196)</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(755)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539</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659</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1,038</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229</w:t>
            </w: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2,465</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7"/>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2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1,382</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726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971</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1,057</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197</w:t>
            </w:r>
          </w:p>
        </w:tc>
      </w:tr>
      <w:tr>
        <w:trPr>
          <w:trHeight w:val="229"/>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3,607</w:t>
            </w:r>
          </w:p>
        </w:tc>
      </w:tr>
      <w:tr>
        <w:trPr>
          <w:trHeight w:val="222"/>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(740)</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(97)</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(838)</w:t>
            </w: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642</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874</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1,042</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211</w:t>
            </w:r>
          </w:p>
        </w:tc>
      </w:tr>
      <w:tr>
        <w:trPr>
          <w:trHeight w:val="189"/>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2,769</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hanging="238"/>
        <w:spacing w:after="0"/>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revenues from “Mobile and ancillary” include revenues from mobile devices, as well as non-platform specific game-related revenues, such as standalone sales of physical merchandise and accessories.</w:t>
      </w:r>
    </w:p>
    <w:p>
      <w:pPr>
        <w:spacing w:after="0" w:line="189" w:lineRule="exact"/>
        <w:rPr>
          <w:rFonts w:ascii="Times New Roman" w:cs="Times New Roman" w:eastAsia="Times New Roman" w:hAnsi="Times New Roman"/>
          <w:sz w:val="12"/>
          <w:szCs w:val="12"/>
          <w:color w:val="auto"/>
        </w:rPr>
      </w:pPr>
    </w:p>
    <w:p>
      <w:pPr>
        <w:ind w:left="240" w:hanging="238"/>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6" w:lineRule="exact"/>
        <w:rPr>
          <w:rFonts w:ascii="Times New Roman" w:cs="Times New Roman" w:eastAsia="Times New Roman" w:hAnsi="Times New Roman"/>
          <w:sz w:val="14"/>
          <w:szCs w:val="14"/>
          <w:color w:val="auto"/>
        </w:rPr>
      </w:pPr>
    </w:p>
    <w:p>
      <w:pPr>
        <w:ind w:left="240" w:right="6640" w:hanging="238"/>
        <w:spacing w:after="0" w:line="530" w:lineRule="auto"/>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Intersegment revenues reflect licensing and service fees charged between segments. Long-lived assets by geographic region were as follows (amounts in millions):</w:t>
      </w:r>
    </w:p>
    <w:tbl>
      <w:tblPr>
        <w:tblLayout w:type="fixed"/>
        <w:tblInd w:w="0" w:type="dxa"/>
        <w:tblCellMar>
          <w:top w:w="0" w:type="dxa"/>
          <w:left w:w="0" w:type="dxa"/>
          <w:bottom w:w="0" w:type="dxa"/>
          <w:right w:w="0" w:type="dxa"/>
        </w:tblCellMar>
      </w:tblPr>
      <w:tr>
        <w:trPr>
          <w:trHeight w:val="179"/>
        </w:trPr>
        <w:tc>
          <w:tcPr>
            <w:tcW w:w="6540" w:type="dxa"/>
            <w:vAlign w:val="bottom"/>
          </w:tcPr>
          <w:p>
            <w:pPr>
              <w:spacing w:after="0"/>
              <w:rPr>
                <w:sz w:val="15"/>
                <w:szCs w:val="15"/>
                <w:color w:val="auto"/>
              </w:rPr>
            </w:pP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(1) by geographic region:</w:t>
            </w:r>
          </w:p>
        </w:tc>
        <w:tc>
          <w:tcPr>
            <w:tcW w:w="1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r>
      <w:tr>
        <w:trPr>
          <w:trHeight w:val="183"/>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Americas</w:t>
            </w:r>
          </w:p>
        </w:tc>
        <w:tc>
          <w:tcPr>
            <w:tcW w:w="1900" w:type="dxa"/>
            <w:vAlign w:val="bottom"/>
          </w:tcPr>
          <w:p>
            <w:pPr>
              <w:jc w:val="right"/>
              <w:ind w:right="1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203</w:t>
            </w:r>
          </w:p>
        </w:tc>
      </w:tr>
      <w:tr>
        <w:trPr>
          <w:trHeight w:val="21"/>
        </w:trPr>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5"/>
        </w:trPr>
        <w:tc>
          <w:tcPr>
            <w:tcW w:w="6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EMEA</w:t>
            </w: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r>
      <w:tr>
        <w:trPr>
          <w:trHeight w:val="183"/>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long-lived assets by geographic region</w:t>
            </w:r>
          </w:p>
        </w:tc>
        <w:tc>
          <w:tcPr>
            <w:tcW w:w="1900" w:type="dxa"/>
            <w:vAlign w:val="bottom"/>
            <w:tcBorders>
              <w:bottom w:val="single" w:sz="8" w:color="auto"/>
            </w:tcBorders>
            <w:shd w:val="clear" w:color="auto" w:fill="CCEEFF"/>
          </w:tcPr>
          <w:p>
            <w:pPr>
              <w:jc w:val="right"/>
              <w:ind w:right="1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282</w:t>
            </w:r>
          </w:p>
        </w:tc>
      </w:tr>
      <w:tr>
        <w:trPr>
          <w:trHeight w:val="20"/>
        </w:trPr>
        <w:tc>
          <w:tcPr>
            <w:tcW w:w="65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hanging="238"/>
        <w:spacing w:after="0"/>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only long-lived assets that we classify by region are our long-term tangible fixed assets, which consist of property, plant, and equipment assets; all other long-term assets are not allocated by location.</w:t>
      </w:r>
    </w:p>
    <w:p>
      <w:pPr>
        <w:spacing w:after="0" w:line="373" w:lineRule="exact"/>
        <w:rPr>
          <w:rFonts w:ascii="Times New Roman" w:cs="Times New Roman" w:eastAsia="Times New Roman" w:hAnsi="Times New Roman"/>
          <w:sz w:val="12"/>
          <w:szCs w:val="12"/>
          <w:color w:val="auto"/>
        </w:rPr>
      </w:pPr>
    </w:p>
    <w:p>
      <w:pPr>
        <w:ind w:left="56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33</w:t>
      </w:r>
    </w:p>
    <w:p>
      <w:pPr>
        <w:sectPr>
          <w:pgSz w:w="11900" w:h="16838" w:orient="portrait"/>
          <w:cols w:equalWidth="0" w:num="1">
            <w:col w:w="11460"/>
          </w:cols>
          <w:pgMar w:left="220" w:top="111" w:right="2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Restructuring</w:t>
      </w:r>
    </w:p>
    <w:p>
      <w:pPr>
        <w:spacing w:after="0" w:line="201" w:lineRule="exact"/>
        <w:rPr>
          <w:sz w:val="20"/>
          <w:szCs w:val="20"/>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the Company committed to a Board-authorized restructuring plan under which the Company aims to refocus its resources on its largest opportunities and to remove unnecessary levels of complexity and duplication from certain parts of the business. More specifically, we are:</w:t>
      </w:r>
    </w:p>
    <w:p>
      <w:pPr>
        <w:spacing w:after="0" w:line="135" w:lineRule="exact"/>
        <w:rPr>
          <w:sz w:val="20"/>
          <w:szCs w:val="20"/>
          <w:color w:val="auto"/>
        </w:rPr>
      </w:pPr>
    </w:p>
    <w:p>
      <w:pPr>
        <w:ind w:left="740" w:hanging="247"/>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investment in development for our largest, internally-owned franchises—across upfront releases, in-game content, mobile, and geographic expansion;</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certain non-development and administrative-related costs across our business; and</w:t>
      </w:r>
    </w:p>
    <w:p>
      <w:pPr>
        <w:spacing w:after="0" w:line="166" w:lineRule="exact"/>
        <w:rPr>
          <w:rFonts w:ascii="Times New Roman" w:cs="Times New Roman" w:eastAsia="Times New Roman" w:hAnsi="Times New Roman"/>
          <w:sz w:val="14"/>
          <w:szCs w:val="14"/>
          <w:color w:val="auto"/>
        </w:rPr>
      </w:pPr>
    </w:p>
    <w:p>
      <w:pPr>
        <w:ind w:left="740" w:right="280" w:hanging="247"/>
        <w:spacing w:after="0" w:line="265"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restructuring actions are in process and are largely expected to be completed by the end of 2019, although the timing of cash payments may continue into 2020.</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accrued restructuring and related costs included in “Accrued expenses and other liabilities” in our condensed consolidated balance sheet (amounts in millions):</w:t>
      </w:r>
    </w:p>
    <w:p>
      <w:pPr>
        <w:spacing w:after="0" w:line="285" w:lineRule="exact"/>
        <w:rPr>
          <w:sz w:val="20"/>
          <w:szCs w:val="20"/>
          <w:color w:val="auto"/>
        </w:rPr>
      </w:pPr>
    </w:p>
    <w:tbl>
      <w:tblPr>
        <w:tblLayout w:type="fixed"/>
        <w:tblInd w:w="260" w:type="dxa"/>
        <w:tblCellMar>
          <w:top w:w="0" w:type="dxa"/>
          <w:left w:w="0" w:type="dxa"/>
          <w:bottom w:w="0" w:type="dxa"/>
          <w:right w:w="0" w:type="dxa"/>
        </w:tblCellMar>
      </w:tblPr>
      <w:tr>
        <w:trPr>
          <w:trHeight w:val="164"/>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Severance and employee</w:t>
            </w: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9"/>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related costs</w:t>
            </w:r>
          </w:p>
        </w:tc>
        <w:tc>
          <w:tcPr>
            <w:tcW w:w="120" w:type="dxa"/>
            <w:vAlign w:val="bottom"/>
          </w:tcPr>
          <w:p>
            <w:pPr>
              <w:spacing w:after="0"/>
              <w:rPr>
                <w:sz w:val="15"/>
                <w:szCs w:val="15"/>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Facilities and related costs</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5"/>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charged to expense</w:t>
            </w:r>
          </w:p>
        </w:tc>
        <w:tc>
          <w:tcPr>
            <w:tcW w:w="14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57</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charge adjustment (1)</w:t>
            </w:r>
          </w:p>
        </w:tc>
        <w:tc>
          <w:tcPr>
            <w:tcW w:w="14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w:t>
            </w:r>
          </w:p>
        </w:tc>
      </w:tr>
      <w:tr>
        <w:trPr>
          <w:trHeight w:val="17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charged to expense</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charge adjustment (1)</w:t>
            </w:r>
          </w:p>
        </w:tc>
        <w:tc>
          <w:tcPr>
            <w:tcW w:w="14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220" w:hanging="238"/>
        <w:spacing w:after="0" w:line="265"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non-cash charges included in “Costs charged to expense” for the write-down of assets from canceled projects during the three months ended March 31, 2019 and the write-down of lease facility assets, inclusive of lease right-of-use assets and associated fixed assets, that were vacated during the three months ended June 30, 2019.</w:t>
      </w:r>
    </w:p>
    <w:p>
      <w:pPr>
        <w:spacing w:after="0" w:line="135"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restructuring and related costs by segment are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40" w:type="dxa"/>
            <w:vAlign w:val="bottom"/>
          </w:tcPr>
          <w:p>
            <w:pPr>
              <w:spacing w:after="0"/>
              <w:rPr>
                <w:sz w:val="15"/>
                <w:szCs w:val="15"/>
                <w:color w:val="auto"/>
              </w:rPr>
            </w:pPr>
          </w:p>
        </w:tc>
        <w:tc>
          <w:tcPr>
            <w:tcW w:w="21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2019</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00" w:type="dxa"/>
            <w:vAlign w:val="bottom"/>
          </w:tcPr>
          <w:p>
            <w:pPr>
              <w:spacing w:after="0"/>
              <w:rPr>
                <w:sz w:val="15"/>
                <w:szCs w:val="15"/>
                <w:color w:val="auto"/>
              </w:rPr>
            </w:pPr>
          </w:p>
        </w:tc>
        <w:tc>
          <w:tcPr>
            <w:tcW w:w="2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w:t>
            </w:r>
          </w:p>
        </w:tc>
      </w:tr>
      <w:tr>
        <w:trPr>
          <w:trHeight w:val="21"/>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segments (1)</w:t>
            </w:r>
          </w:p>
        </w:tc>
        <w:tc>
          <w:tcPr>
            <w:tcW w:w="100" w:type="dxa"/>
            <w:vAlign w:val="bottom"/>
          </w:tcPr>
          <w:p>
            <w:pPr>
              <w:spacing w:after="0"/>
              <w:rPr>
                <w:sz w:val="15"/>
                <w:szCs w:val="15"/>
                <w:color w:val="auto"/>
              </w:rPr>
            </w:pPr>
          </w:p>
        </w:tc>
        <w:tc>
          <w:tcPr>
            <w:tcW w:w="2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420" w:hanging="238"/>
        <w:spacing w:after="0" w:line="265"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60"/>
          </w:cols>
          <w:pgMar w:left="220" w:top="127"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260" w:firstLine="245"/>
        <w:spacing w:after="0" w:line="251" w:lineRule="auto"/>
        <w:rPr>
          <w:sz w:val="20"/>
          <w:szCs w:val="20"/>
          <w:color w:val="auto"/>
        </w:rPr>
      </w:pPr>
      <w:r>
        <w:rPr>
          <w:rFonts w:ascii="Times New Roman" w:cs="Times New Roman" w:eastAsia="Times New Roman" w:hAnsi="Times New Roman"/>
          <w:sz w:val="14"/>
          <w:szCs w:val="14"/>
          <w:color w:val="auto"/>
        </w:rPr>
        <w:t>We expect to incur aggregate pre-tax restructuring charges of approximately $150 million in 2019 associated with the restructuring plan. These charges will primarily relate to severance (approximately 55% of the aggregate charge), including, in many cases, amounts above those that are legally required, facilities costs (approximately 20% of the aggregate charge), and other asset write-downs and costs (approximately 25% of the aggregate charge). A majority of the total pre-tax charge associated with the restructuring will be paid in cash using amounts on hand and the outlays are expected to be largely incurred throughout 2019.</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total expected pre-tax restructuring charges related to the restructuring plan by segment, inclusive of amounts already incurred, are presented below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Year Ending December 31, 2019</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77</w:t>
            </w:r>
          </w:p>
        </w:tc>
      </w:tr>
      <w:tr>
        <w:trPr>
          <w:trHeight w:val="21"/>
        </w:trPr>
        <w:tc>
          <w:tcPr>
            <w:tcW w:w="9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segments (1)</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89"/>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150</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420" w:hanging="238"/>
        <w:spacing w:after="0" w:line="265"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131" w:lineRule="exact"/>
        <w:rPr>
          <w:sz w:val="20"/>
          <w:szCs w:val="20"/>
          <w:color w:val="auto"/>
        </w:rPr>
      </w:pPr>
    </w:p>
    <w:p>
      <w:pPr>
        <w:ind w:left="500" w:hanging="498"/>
        <w:spacing w:after="0"/>
        <w:tabs>
          <w:tab w:leader="none" w:pos="50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and Other Expense (Income), Net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and other expense (income), net is comprised of the following (amounts in millions):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34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2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1"/>
        </w:trPr>
        <w:tc>
          <w:tcPr>
            <w:tcW w:w="3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3"/>
        </w:trPr>
        <w:tc>
          <w:tcPr>
            <w:tcW w:w="3340" w:type="dxa"/>
            <w:vAlign w:val="bottom"/>
          </w:tcPr>
          <w:p>
            <w:pPr>
              <w:spacing w:after="0"/>
              <w:rPr>
                <w:sz w:val="15"/>
                <w:szCs w:val="15"/>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380" w:type="dxa"/>
            <w:vAlign w:val="bottom"/>
            <w:tcBorders>
              <w:bottom w:val="single" w:sz="8" w:color="CCEEFF"/>
            </w:tcBorders>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from debt and amortization of debt</w:t>
            </w: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and deferred financing costs</w:t>
            </w:r>
          </w:p>
        </w:tc>
        <w:tc>
          <w:tcPr>
            <w:tcW w:w="138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84</w:t>
            </w:r>
          </w:p>
        </w:tc>
      </w:tr>
      <w:tr>
        <w:trPr>
          <w:trHeight w:val="21"/>
        </w:trPr>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equity investment</w:t>
            </w:r>
          </w:p>
        </w:tc>
        <w:tc>
          <w:tcPr>
            <w:tcW w:w="1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3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1380" w:type="dxa"/>
            <w:vAlign w:val="bottom"/>
            <w:tcBorders>
              <w:bottom w:val="single" w:sz="8" w:color="auto"/>
            </w:tcBorders>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3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99" w:lineRule="exact"/>
        <w:rPr>
          <w:sz w:val="20"/>
          <w:szCs w:val="20"/>
          <w:color w:val="auto"/>
        </w:rPr>
      </w:pPr>
    </w:p>
    <w:p>
      <w:pPr>
        <w:ind w:right="40" w:firstLine="245"/>
        <w:spacing w:after="0" w:line="296" w:lineRule="auto"/>
        <w:rPr>
          <w:sz w:val="20"/>
          <w:szCs w:val="20"/>
          <w:color w:val="auto"/>
        </w:rPr>
      </w:pPr>
      <w:r>
        <w:rPr>
          <w:rFonts w:ascii="Times New Roman" w:cs="Times New Roman" w:eastAsia="Times New Roman" w:hAnsi="Times New Roman"/>
          <w:sz w:val="12"/>
          <w:szCs w:val="12"/>
          <w:color w:val="auto"/>
        </w:rPr>
        <w:t xml:space="preserve">We account for our provision for income taxes in accordance with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127"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jc w:val="both"/>
        <w:ind w:right="80" w:firstLine="245"/>
        <w:spacing w:after="0" w:line="251" w:lineRule="auto"/>
        <w:rPr>
          <w:sz w:val="20"/>
          <w:szCs w:val="20"/>
          <w:color w:val="auto"/>
        </w:rPr>
      </w:pPr>
      <w:r>
        <w:rPr>
          <w:rFonts w:ascii="Times New Roman" w:cs="Times New Roman" w:eastAsia="Times New Roman" w:hAnsi="Times New Roman"/>
          <w:sz w:val="14"/>
          <w:szCs w:val="14"/>
          <w:color w:val="auto"/>
        </w:rPr>
        <w:t>The income tax expense of $42 million for the three months ended June 30, 2019, reflects an effective tax rate of 11%, which is higher than the effective tax rate of 1% for the three months ended June 30, 2018. The increase is primarily due to a discrete tax benefit recognized in the prior-year in connection with an audit settlement with the Internal Revenue Service (“IRS”), lower excess tax benefits from share-based payments in the current year, and an increase in U.S. tax on foreign earnings. This increase was partially offset by a valuation allowance recorded in the prior year with regard to California research and development credit carryforwards (“CA R&amp;D Credits”) and a discrete tax benefit in the current year from a foreign tax audit settlement.</w:t>
      </w:r>
    </w:p>
    <w:p>
      <w:pPr>
        <w:spacing w:after="0" w:line="145"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income tax expense of $163 million for the six months ended June 30, 2019, reflects an effective tax rate of 17%, which is higher than the effective tax rate of 7% for the six months ended June 30, 2018. The increase is primarily due to the factors discussed above for the three months ended June 30, 2019, as compared to the three months ended June 30, 2018.</w:t>
      </w:r>
    </w:p>
    <w:p>
      <w:pPr>
        <w:spacing w:after="0" w:line="135"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The effective tax rate of 11% and 17% for the three and six months ended June 30, 2019, respectively, is lower than the U.S. statutory rate of 21%, primarily due to a discrete tax benefit in the current year related to a foreign tax audit settlement and the recognition of federal research and development credits, partially offset by the valuation allowance recorded with regard to CA R&amp;D Credits.</w:t>
      </w:r>
    </w:p>
    <w:p>
      <w:pPr>
        <w:spacing w:after="0" w:line="135"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14"/>
          <w:szCs w:val="14"/>
          <w:color w:val="auto"/>
        </w:rPr>
        <w:t>Activision Blizzard’s 2009 through 2018 tax years remain open to examination by certain major taxing jurisdictions to which we are subject. The IRS is currently examining our federal tax returns for the 2012 through 2016 tax years. We also have several state and non-U.S. audits pending, including the French and Swedish audits discussed below. In addition, we are currently seeking a multilateral agreement among the tax authorities in the U.K., Sweden, and other relevant jurisdictions with respect to King’s transfer pricing for tax years dating back to 2013. While the outcome of any discussions aimed at such an agreement remains uncertain, they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47"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In December 2018, we received a decision from the Swedish Tax Agency (“STA”) informing us of an audit assessment of a Swedish subsidiary of King for the 2016 tax year (“Initial Decision”). The Initial Decision described the basis for issuing a transfer pricing assessment of approximately 3.5kr billion (approximately $379 million), primarily concerning an alleged intercompany asset transfer. On June 17, 2019, we received a reassessment from the STA (“Reassessment”)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condensed consolidated financial statements.</w:t>
      </w:r>
    </w:p>
    <w:p>
      <w:pPr>
        <w:spacing w:after="0" w:line="147"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In December 2017, we received a Notice of Reassessment from the French Tax Authority (“FTA”) related to transfer pricing for intercompany transactions involving one of our French subsidiaries for the 2011 through 2013 tax years. The total assessment, including penalties and interest, was approximately €571 million (approximately $650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June 30, 2019,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47" w:lineRule="exact"/>
        <w:rPr>
          <w:sz w:val="20"/>
          <w:szCs w:val="20"/>
          <w:color w:val="auto"/>
        </w:rPr>
      </w:pPr>
    </w:p>
    <w:p>
      <w:pPr>
        <w:ind w:right="120" w:firstLine="245"/>
        <w:spacing w:after="0" w:line="306" w:lineRule="auto"/>
        <w:rPr>
          <w:sz w:val="20"/>
          <w:szCs w:val="20"/>
          <w:color w:val="auto"/>
        </w:rPr>
      </w:pPr>
      <w:r>
        <w:rPr>
          <w:rFonts w:ascii="Times New Roman" w:cs="Times New Roman" w:eastAsia="Times New Roman" w:hAnsi="Times New Roman"/>
          <w:sz w:val="12"/>
          <w:szCs w:val="12"/>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20"/>
          </w:cols>
          <w:pgMar w:left="220" w:top="127"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40" w:firstLine="245"/>
        <w:spacing w:after="0" w:line="251" w:lineRule="auto"/>
        <w:rPr>
          <w:sz w:val="20"/>
          <w:szCs w:val="20"/>
          <w:color w:val="auto"/>
        </w:rPr>
      </w:pPr>
      <w:r>
        <w:rPr>
          <w:rFonts w:ascii="Times New Roman" w:cs="Times New Roman" w:eastAsia="Times New Roman" w:hAnsi="Times New Roman"/>
          <w:sz w:val="14"/>
          <w:szCs w:val="14"/>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Computation of Basic/Diluted Earnings Per Common Share</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common share (amounts in millions, except per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40" w:type="dxa"/>
            <w:vAlign w:val="bottom"/>
            <w:gridSpan w:val="4"/>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right"/>
              <w:ind w:right="753"/>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2018</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4"/>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Consolidated net income</w:t>
            </w:r>
          </w:p>
        </w:tc>
        <w:tc>
          <w:tcPr>
            <w:tcW w:w="1200" w:type="dxa"/>
            <w:vAlign w:val="bottom"/>
          </w:tcPr>
          <w:p>
            <w:pPr>
              <w:jc w:val="right"/>
              <w:ind w:right="103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5"/>
                <w:szCs w:val="15"/>
                <w:color w:val="auto"/>
              </w:rPr>
            </w:pPr>
          </w:p>
        </w:tc>
        <w:tc>
          <w:tcPr>
            <w:tcW w:w="1180" w:type="dxa"/>
            <w:vAlign w:val="bottom"/>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Denominator for basic earnings per common share—weighted-average</w:t>
            </w: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120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potential dilutive common shares under the treasury stock</w:t>
            </w:r>
          </w:p>
        </w:tc>
        <w:tc>
          <w:tcPr>
            <w:tcW w:w="1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method—employee stock options and awards</w:t>
            </w:r>
          </w:p>
        </w:tc>
        <w:tc>
          <w:tcPr>
            <w:tcW w:w="1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1"/>
        </w:trPr>
        <w:tc>
          <w:tcPr>
            <w:tcW w:w="42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Denominator for basic earnings per common share—weighted-average</w:t>
            </w:r>
          </w:p>
        </w:tc>
        <w:tc>
          <w:tcPr>
            <w:tcW w:w="1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dilutive common shares outstanding</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200" w:type="dxa"/>
            <w:vAlign w:val="bottom"/>
          </w:tcPr>
          <w:p>
            <w:pPr>
              <w:jc w:val="right"/>
              <w:ind w:right="103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Pr>
          <w:p>
            <w:pPr>
              <w:spacing w:after="0"/>
              <w:rPr>
                <w:sz w:val="15"/>
                <w:szCs w:val="15"/>
                <w:color w:val="auto"/>
              </w:rPr>
            </w:pPr>
          </w:p>
        </w:tc>
        <w:tc>
          <w:tcPr>
            <w:tcW w:w="1180" w:type="dxa"/>
            <w:vAlign w:val="bottom"/>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0.53</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20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
        </w:trPr>
        <w:tc>
          <w:tcPr>
            <w:tcW w:w="4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00" w:firstLine="245"/>
        <w:spacing w:after="0" w:line="254" w:lineRule="auto"/>
        <w:rPr>
          <w:sz w:val="20"/>
          <w:szCs w:val="20"/>
          <w:color w:val="auto"/>
        </w:rPr>
      </w:pPr>
      <w:r>
        <w:rPr>
          <w:rFonts w:ascii="Times New Roman" w:cs="Times New Roman" w:eastAsia="Times New Roman" w:hAnsi="Times New Roman"/>
          <w:sz w:val="14"/>
          <w:szCs w:val="14"/>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Weighted-average shares excluded from the computation of diluted earnings per share were as follows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120" w:type="dxa"/>
            <w:vAlign w:val="bottom"/>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440" w:type="dxa"/>
            <w:vAlign w:val="bottom"/>
          </w:tcPr>
          <w:p>
            <w:pPr>
              <w:spacing w:after="0"/>
              <w:rPr>
                <w:sz w:val="14"/>
                <w:szCs w:val="14"/>
                <w:color w:val="auto"/>
              </w:rPr>
            </w:pPr>
          </w:p>
        </w:tc>
      </w:tr>
      <w:tr>
        <w:trPr>
          <w:trHeight w:val="25"/>
        </w:trPr>
        <w:tc>
          <w:tcPr>
            <w:tcW w:w="4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69"/>
        </w:trPr>
        <w:tc>
          <w:tcPr>
            <w:tcW w:w="5500" w:type="dxa"/>
            <w:vAlign w:val="bottom"/>
            <w:gridSpan w:val="2"/>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20" w:type="dxa"/>
            <w:vAlign w:val="bottom"/>
            <w:gridSpan w:val="3"/>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440" w:type="dxa"/>
            <w:vAlign w:val="bottom"/>
          </w:tcPr>
          <w:p>
            <w:pPr>
              <w:spacing w:after="0"/>
              <w:rPr>
                <w:sz w:val="14"/>
                <w:szCs w:val="14"/>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7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and options with performance measures not yet met</w:t>
            </w:r>
          </w:p>
        </w:tc>
        <w:tc>
          <w:tcPr>
            <w:tcW w:w="4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Anti-dilutive employee stock options</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Capital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Repurchase Program</w:t>
      </w:r>
    </w:p>
    <w:p>
      <w:pPr>
        <w:spacing w:after="0" w:line="170" w:lineRule="exact"/>
        <w:rPr>
          <w:sz w:val="20"/>
          <w:szCs w:val="20"/>
          <w:color w:val="auto"/>
        </w:rPr>
      </w:pPr>
    </w:p>
    <w:p>
      <w:pPr>
        <w:jc w:val="both"/>
        <w:ind w:right="120" w:firstLine="245"/>
        <w:spacing w:after="0" w:line="265" w:lineRule="auto"/>
        <w:rPr>
          <w:sz w:val="20"/>
          <w:szCs w:val="20"/>
          <w:color w:val="auto"/>
        </w:rPr>
      </w:pPr>
      <w:r>
        <w:rPr>
          <w:rFonts w:ascii="Times New Roman" w:cs="Times New Roman" w:eastAsia="Times New Roman" w:hAnsi="Times New Roman"/>
          <w:sz w:val="14"/>
          <w:szCs w:val="14"/>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 As of June 30, 2019, we have not repurchased any shares under this program.</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60"/>
          </w:cols>
          <w:pgMar w:left="220" w:top="127" w:right="21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0" w:lineRule="exact"/>
        <w:rPr>
          <w:sz w:val="20"/>
          <w:szCs w:val="20"/>
          <w:color w:val="auto"/>
        </w:rPr>
      </w:pPr>
    </w:p>
    <w:p>
      <w:pPr>
        <w:ind w:right="34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35" w:lineRule="exact"/>
        <w:rPr>
          <w:sz w:val="20"/>
          <w:szCs w:val="20"/>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Commitments and Contingencies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70"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In December 2018, we received a decision from the STA informing us of an audit assessment of a Swedish subsidiary of King for the 2016 tax year. The Initial Decision described the basis for issuing a transfer pricing assessment of approximately 3.5kr billion (approximately $379 million), primarily concerning an alleged intercompany asset transfer. On June 17, 2019, we received a reassessment from the STA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condensed consolidated financial statements.</w:t>
      </w:r>
    </w:p>
    <w:p>
      <w:pPr>
        <w:spacing w:after="0" w:line="147" w:lineRule="exact"/>
        <w:rPr>
          <w:sz w:val="20"/>
          <w:szCs w:val="20"/>
          <w:color w:val="auto"/>
        </w:rPr>
      </w:pPr>
    </w:p>
    <w:p>
      <w:pPr>
        <w:ind w:right="100" w:firstLine="245"/>
        <w:spacing w:after="0" w:line="317" w:lineRule="auto"/>
        <w:rPr>
          <w:sz w:val="20"/>
          <w:szCs w:val="20"/>
          <w:color w:val="auto"/>
        </w:rPr>
      </w:pPr>
      <w:r>
        <w:rPr>
          <w:rFonts w:ascii="Times New Roman" w:cs="Times New Roman" w:eastAsia="Times New Roman" w:hAnsi="Times New Roman"/>
          <w:sz w:val="12"/>
          <w:szCs w:val="12"/>
          <w:color w:val="auto"/>
        </w:rPr>
        <w:t>In addition, 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40"/>
          </w:cols>
          <w:pgMar w:left="220" w:top="127"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70" w:lineRule="exact"/>
        <w:rPr>
          <w:sz w:val="20"/>
          <w:szCs w:val="20"/>
          <w:color w:val="auto"/>
        </w:rPr>
      </w:pPr>
    </w:p>
    <w:p>
      <w:pPr>
        <w:ind w:right="140" w:firstLine="245"/>
        <w:spacing w:after="0" w:line="254" w:lineRule="auto"/>
        <w:rPr>
          <w:sz w:val="20"/>
          <w:szCs w:val="20"/>
          <w:color w:val="auto"/>
        </w:rPr>
      </w:pPr>
      <w:r>
        <w:rPr>
          <w:rFonts w:ascii="Times New Roman" w:cs="Times New Roman" w:eastAsia="Times New Roman" w:hAnsi="Times New Roman"/>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3"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Segments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Based on our organizational structure, we conduct our business through three reportable segments, as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 Activision Publishing, Inc.</w:t>
      </w:r>
    </w:p>
    <w:p>
      <w:pPr>
        <w:spacing w:after="0" w:line="168" w:lineRule="exact"/>
        <w:rPr>
          <w:sz w:val="20"/>
          <w:szCs w:val="20"/>
          <w:color w:val="auto"/>
        </w:rPr>
      </w:pPr>
    </w:p>
    <w:p>
      <w:pPr>
        <w:ind w:right="60" w:firstLine="245"/>
        <w:spacing w:after="0" w:line="227" w:lineRule="auto"/>
        <w:rPr>
          <w:sz w:val="20"/>
          <w:szCs w:val="20"/>
          <w:color w:val="auto"/>
        </w:rPr>
      </w:pPr>
      <w:r>
        <w:rPr>
          <w:rFonts w:ascii="Times New Roman" w:cs="Times New Roman" w:eastAsia="Times New Roman" w:hAnsi="Times New Roman"/>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first-person shooter for the console and PC platforms.</w:t>
      </w:r>
    </w:p>
    <w:p>
      <w:pPr>
        <w:spacing w:after="0" w:line="165" w:lineRule="exact"/>
        <w:rPr>
          <w:sz w:val="20"/>
          <w:szCs w:val="20"/>
          <w:color w:val="auto"/>
        </w:rPr>
      </w:pPr>
    </w:p>
    <w:p>
      <w:pPr>
        <w:ind w:firstLine="245"/>
        <w:spacing w:after="0" w:line="269" w:lineRule="auto"/>
        <w:rPr>
          <w:sz w:val="20"/>
          <w:szCs w:val="20"/>
          <w:color w:val="auto"/>
        </w:rPr>
      </w:pPr>
      <w:r>
        <w:rPr>
          <w:rFonts w:ascii="Times New Roman" w:cs="Times New Roman" w:eastAsia="Times New Roman" w:hAnsi="Times New Roman"/>
          <w:sz w:val="14"/>
          <w:szCs w:val="14"/>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 Blizzard Entertainment, Inc.</w:t>
      </w:r>
    </w:p>
    <w:p>
      <w:pPr>
        <w:spacing w:after="0" w:line="168" w:lineRule="exact"/>
        <w:rPr>
          <w:sz w:val="20"/>
          <w:szCs w:val="20"/>
          <w:color w:val="auto"/>
        </w:rPr>
      </w:pPr>
    </w:p>
    <w:p>
      <w:pPr>
        <w:ind w:firstLine="245"/>
        <w:spacing w:after="0" w:line="216" w:lineRule="auto"/>
        <w:rPr>
          <w:sz w:val="20"/>
          <w:szCs w:val="20"/>
          <w:color w:val="auto"/>
        </w:rPr>
      </w:pPr>
      <w:r>
        <w:rPr>
          <w:rFonts w:ascii="Times New Roman" w:cs="Times New Roman" w:eastAsia="Times New Roman" w:hAnsi="Times New Roman"/>
          <w:sz w:val="14"/>
          <w:szCs w:val="14"/>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which facilitates digital distribution of Blizzard content and selected Activision content, online social connectivity, and the creation of user-generated content. Blizzard also includes the activities of the Overwatch League</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3" w:lineRule="exact"/>
        <w:rPr>
          <w:sz w:val="20"/>
          <w:szCs w:val="20"/>
          <w:color w:val="auto"/>
        </w:rPr>
      </w:pPr>
    </w:p>
    <w:p>
      <w:pPr>
        <w:ind w:right="20" w:firstLine="245"/>
        <w:spacing w:after="0" w:line="201" w:lineRule="auto"/>
        <w:rPr>
          <w:sz w:val="20"/>
          <w:szCs w:val="20"/>
          <w:color w:val="auto"/>
        </w:rPr>
      </w:pPr>
      <w:r>
        <w:rPr>
          <w:rFonts w:ascii="Times New Roman" w:cs="Times New Roman" w:eastAsia="Times New Roman" w:hAnsi="Times New Roman"/>
          <w:sz w:val="14"/>
          <w:szCs w:val="14"/>
          <w:color w:val="auto"/>
        </w:rPr>
        <w:t>Blizzard’s key product franchises include: World of Warcraft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subscription-based massive multi-player online role-playing game for the PC platform; StarCraft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real-time strategy franchise for the PC platform; Diablo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action role-playing franchise for the PC and console platforms; Hearthstone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online collectible card franchise for the PC and mobile platforms; and Overwatch</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team-based first-person shooter for the PC and console platforms.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(iii) King Digital Entertainment</w:t>
      </w:r>
    </w:p>
    <w:p>
      <w:pPr>
        <w:spacing w:after="0" w:line="168" w:lineRule="exact"/>
        <w:rPr>
          <w:sz w:val="20"/>
          <w:szCs w:val="20"/>
          <w:color w:val="auto"/>
        </w:rPr>
      </w:pPr>
    </w:p>
    <w:p>
      <w:pPr>
        <w:ind w:right="140" w:firstLine="245"/>
        <w:spacing w:after="0" w:line="254" w:lineRule="auto"/>
        <w:rPr>
          <w:sz w:val="20"/>
          <w:szCs w:val="20"/>
          <w:color w:val="auto"/>
        </w:rPr>
      </w:pPr>
      <w:r>
        <w:rPr>
          <w:rFonts w:ascii="Times New Roman" w:cs="Times New Roman" w:eastAsia="Times New Roman" w:hAnsi="Times New Roman"/>
          <w:sz w:val="14"/>
          <w:szCs w:val="14"/>
          <w:color w:val="auto"/>
        </w:rPr>
        <w:t>King Digital Entertainment (“King”) is a leading global developer and publisher of interactive entertainment content and services, particularly for the mobile platform, including for Google Inc.’s (“Google”) Android and Apple Inc.’s (“Apple”)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20"/>
          </w:cols>
          <w:pgMar w:left="220" w:top="127" w:right="25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80" w:firstLine="245"/>
        <w:spacing w:after="0" w:line="265" w:lineRule="auto"/>
        <w:rPr>
          <w:sz w:val="20"/>
          <w:szCs w:val="20"/>
          <w:color w:val="auto"/>
        </w:rPr>
      </w:pPr>
      <w:r>
        <w:rPr>
          <w:rFonts w:ascii="Times New Roman" w:cs="Times New Roman" w:eastAsia="Times New Roman" w:hAnsi="Times New Roman"/>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also engage in other businesses that do not represent reportable segments, including:</w:t>
      </w:r>
    </w:p>
    <w:p>
      <w:pPr>
        <w:spacing w:after="0" w:line="166" w:lineRule="exact"/>
        <w:rPr>
          <w:sz w:val="20"/>
          <w:szCs w:val="20"/>
          <w:color w:val="auto"/>
        </w:rPr>
      </w:pPr>
    </w:p>
    <w:p>
      <w:pPr>
        <w:ind w:left="740" w:right="40" w:hanging="247"/>
        <w:spacing w:after="0" w:line="265"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4"/>
          <w:szCs w:val="14"/>
          <w:i w:val="1"/>
          <w:iCs w:val="1"/>
          <w:color w:val="auto"/>
        </w:rPr>
        <w:t>Skylanders™ Academy</w:t>
      </w:r>
      <w:r>
        <w:rPr>
          <w:rFonts w:ascii="Times New Roman" w:cs="Times New Roman" w:eastAsia="Times New Roman" w:hAnsi="Times New Roman"/>
          <w:sz w:val="14"/>
          <w:szCs w:val="14"/>
          <w:color w:val="auto"/>
        </w:rPr>
        <w:t xml:space="preserve"> on Netflix; and</w:t>
      </w:r>
    </w:p>
    <w:p>
      <w:pPr>
        <w:spacing w:after="0" w:line="135" w:lineRule="exact"/>
        <w:rPr>
          <w:rFonts w:ascii="Times New Roman" w:cs="Times New Roman" w:eastAsia="Times New Roman" w:hAnsi="Times New Roman"/>
          <w:sz w:val="14"/>
          <w:szCs w:val="14"/>
          <w:color w:val="auto"/>
        </w:rPr>
      </w:pPr>
    </w:p>
    <w:p>
      <w:pPr>
        <w:ind w:left="740" w:right="40" w:hanging="247"/>
        <w:spacing w:after="0" w:line="265"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Results and Highlights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Results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months ended June 30, 2019:</w:t>
      </w:r>
    </w:p>
    <w:p>
      <w:pPr>
        <w:spacing w:after="0" w:line="166" w:lineRule="exact"/>
        <w:rPr>
          <w:sz w:val="20"/>
          <w:szCs w:val="20"/>
          <w:color w:val="auto"/>
        </w:rPr>
      </w:pPr>
    </w:p>
    <w:p>
      <w:pPr>
        <w:ind w:left="740" w:right="440" w:hanging="247"/>
        <w:spacing w:after="0" w:line="265"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revenues decreased 15% to $1.40 billion, and consolidated operating income decreased 23% to $336 million, as compared to consolidated net revenues of $1.64 billion and consolidated operating income of $434 million for the three months ended June 30, 2018;</w:t>
      </w:r>
    </w:p>
    <w:p>
      <w:pPr>
        <w:spacing w:after="0" w:line="135" w:lineRule="exact"/>
        <w:rPr>
          <w:rFonts w:ascii="Times New Roman" w:cs="Times New Roman" w:eastAsia="Times New Roman" w:hAnsi="Times New Roman"/>
          <w:sz w:val="14"/>
          <w:szCs w:val="14"/>
          <w:color w:val="auto"/>
        </w:rPr>
      </w:pPr>
    </w:p>
    <w:p>
      <w:pPr>
        <w:ind w:left="740" w:right="380" w:hanging="247"/>
        <w:spacing w:after="0" w:line="265"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digital online channels were $1.09 billion, or 78% of consolidated net revenues, as compared to $1.26 billion, or 77% of consolidated net revenues, for the three months ended June 30, 2018;</w:t>
      </w:r>
    </w:p>
    <w:p>
      <w:pPr>
        <w:spacing w:after="0" w:line="135"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 was 24.1%, which includes $22 million in restructuring and related costs, as compared to 26.4% for the three months ended June 30, 2018;</w:t>
      </w:r>
    </w:p>
    <w:p>
      <w:pPr>
        <w:spacing w:after="0" w:line="166" w:lineRule="exact"/>
        <w:rPr>
          <w:rFonts w:ascii="Times New Roman" w:cs="Times New Roman" w:eastAsia="Times New Roman" w:hAnsi="Times New Roman"/>
          <w:sz w:val="14"/>
          <w:szCs w:val="14"/>
          <w:color w:val="auto"/>
        </w:rPr>
      </w:pPr>
    </w:p>
    <w:p>
      <w:pPr>
        <w:ind w:left="740" w:right="40" w:hanging="247"/>
        <w:spacing w:after="0" w:line="251"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18% to $328 million, as compared to $402 million for the three months ended June 30, 2018; net income for the 2018 period included $25 million of net tax benefits from several discrete tax items, primarily related to the settlement with the Internal Revenue Service (“IRS”) with respect to intercompany transfer pricing arrangements, the establishment of a valuation allowance on California research and development credit carryforwards (“CA R&amp;D Credits”), and updates to our accounting for the Tax Cuts and Jobs Act (see “Consolidated Results” discussion below for additional details); and</w:t>
      </w:r>
    </w:p>
    <w:p>
      <w:pPr>
        <w:spacing w:after="0" w:line="14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common share decreased 17% to $0.43, as compared to $0.52 for the three months ended June 30,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six months ended June 30, 2019:</w:t>
      </w:r>
    </w:p>
    <w:p>
      <w:pPr>
        <w:spacing w:after="0" w:line="166" w:lineRule="exact"/>
        <w:rPr>
          <w:sz w:val="20"/>
          <w:szCs w:val="20"/>
          <w:color w:val="auto"/>
        </w:rPr>
      </w:pPr>
    </w:p>
    <w:p>
      <w:pPr>
        <w:ind w:left="740" w:right="440" w:hanging="247"/>
        <w:spacing w:after="0" w:line="265"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revenues decreased 11% to $3.22 billion, and consolidated operating income decreased 12% to $906 million, as compared to consolidated net revenues of $3.61 billion and consolidated operating income of $1.03 billion for the six months ended June 30, 2018;</w:t>
      </w:r>
    </w:p>
    <w:p>
      <w:pPr>
        <w:spacing w:after="0" w:line="135" w:lineRule="exact"/>
        <w:rPr>
          <w:rFonts w:ascii="Times New Roman" w:cs="Times New Roman" w:eastAsia="Times New Roman" w:hAnsi="Times New Roman"/>
          <w:sz w:val="14"/>
          <w:szCs w:val="14"/>
          <w:color w:val="auto"/>
        </w:rPr>
      </w:pPr>
    </w:p>
    <w:p>
      <w:pPr>
        <w:ind w:left="740" w:hanging="247"/>
        <w:spacing w:after="0" w:line="265"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digital online channels were $2.48 billion, or 77% of consolidated net revenues, as compared to $2.72 billion, or 75% of consolidated net revenues, for the six months ended June 30, 2018;</w:t>
      </w:r>
    </w:p>
    <w:p>
      <w:pPr>
        <w:spacing w:after="0" w:line="135"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 was 28.1%, which includes $79 million in restructuring and related costs, as compared to 28.5% for the six months ended June 30, 2018;</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from operating activities were $604 million, an increase of 12%, as compared to $538 million for the six months ended June 30, 2018;</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60"/>
          </w:cols>
          <w:pgMar w:left="220" w:top="127" w:right="21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740" w:right="380" w:hanging="247"/>
        <w:spacing w:after="0" w:line="265"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14% to $774 million, as compared to $902 million for the six months ended June 30, 2018; net income for the 2018 period included $25 million of net tax benefits from several discrete tax items, as discussed above; and</w:t>
      </w:r>
    </w:p>
    <w:p>
      <w:pPr>
        <w:spacing w:after="0" w:line="135"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common share decreased 14% to $1.01, as compared to $1.17 for the six months ended June 30, 2018.</w:t>
      </w:r>
    </w:p>
    <w:p>
      <w:pPr>
        <w:spacing w:after="0" w:line="166" w:lineRule="exact"/>
        <w:rPr>
          <w:sz w:val="20"/>
          <w:szCs w:val="20"/>
          <w:color w:val="auto"/>
        </w:rPr>
      </w:pPr>
    </w:p>
    <w:p>
      <w:pPr>
        <w:ind w:right="140" w:firstLine="245"/>
        <w:spacing w:after="0" w:line="306" w:lineRule="auto"/>
        <w:rPr>
          <w:sz w:val="20"/>
          <w:szCs w:val="20"/>
          <w:color w:val="auto"/>
        </w:rPr>
      </w:pPr>
      <w:r>
        <w:rPr>
          <w:rFonts w:ascii="Times New Roman" w:cs="Times New Roman" w:eastAsia="Times New Roman" w:hAnsi="Times New Roman"/>
          <w:sz w:val="12"/>
          <w:szCs w:val="12"/>
          <w:color w:val="auto"/>
        </w:rPr>
        <w:t>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Net revenues and operating income for the three months ended June 30, 2019, include a net effect of $189 million and $135 million, respectively, from the recognition of deferred net revenues and related cost of revenues. Net revenues and operating income for the six months ended June 30, 2019, include a net effect of $755 million and $576 million, respectively, from the recognition of deferred net revenues and related cost of revenues.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Content Release and Event Highlights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During the three months ended June 30, 2019, Activision released </w:t>
      </w:r>
      <w:r>
        <w:rPr>
          <w:rFonts w:ascii="Times New Roman" w:cs="Times New Roman" w:eastAsia="Times New Roman" w:hAnsi="Times New Roman"/>
          <w:sz w:val="14"/>
          <w:szCs w:val="14"/>
          <w:i w:val="1"/>
          <w:iCs w:val="1"/>
          <w:color w:val="auto"/>
        </w:rPr>
        <w:t>Crash</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Team Racing Nitro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Fueled</w:t>
      </w:r>
      <w:r>
        <w:rPr>
          <w:rFonts w:ascii="Times New Roman" w:cs="Times New Roman" w:eastAsia="Times New Roman" w:hAnsi="Times New Roman"/>
          <w:sz w:val="14"/>
          <w:szCs w:val="14"/>
          <w:color w:val="auto"/>
        </w:rPr>
        <w:t xml:space="preserve"> and Blizzard released the latest expansion to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Rise of Shadows</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Metrics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operating metrics are key performance indicators that we use to evaluate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Bookings</w:t>
      </w:r>
    </w:p>
    <w:p>
      <w:pPr>
        <w:spacing w:after="0" w:line="168" w:lineRule="exact"/>
        <w:rPr>
          <w:sz w:val="20"/>
          <w:szCs w:val="20"/>
          <w:color w:val="auto"/>
        </w:rPr>
      </w:pPr>
    </w:p>
    <w:p>
      <w:pPr>
        <w:ind w:right="120" w:firstLine="245"/>
        <w:spacing w:after="0" w:line="265" w:lineRule="auto"/>
        <w:rPr>
          <w:sz w:val="20"/>
          <w:szCs w:val="20"/>
          <w:color w:val="auto"/>
        </w:rPr>
      </w:pPr>
      <w:r>
        <w:rPr>
          <w:rFonts w:ascii="Times New Roman" w:cs="Times New Roman" w:eastAsia="Times New Roman" w:hAnsi="Times New Roman"/>
          <w:sz w:val="14"/>
          <w:szCs w:val="14"/>
          <w:color w:val="auto"/>
        </w:rPr>
        <w:t>We monitor net bookings as a key operating metric in evaluating the performance of our business.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bookings was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80" w:type="dxa"/>
            <w:vAlign w:val="bottom"/>
          </w:tcPr>
          <w:p>
            <w:pPr>
              <w:spacing w:after="0"/>
              <w:rPr>
                <w:sz w:val="15"/>
                <w:szCs w:val="15"/>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300" w:type="dxa"/>
            <w:vAlign w:val="bottom"/>
          </w:tcPr>
          <w:p>
            <w:pPr>
              <w:spacing w:after="0"/>
              <w:rPr>
                <w:sz w:val="15"/>
                <w:szCs w:val="15"/>
                <w:color w:val="auto"/>
              </w:rPr>
            </w:pPr>
          </w:p>
        </w:tc>
        <w:tc>
          <w:tcPr>
            <w:tcW w:w="1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bookings</w:t>
            </w:r>
          </w:p>
        </w:tc>
        <w:tc>
          <w:tcPr>
            <w:tcW w:w="4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1,385</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21"/>
        </w:trPr>
        <w:tc>
          <w:tcPr>
            <w:tcW w:w="4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2,465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2,769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1"/>
        </w:trPr>
        <w:tc>
          <w:tcPr>
            <w:tcW w:w="4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bookings for the three months ended June 30, 2019, as compared to the three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net bookings from the Destiny franchise, the publishing rights to which we sold to Bungie in December 2018, as previously disclosed;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lower net bookings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net bookings from </w:t>
      </w:r>
      <w:r>
        <w:rPr>
          <w:rFonts w:ascii="Times New Roman" w:cs="Times New Roman" w:eastAsia="Times New Roman" w:hAnsi="Times New Roman"/>
          <w:sz w:val="14"/>
          <w:szCs w:val="14"/>
          <w:i w:val="1"/>
          <w:iCs w:val="1"/>
          <w:color w:val="auto"/>
        </w:rPr>
        <w:t>Crash Team Racing Nitro-Fueled</w:t>
      </w:r>
      <w:r>
        <w:rPr>
          <w:rFonts w:ascii="Times New Roman" w:cs="Times New Roman" w:eastAsia="Times New Roman" w:hAnsi="Times New Roman"/>
          <w:sz w:val="14"/>
          <w:szCs w:val="14"/>
          <w:color w:val="auto"/>
        </w:rPr>
        <w:t>, which was released in June 2019.</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60"/>
          </w:cols>
          <w:pgMar w:left="220" w:top="127" w:right="2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bookings for the six months ended June 30, 2019, as compared to the six months ended June 30, 2018, was primarily due to:</w:t>
      </w:r>
    </w:p>
    <w:p>
      <w:pPr>
        <w:spacing w:after="0" w:line="164" w:lineRule="exact"/>
        <w:rPr>
          <w:sz w:val="20"/>
          <w:szCs w:val="20"/>
          <w:color w:val="auto"/>
        </w:rPr>
      </w:pPr>
    </w:p>
    <w:p>
      <w:pPr>
        <w:ind w:left="740" w:right="280" w:hanging="247"/>
        <w:spacing w:after="0" w:line="268" w:lineRule="auto"/>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net bookings from the Call of Duty franchise, primarily driven by lower net bookings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WWII</w:t>
      </w:r>
      <w:r>
        <w:rPr>
          <w:rFonts w:ascii="Times New Roman" w:cs="Times New Roman" w:eastAsia="Times New Roman" w:hAnsi="Times New Roman"/>
          <w:sz w:val="14"/>
          <w:szCs w:val="14"/>
          <w:color w:val="auto"/>
        </w:rPr>
        <w:t>, which was released in November 2017;</w:t>
      </w:r>
    </w:p>
    <w:p>
      <w:pPr>
        <w:spacing w:after="0" w:line="131" w:lineRule="exact"/>
        <w:rPr>
          <w:rFonts w:ascii="Times New Roman" w:cs="Times New Roman" w:eastAsia="Times New Roman" w:hAnsi="Times New Roman"/>
          <w:sz w:val="14"/>
          <w:szCs w:val="14"/>
          <w:color w:val="auto"/>
        </w:rPr>
      </w:pPr>
    </w:p>
    <w:p>
      <w:pPr>
        <w:ind w:left="740" w:right="60" w:hanging="247"/>
        <w:spacing w:after="0" w:line="282" w:lineRule="auto"/>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net bookings from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primarily due to the prior year including net bookings associated with in-game content delivered to customers upon pre-purchase of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Battle for Azeroth</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color w:val="auto"/>
        </w:rPr>
        <w:t>, with no comparable net bookings in the current period; and</w:t>
      </w:r>
    </w:p>
    <w:p>
      <w:pPr>
        <w:spacing w:after="0" w:line="112"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net bookings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net bookings from </w:t>
      </w:r>
      <w:r>
        <w:rPr>
          <w:rFonts w:ascii="Times New Roman" w:cs="Times New Roman" w:eastAsia="Times New Roman" w:hAnsi="Times New Roman"/>
          <w:sz w:val="14"/>
          <w:szCs w:val="14"/>
          <w:i w:val="1"/>
          <w:iCs w:val="1"/>
          <w:color w:val="auto"/>
        </w:rPr>
        <w:t>Sekiro</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i w:val="1"/>
          <w:iCs w:val="1"/>
          <w:color w:val="auto"/>
        </w:rPr>
        <w:t>: Shadows Die Twice</w:t>
      </w:r>
      <w:r>
        <w:rPr>
          <w:rFonts w:ascii="Times New Roman" w:cs="Times New Roman" w:eastAsia="Times New Roman" w:hAnsi="Times New Roman"/>
          <w:sz w:val="14"/>
          <w:szCs w:val="14"/>
          <w:color w:val="auto"/>
        </w:rPr>
        <w:t>, which was released in March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Monthly Active Users</w:t>
      </w:r>
    </w:p>
    <w:p>
      <w:pPr>
        <w:spacing w:after="0" w:line="168" w:lineRule="exact"/>
        <w:rPr>
          <w:sz w:val="20"/>
          <w:szCs w:val="20"/>
          <w:color w:val="auto"/>
        </w:rPr>
      </w:pPr>
    </w:p>
    <w:p>
      <w:pPr>
        <w:ind w:right="140" w:firstLine="245"/>
        <w:spacing w:after="0" w:line="251" w:lineRule="auto"/>
        <w:rPr>
          <w:sz w:val="20"/>
          <w:szCs w:val="20"/>
          <w:color w:val="auto"/>
        </w:rPr>
      </w:pPr>
      <w:r>
        <w:rPr>
          <w:rFonts w:ascii="Times New Roman" w:cs="Times New Roman" w:eastAsia="Times New Roman" w:hAnsi="Times New Roman"/>
          <w:sz w:val="14"/>
          <w:szCs w:val="14"/>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45" w:lineRule="exact"/>
        <w:rPr>
          <w:sz w:val="20"/>
          <w:szCs w:val="20"/>
          <w:color w:val="auto"/>
        </w:rPr>
      </w:pPr>
    </w:p>
    <w:p>
      <w:pPr>
        <w:jc w:val="both"/>
        <w:ind w:right="120" w:firstLine="245"/>
        <w:spacing w:after="0" w:line="254" w:lineRule="auto"/>
        <w:rPr>
          <w:sz w:val="20"/>
          <w:szCs w:val="20"/>
          <w:color w:val="auto"/>
        </w:rPr>
      </w:pPr>
      <w:r>
        <w:rPr>
          <w:rFonts w:ascii="Times New Roman" w:cs="Times New Roman" w:eastAsia="Times New Roman" w:hAnsi="Times New Roman"/>
          <w:sz w:val="14"/>
          <w:szCs w:val="14"/>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0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1"/>
        </w:trPr>
        <w:tc>
          <w:tcPr>
            <w:tcW w:w="2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5"/>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5"/>
                <w:szCs w:val="15"/>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5"/>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285</w:t>
            </w:r>
          </w:p>
        </w:tc>
      </w:tr>
      <w:tr>
        <w:trPr>
          <w:trHeight w:val="18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374</w:t>
            </w:r>
          </w:p>
        </w:tc>
      </w:tr>
      <w:tr>
        <w:trPr>
          <w:trHeight w:val="20"/>
        </w:trPr>
        <w:tc>
          <w:tcPr>
            <w:tcW w:w="2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220" w:firstLine="245"/>
        <w:spacing w:after="0" w:line="254" w:lineRule="auto"/>
        <w:rPr>
          <w:sz w:val="20"/>
          <w:szCs w:val="20"/>
          <w:color w:val="auto"/>
        </w:rPr>
      </w:pPr>
      <w:r>
        <w:rPr>
          <w:rFonts w:ascii="Times New Roman" w:cs="Times New Roman" w:eastAsia="Times New Roman" w:hAnsi="Times New Roman"/>
          <w:sz w:val="14"/>
          <w:szCs w:val="14"/>
          <w:color w:val="auto"/>
        </w:rPr>
        <w:t>Average MAUs decreased by 18 million, or 5%, for the three months ended June 30, 2019, as compared to the three months ended March 31, 2019, primarily driven by a decrease in average MAUs for King and Activision. The decrease in King’s average MAUs is primarily due to decreases from the Candy Crush franchise. The decrease in Activision’s average MAUs is primarily due to decreases from the Call of Duty franchise.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Average MAUs decreased by 25 million, or 7%, for the three months ended June 30, 2019, as compared to the three months ended June 30, 2018. The year-over-year decrease in average MAUs is due to:</w:t>
      </w:r>
    </w:p>
    <w:p>
      <w:pPr>
        <w:spacing w:after="0" w:line="189" w:lineRule="exact"/>
        <w:rPr>
          <w:sz w:val="20"/>
          <w:szCs w:val="20"/>
          <w:color w:val="auto"/>
        </w:rPr>
      </w:pPr>
    </w:p>
    <w:p>
      <w:pPr>
        <w:ind w:left="740" w:right="100" w:hanging="247"/>
        <w:spacing w:after="0" w:line="279" w:lineRule="auto"/>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decreases across King’s various franchises, primarily from less engaged users leaving the network, partially offset by an increase in average MAUs for the Candy Crush franchise, primarily given the launch of </w:t>
      </w:r>
      <w:r>
        <w:rPr>
          <w:rFonts w:ascii="Times New Roman" w:cs="Times New Roman" w:eastAsia="Times New Roman" w:hAnsi="Times New Roman"/>
          <w:sz w:val="14"/>
          <w:szCs w:val="14"/>
          <w:i w:val="1"/>
          <w:iCs w:val="1"/>
          <w:color w:val="auto"/>
        </w:rPr>
        <w:t>Candy Crush Friends Saga</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color w:val="auto"/>
        </w:rPr>
        <w:t xml:space="preserve"> in the fourth quarter of 2018;</w:t>
      </w:r>
    </w:p>
    <w:p>
      <w:pPr>
        <w:spacing w:after="0" w:line="11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average MAUs for Activision, primarily due to lower average MAUs from the Call of Duty franchise and the absence of Destiny MAUs in our operating metric;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average MAUs for Blizzard, primarily due to lower average MAUs for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60"/>
          </w:cols>
          <w:pgMar w:left="220" w:top="127" w:right="2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0"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King MAUs were also negatively impacted by a King network outage in the second quarter of 2018, resulting from changes made by a third-party partner which inadvertently impacted some users’ ability to play and spend money in King games.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Overview of Business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Interactive Entertainment and Mobile Gaming Growth</w:t>
      </w:r>
    </w:p>
    <w:p>
      <w:pPr>
        <w:spacing w:after="0" w:line="170"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Our business participates in the global interactive entertainment industry. Games have become an increasingly popular form of entertainment, and we estimate the total industry has grown, on average, 18% annually from 2015 to 2018. The industry continues to benefit from additional players entering the market as interactive entertainment becomes more commonplace across age groups and as more developing regions gain access to this form of entertainment.</w:t>
      </w:r>
    </w:p>
    <w:p>
      <w:pPr>
        <w:spacing w:after="0" w:line="143" w:lineRule="exact"/>
        <w:rPr>
          <w:sz w:val="20"/>
          <w:szCs w:val="20"/>
          <w:color w:val="auto"/>
        </w:rPr>
      </w:pPr>
    </w:p>
    <w:p>
      <w:pPr>
        <w:jc w:val="both"/>
        <w:ind w:right="80" w:firstLine="245"/>
        <w:spacing w:after="0" w:line="251" w:lineRule="auto"/>
        <w:rPr>
          <w:sz w:val="20"/>
          <w:szCs w:val="20"/>
          <w:color w:val="auto"/>
        </w:rPr>
      </w:pPr>
      <w:r>
        <w:rPr>
          <w:rFonts w:ascii="Times New Roman" w:cs="Times New Roman" w:eastAsia="Times New Roman" w:hAnsi="Times New Roman"/>
          <w:sz w:val="14"/>
          <w:szCs w:val="14"/>
          <w:color w:val="auto"/>
        </w:rPr>
        <w:t>The wide adoption of smart 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from, our franchises.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Opportunities to Expand Franchises Outside of Games</w:t>
      </w:r>
    </w:p>
    <w:p>
      <w:pPr>
        <w:spacing w:after="0" w:line="170" w:lineRule="exact"/>
        <w:rPr>
          <w:sz w:val="20"/>
          <w:szCs w:val="20"/>
          <w:color w:val="auto"/>
        </w:rPr>
      </w:pPr>
    </w:p>
    <w:p>
      <w:pPr>
        <w:jc w:val="both"/>
        <w:ind w:right="240" w:firstLine="245"/>
        <w:spacing w:after="0" w:line="254" w:lineRule="auto"/>
        <w:rPr>
          <w:sz w:val="20"/>
          <w:szCs w:val="20"/>
          <w:color w:val="auto"/>
        </w:rPr>
      </w:pPr>
      <w:r>
        <w:rPr>
          <w:rFonts w:ascii="Times New Roman" w:cs="Times New Roman" w:eastAsia="Times New Roman" w:hAnsi="Times New Roman"/>
          <w:sz w:val="14"/>
          <w:szCs w:val="14"/>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Our efforts to build these adjacent opportunities are still relatively nascent, but we view them as potentially significant sources of future revenues.</w:t>
      </w:r>
    </w:p>
    <w:p>
      <w:pPr>
        <w:spacing w:after="0" w:line="143" w:lineRule="exact"/>
        <w:rPr>
          <w:sz w:val="20"/>
          <w:szCs w:val="20"/>
          <w:color w:val="auto"/>
        </w:rPr>
      </w:pPr>
    </w:p>
    <w:p>
      <w:pPr>
        <w:jc w:val="both"/>
        <w:ind w:firstLine="245"/>
        <w:spacing w:after="0" w:line="254" w:lineRule="auto"/>
        <w:rPr>
          <w:sz w:val="20"/>
          <w:szCs w:val="20"/>
          <w:color w:val="auto"/>
        </w:rPr>
      </w:pPr>
      <w:r>
        <w:rPr>
          <w:rFonts w:ascii="Times New Roman" w:cs="Times New Roman" w:eastAsia="Times New Roman" w:hAnsi="Times New Roman"/>
          <w:sz w:val="14"/>
          <w:szCs w:val="14"/>
          <w:color w:val="auto"/>
        </w:rPr>
        <w:t>For example, as part of our efforts to take advantage of esports opportunities, during 2017, we completed the sale of 12 teams for the Overwatch League, which concluded its inaugural season in July 2018. During 2018, we also completed the sale of eight additional teams for the Overwatch League, which are competing in the league’s second season that began in February 2019. Additionally, we have sold the first eight teams for our professional Call of Duty city-based league.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Sales Among the Most Popular Franchises</w:t>
      </w:r>
    </w:p>
    <w:p>
      <w:pPr>
        <w:spacing w:after="0" w:line="170" w:lineRule="exact"/>
        <w:rPr>
          <w:sz w:val="20"/>
          <w:szCs w:val="20"/>
          <w:color w:val="auto"/>
        </w:rPr>
      </w:pPr>
    </w:p>
    <w:p>
      <w:pPr>
        <w:ind w:right="40" w:firstLine="245"/>
        <w:spacing w:after="0" w:line="251" w:lineRule="auto"/>
        <w:rPr>
          <w:sz w:val="20"/>
          <w:szCs w:val="20"/>
          <w:color w:val="auto"/>
        </w:rPr>
      </w:pPr>
      <w:r>
        <w:rPr>
          <w:rFonts w:ascii="Times New Roman" w:cs="Times New Roman" w:eastAsia="Times New Roman" w:hAnsi="Times New Roman"/>
          <w:sz w:val="14"/>
          <w:szCs w:val="14"/>
          <w:color w:val="auto"/>
        </w:rPr>
        <w:t>The concentration of retail revenues among key titles has continued as a trend in the overall interactive entertainment industry. According to The NPD Group, the top 10 titles accounted for 38% of the retail sales in the U.S. interactive entertainment industry in 2018. Similarly, a significant portion of our revenues historically has been derived from video games based on a few popular franchises, and these video games have been responsible for a disproportionately high percentage of our profits. For example, the Call of Duty, Candy Crush, and World of Warcraft franchises, collectively, accounted for 58% of our consolidated net revenues—and a significantly higher percentage of our operating income—for 2018.</w:t>
      </w:r>
    </w:p>
    <w:p>
      <w:pPr>
        <w:spacing w:after="0" w:line="145" w:lineRule="exact"/>
        <w:rPr>
          <w:sz w:val="20"/>
          <w:szCs w:val="20"/>
          <w:color w:val="auto"/>
        </w:rPr>
      </w:pPr>
    </w:p>
    <w:p>
      <w:pPr>
        <w:ind w:right="60" w:firstLine="245"/>
        <w:spacing w:after="0" w:line="255" w:lineRule="auto"/>
        <w:rPr>
          <w:sz w:val="20"/>
          <w:szCs w:val="20"/>
          <w:color w:val="auto"/>
        </w:rPr>
      </w:pPr>
      <w:r>
        <w:rPr>
          <w:rFonts w:ascii="Times New Roman" w:cs="Times New Roman" w:eastAsia="Times New Roman" w:hAnsi="Times New Roman"/>
          <w:sz w:val="14"/>
          <w:szCs w:val="14"/>
          <w:color w:val="auto"/>
        </w:rPr>
        <w:t xml:space="preserve">In addition to investing in, and developing sequels and content for, our top franchises, we are continually exploring additional ways to expand those franchises. Further, while there is no guarantee of success, we invest in new properties in an effort to develop future top franchises. For example, in 2014, we released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and in 2016, we released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xml:space="preserve">. Additionally, to diversify our portfolio of key franchises and increase our presence on the mobile platform, in 2016, we acquired King. We also have mobile titles in development based on Activision and Blizzards intellectual property, such as the previously announced </w:t>
      </w:r>
      <w:r>
        <w:rPr>
          <w:rFonts w:ascii="Times New Roman" w:cs="Times New Roman" w:eastAsia="Times New Roman" w:hAnsi="Times New Roman"/>
          <w:sz w:val="14"/>
          <w:szCs w:val="14"/>
          <w:i w:val="1"/>
          <w:iCs w:val="1"/>
          <w:color w:val="auto"/>
        </w:rPr>
        <w:t>Call of Duty Mobile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Diablo Immortal</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Overall, we do expect that a limited number of popular franchises will continue to produce a disproportionately high percentage of our, and the industry’s, revenues and profits in the near future.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our ability to maintain our top franchises and our ability to successfully compete against our competitors’ top franchises can significantly impact our performance.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60"/>
          </w:cols>
          <w:pgMar w:left="220" w:top="127" w:right="21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Revenue Business Models</w:t>
      </w:r>
    </w:p>
    <w:p>
      <w:pPr>
        <w:spacing w:after="0" w:line="170" w:lineRule="exact"/>
        <w:rPr>
          <w:sz w:val="20"/>
          <w:szCs w:val="20"/>
          <w:color w:val="auto"/>
        </w:rPr>
      </w:pPr>
    </w:p>
    <w:p>
      <w:pPr>
        <w:ind w:firstLine="245"/>
        <w:spacing w:after="0" w:line="317" w:lineRule="auto"/>
        <w:rPr>
          <w:sz w:val="20"/>
          <w:szCs w:val="20"/>
          <w:color w:val="auto"/>
        </w:rPr>
      </w:pPr>
      <w:r>
        <w:rPr>
          <w:rFonts w:ascii="Times New Roman" w:cs="Times New Roman" w:eastAsia="Times New Roman" w:hAnsi="Times New Roman"/>
          <w:sz w:val="12"/>
          <w:szCs w:val="12"/>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 than games developed primarily for the console or PC platforms.</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00"/>
          </w:cols>
          <w:pgMar w:left="220" w:top="127" w:right="27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p>
      <w:pPr>
        <w:spacing w:after="0" w:line="170"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6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3"/>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5"/>
                <w:szCs w:val="15"/>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83"/>
        </w:trPr>
        <w:tc>
          <w:tcPr>
            <w:tcW w:w="3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sales</w:t>
            </w: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359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464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1,015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1,184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licensing, and other revenues</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1,037</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1,177</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2,205</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2,423</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67</w:t>
            </w:r>
          </w:p>
        </w:tc>
      </w:tr>
      <w:tr>
        <w:trPr>
          <w:trHeight w:val="17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1,396</w:t>
            </w:r>
          </w:p>
        </w:tc>
        <w:tc>
          <w:tcPr>
            <w:tcW w:w="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1,641</w:t>
            </w:r>
          </w:p>
        </w:tc>
        <w:tc>
          <w:tcPr>
            <w:tcW w:w="5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3,220</w:t>
            </w:r>
          </w:p>
        </w:tc>
        <w:tc>
          <w:tcPr>
            <w:tcW w:w="5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3,607</w:t>
            </w:r>
          </w:p>
        </w:tc>
        <w:tc>
          <w:tcPr>
            <w:tcW w:w="5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4"/>
        </w:trPr>
        <w:tc>
          <w:tcPr>
            <w:tcW w:w="3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83"/>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99</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126</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251</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289</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1"/>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7"/>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51</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49</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162</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194</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3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230</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469</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521</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3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53</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85</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114</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169</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244</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255</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492</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513</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3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191</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226</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397</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477</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170</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216</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350</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415</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3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related costs</w:t>
            </w: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22</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79</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1,060</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1,207</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2,314</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2,578</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3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8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336</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434</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906</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1,029</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280" w:type="dxa"/>
            <w:vAlign w:val="bottom"/>
          </w:tcPr>
          <w:p>
            <w:pPr>
              <w:spacing w:after="0"/>
              <w:rPr>
                <w:sz w:val="15"/>
                <w:szCs w:val="15"/>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26</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54</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370</w:t>
            </w: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408</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937</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975</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w:t>
            </w:r>
          </w:p>
        </w:tc>
      </w:tr>
      <w:tr>
        <w:trPr>
          <w:trHeight w:val="18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42</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163</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73</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9"/>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328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774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902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Revenues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our consolidated net revenues and the increase (decrease) in deferred net revenues recognized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6"/>
              </w:rPr>
              <w:t>For the Six Months Ended June 30,</w:t>
            </w:r>
          </w:p>
        </w:tc>
        <w:tc>
          <w:tcPr>
            <w:tcW w:w="980" w:type="dxa"/>
            <w:vAlign w:val="bottom"/>
          </w:tcPr>
          <w:p>
            <w:pPr>
              <w:spacing w:after="0"/>
              <w:rPr>
                <w:sz w:val="15"/>
                <w:szCs w:val="15"/>
                <w:color w:val="auto"/>
              </w:rPr>
            </w:pPr>
          </w:p>
        </w:tc>
      </w:tr>
      <w:tr>
        <w:trPr>
          <w:trHeight w:val="21"/>
        </w:trPr>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8"/>
        </w:trPr>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412"/>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72"/>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80" w:type="dxa"/>
            <w:vAlign w:val="bottom"/>
          </w:tcPr>
          <w:p>
            <w:pPr>
              <w:spacing w:after="0"/>
              <w:rPr>
                <w:sz w:val="13"/>
                <w:szCs w:val="13"/>
                <w:color w:val="auto"/>
              </w:rPr>
            </w:pPr>
          </w:p>
        </w:tc>
      </w:tr>
      <w:tr>
        <w:trPr>
          <w:trHeight w:val="179"/>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5"/>
                <w:szCs w:val="15"/>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5"/>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1,396</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1,641</w:t>
            </w: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(245)</w:t>
            </w: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  $</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3,607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(387)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net revenues</w:t>
            </w:r>
          </w:p>
        </w:tc>
        <w:tc>
          <w:tcPr>
            <w:tcW w:w="24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189</w:t>
            </w:r>
          </w:p>
        </w:tc>
        <w:tc>
          <w:tcPr>
            <w:tcW w:w="34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256</w:t>
            </w:r>
          </w:p>
        </w:tc>
        <w:tc>
          <w:tcPr>
            <w:tcW w:w="280" w:type="dxa"/>
            <w:vAlign w:val="bottom"/>
          </w:tcPr>
          <w:p>
            <w:pPr>
              <w:spacing w:after="0"/>
              <w:rPr>
                <w:sz w:val="15"/>
                <w:szCs w:val="15"/>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(67)</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755</w:t>
            </w:r>
          </w:p>
        </w:tc>
        <w:tc>
          <w:tcPr>
            <w:tcW w:w="20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(83)</w:t>
            </w:r>
          </w:p>
        </w:tc>
        <w:tc>
          <w:tcPr>
            <w:tcW w:w="980" w:type="dxa"/>
            <w:vAlign w:val="bottom"/>
          </w:tcPr>
          <w:p>
            <w:pPr>
              <w:spacing w:after="0"/>
              <w:rPr>
                <w:sz w:val="15"/>
                <w:szCs w:val="15"/>
                <w:color w:val="auto"/>
              </w:rPr>
            </w:pPr>
          </w:p>
        </w:tc>
      </w:tr>
      <w:tr>
        <w:trPr>
          <w:trHeight w:val="368"/>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Net Revenues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consolidated net revenues for the three months ended June 30, 2019, as compared to the three months ended June 30, 2018, was primarily due to:</w:t>
      </w:r>
    </w:p>
    <w:p>
      <w:pPr>
        <w:spacing w:after="0" w:line="166" w:lineRule="exact"/>
        <w:rPr>
          <w:sz w:val="20"/>
          <w:szCs w:val="20"/>
          <w:color w:val="auto"/>
        </w:rPr>
      </w:pPr>
    </w:p>
    <w:p>
      <w:pPr>
        <w:jc w:val="both"/>
        <w:ind w:left="740" w:right="100" w:hanging="247"/>
        <w:spacing w:after="0" w:line="254" w:lineRule="auto"/>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decrease of $164 million in revenues recognized from Activision, primarily due to (1) lower revenues recognized from the Destiny franchise, the publishing rights to which we sold to Bungie in December 2018, as previously disclosed, and (2) 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and</w:t>
      </w:r>
    </w:p>
    <w:p>
      <w:pPr>
        <w:spacing w:after="0" w:line="141"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decrease of $77 million in revenues recognized from Blizzard, primarily due to 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consolidated net revenues for the six months ended June 30, 2019, as compared to the six months ended June 30, 2018, was primarily due to:</w:t>
      </w:r>
    </w:p>
    <w:p>
      <w:pPr>
        <w:spacing w:after="0" w:line="164" w:lineRule="exact"/>
        <w:rPr>
          <w:sz w:val="20"/>
          <w:szCs w:val="20"/>
          <w:color w:val="auto"/>
        </w:rPr>
      </w:pPr>
    </w:p>
    <w:p>
      <w:pPr>
        <w:ind w:left="1220" w:right="120" w:hanging="727"/>
        <w:spacing w:after="0" w:line="268" w:lineRule="auto"/>
        <w:tabs>
          <w:tab w:leader="none" w:pos="72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decrease of $275 million in revenues recognized from Activision, primarily due to lower revenues recognized from the Destiny franchise, partially offset by revenues from </w:t>
      </w:r>
      <w:r>
        <w:rPr>
          <w:rFonts w:ascii="Times New Roman" w:cs="Times New Roman" w:eastAsia="Times New Roman" w:hAnsi="Times New Roman"/>
          <w:sz w:val="14"/>
          <w:szCs w:val="14"/>
          <w:i w:val="1"/>
          <w:iCs w:val="1"/>
          <w:color w:val="auto"/>
        </w:rPr>
        <w:t>Sekiro: Shadows Die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Twice</w:t>
      </w:r>
      <w:r>
        <w:rPr>
          <w:rFonts w:ascii="Times New Roman" w:cs="Times New Roman" w:eastAsia="Times New Roman" w:hAnsi="Times New Roman"/>
          <w:sz w:val="14"/>
          <w:szCs w:val="14"/>
          <w:color w:val="auto"/>
        </w:rPr>
        <w:t>, which was released in March 2019; and</w:t>
      </w:r>
    </w:p>
    <w:p>
      <w:pPr>
        <w:spacing w:after="0" w:line="131"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decrease of $125 million in revenues recognized from Blizzard, primarily due to 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Deferred Revenues Recognized</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right="300" w:firstLine="245"/>
        <w:spacing w:after="0" w:line="254" w:lineRule="auto"/>
        <w:rPr>
          <w:sz w:val="20"/>
          <w:szCs w:val="20"/>
          <w:color w:val="auto"/>
        </w:rPr>
      </w:pPr>
      <w:r>
        <w:rPr>
          <w:rFonts w:ascii="Times New Roman" w:cs="Times New Roman" w:eastAsia="Times New Roman" w:hAnsi="Times New Roman"/>
          <w:sz w:val="14"/>
          <w:szCs w:val="14"/>
          <w:color w:val="auto"/>
        </w:rPr>
        <w:t xml:space="preserve">The decrease in net deferred revenues recognized for the three months ended June 30, 2019, as compared to the three months ended June 30, 2018, was primarily due to a decrease of $94 million in net deferred revenues recognized from Activision, primarily due to lower net deferred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WWII</w:t>
      </w:r>
      <w:r>
        <w:rPr>
          <w:rFonts w:ascii="Times New Roman" w:cs="Times New Roman" w:eastAsia="Times New Roman" w:hAnsi="Times New Roman"/>
          <w:sz w:val="14"/>
          <w:szCs w:val="14"/>
          <w:color w:val="auto"/>
        </w:rPr>
        <w:t>, which was released in November 2017.</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 xml:space="preserve">The decrease in net deferred revenues recognized for the six months ended June 30, 2019, as compared to the six months ended June 30, 2018, was primarily due to a decrease of $209 million in net deferred revenues recognized from Activision, primarily due to lower net deferred revenues recognized from the Destiny franchise. The decrease from Activision was partially offset by an increase of $117 million in net deferred revenues recognized from Blizzard, primarily due to higher net deferred revenues recognized for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driven by </w:t>
      </w:r>
      <w:r>
        <w:rPr>
          <w:rFonts w:ascii="Times New Roman" w:cs="Times New Roman" w:eastAsia="Times New Roman" w:hAnsi="Times New Roman"/>
          <w:sz w:val="14"/>
          <w:szCs w:val="14"/>
          <w:i w:val="1"/>
          <w:iCs w:val="1"/>
          <w:color w:val="auto"/>
        </w:rPr>
        <w:t>World of Warcraft: Battle for Azeroth</w:t>
      </w:r>
      <w:r>
        <w:rPr>
          <w:rFonts w:ascii="Times New Roman" w:cs="Times New Roman" w:eastAsia="Times New Roman" w:hAnsi="Times New Roman"/>
          <w:sz w:val="14"/>
          <w:szCs w:val="14"/>
          <w:color w:val="auto"/>
        </w:rPr>
        <w:t>, which was released in August 2018, with no comparable release in 2017.</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Impact</w:t>
      </w:r>
    </w:p>
    <w:p>
      <w:pPr>
        <w:spacing w:after="0" w:line="170"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Changes in foreign exchange rates had a negative impact of $39 million and $105 million on our consolidated net revenues for the three and six months ended June 30, 2019, as compared to the same period in the previous year. The changes are primarily due to changes in the value of the U.S. dollar relative to the euro and the British pound.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127" w:right="2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Segment Results</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aggregate operating segments.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Information on reportable segment net revenues and operating income for the three and six months ended June 30, 2019 and 2018, are presented below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June 30, 2019</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 Increase / (Decrease)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9"/>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King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268</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381</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499</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1,148</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tcPr>
          <w:p>
            <w:pPr>
              <w:spacing w:after="0"/>
              <w:rPr>
                <w:sz w:val="15"/>
                <w:szCs w:val="15"/>
                <w:color w:val="auto"/>
              </w:rPr>
            </w:pPr>
          </w:p>
        </w:tc>
        <w:tc>
          <w:tcPr>
            <w:tcW w:w="6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17"/>
        </w:trPr>
        <w:tc>
          <w:tcPr>
            <w:tcW w:w="3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268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384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499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1,151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62"/>
        </w:trPr>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55</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171</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301</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(58)</w:t>
            </w:r>
          </w:p>
        </w:tc>
        <w:tc>
          <w:tcPr>
            <w:tcW w:w="120" w:type="dxa"/>
            <w:vAlign w:val="bottom"/>
          </w:tcPr>
          <w:p>
            <w:pPr>
              <w:spacing w:after="0"/>
              <w:rPr>
                <w:sz w:val="15"/>
                <w:szCs w:val="15"/>
                <w:color w:val="auto"/>
              </w:rPr>
            </w:pPr>
          </w:p>
        </w:tc>
        <w:tc>
          <w:tcPr>
            <w:tcW w:w="6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02"/>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shd w:val="clear" w:color="auto" w:fill="CCEEFF"/>
          </w:tcPr>
          <w:p>
            <w:pPr>
              <w:spacing w:after="0"/>
              <w:rPr>
                <w:sz w:val="8"/>
                <w:szCs w:val="8"/>
                <w:color w:val="auto"/>
              </w:rPr>
            </w:pPr>
          </w:p>
        </w:tc>
        <w:tc>
          <w:tcPr>
            <w:tcW w:w="102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9"/>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June 30, 2018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5"/>
        </w:trPr>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6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338</w:t>
            </w: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502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1,325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77"/>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338</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489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502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84</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133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169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5"/>
        </w:trPr>
        <w:tc>
          <w:tcPr>
            <w:tcW w:w="3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127" w:right="21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Six Months Ended June 30, 2019</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 Increase / (Decrease)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9"/>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King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tcPr>
          <w:p>
            <w:pPr>
              <w:spacing w:after="0"/>
              <w:rPr>
                <w:sz w:val="15"/>
                <w:szCs w:val="15"/>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720</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1,028</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2,333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(244)</w:t>
            </w:r>
          </w:p>
        </w:tc>
        <w:tc>
          <w:tcPr>
            <w:tcW w:w="120" w:type="dxa"/>
            <w:vAlign w:val="bottom"/>
          </w:tcPr>
          <w:p>
            <w:pPr>
              <w:spacing w:after="0"/>
              <w:rPr>
                <w:sz w:val="15"/>
                <w:szCs w:val="15"/>
                <w:color w:val="auto"/>
              </w:rPr>
            </w:pPr>
          </w:p>
        </w:tc>
        <w:tc>
          <w:tcPr>
            <w:tcW w:w="600" w:type="dxa"/>
            <w:vAlign w:val="bottom"/>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2</w:t>
            </w:r>
          </w:p>
        </w:tc>
      </w:tr>
      <w:tr>
        <w:trPr>
          <w:trHeight w:val="217"/>
        </w:trPr>
        <w:tc>
          <w:tcPr>
            <w:tcW w:w="3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728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1,028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2,341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(242)</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w:t>
            </w:r>
          </w:p>
        </w:tc>
      </w:tr>
      <w:tr>
        <w:trPr>
          <w:trHeight w:val="162"/>
        </w:trPr>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5"/>
                <w:szCs w:val="15"/>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130</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349</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607</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tcPr>
          <w:p>
            <w:pPr>
              <w:spacing w:after="0"/>
              <w:rPr>
                <w:sz w:val="15"/>
                <w:szCs w:val="15"/>
                <w:color w:val="auto"/>
              </w:rPr>
            </w:pPr>
          </w:p>
        </w:tc>
        <w:tc>
          <w:tcPr>
            <w:tcW w:w="600" w:type="dxa"/>
            <w:vAlign w:val="bottom"/>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02"/>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shd w:val="clear" w:color="auto" w:fill="CCEEFF"/>
          </w:tcPr>
          <w:p>
            <w:pPr>
              <w:spacing w:after="0"/>
              <w:rPr>
                <w:sz w:val="8"/>
                <w:szCs w:val="8"/>
                <w:color w:val="auto"/>
              </w:rPr>
            </w:pPr>
          </w:p>
        </w:tc>
        <w:tc>
          <w:tcPr>
            <w:tcW w:w="102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9"/>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Six Months Ended June 30, 2018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5"/>
        </w:trPr>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6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651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964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2,651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77"/>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651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970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2,657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255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360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790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5"/>
        </w:trPr>
        <w:tc>
          <w:tcPr>
            <w:tcW w:w="3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Intersegment revenues reflect licensing and service fees charged between segments.</w:t>
      </w:r>
    </w:p>
    <w:p>
      <w:pPr>
        <w:spacing w:after="0" w:line="166" w:lineRule="exact"/>
        <w:rPr>
          <w:sz w:val="20"/>
          <w:szCs w:val="20"/>
          <w:color w:val="auto"/>
        </w:r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20" w:type="dxa"/>
            <w:vAlign w:val="bottom"/>
            <w:gridSpan w:val="4"/>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right"/>
              <w:ind w:right="759"/>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r>
      <w:tr>
        <w:trPr>
          <w:trHeight w:val="25"/>
        </w:trPr>
        <w:tc>
          <w:tcPr>
            <w:tcW w:w="4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240" w:type="dxa"/>
            <w:vAlign w:val="bottom"/>
          </w:tcPr>
          <w:p>
            <w:pPr>
              <w:spacing w:after="0"/>
              <w:rPr>
                <w:sz w:val="14"/>
                <w:szCs w:val="14"/>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9"/>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25"/>
        </w:trPr>
        <w:tc>
          <w:tcPr>
            <w:tcW w:w="4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to consolidated net revenues:</w:t>
            </w:r>
          </w:p>
        </w:tc>
        <w:tc>
          <w:tcPr>
            <w:tcW w:w="1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Segment net revenues</w:t>
            </w:r>
          </w:p>
        </w:tc>
        <w:tc>
          <w:tcPr>
            <w:tcW w:w="1180" w:type="dxa"/>
            <w:vAlign w:val="bottom"/>
          </w:tcPr>
          <w:p>
            <w:pPr>
              <w:jc w:val="right"/>
              <w:ind w:right="103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1,151</w:t>
            </w:r>
          </w:p>
        </w:tc>
        <w:tc>
          <w:tcPr>
            <w:tcW w:w="120" w:type="dxa"/>
            <w:vAlign w:val="bottom"/>
          </w:tcPr>
          <w:p>
            <w:pPr>
              <w:spacing w:after="0"/>
              <w:rPr>
                <w:sz w:val="15"/>
                <w:szCs w:val="15"/>
                <w:color w:val="auto"/>
              </w:rPr>
            </w:pPr>
          </w:p>
        </w:tc>
        <w:tc>
          <w:tcPr>
            <w:tcW w:w="1160" w:type="dxa"/>
            <w:vAlign w:val="bottom"/>
          </w:tcPr>
          <w:p>
            <w:pPr>
              <w:jc w:val="right"/>
              <w:ind w:right="10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1,329</w:t>
            </w:r>
          </w:p>
        </w:tc>
        <w:tc>
          <w:tcPr>
            <w:tcW w:w="120" w:type="dxa"/>
            <w:vAlign w:val="bottom"/>
          </w:tcPr>
          <w:p>
            <w:pPr>
              <w:spacing w:after="0"/>
              <w:rPr>
                <w:sz w:val="15"/>
                <w:szCs w:val="15"/>
                <w:color w:val="auto"/>
              </w:rPr>
            </w:pP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2,341</w:t>
            </w:r>
          </w:p>
        </w:tc>
        <w:tc>
          <w:tcPr>
            <w:tcW w:w="120" w:type="dxa"/>
            <w:vAlign w:val="bottom"/>
          </w:tcPr>
          <w:p>
            <w:pPr>
              <w:spacing w:after="0"/>
              <w:rPr>
                <w:sz w:val="15"/>
                <w:szCs w:val="15"/>
                <w:color w:val="auto"/>
              </w:rPr>
            </w:pP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2,657</w:t>
            </w:r>
          </w:p>
        </w:tc>
      </w:tr>
      <w:tr>
        <w:trPr>
          <w:trHeight w:val="25"/>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 from non-reportable segments (1)</w:t>
            </w:r>
          </w:p>
        </w:tc>
        <w:tc>
          <w:tcPr>
            <w:tcW w:w="1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118</w:t>
            </w: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effect from recognition (deferral) of deferred net revenues</w:t>
            </w:r>
          </w:p>
        </w:tc>
        <w:tc>
          <w:tcPr>
            <w:tcW w:w="1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189</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256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755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838</w:t>
            </w:r>
          </w:p>
        </w:tc>
      </w:tr>
      <w:tr>
        <w:trPr>
          <w:trHeight w:val="25"/>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intersegment revenues (2)</w:t>
            </w:r>
          </w:p>
        </w:tc>
        <w:tc>
          <w:tcPr>
            <w:tcW w:w="1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17"/>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Consolidated net revenues</w:t>
            </w:r>
          </w:p>
        </w:tc>
        <w:tc>
          <w:tcPr>
            <w:tcW w:w="118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1,396</w:t>
            </w:r>
          </w:p>
        </w:tc>
        <w:tc>
          <w:tcPr>
            <w:tcW w:w="1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1,641</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3,220</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3,607</w:t>
            </w:r>
          </w:p>
        </w:tc>
      </w:tr>
      <w:tr>
        <w:trPr>
          <w:trHeight w:val="81"/>
        </w:trPr>
        <w:tc>
          <w:tcPr>
            <w:tcW w:w="4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to consolidated income before income tax expense:</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Segment operating income</w:t>
            </w:r>
          </w:p>
        </w:tc>
        <w:tc>
          <w:tcPr>
            <w:tcW w:w="118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301</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386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607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790</w:t>
            </w: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income (loss) from non-reportable segments (1)</w:t>
            </w:r>
          </w:p>
        </w:tc>
        <w:tc>
          <w:tcPr>
            <w:tcW w:w="118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5"/>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effect from recognition (deferral) of deferred net revenues and related cost of</w:t>
            </w:r>
          </w:p>
        </w:tc>
        <w:tc>
          <w:tcPr>
            <w:tcW w:w="1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5"/>
        </w:trPr>
        <w:tc>
          <w:tcPr>
            <w:tcW w:w="4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revenues</w:t>
            </w:r>
          </w:p>
        </w:tc>
        <w:tc>
          <w:tcPr>
            <w:tcW w:w="1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182</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557</w:t>
            </w: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1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25"/>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Restructuring and related costs (3)</w:t>
            </w:r>
          </w:p>
        </w:tc>
        <w:tc>
          <w:tcPr>
            <w:tcW w:w="11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r>
      <w:tr>
        <w:trPr>
          <w:trHeight w:val="25"/>
        </w:trPr>
        <w:tc>
          <w:tcPr>
            <w:tcW w:w="4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Consolidated operating income</w:t>
            </w:r>
          </w:p>
        </w:tc>
        <w:tc>
          <w:tcPr>
            <w:tcW w:w="1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336</w:t>
            </w: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434</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906</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1,029</w:t>
            </w: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and other expense (income), net</w:t>
            </w:r>
          </w:p>
        </w:tc>
        <w:tc>
          <w:tcPr>
            <w:tcW w:w="11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54</w:t>
            </w:r>
          </w:p>
        </w:tc>
      </w:tr>
      <w:tr>
        <w:trPr>
          <w:trHeight w:val="25"/>
        </w:trPr>
        <w:tc>
          <w:tcPr>
            <w:tcW w:w="4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Consolidated income before income tax expense</w:t>
            </w:r>
          </w:p>
        </w:tc>
        <w:tc>
          <w:tcPr>
            <w:tcW w:w="118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370</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408</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937</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975</w:t>
            </w:r>
          </w:p>
        </w:tc>
      </w:tr>
      <w:tr>
        <w:trPr>
          <w:trHeight w:val="20"/>
        </w:trPr>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right="100" w:hanging="238"/>
        <w:spacing w:after="0" w:line="265" w:lineRule="auto"/>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7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20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restructuring initiatives, primarily severance and other restructuring-related costs.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60"/>
          </w:cols>
          <w:pgMar w:left="220" w:top="127" w:right="21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Net 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Activision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Activision’s net revenues for the three months ended June 30, 2019, as compared to the three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from the Destiny franchise, the publishing rights to which we sold to Bungie in December 2018, as previously disclosed;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Crash Bandicoot™ N. Sane Trilogy</w:t>
      </w:r>
      <w:r>
        <w:rPr>
          <w:rFonts w:ascii="Times New Roman" w:cs="Times New Roman" w:eastAsia="Times New Roman" w:hAnsi="Times New Roman"/>
          <w:sz w:val="14"/>
          <w:szCs w:val="14"/>
          <w:color w:val="auto"/>
        </w:rPr>
        <w:t>, which was released on the Xbox One, PC, and Nintendo Switch in June 2018;</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from the Call of Duty franchise catalog titles; and</w:t>
      </w:r>
    </w:p>
    <w:p>
      <w:pPr>
        <w:spacing w:after="0" w:line="164" w:lineRule="exact"/>
        <w:rPr>
          <w:rFonts w:ascii="Times New Roman" w:cs="Times New Roman" w:eastAsia="Times New Roman" w:hAnsi="Times New Roman"/>
          <w:sz w:val="14"/>
          <w:szCs w:val="14"/>
          <w:color w:val="auto"/>
        </w:rPr>
      </w:pPr>
    </w:p>
    <w:p>
      <w:pPr>
        <w:ind w:left="240" w:right="1780" w:firstLine="253"/>
        <w:spacing w:after="0" w:line="487" w:lineRule="auto"/>
        <w:tabs>
          <w:tab w:leader="none" w:pos="73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The decrease was partially offset by:</w:t>
      </w:r>
    </w:p>
    <w:p>
      <w:pPr>
        <w:spacing w:after="0" w:line="1"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revenues from </w:t>
      </w:r>
      <w:r>
        <w:rPr>
          <w:rFonts w:ascii="Times New Roman" w:cs="Times New Roman" w:eastAsia="Times New Roman" w:hAnsi="Times New Roman"/>
          <w:sz w:val="14"/>
          <w:szCs w:val="14"/>
          <w:i w:val="1"/>
          <w:iCs w:val="1"/>
          <w:color w:val="auto"/>
        </w:rPr>
        <w:t>Crash Team Racing Nitro-Fueled</w:t>
      </w:r>
      <w:r>
        <w:rPr>
          <w:rFonts w:ascii="Times New Roman" w:cs="Times New Roman" w:eastAsia="Times New Roman" w:hAnsi="Times New Roman"/>
          <w:sz w:val="14"/>
          <w:szCs w:val="14"/>
          <w:color w:val="auto"/>
        </w:rPr>
        <w:t>, which was released in June 2019;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w:t>
      </w: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Activision’s net revenues for the six months ended June 30, 2019, as compared to the six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from the Destiny franchise;</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from Call of Duty franchise catalog titles;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Crash Bandicoot N. Sane Trilogy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Blizzard’s net revenues for the three months ended June 30, 2019, as compared to the three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6" w:lineRule="exact"/>
        <w:rPr>
          <w:rFonts w:ascii="Times New Roman" w:cs="Times New Roman" w:eastAsia="Times New Roman" w:hAnsi="Times New Roman"/>
          <w:sz w:val="14"/>
          <w:szCs w:val="14"/>
          <w:color w:val="auto"/>
        </w:rPr>
      </w:pPr>
    </w:p>
    <w:p>
      <w:pPr>
        <w:ind w:left="740" w:hanging="247"/>
        <w:spacing w:after="0" w:line="268"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primarily driven by lower revenues from the </w:t>
      </w:r>
      <w:r>
        <w:rPr>
          <w:rFonts w:ascii="Times New Roman" w:cs="Times New Roman" w:eastAsia="Times New Roman" w:hAnsi="Times New Roman"/>
          <w:sz w:val="14"/>
          <w:szCs w:val="14"/>
          <w:i w:val="1"/>
          <w:iCs w:val="1"/>
          <w:color w:val="auto"/>
        </w:rPr>
        <w:t>Rise of Shadows</w:t>
      </w:r>
      <w:r>
        <w:rPr>
          <w:rFonts w:ascii="Times New Roman" w:cs="Times New Roman" w:eastAsia="Times New Roman" w:hAnsi="Times New Roman"/>
          <w:sz w:val="14"/>
          <w:szCs w:val="14"/>
          <w:color w:val="auto"/>
        </w:rPr>
        <w:t xml:space="preserve"> expansion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was released in April 2019, as compared to </w:t>
      </w:r>
      <w:r>
        <w:rPr>
          <w:rFonts w:ascii="Times New Roman" w:cs="Times New Roman" w:eastAsia="Times New Roman" w:hAnsi="Times New Roman"/>
          <w:sz w:val="14"/>
          <w:szCs w:val="14"/>
          <w:i w:val="1"/>
          <w:iCs w:val="1"/>
          <w:color w:val="auto"/>
        </w:rPr>
        <w:t>The Witchwood™</w:t>
      </w:r>
      <w:r>
        <w:rPr>
          <w:rFonts w:ascii="Times New Roman" w:cs="Times New Roman" w:eastAsia="Times New Roman" w:hAnsi="Times New Roman"/>
          <w:sz w:val="14"/>
          <w:szCs w:val="14"/>
          <w:color w:val="auto"/>
        </w:rPr>
        <w:t xml:space="preserve"> expansion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was released in April 2018</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w:t>
      </w:r>
    </w:p>
    <w:p>
      <w:pPr>
        <w:spacing w:after="0" w:line="131" w:lineRule="exact"/>
        <w:rPr>
          <w:rFonts w:ascii="Times New Roman" w:cs="Times New Roman" w:eastAsia="Times New Roman" w:hAnsi="Times New Roman"/>
          <w:sz w:val="14"/>
          <w:szCs w:val="14"/>
          <w:color w:val="auto"/>
        </w:rPr>
      </w:pPr>
    </w:p>
    <w:p>
      <w:pPr>
        <w:ind w:left="740" w:right="40" w:hanging="247"/>
        <w:spacing w:after="0" w:line="268"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primarily due to the prior year including revenues associated with in-game content delivered to customers upon pre-purchase of </w:t>
      </w:r>
      <w:r>
        <w:rPr>
          <w:rFonts w:ascii="Times New Roman" w:cs="Times New Roman" w:eastAsia="Times New Roman" w:hAnsi="Times New Roman"/>
          <w:sz w:val="14"/>
          <w:szCs w:val="14"/>
          <w:i w:val="1"/>
          <w:iCs w:val="1"/>
          <w:color w:val="auto"/>
        </w:rPr>
        <w:t>World of Warcraft: Battle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for Azeroth, </w:t>
      </w:r>
      <w:r>
        <w:rPr>
          <w:rFonts w:ascii="Times New Roman" w:cs="Times New Roman" w:eastAsia="Times New Roman" w:hAnsi="Times New Roman"/>
          <w:sz w:val="14"/>
          <w:szCs w:val="14"/>
          <w:color w:val="auto"/>
        </w:rPr>
        <w:t>with no comparable revenues in the current period.</w:t>
      </w: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360"/>
          </w:cols>
          <w:pgMar w:left="220" w:top="127" w:right="3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Blizzard’s net revenues for the six months ended June 30, 2019, as compared to the six months ended June 30, 2018, was primarily due to:</w:t>
      </w:r>
    </w:p>
    <w:p>
      <w:pPr>
        <w:spacing w:after="0" w:line="164" w:lineRule="exact"/>
        <w:rPr>
          <w:sz w:val="20"/>
          <w:szCs w:val="20"/>
          <w:color w:val="auto"/>
        </w:rPr>
      </w:pPr>
    </w:p>
    <w:p>
      <w:pPr>
        <w:ind w:left="740" w:right="60" w:hanging="247"/>
        <w:spacing w:after="0" w:line="268" w:lineRule="auto"/>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primarily due to the prior year including revenues associated with in-game content delivered to customers upon pre-purchase of </w:t>
      </w:r>
      <w:r>
        <w:rPr>
          <w:rFonts w:ascii="Times New Roman" w:cs="Times New Roman" w:eastAsia="Times New Roman" w:hAnsi="Times New Roman"/>
          <w:sz w:val="14"/>
          <w:szCs w:val="14"/>
          <w:i w:val="1"/>
          <w:iCs w:val="1"/>
          <w:color w:val="auto"/>
        </w:rPr>
        <w:t>World of Warcraft: Battle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Azeroth</w:t>
      </w:r>
      <w:r>
        <w:rPr>
          <w:rFonts w:ascii="Times New Roman" w:cs="Times New Roman" w:eastAsia="Times New Roman" w:hAnsi="Times New Roman"/>
          <w:sz w:val="14"/>
          <w:szCs w:val="14"/>
          <w:color w:val="auto"/>
        </w:rPr>
        <w:t>, with no comparable revenues in the current period;</w:t>
      </w:r>
    </w:p>
    <w:p>
      <w:pPr>
        <w:spacing w:after="0" w:line="131"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King</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King’s net revenues for the three months ended June 30, 2019, were roughly equal to net revenues for the three months ended June 30,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King’s net revenues for the six months ended June 30, 2019, were roughly equal to net revenues for the six months ended June 30,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Income from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Activision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decrease in Activision’s operating income for the three months ended June 30, 2019, as compared to the three months ended June 30, 2018, was primarily due to lower revenues, as discussed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was partially offset by lower operating costs associated with the Destiny franchise, the publishing rights to which we sold to Bungie in December 2018, as previously disclosed.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Activision’s operating income for the six months ended June 30, 2019, as compared to the six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primarily driven by the Call of Duty franchise, as discussed above;</w:t>
      </w:r>
    </w:p>
    <w:p>
      <w:pPr>
        <w:spacing w:after="0" w:line="164" w:lineRule="exact"/>
        <w:rPr>
          <w:rFonts w:ascii="Times New Roman" w:cs="Times New Roman" w:eastAsia="Times New Roman" w:hAnsi="Times New Roman"/>
          <w:sz w:val="14"/>
          <w:szCs w:val="14"/>
          <w:color w:val="auto"/>
        </w:rPr>
      </w:pPr>
    </w:p>
    <w:p>
      <w:pPr>
        <w:ind w:left="740" w:hanging="247"/>
        <w:spacing w:after="0" w:line="268" w:lineRule="auto"/>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higher cost of revenues and higher spending on sales and marketing, primarily associated with the launches of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Crash Team Racing Nitro-Fueled</w:t>
      </w:r>
      <w:r>
        <w:rPr>
          <w:rFonts w:ascii="Times New Roman" w:cs="Times New Roman" w:eastAsia="Times New Roman" w:hAnsi="Times New Roman"/>
          <w:sz w:val="14"/>
          <w:szCs w:val="14"/>
          <w:color w:val="auto"/>
        </w:rPr>
        <w:t xml:space="preserve"> in March and June 2019, respectively; and</w:t>
      </w:r>
    </w:p>
    <w:p>
      <w:pPr>
        <w:spacing w:after="0" w:line="133"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bad debt provisions.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was partially offset by lower operating costs associated with the Destiny franchise.</w:t>
      </w: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380"/>
          </w:cols>
          <w:pgMar w:left="220" w:top="127" w:right="29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Blizzard</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The decrease in Blizzard’s operating income for the three months ended June 30, 2019, as compared to the three months ended June 30, 2018, was primarily due to lower revenues, as discussed above. The decrease is partially offset by:</w:t>
      </w:r>
    </w:p>
    <w:p>
      <w:pPr>
        <w:spacing w:after="0" w:line="135" w:lineRule="exact"/>
        <w:rPr>
          <w:sz w:val="20"/>
          <w:szCs w:val="20"/>
          <w:color w:val="auto"/>
        </w:rPr>
      </w:pPr>
    </w:p>
    <w:p>
      <w:pPr>
        <w:ind w:left="740" w:hanging="247"/>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spending on sales and marketing, primarily driven by Overwatch;</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charitable contributions;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personnel costs.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decrease in Blizzard’s operating income for the six months ended June 30, 2019, as compared to the six months ended June 30, 2018, was primarily due to lower revenues, as discussed above. The decrease is partially offset by:</w:t>
      </w:r>
    </w:p>
    <w:p>
      <w:pPr>
        <w:spacing w:after="0" w:line="135" w:lineRule="exact"/>
        <w:rPr>
          <w:sz w:val="20"/>
          <w:szCs w:val="20"/>
          <w:color w:val="auto"/>
        </w:rPr>
      </w:pPr>
    </w:p>
    <w:p>
      <w:pPr>
        <w:ind w:left="740" w:hanging="247"/>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spending on sales and marketing, primarily driven by lower marketing for esports initiatives and Overwatch;</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personnel costs;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service provider fees, such as digital storefront fees (e.g. fees retained by Apple and Google for our sales on their platforms), payment processor fees, and server bandwidth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King</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King’s operating income for the three months ended June 30, 2019, was roughly equal to the three months ended June 30,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decrease in King’s operating income for the six months ended June 30, 2019, as compared to the six months ended June 30, 2018, was primarily due to higher sales and marketing costs driven by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Candy Crush franchise, partially offset by:</w:t>
      </w:r>
    </w:p>
    <w:p>
      <w:pPr>
        <w:spacing w:after="0" w:line="154" w:lineRule="exact"/>
        <w:rPr>
          <w:sz w:val="20"/>
          <w:szCs w:val="20"/>
          <w:color w:val="auto"/>
        </w:rPr>
      </w:pPr>
    </w:p>
    <w:p>
      <w:pPr>
        <w:ind w:left="740" w:hanging="247"/>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service provider fees such as digital storefront fees (e.g. fees retained by Apple and Google for our sales on their platforms), payment processor fees, and server bandwidth fees;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product development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Impact</w:t>
      </w:r>
    </w:p>
    <w:p>
      <w:pPr>
        <w:spacing w:after="0" w:line="170"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Changes in foreign exchange rates had a negative impact of $30 million and $72 million on reportable segment net revenues for the three and six months ended June 30, 2019, respectively, as compared to the same period in the previous year. The changes are primarily due to changes in the value of the U.S. dollar relative to the euro and the British pound.</w:t>
      </w: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380"/>
          </w:cols>
          <w:pgMar w:left="220" w:top="127" w:right="29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Distribution Channel</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distribution channel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60" w:type="dxa"/>
            <w:vAlign w:val="bottom"/>
            <w:gridSpan w:val="8"/>
          </w:tcPr>
          <w:p>
            <w:pPr>
              <w:ind w:left="2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780" w:type="dxa"/>
            <w:vAlign w:val="bottom"/>
          </w:tcPr>
          <w:p>
            <w:pPr>
              <w:spacing w:after="0"/>
              <w:rPr>
                <w:sz w:val="14"/>
                <w:szCs w:val="14"/>
                <w:color w:val="auto"/>
              </w:rPr>
            </w:pPr>
          </w:p>
        </w:tc>
        <w:tc>
          <w:tcPr>
            <w:tcW w:w="3180" w:type="dxa"/>
            <w:vAlign w:val="bottom"/>
            <w:gridSpan w:val="7"/>
          </w:tcPr>
          <w:p>
            <w:pPr>
              <w:jc w:val="right"/>
              <w:ind w:right="973"/>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Increase (Decrease)</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distribution channel:</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2,479</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2,720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Retail channels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(2)</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3,220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3,607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hanging="238"/>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“Digital online channels” include revenues from digitally-distributed subscriptions, downloadable content, microtransactions, and products, as well as licensing royalties.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digital online channels for the three months ended June 30, 2019, as compared to the three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the publishing rights to which we sold to Bungie in December 2018, as previously disclosed;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96" w:lineRule="exact"/>
        <w:rPr>
          <w:sz w:val="20"/>
          <w:szCs w:val="20"/>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digital online channels for the six months ended June 30, 2019, as compared to the six months ended June 30, 2018, was primarily due to lower revenues recognized from the Destiny franchise.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retail channels for the three months ended June 30, 2019, as compared to the three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Crash Bandicoot N. Sane Trilogy</w:t>
      </w:r>
      <w:r>
        <w:rPr>
          <w:rFonts w:ascii="Times New Roman" w:cs="Times New Roman" w:eastAsia="Times New Roman" w:hAnsi="Times New Roman"/>
          <w:sz w:val="14"/>
          <w:szCs w:val="14"/>
          <w:color w:val="auto"/>
        </w:rPr>
        <w:t>, which was released on the Xbox One, PC, and Nintendo Switch in June 2018; and</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revenues recognized from </w:t>
      </w:r>
      <w:r>
        <w:rPr>
          <w:rFonts w:ascii="Times New Roman" w:cs="Times New Roman" w:eastAsia="Times New Roman" w:hAnsi="Times New Roman"/>
          <w:sz w:val="14"/>
          <w:szCs w:val="14"/>
          <w:i w:val="1"/>
          <w:iCs w:val="1"/>
          <w:color w:val="auto"/>
        </w:rPr>
        <w:t>Crash Team Racing Nitro-Fueled</w:t>
      </w:r>
      <w:r>
        <w:rPr>
          <w:rFonts w:ascii="Times New Roman" w:cs="Times New Roman" w:eastAsia="Times New Roman" w:hAnsi="Times New Roman"/>
          <w:sz w:val="14"/>
          <w:szCs w:val="14"/>
          <w:color w:val="auto"/>
        </w:rPr>
        <w:t>, which was released in June 2019.</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460"/>
          </w:cols>
          <w:pgMar w:left="220" w:top="127" w:right="21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retail channels for the six months ended June 30, 2019, as compared to the six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Crash Bandicoot N. Sane Trilogy</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Geographic Region</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geographic region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60" w:type="dxa"/>
            <w:vAlign w:val="bottom"/>
            <w:gridSpan w:val="8"/>
          </w:tcPr>
          <w:p>
            <w:pPr>
              <w:ind w:left="2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780" w:type="dxa"/>
            <w:vAlign w:val="bottom"/>
          </w:tcPr>
          <w:p>
            <w:pPr>
              <w:spacing w:after="0"/>
              <w:rPr>
                <w:sz w:val="14"/>
                <w:szCs w:val="14"/>
                <w:color w:val="auto"/>
              </w:rPr>
            </w:pPr>
          </w:p>
        </w:tc>
        <w:tc>
          <w:tcPr>
            <w:tcW w:w="3180" w:type="dxa"/>
            <w:vAlign w:val="bottom"/>
            <w:gridSpan w:val="7"/>
          </w:tcPr>
          <w:p>
            <w:pPr>
              <w:jc w:val="right"/>
              <w:ind w:right="973"/>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Increase (Decrease)</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geographic region:</w:t>
            </w: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Americas</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15"/>
                <w:szCs w:val="15"/>
                <w:color w:val="auto"/>
              </w:rPr>
            </w:pP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1,751</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EMEA (1)</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1,239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3,220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3,607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“EMEA” consists of the Europe, Middle East, and Africa geographic regions.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Americas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right="24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the Americas region for the three months ended June 30, 2019, as compared to the three months ended June 30, 2018, was primarily due to lower revenues recognized from the Destiny franchise, the publishing rights to which we sold to Bungie in December 2018, as previously disclosed.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16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the Americas region for the six months ended June 30, 2019, as compared to the six months ended June 30, 2018, was primarily due to lower revenues recognized from the Destiny franchise.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EMEA</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EMEA region for the three months ended June 30, 2019, as compared to the three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and</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460"/>
          </w:cols>
          <w:pgMar w:left="220" w:top="127" w:right="21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the EMEA region for the six months ended June 30, 2019, as compared to the six months ended June 30, 2018, was primarily due to the same drivers applicable to the three months ended June 30, 2019 discussed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Asia Pacific</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 xml:space="preserve">The decrease in net revenues from the Asia Pacific region for the three months ended June 30, 2019, as compared to the three months ended June 30, 2018, was primarily due to lower revenues recognized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primarily driven by lower revenues recognized from the </w:t>
      </w:r>
      <w:r>
        <w:rPr>
          <w:rFonts w:ascii="Times New Roman" w:cs="Times New Roman" w:eastAsia="Times New Roman" w:hAnsi="Times New Roman"/>
          <w:sz w:val="14"/>
          <w:szCs w:val="14"/>
          <w:i w:val="1"/>
          <w:iCs w:val="1"/>
          <w:color w:val="auto"/>
        </w:rPr>
        <w:t>Rise of Shadows</w:t>
      </w:r>
      <w:r>
        <w:rPr>
          <w:rFonts w:ascii="Times New Roman" w:cs="Times New Roman" w:eastAsia="Times New Roman" w:hAnsi="Times New Roman"/>
          <w:sz w:val="14"/>
          <w:szCs w:val="14"/>
          <w:color w:val="auto"/>
        </w:rPr>
        <w:t xml:space="preserve"> expansion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was released in April 2019, as compared to </w:t>
      </w:r>
      <w:r>
        <w:rPr>
          <w:rFonts w:ascii="Times New Roman" w:cs="Times New Roman" w:eastAsia="Times New Roman" w:hAnsi="Times New Roman"/>
          <w:sz w:val="14"/>
          <w:szCs w:val="14"/>
          <w:i w:val="1"/>
          <w:iCs w:val="1"/>
          <w:color w:val="auto"/>
        </w:rPr>
        <w:t>The Witchwood</w:t>
      </w:r>
      <w:r>
        <w:rPr>
          <w:rFonts w:ascii="Times New Roman" w:cs="Times New Roman" w:eastAsia="Times New Roman" w:hAnsi="Times New Roman"/>
          <w:sz w:val="14"/>
          <w:szCs w:val="14"/>
          <w:color w:val="auto"/>
        </w:rPr>
        <w:t xml:space="preserve"> expansion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was released in April 2018.</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the Asia Pacific region for the six months ended June 30, 2019, as compared to the six months ended June 30, 2018, was primarily due to lower revenues recognized from the Destiny franchise.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Platform</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platform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60" w:type="dxa"/>
            <w:vAlign w:val="bottom"/>
            <w:gridSpan w:val="8"/>
          </w:tcPr>
          <w:p>
            <w:pPr>
              <w:ind w:left="2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780" w:type="dxa"/>
            <w:vAlign w:val="bottom"/>
          </w:tcPr>
          <w:p>
            <w:pPr>
              <w:spacing w:after="0"/>
              <w:rPr>
                <w:sz w:val="14"/>
                <w:szCs w:val="14"/>
                <w:color w:val="auto"/>
              </w:rPr>
            </w:pPr>
          </w:p>
        </w:tc>
        <w:tc>
          <w:tcPr>
            <w:tcW w:w="3180" w:type="dxa"/>
            <w:vAlign w:val="bottom"/>
            <w:gridSpan w:val="7"/>
          </w:tcPr>
          <w:p>
            <w:pPr>
              <w:jc w:val="right"/>
              <w:ind w:right="973"/>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Increase (Decrease)</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platform:</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Console</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1,083</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PC</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Mobile and ancillary (1)</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(2)</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w:t>
            </w: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8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3,220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3,607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hanging="238"/>
        <w:spacing w:after="0"/>
        <w:tabs>
          <w:tab w:leader="none" w:pos="2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revenues from “Mobile and ancillary” include revenues from mobile devices, as well as non-platform-specific game-related revenues, such as standalone sales of physical merchandise and accessories.</w:t>
      </w:r>
    </w:p>
    <w:p>
      <w:pPr>
        <w:spacing w:after="0" w:line="189" w:lineRule="exact"/>
        <w:rPr>
          <w:rFonts w:ascii="Times New Roman" w:cs="Times New Roman" w:eastAsia="Times New Roman" w:hAnsi="Times New Roman"/>
          <w:sz w:val="12"/>
          <w:szCs w:val="12"/>
          <w:color w:val="auto"/>
        </w:rPr>
      </w:pPr>
    </w:p>
    <w:p>
      <w:pPr>
        <w:ind w:left="240" w:hanging="238"/>
        <w:spacing w:after="0"/>
        <w:tabs>
          <w:tab w:leader="none" w:pos="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Console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console platform for the three months ended June 30, 2019, as compared to the three months ended June 30, 2018, was primarily due to:</w:t>
      </w:r>
    </w:p>
    <w:p>
      <w:pPr>
        <w:spacing w:after="0" w:line="164" w:lineRule="exact"/>
        <w:rPr>
          <w:sz w:val="20"/>
          <w:szCs w:val="20"/>
          <w:color w:val="auto"/>
        </w:rPr>
      </w:pPr>
    </w:p>
    <w:p>
      <w:pPr>
        <w:ind w:left="740" w:hanging="247"/>
        <w:spacing w:after="0"/>
        <w:tabs>
          <w:tab w:leader="none" w:pos="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the publishing rights to which we sold to Bungie in December 2018, as previously disclosed;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Crash Bandicoot N. Sane Trilogy</w:t>
      </w:r>
      <w:r>
        <w:rPr>
          <w:rFonts w:ascii="Times New Roman" w:cs="Times New Roman" w:eastAsia="Times New Roman" w:hAnsi="Times New Roman"/>
          <w:sz w:val="14"/>
          <w:szCs w:val="14"/>
          <w:color w:val="auto"/>
        </w:rPr>
        <w:t xml:space="preserve"> which was released on the Xbox One, PC, and Nintendo Switch in June 2018; 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460"/>
          </w:cols>
          <w:pgMar w:left="220" w:top="127" w:right="21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740" w:hanging="247"/>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Call of Duty franchise catalog titles.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revenues recognized from </w:t>
      </w:r>
      <w:r>
        <w:rPr>
          <w:rFonts w:ascii="Times New Roman" w:cs="Times New Roman" w:eastAsia="Times New Roman" w:hAnsi="Times New Roman"/>
          <w:sz w:val="14"/>
          <w:szCs w:val="14"/>
          <w:i w:val="1"/>
          <w:iCs w:val="1"/>
          <w:color w:val="auto"/>
        </w:rPr>
        <w:t>Crash Team Racing Nitro-Fueled</w:t>
      </w:r>
      <w:r>
        <w:rPr>
          <w:rFonts w:ascii="Times New Roman" w:cs="Times New Roman" w:eastAsia="Times New Roman" w:hAnsi="Times New Roman"/>
          <w:sz w:val="14"/>
          <w:szCs w:val="14"/>
          <w:color w:val="auto"/>
        </w:rPr>
        <w:t>, which was released in June 2019.</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console platform for the six months ended June 30, 2019, as compared to the six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and</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Call of Duty franchise catalog titles.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PC</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PC platform for the three months ended June 30, 2019, as compared to the three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and</w:t>
      </w:r>
    </w:p>
    <w:p>
      <w:pPr>
        <w:spacing w:after="0" w:line="166" w:lineRule="exact"/>
        <w:rPr>
          <w:rFonts w:ascii="Times New Roman" w:cs="Times New Roman" w:eastAsia="Times New Roman" w:hAnsi="Times New Roman"/>
          <w:sz w:val="14"/>
          <w:szCs w:val="14"/>
          <w:color w:val="auto"/>
        </w:rPr>
      </w:pPr>
    </w:p>
    <w:p>
      <w:pPr>
        <w:ind w:left="740" w:right="540" w:hanging="247"/>
        <w:spacing w:after="0" w:line="268" w:lineRule="auto"/>
        <w:tabs>
          <w:tab w:leader="none" w:pos="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primarily driven by lower revenues recognized from the </w:t>
      </w:r>
      <w:r>
        <w:rPr>
          <w:rFonts w:ascii="Times New Roman" w:cs="Times New Roman" w:eastAsia="Times New Roman" w:hAnsi="Times New Roman"/>
          <w:sz w:val="14"/>
          <w:szCs w:val="14"/>
          <w:i w:val="1"/>
          <w:iCs w:val="1"/>
          <w:color w:val="auto"/>
        </w:rPr>
        <w:t>Rise of Shadows</w:t>
      </w:r>
      <w:r>
        <w:rPr>
          <w:rFonts w:ascii="Times New Roman" w:cs="Times New Roman" w:eastAsia="Times New Roman" w:hAnsi="Times New Roman"/>
          <w:sz w:val="14"/>
          <w:szCs w:val="14"/>
          <w:color w:val="auto"/>
        </w:rPr>
        <w:t xml:space="preserve"> expansion, which was released in April 2019, as compared to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Witchwood </w:t>
      </w:r>
      <w:r>
        <w:rPr>
          <w:rFonts w:ascii="Times New Roman" w:cs="Times New Roman" w:eastAsia="Times New Roman" w:hAnsi="Times New Roman"/>
          <w:sz w:val="14"/>
          <w:szCs w:val="14"/>
          <w:color w:val="auto"/>
        </w:rPr>
        <w:t>expansion, which was released in April 2018.</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PC platform for the six months ended June 30, 2019, as compared to the six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245"/>
        <w:spacing w:after="0" w:line="268" w:lineRule="auto"/>
        <w:rPr>
          <w:sz w:val="20"/>
          <w:szCs w:val="20"/>
          <w:color w:val="auto"/>
        </w:rPr>
      </w:pPr>
      <w:r>
        <w:rPr>
          <w:rFonts w:ascii="Times New Roman" w:cs="Times New Roman" w:eastAsia="Times New Roman" w:hAnsi="Times New Roman"/>
          <w:sz w:val="14"/>
          <w:szCs w:val="14"/>
          <w:color w:val="auto"/>
        </w:rPr>
        <w:t xml:space="preserve">The decrease was partially offset by higher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Mobile and Ancillary</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from mobile and ancillary for the three months ended June 30, 2019, were roughly equal to net revenues for the three months ended June 30,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from mobile and ancillary for the six months ended June 30, 2019, were roughly equal to net revenues for the six months ended June 30, 2018.</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420"/>
          </w:cols>
          <w:pgMar w:left="220" w:top="127" w:right="2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the components of cost of revenues in dollars (amounts in millions) and as a percentage of associated net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Three Months Ended June</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00" w:type="dxa"/>
            <w:vAlign w:val="bottom"/>
          </w:tcPr>
          <w:p>
            <w:pPr>
              <w:spacing w:after="0"/>
              <w:rPr>
                <w:sz w:val="13"/>
                <w:szCs w:val="13"/>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Three Months Ended June</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30, 2019</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500" w:type="dxa"/>
            <w:vAlign w:val="bottom"/>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30, 2018</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1"/>
        </w:trPr>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7"/>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51</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49</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230</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250</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80" w:type="dxa"/>
            <w:vAlign w:val="bottom"/>
          </w:tcPr>
          <w:p>
            <w:pPr>
              <w:spacing w:after="0"/>
              <w:rPr>
                <w:sz w:val="15"/>
                <w:szCs w:val="15"/>
                <w:color w:val="auto"/>
              </w:rPr>
            </w:pP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53</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85</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433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510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600" w:type="dxa"/>
            <w:vAlign w:val="bottom"/>
            <w:gridSpan w:val="2"/>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600" w:type="dxa"/>
            <w:vAlign w:val="bottom"/>
            <w:gridSpan w:val="2"/>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1"/>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500" w:type="dxa"/>
            <w:vAlign w:val="bottom"/>
          </w:tcPr>
          <w:p>
            <w:pPr>
              <w:jc w:val="right"/>
              <w:ind w:right="61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251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289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1"/>
        </w:trPr>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7"/>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162</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194</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469</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521</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80" w:type="dxa"/>
            <w:vAlign w:val="bottom"/>
          </w:tcPr>
          <w:p>
            <w:pPr>
              <w:spacing w:after="0"/>
              <w:rPr>
                <w:sz w:val="15"/>
                <w:szCs w:val="15"/>
                <w:color w:val="auto"/>
              </w:rPr>
            </w:pP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114</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169</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1,173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Revenues—Product Sales: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product costs for the three months ended June 30, 2019, as compared to the three months ended June 30, 2018, was in line with the decrease in product sales.</w:t>
      </w:r>
    </w:p>
    <w:p>
      <w:pPr>
        <w:spacing w:after="0" w:line="166" w:lineRule="exact"/>
        <w:rPr>
          <w:sz w:val="20"/>
          <w:szCs w:val="20"/>
          <w:color w:val="auto"/>
        </w:rPr>
      </w:pPr>
    </w:p>
    <w:p>
      <w:pPr>
        <w:ind w:right="20" w:firstLine="245"/>
        <w:spacing w:after="0" w:line="251" w:lineRule="auto"/>
        <w:rPr>
          <w:sz w:val="20"/>
          <w:szCs w:val="20"/>
          <w:color w:val="auto"/>
        </w:rPr>
      </w:pPr>
      <w:r>
        <w:rPr>
          <w:rFonts w:ascii="Times New Roman" w:cs="Times New Roman" w:eastAsia="Times New Roman" w:hAnsi="Times New Roman"/>
          <w:sz w:val="14"/>
          <w:szCs w:val="14"/>
          <w:color w:val="auto"/>
        </w:rPr>
        <w:t xml:space="preserve">The slight increase in software royalties, amortization, and intellectual property licenses related to product sales for the three months ended June 30, 2019, as compared to the three months ended June 30, 2018, was primarily due to an increase of $9 million in software amortization and royalties from Blizzard, driven by the release of </w:t>
      </w:r>
      <w:r>
        <w:rPr>
          <w:rFonts w:ascii="Times New Roman" w:cs="Times New Roman" w:eastAsia="Times New Roman" w:hAnsi="Times New Roman"/>
          <w:sz w:val="14"/>
          <w:szCs w:val="14"/>
          <w:i w:val="1"/>
          <w:iCs w:val="1"/>
          <w:color w:val="auto"/>
        </w:rPr>
        <w:t>World of Warcraft: Battle for Azeroth</w:t>
      </w:r>
      <w:r>
        <w:rPr>
          <w:rFonts w:ascii="Times New Roman" w:cs="Times New Roman" w:eastAsia="Times New Roman" w:hAnsi="Times New Roman"/>
          <w:sz w:val="14"/>
          <w:szCs w:val="14"/>
          <w:color w:val="auto"/>
        </w:rPr>
        <w:t xml:space="preserve"> in August 2018, with no comparable release in 2017. The increase from Blizzard was partially offset by a decrease of $6 million in software amortization and royalties from Activision, driven by the Destiny franchise, the publishing rights to which we sold to Bungie in December 2018, as previously disclosed.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product costs for the six months ended June 30, 2019, as compared to the six months ended June 30, 2018, was in line with the decrease in product sales.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460"/>
          </w:cols>
          <w:pgMar w:left="220" w:top="127" w:right="21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The decrease in software royalties, amortization, and intellectual property licenses related to product sales for the six months ended June 30, 2019, as compared to the six months ended June 30, 2018, was primarily due to a decrease of $48 million in software amortization and royalties from Activision, driven by the Destiny franchise. The decrease in software amortization and royalties from the Destiny franchise was partially offset by:</w:t>
      </w:r>
    </w:p>
    <w:p>
      <w:pPr>
        <w:spacing w:after="0" w:line="141" w:lineRule="exact"/>
        <w:rPr>
          <w:sz w:val="20"/>
          <w:szCs w:val="20"/>
          <w:color w:val="auto"/>
        </w:rPr>
      </w:pPr>
    </w:p>
    <w:p>
      <w:pPr>
        <w:ind w:left="740" w:hanging="247"/>
        <w:spacing w:after="0"/>
        <w:tabs>
          <w:tab w:leader="none" w:pos="7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higher software amortization and royalties for </w:t>
      </w:r>
      <w:r>
        <w:rPr>
          <w:rFonts w:ascii="Times New Roman" w:cs="Times New Roman" w:eastAsia="Times New Roman" w:hAnsi="Times New Roman"/>
          <w:sz w:val="12"/>
          <w:szCs w:val="12"/>
          <w:i w:val="1"/>
          <w:iCs w:val="1"/>
          <w:color w:val="auto"/>
        </w:rPr>
        <w:t>Call of Duty: Black Ops 4</w:t>
      </w:r>
      <w:r>
        <w:rPr>
          <w:rFonts w:ascii="Times New Roman" w:cs="Times New Roman" w:eastAsia="Times New Roman" w:hAnsi="Times New Roman"/>
          <w:sz w:val="12"/>
          <w:szCs w:val="12"/>
          <w:color w:val="auto"/>
        </w:rPr>
        <w:t xml:space="preserve">, which was released in October 2018, as compared to </w:t>
      </w:r>
      <w:r>
        <w:rPr>
          <w:rFonts w:ascii="Times New Roman" w:cs="Times New Roman" w:eastAsia="Times New Roman" w:hAnsi="Times New Roman"/>
          <w:sz w:val="12"/>
          <w:szCs w:val="12"/>
          <w:i w:val="1"/>
          <w:iCs w:val="1"/>
          <w:color w:val="auto"/>
        </w:rPr>
        <w:t>Call of Duty: WWII</w:t>
      </w:r>
      <w:r>
        <w:rPr>
          <w:rFonts w:ascii="Times New Roman" w:cs="Times New Roman" w:eastAsia="Times New Roman" w:hAnsi="Times New Roman"/>
          <w:sz w:val="12"/>
          <w:szCs w:val="12"/>
          <w:color w:val="auto"/>
        </w:rPr>
        <w:t>, which was released in November 2017; and</w:t>
      </w:r>
    </w:p>
    <w:p>
      <w:pPr>
        <w:spacing w:after="0" w:line="189" w:lineRule="exact"/>
        <w:rPr>
          <w:rFonts w:ascii="Times New Roman" w:cs="Times New Roman" w:eastAsia="Times New Roman" w:hAnsi="Times New Roman"/>
          <w:sz w:val="12"/>
          <w:szCs w:val="12"/>
          <w:color w:val="auto"/>
        </w:rPr>
      </w:pPr>
    </w:p>
    <w:p>
      <w:pPr>
        <w:ind w:left="740" w:hanging="247"/>
        <w:spacing w:after="0"/>
        <w:tabs>
          <w:tab w:leader="none" w:pos="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software amortization and royalties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from Activision was partially offset by an increase of $16 million in software amortization and royalties from Blizzard, driven by the release of </w:t>
      </w:r>
      <w:r>
        <w:rPr>
          <w:rFonts w:ascii="Times New Roman" w:cs="Times New Roman" w:eastAsia="Times New Roman" w:hAnsi="Times New Roman"/>
          <w:sz w:val="14"/>
          <w:szCs w:val="14"/>
          <w:i w:val="1"/>
          <w:iCs w:val="1"/>
          <w:color w:val="auto"/>
        </w:rPr>
        <w:t>World of Warcraft: Battle for Azeroth</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Revenues—Subscription, Licensing, and Other Revenues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right="200" w:firstLine="245"/>
        <w:spacing w:after="0" w:line="265" w:lineRule="auto"/>
        <w:rPr>
          <w:sz w:val="20"/>
          <w:szCs w:val="20"/>
          <w:color w:val="auto"/>
        </w:rPr>
      </w:pPr>
      <w:r>
        <w:rPr>
          <w:rFonts w:ascii="Times New Roman" w:cs="Times New Roman" w:eastAsia="Times New Roman" w:hAnsi="Times New Roman"/>
          <w:sz w:val="14"/>
          <w:szCs w:val="14"/>
          <w:color w:val="auto"/>
        </w:rPr>
        <w:t>The decrease in game operations and distribution costs for the three months ended June 30, 2019, as compared to the three months ended June 30, 2018, was primarily due to a decrease of $13 million in service provider fees such as digital storefront fees (e.g. fees retained by Apple and Google for our sales on their platforms), payment processor fees, and server bandwidth fees.</w:t>
      </w:r>
    </w:p>
    <w:p>
      <w:pPr>
        <w:spacing w:after="0" w:line="135" w:lineRule="exact"/>
        <w:rPr>
          <w:sz w:val="20"/>
          <w:szCs w:val="20"/>
          <w:color w:val="auto"/>
        </w:rPr>
      </w:pPr>
    </w:p>
    <w:p>
      <w:pPr>
        <w:ind w:right="140" w:firstLine="245"/>
        <w:spacing w:after="0" w:line="265" w:lineRule="auto"/>
        <w:rPr>
          <w:sz w:val="20"/>
          <w:szCs w:val="20"/>
          <w:color w:val="auto"/>
        </w:rPr>
      </w:pPr>
      <w:r>
        <w:rPr>
          <w:rFonts w:ascii="Times New Roman" w:cs="Times New Roman" w:eastAsia="Times New Roman" w:hAnsi="Times New Roman"/>
          <w:sz w:val="14"/>
          <w:szCs w:val="14"/>
          <w:color w:val="auto"/>
        </w:rPr>
        <w:t>The decrease in software royalties, amortization, and intellectual property licenses related to subscription, licensing, and other revenues for the three months ended June 30, 2019, as compared to the three months ended June 30, 2018, was primarily due to a decrease of $29 million in amortization of internally-developed franchise intangible assets acquired as part of our acquisition of King.</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The decrease in game operations and distribution costs for the six months ended June 30, 2019, as compared to the six months ended June 30, 2018, was primarily due to a decrease of $32 million in service provider fees such as digital storefront fees (e.g. fees retained by Apple and Google for our sales on their platforms), payment processor fees, and server bandwidth fees.</w:t>
      </w:r>
    </w:p>
    <w:p>
      <w:pPr>
        <w:spacing w:after="0" w:line="135" w:lineRule="exact"/>
        <w:rPr>
          <w:sz w:val="20"/>
          <w:szCs w:val="20"/>
          <w:color w:val="auto"/>
        </w:rPr>
      </w:pPr>
    </w:p>
    <w:p>
      <w:pPr>
        <w:ind w:right="360" w:firstLine="245"/>
        <w:spacing w:after="0" w:line="265" w:lineRule="auto"/>
        <w:rPr>
          <w:sz w:val="20"/>
          <w:szCs w:val="20"/>
          <w:color w:val="auto"/>
        </w:rPr>
      </w:pPr>
      <w:r>
        <w:rPr>
          <w:rFonts w:ascii="Times New Roman" w:cs="Times New Roman" w:eastAsia="Times New Roman" w:hAnsi="Times New Roman"/>
          <w:sz w:val="14"/>
          <w:szCs w:val="14"/>
          <w:color w:val="auto"/>
        </w:rPr>
        <w:t>The decrease in software royalties, amortization, and intellectual property licenses related to subscription, licensing, and other revenues for the six months ended June 30, 2019, as compared to the six months ended June 30, 2018, was primarily due to a decrease of $49 million in amortization of internally-developed franchise intangible assets acquired as part of our acquisition of King.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Development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00" w:type="dxa"/>
            <w:vAlign w:val="bottom"/>
          </w:tcPr>
          <w:p>
            <w:pPr>
              <w:spacing w:after="0"/>
              <w:rPr>
                <w:sz w:val="14"/>
                <w:szCs w:val="14"/>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(11)</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(21)</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The decrease in product development costs for the three months ended June 30, 2019, as compared to the three months ended June 30, 2018, was primarily driven by lower product development costs from the Destiny franchise, the publishing rights to which we sold to Bungie in December 2018, as previously disclosed.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The decrease in product development costs for the six months ended June 30, 2019, as compared to the six months ended June 30, 2018, was primarily driven by lower product development costs from the Destiny franchise.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460"/>
          </w:cols>
          <w:pgMar w:left="220" w:top="127" w:right="21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00" w:type="dxa"/>
            <w:vAlign w:val="bottom"/>
          </w:tcPr>
          <w:p>
            <w:pPr>
              <w:spacing w:after="0"/>
              <w:rPr>
                <w:sz w:val="14"/>
                <w:szCs w:val="14"/>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(35)</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(80)</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jc w:val="both"/>
        <w:ind w:right="80" w:firstLine="245"/>
        <w:spacing w:after="0" w:line="349" w:lineRule="auto"/>
        <w:rPr>
          <w:sz w:val="20"/>
          <w:szCs w:val="20"/>
          <w:color w:val="auto"/>
        </w:rPr>
      </w:pPr>
      <w:r>
        <w:rPr>
          <w:rFonts w:ascii="Times New Roman" w:cs="Times New Roman" w:eastAsia="Times New Roman" w:hAnsi="Times New Roman"/>
          <w:sz w:val="12"/>
          <w:szCs w:val="12"/>
          <w:color w:val="auto"/>
        </w:rPr>
        <w:t>The decrease in sales and marketing expenses for the three months ended June 30, 2019, as compared to the three months ended June 30, 2018, was primarily due to a decrease of $35 million in marketing spending and personnel costs, primarily associated with lower marketing costs for the Overwatch and Destiny franchises, partially offset by higher marketing costs for the Candy Crush franchise.</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sales and marketing expenses for the six months ended June 30, 2019, as compared to the six months ended June 30, 2018, was primarily due to:</w:t>
      </w:r>
    </w:p>
    <w:p>
      <w:pPr>
        <w:spacing w:after="0" w:line="164" w:lineRule="exact"/>
        <w:rPr>
          <w:sz w:val="20"/>
          <w:szCs w:val="20"/>
          <w:color w:val="auto"/>
        </w:rPr>
      </w:pPr>
    </w:p>
    <w:p>
      <w:pPr>
        <w:ind w:left="740" w:right="240" w:hanging="247"/>
        <w:spacing w:after="0" w:line="268" w:lineRule="auto"/>
        <w:tabs>
          <w:tab w:leader="none" w:pos="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decrease of $47 million in marketing spending and personnel costs, primarily associated with lower marketing costs for esports initiatives and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partially offset by higher marketing costs for the Candy Crush franchise; and</w:t>
      </w:r>
    </w:p>
    <w:p>
      <w:pPr>
        <w:spacing w:after="0" w:line="133"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$44 million in amortization of the customer base intangible asset acquired as part of our acquisition of King, as the asset was fully amortized during the first quarter of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00" w:type="dxa"/>
            <w:vAlign w:val="bottom"/>
          </w:tcPr>
          <w:p>
            <w:pPr>
              <w:spacing w:after="0"/>
              <w:rPr>
                <w:sz w:val="14"/>
                <w:szCs w:val="14"/>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112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(46)</w:t>
            </w:r>
          </w:p>
        </w:tc>
      </w:tr>
      <w:tr>
        <w:trPr>
          <w:trHeight w:val="18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w:t>
            </w:r>
          </w:p>
        </w:tc>
        <w:tc>
          <w:tcPr>
            <w:tcW w:w="12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(65)</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general and administrative expenses for the three months ended June 30, 2019, as compared to the three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$33 million decrease in personnel costs; and</w:t>
      </w:r>
    </w:p>
    <w:p>
      <w:pPr>
        <w:spacing w:after="0" w:line="164" w:lineRule="exact"/>
        <w:rPr>
          <w:rFonts w:ascii="Times New Roman" w:cs="Times New Roman" w:eastAsia="Times New Roman" w:hAnsi="Times New Roman"/>
          <w:sz w:val="14"/>
          <w:szCs w:val="14"/>
          <w:color w:val="auto"/>
        </w:rPr>
      </w:pPr>
    </w:p>
    <w:p>
      <w:pPr>
        <w:ind w:left="740" w:right="200" w:hanging="247"/>
        <w:spacing w:after="0" w:line="268" w:lineRule="auto"/>
        <w:tabs>
          <w:tab w:leader="none" w:pos="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$13 million decrease in charitable contributions, primarily driven by a charitable campaign in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xml:space="preserve"> during the prior year where all proceeds from the sale of a special in-game item were donated to charity, with no equivalent campaign in 2019.</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right="120" w:firstLine="245"/>
        <w:spacing w:after="0" w:line="265" w:lineRule="auto"/>
        <w:rPr>
          <w:sz w:val="20"/>
          <w:szCs w:val="20"/>
          <w:color w:val="auto"/>
        </w:rPr>
      </w:pPr>
      <w:r>
        <w:rPr>
          <w:rFonts w:ascii="Times New Roman" w:cs="Times New Roman" w:eastAsia="Times New Roman" w:hAnsi="Times New Roman"/>
          <w:sz w:val="14"/>
          <w:szCs w:val="14"/>
          <w:color w:val="auto"/>
        </w:rPr>
        <w:t>The decrease in general and administrative expenses for the six months ended June 30, 2019, as compared to the six months ended June 30, 2018, was primarily due to a $47 million decrease in personnel costs.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440"/>
          </w:cols>
          <w:pgMar w:left="220" w:top="127"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and related costs (amounts in millions)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114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Six Months Ended</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79</w:t>
            </w:r>
          </w:p>
        </w:tc>
      </w:tr>
    </w:tbl>
    <w:p>
      <w:pPr>
        <w:spacing w:after="0" w:line="172"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On February 12, 2019, the Company committed to a Board-authorized restructuring plan under which we are refocusing our resources on our largest opportunities and removing unnecessary levels of complexity and duplication from certain parts of our business. The costs incurred during the three and six months ended June 30, 2019, relate primarily to severance costs and the write-downs of assets that will no longer be used. Refer to Note 14 of the notes to the condensed consolidated financial statements included in Item 1 of this Quarterly Report on Form 10-Q for further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Expense (Income), Net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00" w:type="dxa"/>
            <w:vAlign w:val="bottom"/>
          </w:tcPr>
          <w:p>
            <w:pPr>
              <w:spacing w:after="0"/>
              <w:rPr>
                <w:sz w:val="14"/>
                <w:szCs w:val="14"/>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(60)</w:t>
            </w: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(85)</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Q2 2019 vs.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interest and other expense (income), net, for the three months ended June 30, 2019, as compared to the three months ended June 30, 2018, was primarily due to:</w:t>
      </w:r>
    </w:p>
    <w:p>
      <w:pPr>
        <w:spacing w:after="0" w:line="166" w:lineRule="exact"/>
        <w:rPr>
          <w:sz w:val="20"/>
          <w:szCs w:val="20"/>
          <w:color w:val="auto"/>
        </w:rPr>
      </w:pPr>
    </w:p>
    <w:p>
      <w:pPr>
        <w:ind w:left="740" w:right="200" w:hanging="247"/>
        <w:spacing w:after="0" w:line="265" w:lineRule="auto"/>
        <w:tabs>
          <w:tab w:leader="none" w:pos="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$38 million gain recognized as a result of adjusting a cost-method equity investment to fair value, with no comparable activity in the prior period (refer to Note 8 of the notes to the condensed consolidated financial statements included in Item 1 of this Quarterly Report on Form 10-Q); and</w:t>
      </w:r>
    </w:p>
    <w:p>
      <w:pPr>
        <w:spacing w:after="0" w:line="135" w:lineRule="exact"/>
        <w:rPr>
          <w:rFonts w:ascii="Times New Roman" w:cs="Times New Roman" w:eastAsia="Times New Roman" w:hAnsi="Times New Roman"/>
          <w:sz w:val="14"/>
          <w:szCs w:val="14"/>
          <w:color w:val="auto"/>
        </w:rPr>
      </w:pPr>
    </w:p>
    <w:p>
      <w:pPr>
        <w:ind w:left="740" w:right="620" w:hanging="247"/>
        <w:spacing w:after="0" w:line="265" w:lineRule="auto"/>
        <w:tabs>
          <w:tab w:leader="none" w:pos="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 million decrease in interest expense and amortization of deferred financing costs associated with our debt obligations due to our lower total debt outstanding as a result of our debt redemptions and repayment activities during 2018.</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YTD Q2 2019 vs. YTD Q2 2018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interest and other expense (income), net, for the six months ended June 30, 2019, as compared to the six months ended June 30, 2018, was primarily due to:</w:t>
      </w:r>
    </w:p>
    <w:p>
      <w:pPr>
        <w:spacing w:after="0" w:line="166" w:lineRule="exact"/>
        <w:rPr>
          <w:sz w:val="20"/>
          <w:szCs w:val="20"/>
          <w:color w:val="auto"/>
        </w:rPr>
      </w:pPr>
    </w:p>
    <w:p>
      <w:pPr>
        <w:ind w:left="740" w:hanging="247"/>
        <w:spacing w:after="0"/>
        <w:tabs>
          <w:tab w:leader="none" w:pos="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$38 million gain recognized as a result of adjusting a cost-method equity investment to fair value, with no comparable activity in the prior period;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$38 million decrease in interest expense and amortization of deferred financing costs associated with our debt obligations.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440"/>
          </w:cols>
          <w:pgMar w:left="220" w:top="127"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 (amounts in millions)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 of pretax income</w:t>
            </w: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2018</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 of pretax income</w:t>
            </w:r>
          </w:p>
        </w:tc>
        <w:tc>
          <w:tcPr>
            <w:tcW w:w="10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36</w:t>
            </w:r>
          </w:p>
        </w:tc>
      </w:tr>
      <w:tr>
        <w:trPr>
          <w:trHeight w:val="18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Six Months Ended</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90</w:t>
            </w:r>
          </w:p>
        </w:tc>
      </w:tr>
    </w:tbl>
    <w:p>
      <w:pPr>
        <w:spacing w:after="0" w:line="172" w:lineRule="exact"/>
        <w:rPr>
          <w:sz w:val="20"/>
          <w:szCs w:val="20"/>
          <w:color w:val="auto"/>
        </w:rPr>
      </w:pPr>
    </w:p>
    <w:p>
      <w:pPr>
        <w:ind w:right="60" w:firstLine="245"/>
        <w:spacing w:after="0" w:line="251" w:lineRule="auto"/>
        <w:rPr>
          <w:sz w:val="20"/>
          <w:szCs w:val="20"/>
          <w:color w:val="auto"/>
        </w:rPr>
      </w:pPr>
      <w:r>
        <w:rPr>
          <w:rFonts w:ascii="Times New Roman" w:cs="Times New Roman" w:eastAsia="Times New Roman" w:hAnsi="Times New Roman"/>
          <w:sz w:val="14"/>
          <w:szCs w:val="14"/>
          <w:color w:val="auto"/>
        </w:rPr>
        <w:t>The income tax expense of $42 million for the three months ended June 30, 2019, reflects an effective tax rate of 11%, which is higher than the effective tax rate of 1% for the three months ended June 30, 2018. The increase is primarily due to a discrete tax benefit recognized in the prior-year in connection with an IRS audit settlement, lower excess tax benefits from share-based payments in the current year, and an increase in U.S. tax on foreign earnings. This increase was partially offset by a valuation allowance recorded in the prior year with regard to CA R&amp;D Credits and a discrete tax benefit in the current year from a foreign tax audit settlement.</w:t>
      </w:r>
    </w:p>
    <w:p>
      <w:pPr>
        <w:spacing w:after="0" w:line="145"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income tax expense of $163 million for the six months ended June 30, 2019, reflects an effective tax rate of 17%, which is higher than the effective tax rate of 7% for the six months ended June 30, 2018. The increase is primarily due to the factors discussed above for the three months ended June 30, 2019, as compared to the three months ended June 30, 2018.</w:t>
      </w:r>
    </w:p>
    <w:p>
      <w:pPr>
        <w:spacing w:after="0" w:line="135"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The effective tax rate of 11% and 17% for the three and six months ended June 30, 2019, respectively, is lower than the U.S. statutory rate of 21%, primarily due to a discrete tax benefit in the current year related to a foreign tax audit settlement and the recognition of federal research and development credits, partially offset by the valuation allowance recorded with regard to CA R&amp;D Credits.</w:t>
      </w:r>
    </w:p>
    <w:p>
      <w:pPr>
        <w:spacing w:after="0" w:line="135"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Further information about our income taxes is provided in Note 16 of the notes to the condensed consolidated financial statements included in Item 1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14"/>
          <w:szCs w:val="14"/>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$4.7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our anticipated dividend payments, share repurchases, and scheduled debt maturities, include our cash and cash equivalents, short-term investments, and cash flows provided by operating activities.</w:t>
      </w:r>
    </w:p>
    <w:p>
      <w:pPr>
        <w:spacing w:after="0" w:line="147"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As of June 30, 2019, the amount of cash and cash equivalents held outside of the U.S. by our foreign subsidiaries was $2.0 billion, as compared to $1.4 billion as of December 31, 2018. These cash balances are generally available for use in the U.S., subject in some cases to certain restrictions.</w:t>
      </w:r>
    </w:p>
    <w:p>
      <w:pPr>
        <w:spacing w:after="0" w:line="135"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460"/>
          </w:cols>
          <w:pgMar w:left="220" w:top="127" w:right="21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 (amounts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June 30, 2019</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jc w:val="center"/>
              <w:ind w:left="419"/>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20" w:type="dxa"/>
            <w:vAlign w:val="bottom"/>
            <w:tcBorders>
              <w:bottom w:val="single" w:sz="8" w:color="CCEEFF"/>
            </w:tcBorders>
            <w:gridSpan w:val="2"/>
            <w:shd w:val="clear" w:color="auto" w:fill="CCEEFF"/>
          </w:tcPr>
          <w:p>
            <w:pPr>
              <w:jc w:val="right"/>
              <w:ind w:right="137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4,592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143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4,225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367</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37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4,676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43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4,380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296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502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Percentage of total assets</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456"/>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69"/>
        </w:trPr>
        <w:tc>
          <w:tcPr>
            <w:tcW w:w="5020" w:type="dxa"/>
            <w:vAlign w:val="bottom"/>
          </w:tcPr>
          <w:p>
            <w:pPr>
              <w:spacing w:after="0"/>
              <w:rPr>
                <w:sz w:val="14"/>
                <w:szCs w:val="14"/>
                <w:color w:val="auto"/>
              </w:rPr>
            </w:pPr>
          </w:p>
        </w:tc>
        <w:tc>
          <w:tcPr>
            <w:tcW w:w="1520" w:type="dxa"/>
            <w:vAlign w:val="bottom"/>
            <w:gridSpan w:val="2"/>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left="453"/>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cash provided by operating activities</w:t>
            </w:r>
          </w:p>
        </w:tc>
        <w:tc>
          <w:tcPr>
            <w:tcW w:w="1520" w:type="dxa"/>
            <w:vAlign w:val="bottom"/>
            <w:tcBorders>
              <w:bottom w:val="single" w:sz="8" w:color="CCEEFF"/>
            </w:tcBorders>
            <w:gridSpan w:val="2"/>
            <w:shd w:val="clear" w:color="auto" w:fill="CCEEFF"/>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66</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161</w:t>
            </w:r>
          </w:p>
        </w:tc>
      </w:tr>
      <w:tr>
        <w:trPr>
          <w:trHeight w:val="21"/>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cash used in financing activities</w:t>
            </w:r>
          </w:p>
        </w:tc>
        <w:tc>
          <w:tcPr>
            <w:tcW w:w="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22</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increase in cash and cash equivalents and restricted cash</w:t>
            </w:r>
          </w:p>
        </w:tc>
        <w:tc>
          <w:tcPr>
            <w:tcW w:w="1520" w:type="dxa"/>
            <w:vAlign w:val="bottom"/>
            <w:tcBorders>
              <w:bottom w:val="single" w:sz="8" w:color="CCEEFF"/>
            </w:tcBorders>
            <w:gridSpan w:val="2"/>
            <w:shd w:val="clear" w:color="auto" w:fill="CCEEFF"/>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Operating Activities</w:t>
      </w:r>
    </w:p>
    <w:p>
      <w:pPr>
        <w:spacing w:after="0" w:line="168" w:lineRule="exact"/>
        <w:rPr>
          <w:sz w:val="20"/>
          <w:szCs w:val="20"/>
          <w:color w:val="auto"/>
        </w:rPr>
      </w:pPr>
    </w:p>
    <w:p>
      <w:pPr>
        <w:jc w:val="both"/>
        <w:ind w:right="220" w:firstLine="245"/>
        <w:spacing w:after="0" w:line="254" w:lineRule="auto"/>
        <w:rPr>
          <w:sz w:val="20"/>
          <w:szCs w:val="20"/>
          <w:color w:val="auto"/>
        </w:rPr>
      </w:pPr>
      <w:r>
        <w:rPr>
          <w:rFonts w:ascii="Times New Roman" w:cs="Times New Roman" w:eastAsia="Times New Roman" w:hAnsi="Times New Roman"/>
          <w:sz w:val="14"/>
          <w:szCs w:val="14"/>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43" w:lineRule="exact"/>
        <w:rPr>
          <w:sz w:val="20"/>
          <w:szCs w:val="20"/>
          <w:color w:val="auto"/>
        </w:rPr>
      </w:pPr>
    </w:p>
    <w:p>
      <w:pPr>
        <w:ind w:right="60" w:firstLine="245"/>
        <w:spacing w:after="0" w:line="251" w:lineRule="auto"/>
        <w:rPr>
          <w:sz w:val="20"/>
          <w:szCs w:val="20"/>
          <w:color w:val="auto"/>
        </w:rPr>
      </w:pPr>
      <w:r>
        <w:rPr>
          <w:rFonts w:ascii="Times New Roman" w:cs="Times New Roman" w:eastAsia="Times New Roman" w:hAnsi="Times New Roman"/>
          <w:sz w:val="14"/>
          <w:szCs w:val="14"/>
          <w:color w:val="auto"/>
        </w:rPr>
        <w:t>Net cash provided by operating activities for the six months ended June 30, 2019, was $604 million, as compared to $538 million for the six months ended June 30, 2018. The increase was primarily due to changes in our working capital resulting from the timing of collections and payments and lower cash spent to support the Destiny franchise, the publishing rights to which we sold to Bungie in December 2018, as previously disclosed. This increase was partially offset by lower net income and a decrease in non-cash adjustments to net income for the six months ended June 30, 2019, as compared to the six months ended June 30, 2018.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(Used in) Investing Activities</w:t>
      </w:r>
    </w:p>
    <w:p>
      <w:pPr>
        <w:spacing w:after="0" w:line="168" w:lineRule="exact"/>
        <w:rPr>
          <w:sz w:val="20"/>
          <w:szCs w:val="20"/>
          <w:color w:val="auto"/>
        </w:rPr>
      </w:pPr>
    </w:p>
    <w:p>
      <w:pPr>
        <w:ind w:right="200" w:firstLine="245"/>
        <w:spacing w:after="0" w:line="265" w:lineRule="auto"/>
        <w:rPr>
          <w:sz w:val="20"/>
          <w:szCs w:val="20"/>
          <w:color w:val="auto"/>
        </w:rPr>
      </w:pPr>
      <w:r>
        <w:rPr>
          <w:rFonts w:ascii="Times New Roman" w:cs="Times New Roman" w:eastAsia="Times New Roman" w:hAnsi="Times New Roman"/>
          <w:sz w:val="14"/>
          <w:szCs w:val="14"/>
          <w:color w:val="auto"/>
        </w:rPr>
        <w:t>The primary drivers of net cash flows associated with investing activities typically include capital expenditures, purchases and sales of investments, changes in restricted cash balances, and cash used for acquisitions.</w:t>
      </w:r>
    </w:p>
    <w:p>
      <w:pPr>
        <w:spacing w:after="0" w:line="135" w:lineRule="exact"/>
        <w:rPr>
          <w:sz w:val="20"/>
          <w:szCs w:val="20"/>
          <w:color w:val="auto"/>
        </w:rPr>
      </w:pPr>
    </w:p>
    <w:p>
      <w:pPr>
        <w:ind w:right="140" w:firstLine="245"/>
        <w:spacing w:after="0" w:line="251" w:lineRule="auto"/>
        <w:rPr>
          <w:sz w:val="20"/>
          <w:szCs w:val="20"/>
          <w:color w:val="auto"/>
        </w:rPr>
      </w:pPr>
      <w:r>
        <w:rPr>
          <w:rFonts w:ascii="Times New Roman" w:cs="Times New Roman" w:eastAsia="Times New Roman" w:hAnsi="Times New Roman"/>
          <w:sz w:val="14"/>
          <w:szCs w:val="14"/>
          <w:color w:val="auto"/>
        </w:rPr>
        <w:t>Net cash provided by investing activities for the six months ended June 30, 2019, was $37 million, as compared to net cash used in investing activities of $124 million for the six months ended June 30, 2018. The increase was primarily due to cash flow activities associated with available-for-sale investments, for which, in the six months ended June 30, 2019, there were $75 million of cash proceeds from the maturities of available-for-sale investments, as compared to purchases of available-for-sale investments of $59 million in the prior-year period. Additionally, capital expenditures of $45 million for the six months ended June 30, 2019, were lower than the capital expenditures of $61 million for the prior-year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Financing Activities</w:t>
      </w:r>
    </w:p>
    <w:p>
      <w:pPr>
        <w:spacing w:after="0" w:line="168" w:lineRule="exact"/>
        <w:rPr>
          <w:sz w:val="20"/>
          <w:szCs w:val="20"/>
          <w:color w:val="auto"/>
        </w:rPr>
      </w:pPr>
    </w:p>
    <w:p>
      <w:pPr>
        <w:ind w:right="540" w:firstLine="245"/>
        <w:spacing w:after="0" w:line="265" w:lineRule="auto"/>
        <w:rPr>
          <w:sz w:val="20"/>
          <w:szCs w:val="20"/>
          <w:color w:val="auto"/>
        </w:rPr>
      </w:pPr>
      <w:r>
        <w:rPr>
          <w:rFonts w:ascii="Times New Roman" w:cs="Times New Roman" w:eastAsia="Times New Roman" w:hAnsi="Times New Roman"/>
          <w:sz w:val="14"/>
          <w:szCs w:val="14"/>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460"/>
          </w:cols>
          <w:pgMar w:left="220" w:top="127" w:right="21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cash used in financing activities for the six months ended June 30, 2019, was $274 million, as compared to $250 million for the six months ended June 30, 2018. The increase was primarily due to:</w:t>
      </w:r>
    </w:p>
    <w:p>
      <w:pPr>
        <w:spacing w:after="0" w:line="189" w:lineRule="exact"/>
        <w:rPr>
          <w:sz w:val="20"/>
          <w:szCs w:val="20"/>
          <w:color w:val="auto"/>
        </w:rPr>
      </w:pPr>
    </w:p>
    <w:p>
      <w:pPr>
        <w:ind w:left="740" w:hanging="247"/>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dividends paid of $283 million for the six months ended June 30, 2019, as compared to $259 million for the prior-year period;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proceeds from stock option exercises of $57 million for the six months ended June 30, 2019, as compared to $77 million for the prior-year period.</w:t>
      </w:r>
    </w:p>
    <w:p>
      <w:pPr>
        <w:spacing w:after="0" w:line="166" w:lineRule="exact"/>
        <w:rPr>
          <w:sz w:val="20"/>
          <w:szCs w:val="20"/>
          <w:color w:val="auto"/>
        </w:rPr>
      </w:pPr>
    </w:p>
    <w:p>
      <w:pPr>
        <w:ind w:right="200" w:firstLine="245"/>
        <w:spacing w:after="0" w:line="265" w:lineRule="auto"/>
        <w:rPr>
          <w:sz w:val="20"/>
          <w:szCs w:val="20"/>
          <w:color w:val="auto"/>
        </w:rPr>
      </w:pPr>
      <w:r>
        <w:rPr>
          <w:rFonts w:ascii="Times New Roman" w:cs="Times New Roman" w:eastAsia="Times New Roman" w:hAnsi="Times New Roman"/>
          <w:sz w:val="14"/>
          <w:szCs w:val="14"/>
          <w:color w:val="auto"/>
        </w:rPr>
        <w:t>The increase was partially offset by lower tax payments made for net share settlements on restricted stock units of $48 million for the six months ended June 30, 2019, as compared to $68 million for the prior-year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 of Foreign Exchange Rate Changes</w:t>
      </w:r>
    </w:p>
    <w:p>
      <w:pPr>
        <w:spacing w:after="0" w:line="168"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Changes in foreign exchange rates had a positive impact of $3 million on our cash and cash equivalents and restricted cash for the six months ended June 30, 2019, as compared to a negative impact of $19 million for the six months ended June 30, 2018. The change was primarily due to changes in the value of the U.S. dollar relative to the euro and the British pound.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June 30, 2019 and December 31, 2018, our total outstanding debt was $2.7 billion, bearing interest at a weighted average rate of 3.18%.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summary of our outstanding debt is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 June 30, 2019</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1"/>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Financing Costs</w:t>
            </w:r>
          </w:p>
        </w:tc>
        <w:tc>
          <w:tcPr>
            <w:tcW w:w="300" w:type="dxa"/>
            <w:vAlign w:val="bottom"/>
          </w:tcPr>
          <w:p>
            <w:pPr>
              <w:spacing w:after="0"/>
              <w:rPr>
                <w:sz w:val="14"/>
                <w:szCs w:val="14"/>
                <w:color w:val="auto"/>
              </w:rPr>
            </w:pPr>
          </w:p>
        </w:tc>
        <w:tc>
          <w:tcPr>
            <w:tcW w:w="186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396</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391</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2,673</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411"/>
        </w:trPr>
        <w:tc>
          <w:tcPr>
            <w:tcW w:w="4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 December 31, 2018</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1"/>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Financing Costs</w:t>
            </w:r>
          </w:p>
        </w:tc>
        <w:tc>
          <w:tcPr>
            <w:tcW w:w="300" w:type="dxa"/>
            <w:vAlign w:val="bottom"/>
          </w:tcPr>
          <w:p>
            <w:pPr>
              <w:spacing w:after="0"/>
              <w:rPr>
                <w:sz w:val="14"/>
                <w:szCs w:val="14"/>
                <w:color w:val="auto"/>
              </w:rPr>
            </w:pPr>
          </w:p>
        </w:tc>
        <w:tc>
          <w:tcPr>
            <w:tcW w:w="186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Refer to Note 11 of the notes to the condensed consolidated financial statements included in Item 1 of this Quarterly Report on Form 10-Q for further disclosures regarding our debt obligations.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460"/>
          </w:cols>
          <w:pgMar w:left="220" w:top="127" w:right="21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0" w:lineRule="exact"/>
        <w:rPr>
          <w:sz w:val="20"/>
          <w:szCs w:val="20"/>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70"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For the year ending December 31, 2019, we anticipate total capital expenditures of approximately $140 million, primarily for leasehold improvements, computer hardware, and software purchases. During the six months ended June 30, 2019, capital expenditures were $45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0" w:lineRule="exact"/>
        <w:rPr>
          <w:sz w:val="20"/>
          <w:szCs w:val="20"/>
          <w:color w:val="auto"/>
        </w:rPr>
      </w:pPr>
    </w:p>
    <w:p>
      <w:pPr>
        <w:ind w:right="120" w:firstLine="245"/>
        <w:spacing w:after="0" w:line="254" w:lineRule="auto"/>
        <w:rPr>
          <w:sz w:val="20"/>
          <w:szCs w:val="20"/>
          <w:color w:val="auto"/>
        </w:rPr>
      </w:pPr>
      <w:r>
        <w:rPr>
          <w:rFonts w:ascii="Times New Roman" w:cs="Times New Roman" w:eastAsia="Times New Roman" w:hAnsi="Times New Roman"/>
          <w:sz w:val="14"/>
          <w:szCs w:val="14"/>
          <w:color w:val="auto"/>
        </w:rPr>
        <w:t>At each of June 30, 2019 and December 31, 2018,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0"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68" w:lineRule="exact"/>
        <w:rPr>
          <w:sz w:val="20"/>
          <w:szCs w:val="20"/>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Recognition;</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Allowances for Returns and Price Protection;</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Development Costs;</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Estimates (including Business Combinations and Assessment of Impairment of Assets); and</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Payments.</w:t>
      </w:r>
    </w:p>
    <w:p>
      <w:pPr>
        <w:spacing w:after="0" w:line="177" w:lineRule="exact"/>
        <w:rPr>
          <w:sz w:val="20"/>
          <w:szCs w:val="20"/>
          <w:color w:val="auto"/>
        </w:rPr>
      </w:pPr>
    </w:p>
    <w:p>
      <w:pPr>
        <w:ind w:right="140" w:firstLine="245"/>
        <w:spacing w:after="0" w:line="254" w:lineRule="auto"/>
        <w:rPr>
          <w:sz w:val="20"/>
          <w:szCs w:val="20"/>
          <w:color w:val="auto"/>
        </w:rPr>
      </w:pPr>
      <w:r>
        <w:rPr>
          <w:rFonts w:ascii="Times New Roman" w:cs="Times New Roman" w:eastAsia="Times New Roman" w:hAnsi="Times New Roman"/>
          <w:sz w:val="14"/>
          <w:szCs w:val="14"/>
          <w:color w:val="auto"/>
        </w:rPr>
        <w:t>During the six months ended June 30, 2019, there were no significant changes to the above critical accounting policies and estimates.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420"/>
          </w:cols>
          <w:pgMar w:left="220" w:top="127" w:right="2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70"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Below are recently issued accounting pronouncements that were most significant to our accounting policy activities. For a detailed discussion of all relevant recently issued accounting pronouncements, see Note 3 of the notes to the condensed consolidated financial statements included in Item 1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As noted in Note 2 of the notes to the condensed consolidated financial statements included in Item 1 of this Quarterly Report on Form 10-Q,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145" w:lineRule="exact"/>
        <w:rPr>
          <w:sz w:val="20"/>
          <w:szCs w:val="20"/>
          <w:color w:val="auto"/>
        </w:rPr>
      </w:pPr>
    </w:p>
    <w:p>
      <w:pPr>
        <w:ind w:right="300" w:firstLine="245"/>
        <w:spacing w:after="0" w:line="265" w:lineRule="auto"/>
        <w:rPr>
          <w:sz w:val="20"/>
          <w:szCs w:val="20"/>
          <w:color w:val="auto"/>
        </w:rPr>
      </w:pPr>
      <w:r>
        <w:rPr>
          <w:rFonts w:ascii="Times New Roman" w:cs="Times New Roman" w:eastAsia="Times New Roman" w:hAnsi="Times New Roman"/>
          <w:sz w:val="14"/>
          <w:szCs w:val="14"/>
          <w:color w:val="auto"/>
        </w:rPr>
        <w:t>For additional discussion regarding the impact of our adoption of the new lease accounting standard to our condensed consolidated balance sheet, see Note 3 of the notes to the condensed consolidated financial statements included in Item 1 of this Quarterly Report on Form 10-Q.</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440"/>
          </w:cols>
          <w:pgMar w:left="220" w:top="127"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Market risk is the potential loss arising from fluctuations in market rates and prices. Our market risk exposures primarily include fluctuations in foreign currency exchange rates and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170"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47" w:lineRule="exact"/>
        <w:rPr>
          <w:sz w:val="20"/>
          <w:szCs w:val="20"/>
          <w:color w:val="auto"/>
        </w:rPr>
      </w:pPr>
    </w:p>
    <w:p>
      <w:pPr>
        <w:ind w:right="100" w:firstLine="245"/>
        <w:spacing w:after="0" w:line="254" w:lineRule="auto"/>
        <w:rPr>
          <w:sz w:val="20"/>
          <w:szCs w:val="20"/>
          <w:color w:val="auto"/>
        </w:rPr>
      </w:pPr>
      <w:r>
        <w:rPr>
          <w:rFonts w:ascii="Times New Roman" w:cs="Times New Roman" w:eastAsia="Times New Roman" w:hAnsi="Times New Roman"/>
          <w:sz w:val="14"/>
          <w:szCs w:val="14"/>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fair values of our foreign currency contracts are estimated based on the prevailing exchange rates of the various hedged currencies as of the end of the period.</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do not hold or purchase any foreign currency forward contracts for trading 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 Designated as Hedges (“Cash Flow Hedges”)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total gross notional amounts and fair values of our Cash Flow Hedges are as follows (amounts in millions):</w:t>
      </w:r>
    </w:p>
    <w:p>
      <w:pPr>
        <w:sectPr>
          <w:pgSz w:w="11900" w:h="16838" w:orient="portrait"/>
          <w:cols w:equalWidth="0" w:num="1">
            <w:col w:w="11460"/>
          </w:cols>
          <w:pgMar w:left="220" w:top="127" w:right="219" w:bottom="1440" w:gutter="0" w:footer="0" w:header="0"/>
        </w:sectPr>
      </w:pPr>
    </w:p>
    <w:p>
      <w:pPr>
        <w:spacing w:after="0" w:line="29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79640" cy="13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63"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48"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Times New Roman" w:cs="Times New Roman" w:eastAsia="Times New Roman" w:hAnsi="Times New Roman"/>
          <w:sz w:val="14"/>
          <w:szCs w:val="14"/>
          <w:color w:val="auto"/>
        </w:rPr>
        <w:t>Buy USD, Sell Euro</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409</w:t>
        <w:tab/>
        <w:t>$</w:t>
      </w:r>
      <w:r>
        <w:rPr>
          <w:sz w:val="20"/>
          <w:szCs w:val="20"/>
          <w:color w:val="auto"/>
        </w:rPr>
        <w:tab/>
      </w: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723</w:t>
        <w:tab/>
        <w:t>$</w:t>
      </w:r>
      <w:r>
        <w:rPr>
          <w:sz w:val="20"/>
          <w:szCs w:val="20"/>
          <w:color w:val="auto"/>
        </w:rPr>
        <w:tab/>
      </w:r>
      <w:r>
        <w:rPr>
          <w:rFonts w:ascii="Times New Roman" w:cs="Times New Roman" w:eastAsia="Times New Roman" w:hAnsi="Times New Roman"/>
          <w:sz w:val="14"/>
          <w:szCs w:val="14"/>
          <w:color w:val="auto"/>
        </w:rPr>
        <w:t>12</w:t>
      </w:r>
    </w:p>
    <w:p>
      <w:pPr>
        <w:spacing w:after="0" w:line="187"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At June 30, 2019, our Cash Flow Hedges have remaining maturities of six months or less. Additionally, $2 million of net realized but unrecognized gains are recorded within “Accumulated other comprehensive income (loss)” at June 30, 2019 for Cash Flow Hedges that had settled but were deferred and will be amortized into earnings, along with the associated hedged revenues. Such amounts will be reclassified into earnings within the next 12 months.</w:t>
      </w:r>
    </w:p>
    <w:p>
      <w:pPr>
        <w:spacing w:after="0" w:line="143"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200" w:type="dxa"/>
            <w:vAlign w:val="bottom"/>
            <w:gridSpan w:val="3"/>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2"/>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5"/>
        </w:trPr>
        <w:tc>
          <w:tcPr>
            <w:tcW w:w="16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59"/>
        </w:trPr>
        <w:tc>
          <w:tcPr>
            <w:tcW w:w="1600" w:type="dxa"/>
            <w:vAlign w:val="bottom"/>
          </w:tcPr>
          <w:p>
            <w:pPr>
              <w:spacing w:after="0"/>
              <w:rPr>
                <w:sz w:val="13"/>
                <w:szCs w:val="13"/>
                <w:color w:val="auto"/>
              </w:rPr>
            </w:pPr>
          </w:p>
        </w:tc>
        <w:tc>
          <w:tcPr>
            <w:tcW w:w="1360" w:type="dxa"/>
            <w:vAlign w:val="bottom"/>
          </w:tcPr>
          <w:p>
            <w:pPr>
              <w:jc w:val="right"/>
              <w:ind w:right="236"/>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Pr>
          <w:p>
            <w:pPr>
              <w:spacing w:after="0"/>
              <w:rPr>
                <w:sz w:val="13"/>
                <w:szCs w:val="13"/>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675"/>
              <w:spacing w:after="0"/>
              <w:rPr>
                <w:sz w:val="20"/>
                <w:szCs w:val="20"/>
                <w:color w:val="auto"/>
              </w:rPr>
            </w:pPr>
            <w:r>
              <w:rPr>
                <w:rFonts w:ascii="Times New Roman" w:cs="Times New Roman" w:eastAsia="Times New Roman" w:hAnsi="Times New Roman"/>
                <w:sz w:val="12"/>
                <w:szCs w:val="12"/>
                <w:b w:val="1"/>
                <w:bCs w:val="1"/>
                <w:color w:val="auto"/>
              </w:rPr>
              <w:t>2019</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Statement of Operations Classification</w:t>
            </w:r>
          </w:p>
        </w:tc>
      </w:tr>
      <w:tr>
        <w:trPr>
          <w:trHeight w:val="25"/>
        </w:trPr>
        <w:tc>
          <w:tcPr>
            <w:tcW w:w="1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75"/>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360" w:type="dxa"/>
            <w:vAlign w:val="bottom"/>
            <w:tcBorders>
              <w:bottom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0" w:type="dxa"/>
            <w:vAlign w:val="bottom"/>
            <w:tcBorders>
              <w:bottom w:val="single" w:sz="8" w:color="CCEEFF"/>
            </w:tcBorders>
            <w:shd w:val="clear" w:color="auto" w:fill="CCEEFF"/>
          </w:tcPr>
          <w:p>
            <w:pPr>
              <w:jc w:val="right"/>
              <w:ind w:right="119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Net revenues</w:t>
            </w:r>
          </w:p>
        </w:tc>
      </w:tr>
      <w:tr>
        <w:trPr>
          <w:trHeight w:val="510"/>
        </w:trPr>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1335"/>
              <w:spacing w:after="0"/>
              <w:rPr>
                <w:sz w:val="20"/>
                <w:szCs w:val="20"/>
                <w:color w:val="auto"/>
              </w:rPr>
            </w:pPr>
            <w:r>
              <w:rPr>
                <w:rFonts w:ascii="Times New Roman" w:cs="Times New Roman" w:eastAsia="Times New Roman" w:hAnsi="Times New Roman"/>
                <w:sz w:val="14"/>
                <w:szCs w:val="14"/>
                <w:color w:val="auto"/>
              </w:rPr>
              <w:t>65</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 Not Designated as Hedges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total gross notional amounts and fair values of our foreign currency forward contracts not designated as hedges are as follows (amounts in millions):</w:t>
      </w:r>
    </w:p>
    <w:p>
      <w:pPr>
        <w:sectPr>
          <w:pgSz w:w="11900" w:h="16838" w:orient="portrait"/>
          <w:cols w:equalWidth="0" w:num="1">
            <w:col w:w="11460"/>
          </w:cols>
          <w:pgMar w:left="220" w:top="127" w:right="219" w:bottom="1440" w:gutter="0" w:footer="0" w:header="0"/>
        </w:sectPr>
      </w:pPr>
    </w:p>
    <w:p>
      <w:pPr>
        <w:spacing w:after="0" w:line="32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9"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USD, Sell SEK</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EUR</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EUR,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GBP</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55</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GBP,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three and six months ended June 30, 2019 and 2018, pre-tax net gains (losses) associated with these forward contracts were recorded in “General and administrative expenses” and were not material.</w:t>
      </w:r>
    </w:p>
    <w:p>
      <w:pPr>
        <w:spacing w:after="0" w:line="189" w:lineRule="exact"/>
        <w:rPr>
          <w:sz w:val="20"/>
          <w:szCs w:val="20"/>
          <w:color w:val="auto"/>
        </w:rPr>
      </w:pPr>
    </w:p>
    <w:p>
      <w:pPr>
        <w:jc w:val="both"/>
        <w:ind w:right="40" w:firstLine="245"/>
        <w:spacing w:after="0" w:line="254" w:lineRule="auto"/>
        <w:rPr>
          <w:sz w:val="20"/>
          <w:szCs w:val="20"/>
          <w:color w:val="auto"/>
        </w:rPr>
      </w:pPr>
      <w:r>
        <w:rPr>
          <w:rFonts w:ascii="Times New Roman" w:cs="Times New Roman" w:eastAsia="Times New Roman" w:hAnsi="Times New Roman"/>
          <w:sz w:val="14"/>
          <w:szCs w:val="14"/>
          <w:color w:val="auto"/>
        </w:rPr>
        <w:t>In the absence of hedging activities for the six months ended June 30, 2019, a hypothetical adverse foreign currency exchange rate movement of 10% would have resulted in a theoretical decline of our net income of approximately $90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70" w:lineRule="exact"/>
        <w:rPr>
          <w:sz w:val="20"/>
          <w:szCs w:val="20"/>
          <w:color w:val="auto"/>
        </w:rPr>
      </w:pPr>
    </w:p>
    <w:p>
      <w:pPr>
        <w:ind w:right="120" w:firstLine="245"/>
        <w:spacing w:after="0" w:line="306" w:lineRule="auto"/>
        <w:rPr>
          <w:sz w:val="20"/>
          <w:szCs w:val="20"/>
          <w:color w:val="auto"/>
        </w:rPr>
      </w:pPr>
      <w:r>
        <w:rPr>
          <w:rFonts w:ascii="Times New Roman" w:cs="Times New Roman" w:eastAsia="Times New Roman" w:hAnsi="Times New Roman"/>
          <w:sz w:val="12"/>
          <w:szCs w:val="12"/>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June 30, 2019, our cash and cash equivalents was comprised primarily of money market funds.</w:t>
      </w:r>
    </w:p>
    <w:p>
      <w:pPr>
        <w:spacing w:after="0" w:line="114" w:lineRule="exact"/>
        <w:rPr>
          <w:sz w:val="20"/>
          <w:szCs w:val="20"/>
          <w:color w:val="auto"/>
        </w:rPr>
      </w:pPr>
    </w:p>
    <w:p>
      <w:pPr>
        <w:ind w:right="380" w:firstLine="245"/>
        <w:spacing w:after="0" w:line="265" w:lineRule="auto"/>
        <w:rPr>
          <w:sz w:val="20"/>
          <w:szCs w:val="20"/>
          <w:color w:val="auto"/>
        </w:rPr>
      </w:pPr>
      <w:r>
        <w:rPr>
          <w:rFonts w:ascii="Times New Roman" w:cs="Times New Roman" w:eastAsia="Times New Roman" w:hAnsi="Times New Roman"/>
          <w:sz w:val="14"/>
          <w:szCs w:val="14"/>
          <w:color w:val="auto"/>
        </w:rPr>
        <w:t>The Company has determined that, based on the composition of our investment portfolio as of June 30, 2019, there was no material interest rate risk exposure to the Company’s consolidated financial condition, results of operations, or liquidity as of that date.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460"/>
          </w:cols>
          <w:pgMar w:left="220" w:top="127" w:right="21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Disclosure Controls and Procedures</w:t>
      </w:r>
    </w:p>
    <w:p>
      <w:pPr>
        <w:spacing w:after="0" w:line="17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at June 30, 2019, the end of the period covered by this report. Based on this evaluation, the principal executive officer and principal financial officer concluded that, at June 30, 2019,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our management, including our principal executive officer and principal financial officer, as appropriate to allow timely decisions regarding required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0"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any changes in our internal control over financial reporting that occurred during the fiscal quarter ended June 30, 2019. Based on this evaluation, the principal executive officer and principal financial officer concluded that, at June 30, 2019,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70" w:lineRule="exact"/>
        <w:rPr>
          <w:sz w:val="20"/>
          <w:szCs w:val="20"/>
          <w:color w:val="auto"/>
        </w:rPr>
      </w:pPr>
    </w:p>
    <w:p>
      <w:pPr>
        <w:ind w:right="40" w:firstLine="245"/>
        <w:spacing w:after="0" w:line="248" w:lineRule="auto"/>
        <w:rPr>
          <w:sz w:val="20"/>
          <w:szCs w:val="20"/>
          <w:color w:val="auto"/>
        </w:rPr>
      </w:pPr>
      <w:r>
        <w:rPr>
          <w:rFonts w:ascii="Times New Roman" w:cs="Times New Roman" w:eastAsia="Times New Roman" w:hAnsi="Times New Roman"/>
          <w:sz w:val="14"/>
          <w:szCs w:val="14"/>
          <w:color w:val="auto"/>
        </w:rPr>
        <w:t>In December 2018, we received a decision from the Swedish Tax Agency (“STA”) informing us of an audit assessment of a Swedish subsidiary of King for the 2016 tax year (“Initial Decision”). The Initial Decision described the basis for issuing a transfer pricing assessment of approximately 3.5kr billion (approximately $379 million), primarily concerning an alleged intercompany asset transfer. On June 17, 2019, we received a reassessment from the STA (“Reassessment”)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condensed consolidated financial statements.</w:t>
      </w:r>
    </w:p>
    <w:p>
      <w:pPr>
        <w:spacing w:after="0" w:line="147" w:lineRule="exact"/>
        <w:rPr>
          <w:sz w:val="20"/>
          <w:szCs w:val="20"/>
          <w:color w:val="auto"/>
        </w:rPr>
      </w:pPr>
    </w:p>
    <w:p>
      <w:pPr>
        <w:ind w:right="120" w:firstLine="245"/>
        <w:spacing w:after="0" w:line="317" w:lineRule="auto"/>
        <w:rPr>
          <w:sz w:val="20"/>
          <w:szCs w:val="20"/>
          <w:color w:val="auto"/>
        </w:rPr>
      </w:pPr>
      <w:r>
        <w:rPr>
          <w:rFonts w:ascii="Times New Roman" w:cs="Times New Roman" w:eastAsia="Times New Roman" w:hAnsi="Times New Roman"/>
          <w:sz w:val="12"/>
          <w:szCs w:val="12"/>
          <w:color w:val="auto"/>
        </w:rPr>
        <w:t>In addition, 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460"/>
          </w:cols>
          <w:pgMar w:left="220" w:top="127" w:right="21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Various risks associated with our business are described in Part I, Item 1A, “Risk Factors,” of our Annual Report on Form 10-K for the year ended December 31, 2018.</w:t>
      </w:r>
    </w:p>
    <w:p>
      <w:pPr>
        <w:spacing w:after="0" w:line="37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239"/>
          </w:cols>
          <w:pgMar w:left="220" w:top="127" w:right="1440"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70"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On August 5, 2019, Stephen Wereb, age 54, our Chief Accounting Officer, notified us of his decision to retire from the Company, effective August 15, 2019, in order to pursue personal interests. Mr. Wereb has been with the Company for 13 years and his retirement is not the result of any dispute related to accounting policies or internal controls or any other disagreement with the Company.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Upon the effectiveness of Mr. Wereb’s retirement, Dennis Durkin will assume Mr. Wereb’s responsibilities as the Company’s principal accounting officer until a successor is named.</w:t>
      </w:r>
    </w:p>
    <w:p>
      <w:pPr>
        <w:spacing w:after="0" w:line="166"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Mr. Durkin, age 48, has served as our Chief Financial Officer and President of Emerging Businesses since January 2019. Mr. Durkin joined the Company in March 2012 as our Chief Financial Officer and served in that role until May 2017. He served as our Chief Corporate Officer from May 2017 until January 2019.</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exhibits listed on the accompanying Exhibit Index are hereby incorporated by reference into this Quarterly Report on Form 10-Q.</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420"/>
          </w:cols>
          <w:pgMar w:left="220" w:top="127" w:right="2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960" w:type="dxa"/>
            <w:vAlign w:val="bottom"/>
            <w:gridSpan w:val="3"/>
          </w:tcPr>
          <w:p>
            <w:pPr>
              <w:jc w:val="right"/>
              <w:ind w:right="1000"/>
              <w:spacing w:after="0"/>
              <w:rPr>
                <w:rFonts w:ascii="Times New Roman" w:cs="Times New Roman" w:eastAsia="Times New Roman" w:hAnsi="Times New Roman"/>
                <w:sz w:val="14"/>
                <w:szCs w:val="14"/>
                <w:color w:val="0000EE"/>
                <w:w w:val="93"/>
              </w:rPr>
            </w:pPr>
            <w:hyperlink w:anchor="page2">
              <w:r>
                <w:rPr>
                  <w:rFonts w:ascii="Times New Roman" w:cs="Times New Roman" w:eastAsia="Times New Roman" w:hAnsi="Times New Roman"/>
                  <w:sz w:val="14"/>
                  <w:szCs w:val="14"/>
                  <w:color w:val="0000EE"/>
                  <w:w w:val="93"/>
                </w:rPr>
                <w:t>Table of Contents</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gridSpan w:val="8"/>
          </w:tcPr>
          <w:p>
            <w:pPr>
              <w:ind w:left="18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50"/>
        </w:trPr>
        <w:tc>
          <w:tcPr>
            <w:tcW w:w="19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gridSpan w:val="8"/>
          </w:tcPr>
          <w:p>
            <w:pPr>
              <w:ind w:left="318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48"/>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w w:val="97"/>
              </w:rPr>
            </w:pPr>
            <w:hyperlink r:id="rId37">
              <w:r>
                <w:rPr>
                  <w:rFonts w:ascii="Times New Roman" w:cs="Times New Roman" w:eastAsia="Times New Roman" w:hAnsi="Times New Roman"/>
                  <w:sz w:val="14"/>
                  <w:szCs w:val="14"/>
                  <w:color w:val="0000FF"/>
                  <w:w w:val="97"/>
                </w:rPr>
                <w:t>Third Amended and Restated Certificate of Incorporation of Activision Blizzard, Inc., dated June 5, 2014 (incorporated by reference to Exhibit 3.1 of the Company’s Form</w:t>
              </w:r>
            </w:hyperlink>
          </w:p>
        </w:tc>
        <w:tc>
          <w:tcPr>
            <w:tcW w:w="140" w:type="dxa"/>
            <w:vAlign w:val="bottom"/>
            <w:gridSpan w:val="5"/>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0000FF"/>
            </w:tcBorders>
            <w:gridSpan w:val="5"/>
          </w:tcPr>
          <w:p>
            <w:pPr>
              <w:spacing w:after="0" w:line="144" w:lineRule="exact"/>
              <w:rPr>
                <w:rFonts w:ascii="Times New Roman" w:cs="Times New Roman" w:eastAsia="Times New Roman" w:hAnsi="Times New Roman"/>
                <w:sz w:val="14"/>
                <w:szCs w:val="14"/>
                <w:color w:val="0000FF"/>
                <w:w w:val="96"/>
              </w:rPr>
            </w:pPr>
            <w:hyperlink r:id="rId37">
              <w:r>
                <w:rPr>
                  <w:rFonts w:ascii="Times New Roman" w:cs="Times New Roman" w:eastAsia="Times New Roman" w:hAnsi="Times New Roman"/>
                  <w:sz w:val="14"/>
                  <w:szCs w:val="14"/>
                  <w:color w:val="0000FF"/>
                  <w:w w:val="96"/>
                </w:rPr>
                <w:t>8-K, filed June 6, 2014).</w:t>
              </w:r>
            </w:hyperlink>
          </w:p>
        </w:tc>
        <w:tc>
          <w:tcPr>
            <w:tcW w:w="8140" w:type="dxa"/>
            <w:vAlign w:val="bottom"/>
            <w:gridSpan w:val="8"/>
          </w:tcPr>
          <w:p>
            <w:pPr>
              <w:spacing w:after="0"/>
              <w:rPr>
                <w:sz w:val="12"/>
                <w:szCs w:val="12"/>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7"/>
              </w:rPr>
            </w:pPr>
            <w:hyperlink r:id="rId38">
              <w:r>
                <w:rPr>
                  <w:rFonts w:ascii="Times New Roman" w:cs="Times New Roman" w:eastAsia="Times New Roman" w:hAnsi="Times New Roman"/>
                  <w:sz w:val="14"/>
                  <w:szCs w:val="14"/>
                  <w:color w:val="0000FF"/>
                  <w:w w:val="97"/>
                </w:rPr>
                <w:t>Fourth Amended and Restated Bylaws of Activision Blizzard, Inc., adopted as of February 1, 2018 (incorporated by reference to Exhibit 3.1 of the Company’s Form 8-K/A,</w:t>
              </w:r>
            </w:hyperlink>
          </w:p>
        </w:tc>
        <w:tc>
          <w:tcPr>
            <w:tcW w:w="80" w:type="dxa"/>
            <w:vAlign w:val="bottom"/>
            <w:gridSpan w:val="2"/>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13"/>
          </w:tcPr>
          <w:p>
            <w:pPr>
              <w:spacing w:after="0" w:line="144" w:lineRule="exact"/>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filed March 21, 2018).</w:t>
              </w:r>
            </w:hyperlink>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7"/>
              </w:rPr>
            </w:pPr>
            <w:hyperlink r:id="rId39">
              <w:r>
                <w:rPr>
                  <w:rFonts w:ascii="Times New Roman" w:cs="Times New Roman" w:eastAsia="Times New Roman" w:hAnsi="Times New Roman"/>
                  <w:sz w:val="14"/>
                  <w:szCs w:val="14"/>
                  <w:color w:val="0000FF"/>
                  <w:w w:val="97"/>
                </w:rPr>
                <w:t>Employment Agreement, dated May 22, 2019, between Activision Blizzard, Inc. and Riccardo Zacconi (incorporated by reference to Exhibit 10.1 of the Company’s Form 8-</w:t>
              </w:r>
            </w:hyperlink>
          </w:p>
        </w:tc>
        <w:tc>
          <w:tcPr>
            <w:tcW w:w="40" w:type="dxa"/>
            <w:vAlign w:val="bottom"/>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13"/>
          </w:tcPr>
          <w:p>
            <w:pPr>
              <w:spacing w:after="0" w:line="144" w:lineRule="exact"/>
              <w:rPr>
                <w:rFonts w:ascii="Times New Roman" w:cs="Times New Roman" w:eastAsia="Times New Roman" w:hAnsi="Times New Roman"/>
                <w:sz w:val="14"/>
                <w:szCs w:val="14"/>
                <w:color w:val="0000FF"/>
              </w:rPr>
            </w:pPr>
            <w:hyperlink r:id="rId39">
              <w:r>
                <w:rPr>
                  <w:rFonts w:ascii="Times New Roman" w:cs="Times New Roman" w:eastAsia="Times New Roman" w:hAnsi="Times New Roman"/>
                  <w:sz w:val="14"/>
                  <w:szCs w:val="14"/>
                  <w:color w:val="0000FF"/>
                </w:rPr>
                <w:t>K, filed May 24, 2019).</w:t>
              </w:r>
            </w:hyperlink>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w w:val="98"/>
              </w:rPr>
            </w:pPr>
            <w:hyperlink w:anchor="page72">
              <w:r>
                <w:rPr>
                  <w:rFonts w:ascii="Times New Roman" w:cs="Times New Roman" w:eastAsia="Times New Roman" w:hAnsi="Times New Roman"/>
                  <w:sz w:val="14"/>
                  <w:szCs w:val="14"/>
                  <w:color w:val="0000FF"/>
                  <w:w w:val="98"/>
                </w:rPr>
                <w:t>Certification of Robert A. Kotick pursuant to Rule 13a-14(a) under the Securities and Exchange Act of 1934, as adopted pursuant to Section 302 of the Sarbanes-Oxley Act</w:t>
              </w:r>
            </w:hyperlink>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4"/>
                <w:szCs w:val="14"/>
                <w:color w:val="0000FF"/>
                <w:w w:val="94"/>
              </w:rPr>
            </w:pPr>
            <w:hyperlink w:anchor="page72">
              <w:r>
                <w:rPr>
                  <w:rFonts w:ascii="Times New Roman" w:cs="Times New Roman" w:eastAsia="Times New Roman" w:hAnsi="Times New Roman"/>
                  <w:sz w:val="14"/>
                  <w:szCs w:val="14"/>
                  <w:color w:val="0000FF"/>
                  <w:w w:val="94"/>
                </w:rPr>
                <w:t>of 2002.</w:t>
              </w:r>
            </w:hyperlink>
          </w:p>
        </w:tc>
        <w:tc>
          <w:tcPr>
            <w:tcW w:w="8900" w:type="dxa"/>
            <w:vAlign w:val="bottom"/>
            <w:tcBorders>
              <w:top w:val="single" w:sz="8" w:color="0000FF"/>
            </w:tcBorders>
            <w:gridSpan w:val="7"/>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7"/>
              </w:rPr>
            </w:pPr>
            <w:hyperlink w:anchor="page73">
              <w:r>
                <w:rPr>
                  <w:rFonts w:ascii="Times New Roman" w:cs="Times New Roman" w:eastAsia="Times New Roman" w:hAnsi="Times New Roman"/>
                  <w:sz w:val="14"/>
                  <w:szCs w:val="14"/>
                  <w:color w:val="0000FF"/>
                  <w:w w:val="97"/>
                </w:rPr>
                <w:t>Certification of Dennis Durkin pursuant to Rule 13a-14(a) under the Securities and Exchange Act of 1934, as adopted pursuant to Section 302 of the Sarbanes-Oxley Act of</w:t>
              </w:r>
            </w:hyperlink>
          </w:p>
        </w:tc>
        <w:tc>
          <w:tcPr>
            <w:tcW w:w="100" w:type="dxa"/>
            <w:vAlign w:val="bottom"/>
            <w:gridSpan w:val="3"/>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ind w:left="20"/>
              <w:spacing w:after="0" w:line="144" w:lineRule="exact"/>
              <w:rPr>
                <w:rFonts w:ascii="Times New Roman" w:cs="Times New Roman" w:eastAsia="Times New Roman" w:hAnsi="Times New Roman"/>
                <w:sz w:val="14"/>
                <w:szCs w:val="14"/>
                <w:color w:val="0000FF"/>
                <w:w w:val="88"/>
              </w:rPr>
            </w:pPr>
            <w:hyperlink w:anchor="page73">
              <w:r>
                <w:rPr>
                  <w:rFonts w:ascii="Times New Roman" w:cs="Times New Roman" w:eastAsia="Times New Roman" w:hAnsi="Times New Roman"/>
                  <w:sz w:val="14"/>
                  <w:szCs w:val="14"/>
                  <w:color w:val="0000FF"/>
                  <w:w w:val="88"/>
                </w:rPr>
                <w:t>2002.</w:t>
              </w:r>
            </w:hyperlink>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rPr>
            </w:pPr>
            <w:hyperlink w:anchor="page74">
              <w:r>
                <w:rPr>
                  <w:rFonts w:ascii="Times New Roman" w:cs="Times New Roman" w:eastAsia="Times New Roman" w:hAnsi="Times New Roman"/>
                  <w:sz w:val="14"/>
                  <w:szCs w:val="14"/>
                  <w:color w:val="0000FF"/>
                </w:rPr>
                <w:t>Certification of Robert A. Kotick pursuant to Section 906 of the Sarbanes-Oxley Act of 2002.</w:t>
              </w:r>
            </w:hyperlink>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FF"/>
            </w:tcBorders>
            <w:gridSpan w:val="7"/>
          </w:tcPr>
          <w:p>
            <w:pPr>
              <w:spacing w:after="0"/>
              <w:rPr>
                <w:rFonts w:ascii="Times New Roman" w:cs="Times New Roman" w:eastAsia="Times New Roman" w:hAnsi="Times New Roman"/>
                <w:sz w:val="14"/>
                <w:szCs w:val="14"/>
                <w:color w:val="0000FF"/>
                <w:w w:val="99"/>
              </w:rPr>
            </w:pPr>
            <w:hyperlink w:anchor="page75">
              <w:r>
                <w:rPr>
                  <w:rFonts w:ascii="Times New Roman" w:cs="Times New Roman" w:eastAsia="Times New Roman" w:hAnsi="Times New Roman"/>
                  <w:sz w:val="14"/>
                  <w:szCs w:val="14"/>
                  <w:color w:val="0000FF"/>
                  <w:w w:val="99"/>
                </w:rPr>
                <w:t>Certification of Dennis Durkin pursuant to Section 906 of the Sarbanes-Oxley Act of 2002.</w:t>
              </w:r>
            </w:hyperlink>
          </w:p>
        </w:tc>
        <w:tc>
          <w:tcPr>
            <w:tcW w:w="4380" w:type="dxa"/>
            <w:vAlign w:val="bottom"/>
            <w:gridSpan w:val="6"/>
          </w:tcPr>
          <w:p>
            <w:pPr>
              <w:spacing w:after="0"/>
              <w:rPr>
                <w:sz w:val="24"/>
                <w:szCs w:val="24"/>
                <w:color w:val="auto"/>
              </w:rPr>
            </w:pPr>
          </w:p>
        </w:tc>
      </w:tr>
      <w:tr>
        <w:trPr>
          <w:trHeight w:val="20"/>
        </w:trPr>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r>
      <w:tr>
        <w:trPr>
          <w:trHeight w:val="460"/>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409"/>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6"/>
              </w:rPr>
              <w:t>101.SCH</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409"/>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bl>
    <w:p>
      <w:pPr>
        <w:spacing w:after="0" w:line="172" w:lineRule="exact"/>
        <w:rPr>
          <w:sz w:val="20"/>
          <w:szCs w:val="20"/>
          <w:color w:val="auto"/>
        </w:rPr>
      </w:pPr>
    </w:p>
    <w:p>
      <w:pPr>
        <w:ind w:left="5660" w:right="3080" w:hanging="5658"/>
        <w:spacing w:after="0" w:line="783" w:lineRule="auto"/>
        <w:tabs>
          <w:tab w:leader="none" w:pos="24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contract or arrangement in which a director or executive officer of the Company participates. 70</w:t>
      </w:r>
    </w:p>
    <w:p>
      <w:pPr>
        <w:sectPr>
          <w:pgSz w:w="11900" w:h="16838" w:orient="portrait"/>
          <w:cols w:equalWidth="0" w:num="1">
            <w:col w:w="11460"/>
          </w:cols>
          <w:pgMar w:left="220" w:top="111" w:right="21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8,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ACTIVISION BLIZZARD,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DENNIS DURKIN</w:t>
            </w:r>
          </w:p>
        </w:tc>
        <w:tc>
          <w:tcPr>
            <w:tcW w:w="24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STEPHEN WEREB</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7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Dennis Durkin</w:t>
            </w:r>
          </w:p>
        </w:tc>
        <w:tc>
          <w:tcPr>
            <w:tcW w:w="24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Wereb</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Deputy Chief Financial Officer, Chief Accounting Officer,</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and Principal Accounting Officer of</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Activision Blizzard, Inc.</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Activision Blizzard, Inc.</w:t>
            </w:r>
          </w:p>
        </w:tc>
      </w:tr>
      <w:tr>
        <w:trPr>
          <w:trHeight w:val="368"/>
        </w:trPr>
        <w:tc>
          <w:tcPr>
            <w:tcW w:w="56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56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A. Kotick, certify that:</w:t>
      </w:r>
    </w:p>
    <w:p>
      <w:pPr>
        <w:spacing w:after="0" w:line="166" w:lineRule="exact"/>
        <w:rPr>
          <w:sz w:val="20"/>
          <w:szCs w:val="20"/>
          <w:color w:val="auto"/>
        </w:rPr>
      </w:pPr>
    </w:p>
    <w:p>
      <w:pPr>
        <w:ind w:left="140" w:hanging="138"/>
        <w:spacing w:after="0"/>
        <w:tabs>
          <w:tab w:leader="none" w:pos="1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Activision Blizzard, Inc.;</w:t>
      </w:r>
    </w:p>
    <w:p>
      <w:pPr>
        <w:spacing w:after="0" w:line="166" w:lineRule="exact"/>
        <w:rPr>
          <w:rFonts w:ascii="Times New Roman" w:cs="Times New Roman" w:eastAsia="Times New Roman" w:hAnsi="Times New Roman"/>
          <w:sz w:val="14"/>
          <w:szCs w:val="14"/>
          <w:color w:val="auto"/>
        </w:rPr>
      </w:pPr>
    </w:p>
    <w:p>
      <w:pPr>
        <w:ind w:right="120" w:firstLine="2"/>
        <w:spacing w:after="0" w:line="265" w:lineRule="auto"/>
        <w:tabs>
          <w:tab w:leader="none" w:pos="1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5" w:lineRule="auto"/>
        <w:tabs>
          <w:tab w:leader="none" w:pos="1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right="300" w:firstLine="2"/>
        <w:spacing w:after="0" w:line="265" w:lineRule="auto"/>
        <w:tabs>
          <w:tab w:leader="none" w:pos="1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right="380" w:firstLine="493"/>
        <w:spacing w:after="0" w:line="311" w:lineRule="auto"/>
        <w:tabs>
          <w:tab w:leader="none" w:pos="75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Times New Roman" w:cs="Times New Roman" w:eastAsia="Times New Roman" w:hAnsi="Times New Roman"/>
          <w:sz w:val="14"/>
          <w:szCs w:val="14"/>
          <w:color w:val="auto"/>
        </w:rPr>
      </w:pPr>
    </w:p>
    <w:p>
      <w:pPr>
        <w:ind w:right="40" w:firstLine="493"/>
        <w:spacing w:after="0" w:line="311" w:lineRule="auto"/>
        <w:tabs>
          <w:tab w:leader="none" w:pos="766"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Times New Roman" w:cs="Times New Roman" w:eastAsia="Times New Roman" w:hAnsi="Times New Roman"/>
          <w:sz w:val="14"/>
          <w:szCs w:val="14"/>
          <w:color w:val="auto"/>
        </w:rPr>
      </w:pPr>
    </w:p>
    <w:p>
      <w:pPr>
        <w:ind w:firstLine="493"/>
        <w:spacing w:after="0" w:line="311" w:lineRule="auto"/>
        <w:tabs>
          <w:tab w:leader="none" w:pos="76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Times New Roman" w:cs="Times New Roman" w:eastAsia="Times New Roman" w:hAnsi="Times New Roman"/>
          <w:sz w:val="14"/>
          <w:szCs w:val="14"/>
          <w:color w:val="auto"/>
        </w:rPr>
      </w:pPr>
    </w:p>
    <w:p>
      <w:pPr>
        <w:ind w:right="60" w:firstLine="493"/>
        <w:spacing w:after="0" w:line="311" w:lineRule="auto"/>
        <w:tabs>
          <w:tab w:leader="none" w:pos="766"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4"/>
          <w:szCs w:val="14"/>
          <w:color w:val="auto"/>
        </w:rPr>
      </w:pPr>
    </w:p>
    <w:p>
      <w:pPr>
        <w:ind w:right="500" w:firstLine="2"/>
        <w:spacing w:after="0" w:line="265" w:lineRule="auto"/>
        <w:tabs>
          <w:tab w:leader="none" w:pos="1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right="140" w:firstLine="493"/>
        <w:spacing w:after="0" w:line="311" w:lineRule="auto"/>
        <w:tabs>
          <w:tab w:leader="none" w:pos="75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Times New Roman" w:cs="Times New Roman" w:eastAsia="Times New Roman" w:hAnsi="Times New Roman"/>
          <w:sz w:val="14"/>
          <w:szCs w:val="14"/>
          <w:color w:val="auto"/>
        </w:rPr>
      </w:pPr>
    </w:p>
    <w:p>
      <w:pPr>
        <w:ind w:left="760" w:hanging="267"/>
        <w:spacing w:after="0"/>
        <w:tabs>
          <w:tab w:leader="none" w:pos="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8,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Robert A. Kotick</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Executive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Executive Officer of</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ectPr>
          <w:pgSz w:w="11900" w:h="16838" w:orient="portrait"/>
          <w:cols w:equalWidth="0" w:num="1">
            <w:col w:w="11460"/>
          </w:cols>
          <w:pgMar w:left="220" w:top="471" w:right="2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Dennis Durkin, certify that:</w:t>
      </w:r>
    </w:p>
    <w:p>
      <w:pPr>
        <w:spacing w:after="0" w:line="166" w:lineRule="exact"/>
        <w:rPr>
          <w:sz w:val="20"/>
          <w:szCs w:val="20"/>
          <w:color w:val="auto"/>
        </w:rPr>
      </w:pPr>
    </w:p>
    <w:p>
      <w:pPr>
        <w:ind w:left="140" w:hanging="138"/>
        <w:spacing w:after="0"/>
        <w:tabs>
          <w:tab w:leader="none" w:pos="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Activision Blizzard, Inc.;</w:t>
      </w:r>
    </w:p>
    <w:p>
      <w:pPr>
        <w:spacing w:after="0" w:line="166" w:lineRule="exact"/>
        <w:rPr>
          <w:rFonts w:ascii="Times New Roman" w:cs="Times New Roman" w:eastAsia="Times New Roman" w:hAnsi="Times New Roman"/>
          <w:sz w:val="14"/>
          <w:szCs w:val="14"/>
          <w:color w:val="auto"/>
        </w:rPr>
      </w:pPr>
    </w:p>
    <w:p>
      <w:pPr>
        <w:ind w:right="120" w:firstLine="2"/>
        <w:spacing w:after="0" w:line="265" w:lineRule="auto"/>
        <w:tabs>
          <w:tab w:leader="none" w:pos="13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5" w:lineRule="auto"/>
        <w:tabs>
          <w:tab w:leader="none" w:pos="13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right="300" w:firstLine="2"/>
        <w:spacing w:after="0" w:line="265" w:lineRule="auto"/>
        <w:tabs>
          <w:tab w:leader="none" w:pos="13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right="480" w:firstLine="493"/>
        <w:spacing w:after="0" w:line="265" w:lineRule="auto"/>
        <w:tabs>
          <w:tab w:leader="none" w:pos="676"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right="120" w:firstLine="493"/>
        <w:spacing w:after="0" w:line="265" w:lineRule="auto"/>
        <w:tabs>
          <w:tab w:leader="none" w:pos="6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right="100" w:firstLine="493"/>
        <w:spacing w:after="0" w:line="265" w:lineRule="auto"/>
        <w:tabs>
          <w:tab w:leader="none" w:pos="676"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right="140" w:firstLine="493"/>
        <w:spacing w:after="0" w:line="265" w:lineRule="auto"/>
        <w:tabs>
          <w:tab w:leader="none" w:pos="6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right="500" w:firstLine="2"/>
        <w:spacing w:after="0" w:line="265" w:lineRule="auto"/>
        <w:tabs>
          <w:tab w:leader="none" w:pos="13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right="240" w:firstLine="493"/>
        <w:spacing w:after="0" w:line="265" w:lineRule="auto"/>
        <w:tabs>
          <w:tab w:leader="none" w:pos="669"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680" w:hanging="187"/>
        <w:spacing w:after="0"/>
        <w:tabs>
          <w:tab w:leader="none" w:pos="6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8,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Dennis Durkin</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ectPr>
          <w:pgSz w:w="11900" w:h="16838" w:orient="portrait"/>
          <w:cols w:equalWidth="0" w:num="1">
            <w:col w:w="11460"/>
          </w:cols>
          <w:pgMar w:left="220" w:top="471" w:right="2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right="60" w:firstLine="245"/>
        <w:spacing w:after="0" w:line="254" w:lineRule="auto"/>
        <w:rPr>
          <w:sz w:val="20"/>
          <w:szCs w:val="20"/>
          <w:color w:val="auto"/>
        </w:rPr>
      </w:pPr>
      <w:r>
        <w:rPr>
          <w:rFonts w:ascii="Times New Roman" w:cs="Times New Roman" w:eastAsia="Times New Roman" w:hAnsi="Times New Roman"/>
          <w:sz w:val="14"/>
          <w:szCs w:val="14"/>
          <w:color w:val="auto"/>
        </w:rPr>
        <w:t>In connection with the quarterly report of Activision Blizzard, Inc. (the “Company”) on Form 10-Q for the period ended June 30, 2019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3" w:lineRule="exact"/>
        <w:rPr>
          <w:sz w:val="20"/>
          <w:szCs w:val="20"/>
          <w:color w:val="auto"/>
        </w:rPr>
      </w:pPr>
    </w:p>
    <w:p>
      <w:pPr>
        <w:ind w:left="760" w:hanging="267"/>
        <w:spacing w:after="0"/>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4"/>
          <w:szCs w:val="14"/>
          <w:color w:val="auto"/>
        </w:rPr>
      </w:pPr>
    </w:p>
    <w:p>
      <w:pPr>
        <w:ind w:right="2800" w:firstLine="493"/>
        <w:spacing w:after="0" w:line="555" w:lineRule="auto"/>
        <w:tabs>
          <w:tab w:leader="none" w:pos="75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 August 8, 2019</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Robert A. Kotick</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Executive Officer and</w:t>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Principal Executive Officer of</w:t>
      </w:r>
    </w:p>
    <w:p>
      <w:pPr>
        <w:spacing w:after="0" w:line="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471" w:right="2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jc w:val="both"/>
        <w:ind w:right="220" w:firstLine="245"/>
        <w:spacing w:after="0" w:line="254" w:lineRule="auto"/>
        <w:rPr>
          <w:sz w:val="20"/>
          <w:szCs w:val="20"/>
          <w:color w:val="auto"/>
        </w:rPr>
      </w:pPr>
      <w:r>
        <w:rPr>
          <w:rFonts w:ascii="Times New Roman" w:cs="Times New Roman" w:eastAsia="Times New Roman" w:hAnsi="Times New Roman"/>
          <w:sz w:val="14"/>
          <w:szCs w:val="14"/>
          <w:color w:val="auto"/>
        </w:rPr>
        <w:t>In connection with the quarterly report of Activision Blizzard, Inc. (the “Company”) on Form 10-Q for the period ended June 30, 2019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43" w:lineRule="exact"/>
        <w:rPr>
          <w:sz w:val="20"/>
          <w:szCs w:val="20"/>
          <w:color w:val="auto"/>
        </w:rPr>
      </w:pPr>
    </w:p>
    <w:p>
      <w:pPr>
        <w:ind w:left="760" w:hanging="267"/>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4"/>
          <w:szCs w:val="14"/>
          <w:color w:val="auto"/>
        </w:rPr>
      </w:pPr>
    </w:p>
    <w:p>
      <w:pPr>
        <w:ind w:right="2800" w:firstLine="493"/>
        <w:spacing w:after="0" w:line="555" w:lineRule="auto"/>
        <w:tabs>
          <w:tab w:leader="none" w:pos="75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 August 8, 2019</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Dennis Durkin</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47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5"/>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7" Type="http://schemas.openxmlformats.org/officeDocument/2006/relationships/hyperlink" Target="http://www.sec.gov/Archives/edgar/data/718877/000110465914044513/a14-14950_1ex3d1.htm" TargetMode="External"/><Relationship Id="rId38" Type="http://schemas.openxmlformats.org/officeDocument/2006/relationships/hyperlink" Target="http://www.sec.gov/Archives/edgar/data/718877/000110465918019359/a18-8728_1ex3d1.htm" TargetMode="External"/><Relationship Id="rId39" Type="http://schemas.openxmlformats.org/officeDocument/2006/relationships/hyperlink" Target="http://www.sec.gov/Archives/edgar/data/718877/000110465919031811/a19-10612_1ex10d1.htm#Exhibit10_1_1216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2019-12-28T07:21:38Z</dcterms:created>
  <dcterms:modified xsi:type="dcterms:W3CDTF">2019-12-28T07:21:38Z</dcterms:modified>
</cp:coreProperties>
</file>