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KOTICK ROBERT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ACTIVISION BLIZZARD,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3100 OCEAN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Activision Blizzard,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ATVI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4"/>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5"/>
            <w:vMerge w:val="continue"/>
          </w:tcPr>
          <w:p>
            <w:pPr>
              <w:spacing w:after="0" w:line="20" w:lineRule="exact"/>
              <w:rPr>
                <w:sz w:val="1"/>
                <w:szCs w:val="1"/>
                <w:color w:val="auto"/>
              </w:rPr>
            </w:pPr>
          </w:p>
        </w:tc>
        <w:tc>
          <w:tcPr>
            <w:tcW w:w="36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5"/>
            <w:vMerge w:val="continue"/>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gridSpan w:val="2"/>
            <w:vMerge w:val="restart"/>
          </w:tcPr>
          <w:p>
            <w:pPr>
              <w:ind w:left="44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7"/>
                <w:szCs w:val="17"/>
                <w:color w:val="0000FF"/>
              </w:rPr>
              <w:t>CA</w:t>
            </w:r>
          </w:p>
        </w:tc>
        <w:tc>
          <w:tcPr>
            <w:tcW w:w="1760" w:type="dxa"/>
            <w:vAlign w:val="bottom"/>
            <w:gridSpan w:val="2"/>
          </w:tcPr>
          <w:p>
            <w:pPr>
              <w:ind w:left="560"/>
              <w:spacing w:after="0"/>
              <w:rPr>
                <w:sz w:val="20"/>
                <w:szCs w:val="20"/>
                <w:color w:val="auto"/>
              </w:rPr>
            </w:pPr>
            <w:r>
              <w:rPr>
                <w:rFonts w:ascii="Arial" w:cs="Arial" w:eastAsia="Arial" w:hAnsi="Arial"/>
                <w:sz w:val="17"/>
                <w:szCs w:val="17"/>
                <w:color w:val="0000FF"/>
              </w:rPr>
              <w:t>90405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gridSpan w:val="4"/>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line="173" w:lineRule="exact"/>
              <w:rPr>
                <w:sz w:val="20"/>
                <w:szCs w:val="20"/>
                <w:color w:val="auto"/>
              </w:rPr>
            </w:pPr>
            <w:r>
              <w:rPr>
                <w:rFonts w:ascii="Arial" w:cs="Arial" w:eastAsia="Arial" w:hAnsi="Arial"/>
                <w:sz w:val="17"/>
                <w:szCs w:val="17"/>
                <w:color w:val="0000FF"/>
              </w:rPr>
              <w:t>MONICA</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80" w:type="dxa"/>
            <w:vAlign w:val="bottom"/>
            <w:gridSpan w:val="4"/>
            <w:vMerge w:val="restart"/>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ind w:left="360"/>
              <w:spacing w:after="0" w:line="101"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260"/>
              <w:spacing w:after="0"/>
              <w:rPr>
                <w:sz w:val="20"/>
                <w:szCs w:val="20"/>
                <w:color w:val="auto"/>
              </w:rPr>
            </w:pPr>
            <w:r>
              <w:rPr>
                <w:rFonts w:ascii="Arial" w:cs="Arial" w:eastAsia="Arial" w:hAnsi="Arial"/>
                <w:sz w:val="13"/>
                <w:szCs w:val="13"/>
                <w:color w:val="auto"/>
              </w:rPr>
              <w:t>(State)</w:t>
            </w:r>
          </w:p>
        </w:tc>
        <w:tc>
          <w:tcPr>
            <w:tcW w:w="900" w:type="dxa"/>
            <w:vAlign w:val="bottom"/>
          </w:tcPr>
          <w:p>
            <w:pPr>
              <w:ind w:left="56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1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0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108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11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03/01/2021</w:t>
            </w:r>
          </w:p>
        </w:tc>
        <w:tc>
          <w:tcPr>
            <w:tcW w:w="11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3"/>
              </w:rPr>
              <w:t>904,636</w:t>
            </w:r>
            <w:r>
              <w:rPr>
                <w:rFonts w:ascii="Arial" w:cs="Arial" w:eastAsia="Arial" w:hAnsi="Arial"/>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92"/>
              </w:rPr>
              <w:t>5,210,526</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11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03/01/2021</w:t>
            </w:r>
          </w:p>
        </w:tc>
        <w:tc>
          <w:tcPr>
            <w:tcW w:w="11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3"/>
              </w:rPr>
              <w:t>595,364</w:t>
            </w:r>
            <w:r>
              <w:rPr>
                <w:rFonts w:ascii="Arial" w:cs="Arial" w:eastAsia="Arial" w:hAnsi="Arial"/>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98.72</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92"/>
              </w:rPr>
              <w:t>4,615,162</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11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03/01/2021</w:t>
            </w:r>
          </w:p>
        </w:tc>
        <w:tc>
          <w:tcPr>
            <w:tcW w:w="11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3"/>
              </w:rPr>
              <w:t>430,804</w:t>
            </w:r>
            <w:r>
              <w:rPr>
                <w:rFonts w:ascii="Arial" w:cs="Arial" w:eastAsia="Arial" w:hAnsi="Arial"/>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92"/>
              </w:rPr>
              <w:t>5,045,966</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11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03/01/2021</w:t>
            </w:r>
          </w:p>
        </w:tc>
        <w:tc>
          <w:tcPr>
            <w:tcW w:w="11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3"/>
              </w:rPr>
              <w:t>283,523</w:t>
            </w:r>
            <w:r>
              <w:rPr>
                <w:rFonts w:ascii="Arial" w:cs="Arial" w:eastAsia="Arial" w:hAnsi="Arial"/>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98.72</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87"/>
              </w:rPr>
              <w:t>4,773,567</w:t>
            </w:r>
            <w:r>
              <w:rPr>
                <w:rFonts w:ascii="Arial" w:cs="Arial" w:eastAsia="Arial" w:hAnsi="Arial"/>
                <w:sz w:val="22"/>
                <w:szCs w:val="22"/>
                <w:color w:val="008000"/>
                <w:w w:val="87"/>
                <w:vertAlign w:val="superscript"/>
              </w:rPr>
              <w:t>(2)</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80" w:type="dxa"/>
            <w:vAlign w:val="bottom"/>
            <w:gridSpan w:val="4"/>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rPr>
              <w:t>1</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1060" w:type="dxa"/>
            <w:vAlign w:val="bottom"/>
            <w:gridSpan w:val="2"/>
          </w:tcPr>
          <w:p>
            <w:pPr>
              <w:ind w:left="80"/>
              <w:spacing w:after="0"/>
              <w:rPr>
                <w:sz w:val="20"/>
                <w:szCs w:val="20"/>
                <w:color w:val="auto"/>
              </w:rPr>
            </w:pPr>
            <w:r>
              <w:rPr>
                <w:rFonts w:ascii="Arial" w:cs="Arial" w:eastAsia="Arial" w:hAnsi="Arial"/>
                <w:sz w:val="17"/>
                <w:szCs w:val="17"/>
                <w:color w:val="0000FF"/>
              </w:rPr>
              <w:t>By ASAC II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vMerge w:val="restart"/>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Borders>
              <w:bottom w:val="single" w:sz="8" w:color="2C2C2C"/>
            </w:tcBorders>
            <w:gridSpan w:val="2"/>
            <w:vMerge w:val="continue"/>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color w:val="0000FF"/>
              </w:rPr>
              <w:t>By UTMAs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9"/>
              </w:rPr>
              <w:t>Common Stock, par value $0.000001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color w:val="0000FF"/>
              </w:rPr>
              <w:t>for the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7"/>
                <w:szCs w:val="17"/>
                <w:color w:val="0000FF"/>
                <w:w w:val="89"/>
              </w:rPr>
              <w:t>4,800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benefit of</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per share</w:t>
            </w: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minor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-3340735</wp:posOffset>
            </wp:positionV>
            <wp:extent cx="6964045" cy="4509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509770"/>
                    </a:xfrm>
                    <a:prstGeom prst="rect">
                      <a:avLst/>
                    </a:prstGeom>
                    <a:noFill/>
                  </pic:spPr>
                </pic:pic>
              </a:graphicData>
            </a:graphic>
          </wp:anchor>
        </w:drawing>
      </w:r>
    </w:p>
    <w:p>
      <w:pPr>
        <w:ind w:left="10000"/>
        <w:spacing w:after="0"/>
        <w:rPr>
          <w:sz w:val="20"/>
          <w:szCs w:val="20"/>
          <w:color w:val="auto"/>
        </w:rPr>
      </w:pPr>
      <w:r>
        <w:rPr>
          <w:rFonts w:ascii="Arial" w:cs="Arial" w:eastAsia="Arial" w:hAnsi="Arial"/>
          <w:sz w:val="17"/>
          <w:szCs w:val="17"/>
          <w:color w:val="0000FF"/>
        </w:rPr>
        <w:t>children</w:t>
      </w:r>
      <w:r>
        <w:rPr>
          <w:rFonts w:ascii="Arial" w:cs="Arial" w:eastAsia="Arial" w:hAnsi="Arial"/>
          <w:sz w:val="22"/>
          <w:szCs w:val="22"/>
          <w:color w:val="008000"/>
          <w:vertAlign w:val="superscript"/>
        </w:rPr>
        <w:t>(4)</w:t>
      </w:r>
    </w:p>
    <w:p>
      <w:pPr>
        <w:sectPr>
          <w:pgSz w:w="11900" w:h="16838" w:orient="portrait"/>
          <w:cols w:equalWidth="0" w:num="1">
            <w:col w:w="11000"/>
          </w:cols>
          <w:pgMar w:left="460" w:top="225" w:right="439" w:bottom="0" w:gutter="0" w:footer="0" w:header="0"/>
          <w:type w:val="continuous"/>
        </w:sectPr>
      </w:pPr>
    </w:p>
    <w:p>
      <w:pPr>
        <w:spacing w:after="0" w:line="86"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$0.000001</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per share</w:t>
      </w:r>
    </w:p>
    <w:p>
      <w:pPr>
        <w:spacing w:after="0" w:line="357"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$0.000001</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per share</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tabs>
          <w:tab w:leader="none" w:pos="1200" w:val="left"/>
          <w:tab w:leader="none" w:pos="1740" w:val="left"/>
        </w:tabs>
        <w:rPr>
          <w:sz w:val="20"/>
          <w:szCs w:val="20"/>
          <w:color w:val="auto"/>
        </w:rPr>
      </w:pPr>
      <w:r>
        <w:rPr>
          <w:rFonts w:ascii="Arial" w:cs="Arial" w:eastAsia="Arial" w:hAnsi="Arial"/>
          <w:sz w:val="17"/>
          <w:szCs w:val="17"/>
          <w:color w:val="0000FF"/>
        </w:rPr>
        <w:t>36,918</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By GRATs</w:t>
      </w:r>
      <w:r>
        <w:rPr>
          <w:rFonts w:ascii="Arial" w:cs="Arial" w:eastAsia="Arial" w:hAnsi="Arial"/>
          <w:sz w:val="19"/>
          <w:szCs w:val="19"/>
          <w:color w:val="008000"/>
          <w:vertAlign w:val="superscript"/>
        </w:rPr>
        <w:t>(5)</w:t>
      </w:r>
    </w:p>
    <w:p>
      <w:pPr>
        <w:spacing w:after="0" w:line="235" w:lineRule="exact"/>
        <w:rPr>
          <w:sz w:val="24"/>
          <w:szCs w:val="24"/>
          <w:color w:val="auto"/>
        </w:rPr>
      </w:pPr>
    </w:p>
    <w:p>
      <w:pPr>
        <w:ind w:left="1760"/>
        <w:spacing w:after="0"/>
        <w:rPr>
          <w:sz w:val="20"/>
          <w:szCs w:val="20"/>
          <w:color w:val="auto"/>
        </w:rPr>
      </w:pPr>
      <w:r>
        <w:rPr>
          <w:rFonts w:ascii="Arial" w:cs="Arial" w:eastAsia="Arial" w:hAnsi="Arial"/>
          <w:sz w:val="17"/>
          <w:szCs w:val="17"/>
          <w:color w:val="0000FF"/>
        </w:rPr>
        <w:t>By</w:t>
      </w:r>
    </w:p>
    <w:p>
      <w:pPr>
        <w:ind w:left="180"/>
        <w:spacing w:after="0"/>
        <w:tabs>
          <w:tab w:leader="none" w:pos="1200" w:val="left"/>
          <w:tab w:leader="none" w:pos="1740" w:val="left"/>
        </w:tabs>
        <w:rPr>
          <w:sz w:val="20"/>
          <w:szCs w:val="20"/>
          <w:color w:val="auto"/>
        </w:rPr>
      </w:pPr>
      <w:r>
        <w:rPr>
          <w:rFonts w:ascii="Arial" w:cs="Arial" w:eastAsia="Arial" w:hAnsi="Arial"/>
          <w:sz w:val="28"/>
          <w:szCs w:val="28"/>
          <w:color w:val="0000FF"/>
          <w:vertAlign w:val="subscript"/>
        </w:rPr>
        <w:t>2</w:t>
      </w:r>
      <w:r>
        <w:rPr>
          <w:sz w:val="20"/>
          <w:szCs w:val="20"/>
          <w:color w:val="auto"/>
        </w:rPr>
        <w:tab/>
      </w:r>
      <w:r>
        <w:rPr>
          <w:rFonts w:ascii="Arial" w:cs="Arial" w:eastAsia="Arial" w:hAnsi="Arial"/>
          <w:sz w:val="28"/>
          <w:szCs w:val="28"/>
          <w:color w:val="0000FF"/>
          <w:vertAlign w:val="subscript"/>
        </w:rPr>
        <w:t>I</w:t>
      </w:r>
      <w:r>
        <w:rPr>
          <w:sz w:val="20"/>
          <w:szCs w:val="20"/>
          <w:color w:val="auto"/>
        </w:rPr>
        <w:tab/>
      </w:r>
      <w:r>
        <w:rPr>
          <w:rFonts w:ascii="Arial" w:cs="Arial" w:eastAsia="Arial" w:hAnsi="Arial"/>
          <w:sz w:val="15"/>
          <w:szCs w:val="15"/>
          <w:color w:val="0000FF"/>
        </w:rPr>
        <w:t>Delmonte</w:t>
      </w:r>
    </w:p>
    <w:p>
      <w:pPr>
        <w:spacing w:after="0" w:line="1" w:lineRule="exact"/>
        <w:rPr>
          <w:sz w:val="24"/>
          <w:szCs w:val="24"/>
          <w:color w:val="auto"/>
        </w:rPr>
      </w:pPr>
    </w:p>
    <w:p>
      <w:pPr>
        <w:ind w:left="1760"/>
        <w:spacing w:after="0"/>
        <w:rPr>
          <w:sz w:val="20"/>
          <w:szCs w:val="20"/>
          <w:color w:val="auto"/>
        </w:rPr>
      </w:pPr>
      <w:r>
        <w:rPr>
          <w:rFonts w:ascii="Arial" w:cs="Arial" w:eastAsia="Arial" w:hAnsi="Arial"/>
          <w:sz w:val="15"/>
          <w:szCs w:val="15"/>
          <w:color w:val="0000FF"/>
        </w:rPr>
        <w:t>Investments,</w:t>
      </w:r>
    </w:p>
    <w:p>
      <w:pPr>
        <w:spacing w:after="0" w:line="34" w:lineRule="exact"/>
        <w:rPr>
          <w:sz w:val="24"/>
          <w:szCs w:val="24"/>
          <w:color w:val="auto"/>
        </w:rPr>
      </w:pPr>
    </w:p>
    <w:p>
      <w:pPr>
        <w:ind w:left="17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-5227320</wp:posOffset>
            </wp:positionH>
            <wp:positionV relativeFrom="paragraph">
              <wp:posOffset>26035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7520" w:space="720"/>
            <w:col w:w="276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 2021, the performance conditions for the four-year performance period from 1/1/17 through 12/31/20 underlying these performance stock unit awards were achieved at the maximum level. The aggregate number of shares reported represents the number of shares earned above the target shares previously reported on the Form 4 reports filed on 09/11/20 and 01/05/21. Pursuant to the terms of the award agreements, the Company withheld an aggregate of 878,887 of the shares otherwise earned in order to satisfy the resulting tax withholding obligations. As a result, for the four-year performance period 1/1/17 through 12/31/20, the reporting person received a net of 456,553 shares of the Company's common stock after the satisfaction of the tax withholding obligations.</w:t>
      </w:r>
    </w:p>
    <w:p>
      <w:pPr>
        <w:spacing w:after="0" w:line="14" w:lineRule="exact"/>
        <w:rPr>
          <w:rFonts w:ascii="Arial" w:cs="Arial" w:eastAsia="Arial" w:hAnsi="Arial"/>
          <w:sz w:val="12"/>
          <w:szCs w:val="12"/>
          <w:color w:val="008000"/>
        </w:rPr>
      </w:pPr>
    </w:p>
    <w:p>
      <w:pPr>
        <w:ind w:left="40" w:right="8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transactions reported on this Form 4, the reporting person held 3,155,773 shares of the Company's common stock. The reporting person also held 1,617,794 performance-vesting restricted stock units, each representing the right to receive shares of the Company's common stock. The number of performance-vesting restricted stock units assumes, as previously disclosed, maximum performance for grants prior to 9/9/20 and assumes target performance for any awards thereafter. Includes 11,124 shares received in a distribution of shares of the Company's common stock by the reporting person's grantor retained annuity trusts for estate planning purposes for the benefit of the reporting person's children, of which the reporting person is the trustee, on March 1, 2021.</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and Brian G. Kelly are the managers of ASAC II LLC. The reporting person disclaims beneficial ownership of the Company's common stock held by ASAC II LLC except to the</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extent of his pecuniary interest therein.</w:t>
      </w:r>
    </w:p>
    <w:p>
      <w:pPr>
        <w:spacing w:after="0" w:line="50" w:lineRule="exact"/>
        <w:rPr>
          <w:sz w:val="20"/>
          <w:szCs w:val="20"/>
          <w:color w:val="auto"/>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Company's common stock held by these UTMAs except to the extent of his pecuniary interest therein.</w:t>
      </w:r>
    </w:p>
    <w:p>
      <w:pPr>
        <w:spacing w:after="0" w:line="50" w:lineRule="exact"/>
        <w:rPr>
          <w:rFonts w:ascii="Arial" w:cs="Arial" w:eastAsia="Arial" w:hAnsi="Arial"/>
          <w:sz w:val="13"/>
          <w:szCs w:val="13"/>
          <w:color w:val="008000"/>
        </w:rPr>
      </w:pPr>
    </w:p>
    <w:p>
      <w:pPr>
        <w:ind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are held by grantor retained annuity trusts for the benefit of the reporting person's children, of which the reporting person is the trustee. Reflects the distribution of 11,124 shares of the Company's common stock from the reporting person's grantor retained annuity trusts for estate planning purposes to the reporting person on March 1, 2021.</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shares of the Company's common stock indirectly beneficially owned through Delmonte Investments, LLC, of which the reporting person is a member and manager.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Robert A. Kotick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2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3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91423" TargetMode="External"/><Relationship Id="rId14" Type="http://schemas.openxmlformats.org/officeDocument/2006/relationships/hyperlink" Target="http://www.sec.gov/cgi-bin/browse-edgar?action=getcompany&amp;CIK=0000718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2021-03-03T18:03:44Z</dcterms:created>
  <dcterms:modified xsi:type="dcterms:W3CDTF">2021-03-03T18:03:44Z</dcterms:modified>
</cp:coreProperties>
</file>