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80" w:type="dxa"/>
            <w:vAlign w:val="bottom"/>
            <w:gridSpan w:val="6"/>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CORTI ROBERT J</w:t>
              </w:r>
            </w:hyperlink>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6"/>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Activision Blizzard,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ATVI</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680" w:type="dxa"/>
            <w:vAlign w:val="bottom"/>
          </w:tcPr>
          <w:p>
            <w:pPr>
              <w:ind w:left="1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80" w:type="dxa"/>
            <w:vAlign w:val="bottom"/>
            <w:gridSpan w:val="6"/>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5"/>
            <w:vMerge w:val="restart"/>
          </w:tcPr>
          <w:p>
            <w:pPr>
              <w:spacing w:after="0"/>
              <w:rPr>
                <w:sz w:val="20"/>
                <w:szCs w:val="20"/>
                <w:color w:val="auto"/>
              </w:rPr>
            </w:pPr>
            <w:r>
              <w:rPr>
                <w:rFonts w:ascii="Arial" w:cs="Arial" w:eastAsia="Arial" w:hAnsi="Arial"/>
                <w:sz w:val="17"/>
                <w:szCs w:val="17"/>
                <w:color w:val="0000FF"/>
              </w:rPr>
              <w:t>C/O ACTIVISION BLIZZARD, INC.</w:t>
            </w:r>
          </w:p>
        </w:tc>
        <w:tc>
          <w:tcPr>
            <w:tcW w:w="66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7"/>
                <w:szCs w:val="17"/>
                <w:color w:val="0000FF"/>
              </w:rPr>
              <w:t>06/16/2020</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80" w:type="dxa"/>
            <w:vAlign w:val="bottom"/>
            <w:gridSpan w:val="5"/>
            <w:vMerge w:val="continue"/>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80" w:type="dxa"/>
            <w:vAlign w:val="bottom"/>
            <w:gridSpan w:val="5"/>
          </w:tcPr>
          <w:p>
            <w:pPr>
              <w:spacing w:after="0"/>
              <w:rPr>
                <w:sz w:val="20"/>
                <w:szCs w:val="20"/>
                <w:color w:val="auto"/>
              </w:rPr>
            </w:pPr>
            <w:r>
              <w:rPr>
                <w:rFonts w:ascii="Arial" w:cs="Arial" w:eastAsia="Arial" w:hAnsi="Arial"/>
                <w:sz w:val="17"/>
                <w:szCs w:val="17"/>
                <w:color w:val="0000FF"/>
              </w:rPr>
              <w:t>3100 OCEAN PARK BOULEVARD</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740" w:type="dxa"/>
            <w:vAlign w:val="bottom"/>
            <w:gridSpan w:val="7"/>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13"/>
                <w:szCs w:val="13"/>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SANTA</w:t>
            </w:r>
          </w:p>
        </w:tc>
        <w:tc>
          <w:tcPr>
            <w:tcW w:w="560" w:type="dxa"/>
            <w:vAlign w:val="bottom"/>
          </w:tcPr>
          <w:p>
            <w:pPr>
              <w:spacing w:after="0"/>
              <w:rPr>
                <w:sz w:val="13"/>
                <w:szCs w:val="13"/>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3"/>
                <w:szCs w:val="13"/>
                <w:color w:val="auto"/>
              </w:rPr>
            </w:pPr>
          </w:p>
        </w:tc>
        <w:tc>
          <w:tcPr>
            <w:tcW w:w="680" w:type="dxa"/>
            <w:vAlign w:val="bottom"/>
            <w:vMerge w:val="restart"/>
          </w:tcPr>
          <w:p>
            <w:pPr>
              <w:ind w:left="140"/>
              <w:spacing w:after="0"/>
              <w:rPr>
                <w:sz w:val="20"/>
                <w:szCs w:val="20"/>
                <w:color w:val="auto"/>
              </w:rPr>
            </w:pPr>
            <w:r>
              <w:rPr>
                <w:rFonts w:ascii="Arial" w:cs="Arial" w:eastAsia="Arial" w:hAnsi="Arial"/>
                <w:sz w:val="17"/>
                <w:szCs w:val="17"/>
                <w:color w:val="0000FF"/>
              </w:rPr>
              <w:t>90405</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68" w:lineRule="exact"/>
              <w:rPr>
                <w:sz w:val="20"/>
                <w:szCs w:val="20"/>
                <w:color w:val="auto"/>
              </w:rPr>
            </w:pPr>
            <w:r>
              <w:rPr>
                <w:rFonts w:ascii="Arial" w:cs="Arial" w:eastAsia="Arial" w:hAnsi="Arial"/>
                <w:sz w:val="17"/>
                <w:szCs w:val="17"/>
                <w:color w:val="0000FF"/>
              </w:rPr>
              <w:t>MONICA</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gridSpan w:val="2"/>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680" w:type="dxa"/>
            <w:vAlign w:val="bottom"/>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224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60" w:type="dxa"/>
            <w:vAlign w:val="bottom"/>
            <w:gridSpan w:val="4"/>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80" w:type="dxa"/>
            <w:vAlign w:val="bottom"/>
            <w:tcBorders>
              <w:bottom w:val="single" w:sz="8" w:color="2C2C2C"/>
            </w:tcBorders>
            <w:gridSpan w:val="6"/>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80" w:type="dxa"/>
            <w:vAlign w:val="bottom"/>
            <w:gridSpan w:val="6"/>
          </w:tcPr>
          <w:p>
            <w:pPr>
              <w:ind w:left="60"/>
              <w:spacing w:after="0"/>
              <w:rPr>
                <w:sz w:val="20"/>
                <w:szCs w:val="20"/>
                <w:color w:val="auto"/>
              </w:rPr>
            </w:pPr>
            <w:r>
              <w:rPr>
                <w:rFonts w:ascii="Arial" w:cs="Arial" w:eastAsia="Arial" w:hAnsi="Arial"/>
                <w:sz w:val="17"/>
                <w:szCs w:val="17"/>
                <w:color w:val="0000FF"/>
                <w:w w:val="96"/>
              </w:rPr>
              <w:t>Common Stock, par value $0.000001 per</w:t>
            </w:r>
          </w:p>
        </w:tc>
        <w:tc>
          <w:tcPr>
            <w:tcW w:w="1160" w:type="dxa"/>
            <w:vAlign w:val="bottom"/>
            <w:gridSpan w:val="4"/>
            <w:vMerge w:val="restart"/>
          </w:tcPr>
          <w:p>
            <w:pPr>
              <w:jc w:val="right"/>
              <w:ind w:right="57"/>
              <w:spacing w:after="0"/>
              <w:rPr>
                <w:sz w:val="20"/>
                <w:szCs w:val="20"/>
                <w:color w:val="auto"/>
              </w:rPr>
            </w:pPr>
            <w:r>
              <w:rPr>
                <w:rFonts w:ascii="Arial" w:cs="Arial" w:eastAsia="Arial" w:hAnsi="Arial"/>
                <w:sz w:val="17"/>
                <w:szCs w:val="17"/>
                <w:color w:val="0000FF"/>
              </w:rPr>
              <w:t>06/16/2020</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40" w:type="dxa"/>
            <w:vAlign w:val="bottom"/>
            <w:vMerge w:val="restart"/>
          </w:tcPr>
          <w:p>
            <w:pPr>
              <w:ind w:left="180"/>
              <w:spacing w:after="0"/>
              <w:rPr>
                <w:sz w:val="20"/>
                <w:szCs w:val="20"/>
                <w:color w:val="auto"/>
              </w:rPr>
            </w:pPr>
            <w:r>
              <w:rPr>
                <w:rFonts w:ascii="Arial" w:cs="Arial" w:eastAsia="Arial" w:hAnsi="Arial"/>
                <w:sz w:val="17"/>
                <w:szCs w:val="17"/>
                <w:color w:val="0000FF"/>
                <w:w w:val="89"/>
              </w:rPr>
              <w:t>3,425</w:t>
            </w:r>
            <w:r>
              <w:rPr>
                <w:rFonts w:ascii="Arial" w:cs="Arial" w:eastAsia="Arial" w:hAnsi="Arial"/>
                <w:sz w:val="22"/>
                <w:szCs w:val="22"/>
                <w:color w:val="008000"/>
                <w:w w:val="89"/>
                <w:vertAlign w:val="superscript"/>
              </w:rPr>
              <w:t>(1)</w:t>
            </w:r>
          </w:p>
        </w:tc>
        <w:tc>
          <w:tcPr>
            <w:tcW w:w="660" w:type="dxa"/>
            <w:vAlign w:val="bottom"/>
            <w:vMerge w:val="restart"/>
          </w:tcPr>
          <w:p>
            <w:pPr>
              <w:ind w:left="300"/>
              <w:spacing w:after="0"/>
              <w:rPr>
                <w:sz w:val="20"/>
                <w:szCs w:val="20"/>
                <w:color w:val="auto"/>
              </w:rPr>
            </w:pPr>
            <w:r>
              <w:rPr>
                <w:rFonts w:ascii="Arial" w:cs="Arial" w:eastAsia="Arial" w:hAnsi="Arial"/>
                <w:sz w:val="17"/>
                <w:szCs w:val="17"/>
                <w:color w:val="0000FF"/>
              </w:rPr>
              <w:t>A</w:t>
            </w:r>
          </w:p>
        </w:tc>
        <w:tc>
          <w:tcPr>
            <w:tcW w:w="360" w:type="dxa"/>
            <w:vAlign w:val="bottom"/>
            <w:gridSpan w:val="3"/>
            <w:vMerge w:val="restart"/>
          </w:tcPr>
          <w:p>
            <w:pPr>
              <w:ind w:left="1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80" w:type="dxa"/>
            <w:vAlign w:val="bottom"/>
          </w:tcPr>
          <w:p>
            <w:pPr>
              <w:spacing w:after="0"/>
              <w:rPr>
                <w:sz w:val="22"/>
                <w:szCs w:val="22"/>
                <w:color w:val="auto"/>
              </w:rPr>
            </w:pPr>
          </w:p>
        </w:tc>
        <w:tc>
          <w:tcPr>
            <w:tcW w:w="1200" w:type="dxa"/>
            <w:vAlign w:val="bottom"/>
            <w:gridSpan w:val="2"/>
            <w:vMerge w:val="restart"/>
          </w:tcPr>
          <w:p>
            <w:pPr>
              <w:ind w:left="240"/>
              <w:spacing w:after="0"/>
              <w:rPr>
                <w:sz w:val="20"/>
                <w:szCs w:val="20"/>
                <w:color w:val="auto"/>
              </w:rPr>
            </w:pPr>
            <w:r>
              <w:rPr>
                <w:rFonts w:ascii="Arial" w:cs="Arial" w:eastAsia="Arial" w:hAnsi="Arial"/>
                <w:sz w:val="17"/>
                <w:szCs w:val="17"/>
                <w:color w:val="0000FF"/>
              </w:rPr>
              <w:t>119,674</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gridSpan w:val="4"/>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640" w:type="dxa"/>
            <w:vAlign w:val="bottom"/>
            <w:tcBorders>
              <w:bottom w:val="single" w:sz="8" w:color="2C2C2C"/>
            </w:tcBorders>
            <w:gridSpan w:val="5"/>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3"/>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gridSpan w:val="4"/>
          </w:tcPr>
          <w:p>
            <w:pPr>
              <w:ind w:left="4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-3009265</wp:posOffset>
            </wp:positionV>
            <wp:extent cx="7031355" cy="3054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054350"/>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grant was for 3,425 restricted stock units, each representing the right to receive one share of the Company's common stock, which will vest in equal installments on September 16, 2020, December 16, 2020, March 16, 2021, and June 16, 2021.</w:t>
      </w:r>
    </w:p>
    <w:p>
      <w:pPr>
        <w:spacing w:after="0" w:line="15" w:lineRule="exact"/>
        <w:rPr>
          <w:rFonts w:ascii="Arial" w:cs="Arial" w:eastAsia="Arial" w:hAnsi="Arial"/>
          <w:sz w:val="13"/>
          <w:szCs w:val="13"/>
          <w:color w:val="008000"/>
        </w:rPr>
      </w:pPr>
    </w:p>
    <w:p>
      <w:pPr>
        <w:ind w:left="40" w:right="4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Following the transactions reported on this Form 4, Mr. Corti held (a) 114,897 shares of the Company's common stock and (b) 4,777 restricted stock units, each representing the right to receive one share of the Company's common stock.</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Robert J. Corti</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06/18/2020</w:t>
            </w: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051407" TargetMode="External"/><Relationship Id="rId14" Type="http://schemas.openxmlformats.org/officeDocument/2006/relationships/hyperlink" Target="http://www.sec.gov/cgi-bin/browse-edgar?action=getcompany&amp;CIK=00007188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2020-06-18T18:13:58Z</dcterms:created>
  <dcterms:modified xsi:type="dcterms:W3CDTF">2020-06-18T18:13:58Z</dcterms:modified>
</cp:coreProperties>
</file>