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3" w:lineRule="exact"/>
        <w:rPr>
          <w:sz w:val="24"/>
          <w:szCs w:val="24"/>
          <w:color w:val="auto"/>
        </w:rPr>
      </w:pPr>
    </w:p>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79">
        <w:r>
          <w:rPr>
            <w:rFonts w:ascii="Arial" w:cs="Arial" w:eastAsia="Arial" w:hAnsi="Arial"/>
            <w:sz w:val="22"/>
            <w:szCs w:val="22"/>
            <w:u w:val="single" w:color="auto"/>
            <w:color w:val="0000EE"/>
          </w:rPr>
          <w:t>FINANCIAL STATEMENTS AND SUPPLEMENTARY DATA</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Washington, D.C. 20549</w:t>
      </w:r>
    </w:p>
    <w:p>
      <w:pPr>
        <w:spacing w:after="0" w:line="178"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ind w:left="20"/>
        <w:spacing w:after="0"/>
        <w:rPr>
          <w:sz w:val="20"/>
          <w:szCs w:val="20"/>
          <w:color w:val="auto"/>
        </w:rPr>
      </w:pPr>
      <w:r>
        <w:rPr>
          <w:rFonts w:ascii="Arial" w:cs="Arial" w:eastAsia="Arial" w:hAnsi="Arial"/>
          <w:sz w:val="18"/>
          <w:szCs w:val="18"/>
          <w:b w:val="1"/>
          <w:bCs w:val="1"/>
          <w:color w:val="auto"/>
        </w:rPr>
        <w:t>(Mark one)</w:t>
      </w:r>
    </w:p>
    <w:p>
      <w:pPr>
        <w:spacing w:after="0" w:line="239" w:lineRule="exact"/>
        <w:rPr>
          <w:sz w:val="24"/>
          <w:szCs w:val="24"/>
          <w:color w:val="auto"/>
        </w:rPr>
      </w:pPr>
    </w:p>
    <w:p>
      <w:pPr>
        <w:ind w:left="1040" w:right="620" w:hanging="694"/>
        <w:spacing w:after="0" w:line="256" w:lineRule="auto"/>
        <w:tabs>
          <w:tab w:leader="none" w:pos="10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ANNUAL REPORT PURSUANT TO SECTION 13 OR 15(d) OF THE SECURITIES EXCHANGE ACT OF 1934</w:t>
      </w:r>
    </w:p>
    <w:p>
      <w:pPr>
        <w:spacing w:after="0" w:line="203"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 the Fiscal Year Ended December 31, 2016</w:t>
      </w:r>
    </w:p>
    <w:p>
      <w:pPr>
        <w:spacing w:after="0" w:line="252"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OR</w:t>
      </w:r>
    </w:p>
    <w:p>
      <w:pPr>
        <w:spacing w:after="0" w:line="239" w:lineRule="exact"/>
        <w:rPr>
          <w:sz w:val="24"/>
          <w:szCs w:val="24"/>
          <w:color w:val="auto"/>
        </w:rPr>
      </w:pPr>
    </w:p>
    <w:p>
      <w:pPr>
        <w:ind w:left="1040" w:right="160" w:hanging="654"/>
        <w:spacing w:after="0" w:line="256" w:lineRule="auto"/>
        <w:tabs>
          <w:tab w:leader="none" w:pos="104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03" w:lineRule="exact"/>
        <w:rPr>
          <w:sz w:val="24"/>
          <w:szCs w:val="24"/>
          <w:color w:val="auto"/>
        </w:rPr>
      </w:pPr>
    </w:p>
    <w:p>
      <w:pPr>
        <w:ind w:left="3040"/>
        <w:spacing w:after="0"/>
        <w:tabs>
          <w:tab w:leader="none" w:pos="68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Commission File Number 1-15839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1977390</wp:posOffset>
            </wp:positionH>
            <wp:positionV relativeFrom="paragraph">
              <wp:posOffset>152400</wp:posOffset>
            </wp:positionV>
            <wp:extent cx="3302000" cy="5918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0200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ACTIVISION BLIZZARD, INC.</w:t>
      </w:r>
    </w:p>
    <w:p>
      <w:pPr>
        <w:spacing w:after="0" w:line="43"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640" w:type="dxa"/>
        <w:tblCellMar>
          <w:top w:w="0" w:type="dxa"/>
          <w:left w:w="0" w:type="dxa"/>
          <w:bottom w:w="0" w:type="dxa"/>
          <w:right w:w="0" w:type="dxa"/>
        </w:tblCellMar>
      </w:tblPr>
      <w:tr>
        <w:trPr>
          <w:trHeight w:val="222"/>
        </w:trPr>
        <w:tc>
          <w:tcPr>
            <w:tcW w:w="5480" w:type="dxa"/>
            <w:vAlign w:val="bottom"/>
          </w:tcPr>
          <w:p>
            <w:pPr>
              <w:jc w:val="center"/>
              <w:ind w:right="1192"/>
              <w:spacing w:after="0"/>
              <w:rPr>
                <w:sz w:val="20"/>
                <w:szCs w:val="20"/>
                <w:color w:val="auto"/>
              </w:rPr>
            </w:pPr>
            <w:r>
              <w:rPr>
                <w:rFonts w:ascii="Arial" w:cs="Arial" w:eastAsia="Arial" w:hAnsi="Arial"/>
                <w:sz w:val="18"/>
                <w:szCs w:val="18"/>
                <w:b w:val="1"/>
                <w:bCs w:val="1"/>
                <w:color w:val="auto"/>
                <w:w w:val="91"/>
              </w:rPr>
              <w:t>Delaware</w:t>
            </w:r>
          </w:p>
        </w:tc>
        <w:tc>
          <w:tcPr>
            <w:tcW w:w="3840" w:type="dxa"/>
            <w:vAlign w:val="bottom"/>
          </w:tcPr>
          <w:p>
            <w:pPr>
              <w:jc w:val="right"/>
              <w:ind w:right="772"/>
              <w:spacing w:after="0"/>
              <w:rPr>
                <w:sz w:val="20"/>
                <w:szCs w:val="20"/>
                <w:color w:val="auto"/>
              </w:rPr>
            </w:pPr>
            <w:r>
              <w:rPr>
                <w:rFonts w:ascii="Arial" w:cs="Arial" w:eastAsia="Arial" w:hAnsi="Arial"/>
                <w:sz w:val="18"/>
                <w:szCs w:val="18"/>
                <w:b w:val="1"/>
                <w:bCs w:val="1"/>
                <w:color w:val="auto"/>
              </w:rPr>
              <w:t>95-4803544</w:t>
            </w:r>
          </w:p>
        </w:tc>
      </w:tr>
      <w:tr>
        <w:trPr>
          <w:trHeight w:val="222"/>
        </w:trPr>
        <w:tc>
          <w:tcPr>
            <w:tcW w:w="5480" w:type="dxa"/>
            <w:vAlign w:val="bottom"/>
          </w:tcPr>
          <w:p>
            <w:pPr>
              <w:jc w:val="center"/>
              <w:ind w:right="1192"/>
              <w:spacing w:after="0"/>
              <w:rPr>
                <w:sz w:val="20"/>
                <w:szCs w:val="20"/>
                <w:color w:val="auto"/>
              </w:rPr>
            </w:pPr>
            <w:r>
              <w:rPr>
                <w:rFonts w:ascii="Arial" w:cs="Arial" w:eastAsia="Arial" w:hAnsi="Arial"/>
                <w:sz w:val="18"/>
                <w:szCs w:val="18"/>
                <w:color w:val="auto"/>
                <w:w w:val="90"/>
              </w:rPr>
              <w:t>(State or other jurisdiction of incorporation or organization)</w:t>
            </w:r>
          </w:p>
        </w:tc>
        <w:tc>
          <w:tcPr>
            <w:tcW w:w="3840" w:type="dxa"/>
            <w:vAlign w:val="bottom"/>
          </w:tcPr>
          <w:p>
            <w:pPr>
              <w:jc w:val="center"/>
              <w:ind w:left="1212"/>
              <w:spacing w:after="0"/>
              <w:rPr>
                <w:sz w:val="20"/>
                <w:szCs w:val="20"/>
                <w:color w:val="auto"/>
              </w:rPr>
            </w:pPr>
            <w:r>
              <w:rPr>
                <w:rFonts w:ascii="Arial" w:cs="Arial" w:eastAsia="Arial" w:hAnsi="Arial"/>
                <w:sz w:val="18"/>
                <w:szCs w:val="18"/>
                <w:color w:val="auto"/>
                <w:w w:val="91"/>
              </w:rPr>
              <w:t>(I.R.S. Employer Identification No.)</w:t>
            </w:r>
          </w:p>
        </w:tc>
      </w:tr>
      <w:tr>
        <w:trPr>
          <w:trHeight w:val="453"/>
        </w:trPr>
        <w:tc>
          <w:tcPr>
            <w:tcW w:w="5480" w:type="dxa"/>
            <w:vAlign w:val="bottom"/>
          </w:tcPr>
          <w:p>
            <w:pPr>
              <w:jc w:val="center"/>
              <w:ind w:right="1172"/>
              <w:spacing w:after="0"/>
              <w:rPr>
                <w:sz w:val="20"/>
                <w:szCs w:val="20"/>
                <w:color w:val="auto"/>
              </w:rPr>
            </w:pPr>
            <w:r>
              <w:rPr>
                <w:rFonts w:ascii="Arial" w:cs="Arial" w:eastAsia="Arial" w:hAnsi="Arial"/>
                <w:sz w:val="18"/>
                <w:szCs w:val="18"/>
                <w:b w:val="1"/>
                <w:bCs w:val="1"/>
                <w:color w:val="auto"/>
                <w:w w:val="89"/>
              </w:rPr>
              <w:t>3100 Ocean Park Boulevard, Santa Monica, CA</w:t>
            </w:r>
          </w:p>
        </w:tc>
        <w:tc>
          <w:tcPr>
            <w:tcW w:w="3840" w:type="dxa"/>
            <w:vAlign w:val="bottom"/>
          </w:tcPr>
          <w:p>
            <w:pPr>
              <w:jc w:val="right"/>
              <w:ind w:right="972"/>
              <w:spacing w:after="0"/>
              <w:rPr>
                <w:sz w:val="20"/>
                <w:szCs w:val="20"/>
                <w:color w:val="auto"/>
              </w:rPr>
            </w:pPr>
            <w:r>
              <w:rPr>
                <w:rFonts w:ascii="Arial" w:cs="Arial" w:eastAsia="Arial" w:hAnsi="Arial"/>
                <w:sz w:val="18"/>
                <w:szCs w:val="18"/>
                <w:b w:val="1"/>
                <w:bCs w:val="1"/>
                <w:color w:val="auto"/>
              </w:rPr>
              <w:t>90405</w:t>
            </w:r>
          </w:p>
        </w:tc>
      </w:tr>
      <w:tr>
        <w:trPr>
          <w:trHeight w:val="222"/>
        </w:trPr>
        <w:tc>
          <w:tcPr>
            <w:tcW w:w="5480" w:type="dxa"/>
            <w:vAlign w:val="bottom"/>
          </w:tcPr>
          <w:p>
            <w:pPr>
              <w:jc w:val="center"/>
              <w:ind w:right="1172"/>
              <w:spacing w:after="0"/>
              <w:rPr>
                <w:sz w:val="20"/>
                <w:szCs w:val="20"/>
                <w:color w:val="auto"/>
              </w:rPr>
            </w:pPr>
            <w:r>
              <w:rPr>
                <w:rFonts w:ascii="Arial" w:cs="Arial" w:eastAsia="Arial" w:hAnsi="Arial"/>
                <w:sz w:val="18"/>
                <w:szCs w:val="18"/>
                <w:color w:val="auto"/>
                <w:w w:val="90"/>
              </w:rPr>
              <w:t>(Address of principal executive offices)</w:t>
            </w:r>
          </w:p>
        </w:tc>
        <w:tc>
          <w:tcPr>
            <w:tcW w:w="3840" w:type="dxa"/>
            <w:vAlign w:val="bottom"/>
          </w:tcPr>
          <w:p>
            <w:pPr>
              <w:jc w:val="center"/>
              <w:ind w:left="1212"/>
              <w:spacing w:after="0"/>
              <w:rPr>
                <w:sz w:val="20"/>
                <w:szCs w:val="20"/>
                <w:color w:val="auto"/>
              </w:rPr>
            </w:pPr>
            <w:r>
              <w:rPr>
                <w:rFonts w:ascii="Arial" w:cs="Arial" w:eastAsia="Arial" w:hAnsi="Arial"/>
                <w:sz w:val="18"/>
                <w:szCs w:val="18"/>
                <w:color w:val="auto"/>
                <w:w w:val="91"/>
              </w:rPr>
              <w:t>(Zip Code)</w:t>
            </w:r>
          </w:p>
        </w:tc>
      </w:tr>
    </w:tbl>
    <w:p>
      <w:pPr>
        <w:spacing w:after="0" w:line="204"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(310) 255-2000</w:t>
      </w:r>
    </w:p>
    <w:p>
      <w:pPr>
        <w:spacing w:after="0" w:line="23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1720" w:type="dxa"/>
        <w:tblCellMar>
          <w:top w:w="0" w:type="dxa"/>
          <w:left w:w="0" w:type="dxa"/>
          <w:bottom w:w="0" w:type="dxa"/>
          <w:right w:w="0" w:type="dxa"/>
        </w:tblCellMar>
      </w:tblPr>
      <w:tr>
        <w:trPr>
          <w:trHeight w:val="161"/>
        </w:trPr>
        <w:tc>
          <w:tcPr>
            <w:tcW w:w="3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Title of each Class</w:t>
            </w:r>
          </w:p>
        </w:tc>
        <w:tc>
          <w:tcPr>
            <w:tcW w:w="1440" w:type="dxa"/>
            <w:vAlign w:val="bottom"/>
          </w:tcPr>
          <w:p>
            <w:pPr>
              <w:spacing w:after="0"/>
              <w:rPr>
                <w:sz w:val="14"/>
                <w:szCs w:val="14"/>
                <w:color w:val="auto"/>
              </w:rPr>
            </w:pPr>
          </w:p>
        </w:tc>
        <w:tc>
          <w:tcPr>
            <w:tcW w:w="32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w w:val="96"/>
              </w:rPr>
              <w:t>Name of Each Exchange on Which Registered</w:t>
            </w:r>
          </w:p>
        </w:tc>
      </w:tr>
      <w:tr>
        <w:trPr>
          <w:trHeight w:val="216"/>
        </w:trPr>
        <w:tc>
          <w:tcPr>
            <w:tcW w:w="3280" w:type="dxa"/>
            <w:vAlign w:val="bottom"/>
          </w:tcPr>
          <w:p>
            <w:pPr>
              <w:jc w:val="center"/>
              <w:spacing w:after="0"/>
              <w:rPr>
                <w:sz w:val="20"/>
                <w:szCs w:val="20"/>
                <w:color w:val="auto"/>
              </w:rPr>
            </w:pPr>
            <w:r>
              <w:rPr>
                <w:rFonts w:ascii="Arial" w:cs="Arial" w:eastAsia="Arial" w:hAnsi="Arial"/>
                <w:sz w:val="18"/>
                <w:szCs w:val="18"/>
                <w:color w:val="auto"/>
                <w:w w:val="87"/>
              </w:rPr>
              <w:t>Common Stock, par value $.000001 per share</w:t>
            </w:r>
          </w:p>
        </w:tc>
        <w:tc>
          <w:tcPr>
            <w:tcW w:w="1440" w:type="dxa"/>
            <w:vAlign w:val="bottom"/>
          </w:tcPr>
          <w:p>
            <w:pPr>
              <w:spacing w:after="0"/>
              <w:rPr>
                <w:sz w:val="18"/>
                <w:szCs w:val="18"/>
                <w:color w:val="auto"/>
              </w:rPr>
            </w:pPr>
          </w:p>
        </w:tc>
        <w:tc>
          <w:tcPr>
            <w:tcW w:w="3260" w:type="dxa"/>
            <w:vAlign w:val="bottom"/>
          </w:tcPr>
          <w:p>
            <w:pPr>
              <w:ind w:left="340"/>
              <w:spacing w:after="0"/>
              <w:rPr>
                <w:sz w:val="20"/>
                <w:szCs w:val="20"/>
                <w:color w:val="auto"/>
              </w:rPr>
            </w:pPr>
            <w:r>
              <w:rPr>
                <w:rFonts w:ascii="Arial" w:cs="Arial" w:eastAsia="Arial" w:hAnsi="Arial"/>
                <w:sz w:val="18"/>
                <w:szCs w:val="18"/>
                <w:color w:val="auto"/>
              </w:rPr>
              <w:t>The NASDAQ Global Select Market</w:t>
            </w:r>
          </w:p>
        </w:tc>
      </w:tr>
    </w:tbl>
    <w:p>
      <w:pPr>
        <w:spacing w:after="0" w:line="201"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Securities registered pursuant to Section 12(g) of the Act:</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None</w:t>
      </w:r>
    </w:p>
    <w:p>
      <w:pPr>
        <w:spacing w:after="0" w:line="186"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225" w:lineRule="exact"/>
        <w:rPr>
          <w:sz w:val="24"/>
          <w:szCs w:val="24"/>
          <w:color w:val="auto"/>
        </w:rPr>
      </w:pPr>
    </w:p>
    <w:p>
      <w:pPr>
        <w:ind w:left="400"/>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 (d)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right="280"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jc w:val="both"/>
        <w:ind w:firstLine="395"/>
        <w:spacing w:after="0" w:line="225"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92" w:lineRule="exact"/>
        <w:rPr>
          <w:sz w:val="24"/>
          <w:szCs w:val="24"/>
          <w:color w:val="auto"/>
        </w:rPr>
      </w:pPr>
    </w:p>
    <w:p>
      <w:pPr>
        <w:ind w:right="40" w:firstLine="395"/>
        <w:spacing w:after="0" w:line="332"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the registrant's knowledge, in definitive proxy or information statements incorporated by reference in Part III of this Form 10-K or any amendment to this</w:t>
      </w:r>
    </w:p>
    <w:p>
      <w:pPr>
        <w:sectPr>
          <w:pgSz w:w="11900" w:h="16912" w:orient="portrait"/>
          <w:cols w:equalWidth="0" w:num="1">
            <w:col w:w="11360"/>
          </w:cols>
          <w:pgMar w:left="240" w:top="685" w:right="299" w:bottom="0" w:gutter="0" w:footer="0" w:header="0"/>
        </w:sectPr>
      </w:pPr>
    </w:p>
    <w:bookmarkStart w:id="1" w:name="page2"/>
    <w:bookmarkEnd w:id="1"/>
    <w:p>
      <w:pPr>
        <w:spacing w:after="0" w:line="207" w:lineRule="exact"/>
        <w:rPr>
          <w:sz w:val="20"/>
          <w:szCs w:val="20"/>
          <w:color w:val="auto"/>
        </w:rPr>
      </w:pPr>
      <w:r>
        <w:rPr>
          <w:rFonts w:ascii="Arial" w:cs="Arial" w:eastAsia="Arial" w:hAnsi="Arial"/>
          <w:sz w:val="18"/>
          <w:szCs w:val="18"/>
          <w:color w:val="auto"/>
        </w:rPr>
        <w:t xml:space="preserve">Form 10-K. </w:t>
      </w:r>
      <w:r>
        <w:rPr>
          <w:rFonts w:ascii="MS PGothic" w:cs="MS PGothic" w:eastAsia="MS PGothic" w:hAnsi="MS PGothic"/>
          <w:sz w:val="18"/>
          <w:szCs w:val="18"/>
          <w:color w:val="auto"/>
        </w:rPr>
        <w:t>☒</w:t>
      </w:r>
    </w:p>
    <w:p>
      <w:pPr>
        <w:spacing w:after="0" w:line="259" w:lineRule="exact"/>
        <w:rPr>
          <w:sz w:val="20"/>
          <w:szCs w:val="20"/>
          <w:color w:val="auto"/>
        </w:rPr>
      </w:pPr>
    </w:p>
    <w:p>
      <w:pPr>
        <w:ind w:firstLine="395"/>
        <w:spacing w:after="0" w:line="33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07" w:lineRule="exact"/>
        <w:rPr>
          <w:sz w:val="20"/>
          <w:szCs w:val="20"/>
          <w:color w:val="auto"/>
        </w:rPr>
      </w:pPr>
    </w:p>
    <w:p>
      <w:pPr>
        <w:ind w:left="400"/>
        <w:spacing w:after="0" w:line="207" w:lineRule="exact"/>
        <w:tabs>
          <w:tab w:leader="none" w:pos="3300" w:val="left"/>
          <w:tab w:leader="none" w:pos="5660" w:val="left"/>
          <w:tab w:leader="none" w:pos="88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Accelerated Filer o</w:t>
      </w:r>
      <w:r>
        <w:rPr>
          <w:sz w:val="20"/>
          <w:szCs w:val="20"/>
          <w:color w:val="auto"/>
        </w:rPr>
        <w:tab/>
      </w:r>
      <w:r>
        <w:rPr>
          <w:rFonts w:ascii="Arial" w:cs="Arial" w:eastAsia="Arial" w:hAnsi="Arial"/>
          <w:sz w:val="18"/>
          <w:szCs w:val="18"/>
          <w:color w:val="auto"/>
        </w:rPr>
        <w:t>Non-accelerated Filer o</w:t>
      </w:r>
      <w:r>
        <w:rPr>
          <w:sz w:val="20"/>
          <w:szCs w:val="20"/>
          <w:color w:val="auto"/>
        </w:rPr>
        <w:tab/>
      </w:r>
      <w:r>
        <w:rPr>
          <w:rFonts w:ascii="Arial" w:cs="Arial" w:eastAsia="Arial" w:hAnsi="Arial"/>
          <w:sz w:val="15"/>
          <w:szCs w:val="15"/>
          <w:color w:val="auto"/>
        </w:rPr>
        <w:t>Smaller Reporting Company o</w:t>
      </w:r>
    </w:p>
    <w:p>
      <w:pPr>
        <w:spacing w:after="0" w:line="39" w:lineRule="exact"/>
        <w:rPr>
          <w:sz w:val="20"/>
          <w:szCs w:val="20"/>
          <w:color w:val="auto"/>
        </w:rPr>
      </w:pPr>
    </w:p>
    <w:p>
      <w:pPr>
        <w:jc w:val="center"/>
        <w:ind w:left="1600"/>
        <w:spacing w:after="0"/>
        <w:rPr>
          <w:sz w:val="20"/>
          <w:szCs w:val="20"/>
          <w:color w:val="auto"/>
        </w:rPr>
      </w:pPr>
      <w:r>
        <w:rPr>
          <w:rFonts w:ascii="Arial" w:cs="Arial" w:eastAsia="Arial" w:hAnsi="Arial"/>
          <w:sz w:val="14"/>
          <w:szCs w:val="14"/>
          <w:color w:val="auto"/>
        </w:rPr>
        <w:t>(Do not check if a</w:t>
      </w:r>
    </w:p>
    <w:p>
      <w:pPr>
        <w:jc w:val="center"/>
        <w:ind w:left="1600"/>
        <w:spacing w:after="0"/>
        <w:rPr>
          <w:sz w:val="20"/>
          <w:szCs w:val="20"/>
          <w:color w:val="auto"/>
        </w:rPr>
      </w:pPr>
      <w:r>
        <w:rPr>
          <w:rFonts w:ascii="Arial" w:cs="Arial" w:eastAsia="Arial" w:hAnsi="Arial"/>
          <w:sz w:val="14"/>
          <w:szCs w:val="14"/>
          <w:color w:val="auto"/>
        </w:rPr>
        <w:t>smaller reporting company)</w:t>
      </w:r>
    </w:p>
    <w:p>
      <w:pPr>
        <w:spacing w:after="0" w:line="162" w:lineRule="exact"/>
        <w:rPr>
          <w:sz w:val="20"/>
          <w:szCs w:val="20"/>
          <w:color w:val="auto"/>
        </w:rPr>
      </w:pPr>
    </w:p>
    <w:p>
      <w:pPr>
        <w:ind w:left="40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0"/>
          <w:szCs w:val="20"/>
          <w:color w:val="auto"/>
        </w:rPr>
      </w:pPr>
    </w:p>
    <w:p>
      <w:pPr>
        <w:ind w:right="320" w:firstLine="392"/>
        <w:spacing w:after="0" w:line="268" w:lineRule="auto"/>
        <w:rPr>
          <w:sz w:val="20"/>
          <w:szCs w:val="20"/>
          <w:color w:val="auto"/>
        </w:rPr>
      </w:pPr>
      <w:r>
        <w:rPr>
          <w:rFonts w:ascii="Arial" w:cs="Arial" w:eastAsia="Arial" w:hAnsi="Arial"/>
          <w:sz w:val="18"/>
          <w:szCs w:val="18"/>
          <w:color w:val="auto"/>
        </w:rPr>
        <w:t>The aggregate market value of the registrant's Common Stock held by non-affiliates on June 30, 2016 (based on the closing sale price as reported on the NASDAQ) was $27,884,568,790.</w:t>
      </w:r>
    </w:p>
    <w:p>
      <w:pPr>
        <w:spacing w:after="0" w:line="18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number of shares of the registrant's Common Stock outstanding at February 23, 2017 was 751,846,958.</w:t>
      </w:r>
    </w:p>
    <w:p>
      <w:pPr>
        <w:spacing w:after="0" w:line="219" w:lineRule="exact"/>
        <w:rPr>
          <w:sz w:val="20"/>
          <w:szCs w:val="20"/>
          <w:color w:val="auto"/>
        </w:rPr>
      </w:pPr>
    </w:p>
    <w:p>
      <w:pPr>
        <w:jc w:val="center"/>
        <w:ind w:left="4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31" w:lineRule="exact"/>
        <w:rPr>
          <w:sz w:val="20"/>
          <w:szCs w:val="20"/>
          <w:color w:val="auto"/>
        </w:rPr>
      </w:pPr>
    </w:p>
    <w:p>
      <w:pPr>
        <w:ind w:firstLine="395"/>
        <w:spacing w:after="0" w:line="268" w:lineRule="auto"/>
        <w:rPr>
          <w:sz w:val="20"/>
          <w:szCs w:val="20"/>
          <w:color w:val="auto"/>
        </w:rPr>
      </w:pPr>
      <w:r>
        <w:rPr>
          <w:rFonts w:ascii="Arial" w:cs="Arial" w:eastAsia="Arial" w:hAnsi="Arial"/>
          <w:sz w:val="18"/>
          <w:szCs w:val="18"/>
          <w:color w:val="auto"/>
        </w:rPr>
        <w:t>Portions of the registrant's definitive Proxy Statement, to be filed with the Securities and Exchange Commission with respect to the 2017 Annual Meeting of Shareholders which is expected to be held on June 1, 2017,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303530</wp:posOffset>
            </wp:positionV>
            <wp:extent cx="7246620"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481330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8" w:right="25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620" w:type="dxa"/>
            <w:vAlign w:val="bottom"/>
            <w:gridSpan w:val="2"/>
            <w:vMerge w:val="restart"/>
          </w:tcPr>
          <w:p>
            <w:pPr>
              <w:spacing w:after="0"/>
              <w:rPr>
                <w:rFonts w:ascii="Arial" w:cs="Arial" w:eastAsia="Arial" w:hAnsi="Arial"/>
                <w:sz w:val="18"/>
                <w:szCs w:val="18"/>
                <w:color w:val="0000EE"/>
                <w:w w:val="95"/>
              </w:rPr>
            </w:pPr>
            <w:hyperlink w:anchor="page4">
              <w:r>
                <w:rPr>
                  <w:rFonts w:ascii="Arial" w:cs="Arial" w:eastAsia="Arial" w:hAnsi="Arial"/>
                  <w:sz w:val="18"/>
                  <w:szCs w:val="18"/>
                  <w:color w:val="0000EE"/>
                  <w:w w:val="95"/>
                </w:rPr>
                <w:t>PART I.</w:t>
              </w:r>
            </w:hyperlink>
          </w:p>
        </w:tc>
        <w:tc>
          <w:tcPr>
            <w:tcW w:w="460" w:type="dxa"/>
            <w:vAlign w:val="bottom"/>
            <w:gridSpan w:val="10"/>
            <w:vMerge w:val="restart"/>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6"/>
          </w:tcPr>
          <w:p>
            <w:pPr>
              <w:ind w:left="20"/>
              <w:spacing w:after="0"/>
              <w:rPr>
                <w:sz w:val="20"/>
                <w:szCs w:val="20"/>
                <w:color w:val="auto"/>
              </w:rPr>
            </w:pPr>
            <w:r>
              <w:rPr>
                <w:rFonts w:ascii="Arial" w:cs="Arial" w:eastAsia="Arial" w:hAnsi="Arial"/>
                <w:sz w:val="14"/>
                <w:szCs w:val="14"/>
                <w:b w:val="1"/>
                <w:bCs w:val="1"/>
                <w:color w:val="auto"/>
              </w:rPr>
              <w:t>Page No.</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460" w:type="dxa"/>
            <w:vAlign w:val="bottom"/>
            <w:gridSpan w:val="10"/>
            <w:vMerge w:val="continue"/>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top w:val="single" w:sz="8" w:color="auto"/>
            </w:tcBorders>
            <w:gridSpan w:val="5"/>
          </w:tcPr>
          <w:p>
            <w:pPr>
              <w:jc w:val="right"/>
              <w:ind w:right="20"/>
              <w:spacing w:after="0" w:line="170"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5"/>
          </w:tcPr>
          <w:p>
            <w:pPr>
              <w:spacing w:after="0" w:line="196" w:lineRule="exact"/>
              <w:rPr>
                <w:rFonts w:ascii="Arial" w:cs="Arial" w:eastAsia="Arial" w:hAnsi="Arial"/>
                <w:sz w:val="18"/>
                <w:szCs w:val="18"/>
                <w:color w:val="0000EE"/>
                <w:w w:val="82"/>
              </w:rPr>
            </w:pPr>
            <w:hyperlink w:anchor="page4">
              <w:r>
                <w:rPr>
                  <w:rFonts w:ascii="Arial" w:cs="Arial" w:eastAsia="Arial" w:hAnsi="Arial"/>
                  <w:sz w:val="18"/>
                  <w:szCs w:val="18"/>
                  <w:color w:val="0000EE"/>
                  <w:w w:val="82"/>
                </w:rPr>
                <w:t>Cautionary Statement</w:t>
              </w:r>
            </w:hyperlink>
          </w:p>
        </w:tc>
        <w:tc>
          <w:tcPr>
            <w:tcW w:w="6020" w:type="dxa"/>
            <w:vAlign w:val="bottom"/>
            <w:gridSpan w:val="13"/>
          </w:tcPr>
          <w:p>
            <w:pPr>
              <w:spacing w:after="0"/>
              <w:rPr>
                <w:sz w:val="17"/>
                <w:szCs w:val="17"/>
                <w:color w:val="auto"/>
              </w:rPr>
            </w:pPr>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148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6020" w:type="dxa"/>
            <w:vAlign w:val="bottom"/>
            <w:gridSpan w:val="13"/>
          </w:tcPr>
          <w:p>
            <w:pPr>
              <w:spacing w:after="0"/>
              <w:rPr>
                <w:sz w:val="17"/>
                <w:szCs w:val="17"/>
                <w:color w:val="auto"/>
              </w:rPr>
            </w:pPr>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3</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13">
              <w:r>
                <w:rPr>
                  <w:rFonts w:ascii="Arial" w:cs="Arial" w:eastAsia="Arial" w:hAnsi="Arial"/>
                  <w:sz w:val="18"/>
                  <w:szCs w:val="18"/>
                  <w:color w:val="0000EE"/>
                  <w:w w:val="95"/>
                </w:rPr>
                <w:t>Item 1A.</w:t>
              </w:r>
            </w:hyperlink>
          </w:p>
        </w:tc>
        <w:tc>
          <w:tcPr>
            <w:tcW w:w="240" w:type="dxa"/>
            <w:vAlign w:val="bottom"/>
            <w:gridSpan w:val="2"/>
          </w:tcPr>
          <w:p>
            <w:pPr>
              <w:spacing w:after="0"/>
              <w:rPr>
                <w:sz w:val="17"/>
                <w:szCs w:val="17"/>
                <w:color w:val="auto"/>
              </w:rPr>
            </w:pPr>
          </w:p>
        </w:tc>
        <w:tc>
          <w:tcPr>
            <w:tcW w:w="860" w:type="dxa"/>
            <w:vAlign w:val="bottom"/>
            <w:tcBorders>
              <w:bottom w:val="single" w:sz="8" w:color="0000EE"/>
            </w:tcBorders>
            <w:gridSpan w:val="3"/>
          </w:tcPr>
          <w:p>
            <w:pPr>
              <w:spacing w:after="0" w:line="196" w:lineRule="exact"/>
              <w:rPr>
                <w:rFonts w:ascii="Arial" w:cs="Arial" w:eastAsia="Arial" w:hAnsi="Arial"/>
                <w:sz w:val="18"/>
                <w:szCs w:val="18"/>
                <w:color w:val="0000EE"/>
                <w:w w:val="83"/>
              </w:rPr>
            </w:pPr>
            <w:hyperlink w:anchor="page13">
              <w:r>
                <w:rPr>
                  <w:rFonts w:ascii="Arial" w:cs="Arial" w:eastAsia="Arial" w:hAnsi="Arial"/>
                  <w:sz w:val="18"/>
                  <w:szCs w:val="18"/>
                  <w:color w:val="0000EE"/>
                  <w:w w:val="83"/>
                </w:rPr>
                <w:t>Risk Factors</w:t>
              </w:r>
            </w:hyperlink>
          </w:p>
        </w:tc>
        <w:tc>
          <w:tcPr>
            <w:tcW w:w="6640" w:type="dxa"/>
            <w:vAlign w:val="bottom"/>
            <w:gridSpan w:val="15"/>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13">
              <w:r>
                <w:rPr>
                  <w:rFonts w:ascii="Arial" w:cs="Arial" w:eastAsia="Arial" w:hAnsi="Arial"/>
                  <w:sz w:val="18"/>
                  <w:szCs w:val="18"/>
                  <w:color w:val="0000EE"/>
                  <w:w w:val="79"/>
                </w:rPr>
                <w:t>12</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8"/>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Item 1B.</w:t>
              </w:r>
            </w:hyperlink>
          </w:p>
        </w:tc>
        <w:tc>
          <w:tcPr>
            <w:tcW w:w="260" w:type="dxa"/>
            <w:vAlign w:val="bottom"/>
            <w:gridSpan w:val="3"/>
          </w:tcPr>
          <w:p>
            <w:pPr>
              <w:spacing w:after="0"/>
              <w:rPr>
                <w:sz w:val="17"/>
                <w:szCs w:val="17"/>
                <w:color w:val="auto"/>
              </w:rPr>
            </w:pPr>
          </w:p>
        </w:tc>
        <w:tc>
          <w:tcPr>
            <w:tcW w:w="750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Unresolved Staff Comments</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2.</w:t>
              </w:r>
            </w:hyperlink>
          </w:p>
        </w:tc>
        <w:tc>
          <w:tcPr>
            <w:tcW w:w="260" w:type="dxa"/>
            <w:vAlign w:val="bottom"/>
            <w:gridSpan w:val="3"/>
          </w:tcPr>
          <w:p>
            <w:pPr>
              <w:spacing w:after="0"/>
              <w:rPr>
                <w:sz w:val="17"/>
                <w:szCs w:val="17"/>
                <w:color w:val="auto"/>
              </w:rPr>
            </w:pPr>
          </w:p>
        </w:tc>
        <w:tc>
          <w:tcPr>
            <w:tcW w:w="19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Properties</w:t>
              </w:r>
            </w:hyperlink>
          </w:p>
        </w:tc>
        <w:tc>
          <w:tcPr>
            <w:tcW w:w="5540" w:type="dxa"/>
            <w:vAlign w:val="bottom"/>
            <w:gridSpan w:val="10"/>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32">
              <w:r>
                <w:rPr>
                  <w:rFonts w:ascii="Arial" w:cs="Arial" w:eastAsia="Arial" w:hAnsi="Arial"/>
                  <w:sz w:val="18"/>
                  <w:szCs w:val="18"/>
                  <w:color w:val="0000EE"/>
                  <w:w w:val="79"/>
                </w:rPr>
                <w:t>31</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3.</w:t>
              </w:r>
            </w:hyperlink>
          </w:p>
        </w:tc>
        <w:tc>
          <w:tcPr>
            <w:tcW w:w="750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Legal Proceedings</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right w:val="single" w:sz="8" w:color="0000EE"/>
            </w:tcBorders>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Item 4.</w:t>
              </w:r>
            </w:hyperlink>
          </w:p>
        </w:tc>
        <w:tc>
          <w:tcPr>
            <w:tcW w:w="7500" w:type="dxa"/>
            <w:vAlign w:val="bottom"/>
            <w:gridSpan w:val="1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Mine Safety Disclosures</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31</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680" w:type="dxa"/>
            <w:vAlign w:val="bottom"/>
            <w:tcBorders>
              <w:bottom w:val="single" w:sz="8" w:color="0000EE"/>
            </w:tcBorders>
            <w:gridSpan w:val="3"/>
          </w:tcPr>
          <w:p>
            <w:pPr>
              <w:spacing w:after="0" w:line="196" w:lineRule="exact"/>
              <w:rPr>
                <w:rFonts w:ascii="Arial" w:cs="Arial" w:eastAsia="Arial" w:hAnsi="Arial"/>
                <w:sz w:val="18"/>
                <w:szCs w:val="18"/>
                <w:color w:val="0000EE"/>
                <w:w w:val="94"/>
              </w:rPr>
            </w:pPr>
            <w:hyperlink w:anchor="page33">
              <w:r>
                <w:rPr>
                  <w:rFonts w:ascii="Arial" w:cs="Arial" w:eastAsia="Arial" w:hAnsi="Arial"/>
                  <w:sz w:val="18"/>
                  <w:szCs w:val="18"/>
                  <w:color w:val="0000EE"/>
                  <w:w w:val="94"/>
                </w:rPr>
                <w:t>PART II.</w:t>
              </w:r>
            </w:hyperlink>
          </w:p>
        </w:tc>
        <w:tc>
          <w:tcPr>
            <w:tcW w:w="400" w:type="dxa"/>
            <w:vAlign w:val="bottom"/>
            <w:gridSpan w:val="9"/>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33">
              <w:r>
                <w:rPr>
                  <w:rFonts w:ascii="Arial" w:cs="Arial" w:eastAsia="Arial" w:hAnsi="Arial"/>
                  <w:sz w:val="18"/>
                  <w:szCs w:val="18"/>
                  <w:color w:val="0000EE"/>
                  <w:w w:val="79"/>
                </w:rPr>
                <w:t>32</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Item 5.</w:t>
              </w:r>
            </w:hyperlink>
          </w:p>
        </w:tc>
        <w:tc>
          <w:tcPr>
            <w:tcW w:w="7500" w:type="dxa"/>
            <w:vAlign w:val="bottom"/>
            <w:gridSpan w:val="18"/>
          </w:tcPr>
          <w:p>
            <w:pPr>
              <w:spacing w:after="0" w:line="196" w:lineRule="exact"/>
              <w:rPr>
                <w:rFonts w:ascii="Arial" w:cs="Arial" w:eastAsia="Arial" w:hAnsi="Arial"/>
                <w:sz w:val="18"/>
                <w:szCs w:val="18"/>
                <w:color w:val="0000EE"/>
                <w:w w:val="92"/>
              </w:rPr>
            </w:pPr>
            <w:hyperlink w:anchor="page33">
              <w:r>
                <w:rPr>
                  <w:rFonts w:ascii="Arial" w:cs="Arial" w:eastAsia="Arial" w:hAnsi="Arial"/>
                  <w:sz w:val="18"/>
                  <w:szCs w:val="18"/>
                  <w:color w:val="0000EE"/>
                  <w:w w:val="92"/>
                </w:rPr>
                <w:t>Market for Registrant's Common Equity, Related Stockholder Matters, and Issuer Purchases of Equity</w:t>
              </w:r>
            </w:hyperlink>
          </w:p>
        </w:tc>
        <w:tc>
          <w:tcPr>
            <w:tcW w:w="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Securities</w:t>
              </w:r>
            </w:hyperlink>
          </w:p>
        </w:tc>
        <w:tc>
          <w:tcPr>
            <w:tcW w:w="360" w:type="dxa"/>
            <w:vAlign w:val="bottom"/>
          </w:tcPr>
          <w:p>
            <w:pPr>
              <w:spacing w:after="0"/>
              <w:rPr>
                <w:sz w:val="17"/>
                <w:szCs w:val="17"/>
                <w:color w:val="auto"/>
              </w:rPr>
            </w:pPr>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32</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Item 6.</w:t>
              </w:r>
            </w:hyperlink>
          </w:p>
        </w:tc>
        <w:tc>
          <w:tcPr>
            <w:tcW w:w="7500" w:type="dxa"/>
            <w:vAlign w:val="bottom"/>
            <w:gridSpan w:val="18"/>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Selected Financial Data</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35</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7.</w:t>
              </w:r>
            </w:hyperlink>
          </w:p>
        </w:tc>
        <w:tc>
          <w:tcPr>
            <w:tcW w:w="7500" w:type="dxa"/>
            <w:vAlign w:val="bottom"/>
            <w:gridSpan w:val="18"/>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Management's Discussion and Analysis of Financial Condition and Results of Operations</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36</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Item 7A.</w:t>
              </w:r>
            </w:hyperlink>
          </w:p>
        </w:tc>
        <w:tc>
          <w:tcPr>
            <w:tcW w:w="240" w:type="dxa"/>
            <w:vAlign w:val="bottom"/>
            <w:gridSpan w:val="2"/>
          </w:tcPr>
          <w:p>
            <w:pPr>
              <w:spacing w:after="0"/>
              <w:rPr>
                <w:sz w:val="17"/>
                <w:szCs w:val="17"/>
                <w:color w:val="auto"/>
              </w:rPr>
            </w:pPr>
          </w:p>
        </w:tc>
        <w:tc>
          <w:tcPr>
            <w:tcW w:w="418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76">
              <w:r>
                <w:rPr>
                  <w:rFonts w:ascii="Arial" w:cs="Arial" w:eastAsia="Arial" w:hAnsi="Arial"/>
                  <w:sz w:val="18"/>
                  <w:szCs w:val="18"/>
                  <w:color w:val="0000EE"/>
                  <w:w w:val="88"/>
                </w:rPr>
                <w:t>Quantitative and Qualitative Disclosures about Market Risk</w:t>
              </w:r>
            </w:hyperlink>
          </w:p>
        </w:tc>
        <w:tc>
          <w:tcPr>
            <w:tcW w:w="3320" w:type="dxa"/>
            <w:vAlign w:val="bottom"/>
            <w:gridSpan w:val="6"/>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6">
              <w:r>
                <w:rPr>
                  <w:rFonts w:ascii="Arial" w:cs="Arial" w:eastAsia="Arial" w:hAnsi="Arial"/>
                  <w:sz w:val="18"/>
                  <w:szCs w:val="18"/>
                  <w:color w:val="0000EE"/>
                  <w:w w:val="79"/>
                </w:rPr>
                <w:t>75</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8.</w:t>
              </w:r>
            </w:hyperlink>
          </w:p>
        </w:tc>
        <w:tc>
          <w:tcPr>
            <w:tcW w:w="7500" w:type="dxa"/>
            <w:vAlign w:val="bottom"/>
            <w:gridSpan w:val="1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Financial Statements and Supplementary Data</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11"/>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Item 9.</w:t>
              </w:r>
            </w:hyperlink>
          </w:p>
        </w:tc>
        <w:tc>
          <w:tcPr>
            <w:tcW w:w="7500" w:type="dxa"/>
            <w:vAlign w:val="bottom"/>
            <w:gridSpan w:val="18"/>
          </w:tcPr>
          <w:p>
            <w:pPr>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Changes in and Disagreements with Accountants on Accounting and Financial Disclosure</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79">
              <w:r>
                <w:rPr>
                  <w:rFonts w:ascii="Arial" w:cs="Arial" w:eastAsia="Arial" w:hAnsi="Arial"/>
                  <w:sz w:val="18"/>
                  <w:szCs w:val="18"/>
                  <w:color w:val="0000EE"/>
                </w:rPr>
                <w:t>78</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280" w:type="dxa"/>
            <w:vAlign w:val="bottom"/>
            <w:tcBorders>
              <w:right w:val="single" w:sz="8" w:color="0000EE"/>
            </w:tcBorders>
            <w:gridSpan w:val="4"/>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tcBorders>
              <w:right w:val="single" w:sz="8" w:color="0000EE"/>
            </w:tcBorders>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Borders>
              <w:bottom w:val="single" w:sz="8" w:color="0000EE"/>
            </w:tcBorders>
            <w:gridSpan w:val="9"/>
          </w:tcPr>
          <w:p>
            <w:pPr>
              <w:spacing w:after="0" w:line="196" w:lineRule="exact"/>
              <w:rPr>
                <w:rFonts w:ascii="Arial" w:cs="Arial" w:eastAsia="Arial" w:hAnsi="Arial"/>
                <w:sz w:val="18"/>
                <w:szCs w:val="18"/>
                <w:color w:val="0000EE"/>
                <w:w w:val="95"/>
              </w:rPr>
            </w:pPr>
            <w:hyperlink w:anchor="page79">
              <w:r>
                <w:rPr>
                  <w:rFonts w:ascii="Arial" w:cs="Arial" w:eastAsia="Arial" w:hAnsi="Arial"/>
                  <w:sz w:val="18"/>
                  <w:szCs w:val="18"/>
                  <w:color w:val="0000EE"/>
                  <w:w w:val="95"/>
                </w:rPr>
                <w:t>Item 9A.</w:t>
              </w:r>
            </w:hyperlink>
          </w:p>
        </w:tc>
        <w:tc>
          <w:tcPr>
            <w:tcW w:w="240" w:type="dxa"/>
            <w:vAlign w:val="bottom"/>
            <w:gridSpan w:val="2"/>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Arial" w:cs="Arial" w:eastAsia="Arial" w:hAnsi="Arial"/>
                <w:sz w:val="18"/>
                <w:szCs w:val="18"/>
                <w:color w:val="0000EE"/>
                <w:w w:val="80"/>
              </w:rPr>
            </w:pPr>
            <w:hyperlink w:anchor="page79">
              <w:r>
                <w:rPr>
                  <w:rFonts w:ascii="Arial" w:cs="Arial" w:eastAsia="Arial" w:hAnsi="Arial"/>
                  <w:sz w:val="18"/>
                  <w:szCs w:val="18"/>
                  <w:color w:val="0000EE"/>
                  <w:w w:val="80"/>
                </w:rPr>
                <w:t>Controls and Procedures</w:t>
              </w:r>
            </w:hyperlink>
          </w:p>
        </w:tc>
        <w:tc>
          <w:tcPr>
            <w:tcW w:w="5860" w:type="dxa"/>
            <w:vAlign w:val="bottom"/>
            <w:gridSpan w:val="12"/>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9">
              <w:r>
                <w:rPr>
                  <w:rFonts w:ascii="Arial" w:cs="Arial" w:eastAsia="Arial" w:hAnsi="Arial"/>
                  <w:sz w:val="18"/>
                  <w:szCs w:val="18"/>
                  <w:color w:val="0000EE"/>
                  <w:w w:val="79"/>
                </w:rPr>
                <w:t>78</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0000EE"/>
            </w:tcBorders>
            <w:gridSpan w:val="8"/>
          </w:tcPr>
          <w:p>
            <w:pPr>
              <w:spacing w:after="0" w:line="196" w:lineRule="exact"/>
              <w:rPr>
                <w:rFonts w:ascii="Arial" w:cs="Arial" w:eastAsia="Arial" w:hAnsi="Arial"/>
                <w:sz w:val="18"/>
                <w:szCs w:val="18"/>
                <w:color w:val="0000EE"/>
                <w:w w:val="92"/>
              </w:rPr>
            </w:pPr>
            <w:hyperlink w:anchor="page80">
              <w:r>
                <w:rPr>
                  <w:rFonts w:ascii="Arial" w:cs="Arial" w:eastAsia="Arial" w:hAnsi="Arial"/>
                  <w:sz w:val="18"/>
                  <w:szCs w:val="18"/>
                  <w:color w:val="0000EE"/>
                  <w:w w:val="92"/>
                </w:rPr>
                <w:t>Item 9B.</w:t>
              </w:r>
            </w:hyperlink>
          </w:p>
        </w:tc>
        <w:tc>
          <w:tcPr>
            <w:tcW w:w="260" w:type="dxa"/>
            <w:vAlign w:val="bottom"/>
            <w:gridSpan w:val="3"/>
          </w:tcPr>
          <w:p>
            <w:pPr>
              <w:spacing w:after="0"/>
              <w:rPr>
                <w:sz w:val="17"/>
                <w:szCs w:val="17"/>
                <w:color w:val="auto"/>
              </w:rPr>
            </w:pPr>
          </w:p>
        </w:tc>
        <w:tc>
          <w:tcPr>
            <w:tcW w:w="128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80">
              <w:r>
                <w:rPr>
                  <w:rFonts w:ascii="Arial" w:cs="Arial" w:eastAsia="Arial" w:hAnsi="Arial"/>
                  <w:sz w:val="18"/>
                  <w:szCs w:val="18"/>
                  <w:color w:val="0000EE"/>
                  <w:w w:val="88"/>
                </w:rPr>
                <w:t>Other Information</w:t>
              </w:r>
            </w:hyperlink>
          </w:p>
        </w:tc>
        <w:tc>
          <w:tcPr>
            <w:tcW w:w="6220" w:type="dxa"/>
            <w:vAlign w:val="bottom"/>
            <w:gridSpan w:val="14"/>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0">
              <w:r>
                <w:rPr>
                  <w:rFonts w:ascii="Arial" w:cs="Arial" w:eastAsia="Arial" w:hAnsi="Arial"/>
                  <w:sz w:val="18"/>
                  <w:szCs w:val="18"/>
                  <w:color w:val="0000EE"/>
                  <w:w w:val="79"/>
                </w:rPr>
                <w:t>79</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740" w:type="dxa"/>
            <w:vAlign w:val="bottom"/>
            <w:tcBorders>
              <w:bottom w:val="single" w:sz="8" w:color="0000EE"/>
            </w:tcBorders>
            <w:gridSpan w:val="5"/>
          </w:tcPr>
          <w:p>
            <w:pPr>
              <w:spacing w:after="0" w:line="196" w:lineRule="exact"/>
              <w:rPr>
                <w:rFonts w:ascii="Arial" w:cs="Arial" w:eastAsia="Arial" w:hAnsi="Arial"/>
                <w:sz w:val="18"/>
                <w:szCs w:val="18"/>
                <w:color w:val="0000EE"/>
                <w:w w:val="98"/>
              </w:rPr>
            </w:pPr>
            <w:hyperlink w:anchor="page81">
              <w:r>
                <w:rPr>
                  <w:rFonts w:ascii="Arial" w:cs="Arial" w:eastAsia="Arial" w:hAnsi="Arial"/>
                  <w:sz w:val="18"/>
                  <w:szCs w:val="18"/>
                  <w:color w:val="0000EE"/>
                  <w:w w:val="98"/>
                </w:rPr>
                <w:t>PART III.</w:t>
              </w:r>
            </w:hyperlink>
          </w:p>
        </w:tc>
        <w:tc>
          <w:tcPr>
            <w:tcW w:w="340" w:type="dxa"/>
            <w:vAlign w:val="bottom"/>
            <w:gridSpan w:val="7"/>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6"/>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Item 10.</w:t>
              </w:r>
            </w:hyperlink>
          </w:p>
        </w:tc>
        <w:tc>
          <w:tcPr>
            <w:tcW w:w="300" w:type="dxa"/>
            <w:vAlign w:val="bottom"/>
            <w:gridSpan w:val="5"/>
          </w:tcPr>
          <w:p>
            <w:pPr>
              <w:spacing w:after="0"/>
              <w:rPr>
                <w:sz w:val="17"/>
                <w:szCs w:val="17"/>
                <w:color w:val="auto"/>
              </w:rPr>
            </w:pPr>
          </w:p>
        </w:tc>
        <w:tc>
          <w:tcPr>
            <w:tcW w:w="7500" w:type="dxa"/>
            <w:vAlign w:val="bottom"/>
            <w:gridSpan w:val="18"/>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Directors, Executive Officers, and Corporate Governance</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tcBorders>
            <w:gridSpan w:val="6"/>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Item 11.</w:t>
              </w:r>
            </w:hyperlink>
          </w:p>
        </w:tc>
        <w:tc>
          <w:tcPr>
            <w:tcW w:w="300" w:type="dxa"/>
            <w:vAlign w:val="bottom"/>
            <w:gridSpan w:val="5"/>
          </w:tcPr>
          <w:p>
            <w:pPr>
              <w:spacing w:after="0"/>
              <w:rPr>
                <w:sz w:val="17"/>
                <w:szCs w:val="17"/>
                <w:color w:val="auto"/>
              </w:rPr>
            </w:pPr>
          </w:p>
        </w:tc>
        <w:tc>
          <w:tcPr>
            <w:tcW w:w="400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Executive Compensation</w:t>
              </w:r>
            </w:hyperlink>
          </w:p>
        </w:tc>
        <w:tc>
          <w:tcPr>
            <w:tcW w:w="3500" w:type="dxa"/>
            <w:vAlign w:val="bottom"/>
            <w:gridSpan w:val="7"/>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240" w:type="dxa"/>
            <w:vAlign w:val="bottom"/>
            <w:tcBorders>
              <w:left w:val="single" w:sz="8" w:color="0000EE"/>
            </w:tcBorders>
            <w:gridSpan w:val="2"/>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520" w:type="dxa"/>
            <w:vAlign w:val="bottom"/>
            <w:gridSpan w:val="4"/>
          </w:tcPr>
          <w:p>
            <w:pPr>
              <w:spacing w:after="0" w:line="20" w:lineRule="exact"/>
              <w:rPr>
                <w:sz w:val="1"/>
                <w:szCs w:val="1"/>
                <w:color w:val="auto"/>
              </w:rPr>
            </w:pPr>
          </w:p>
        </w:tc>
        <w:tc>
          <w:tcPr>
            <w:tcW w:w="180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7"/>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Item 12.</w:t>
              </w:r>
            </w:hyperlink>
          </w:p>
        </w:tc>
        <w:tc>
          <w:tcPr>
            <w:tcW w:w="280" w:type="dxa"/>
            <w:vAlign w:val="bottom"/>
            <w:gridSpan w:val="4"/>
          </w:tcPr>
          <w:p>
            <w:pPr>
              <w:spacing w:after="0"/>
              <w:rPr>
                <w:sz w:val="17"/>
                <w:szCs w:val="17"/>
                <w:color w:val="auto"/>
              </w:rPr>
            </w:pPr>
          </w:p>
        </w:tc>
        <w:tc>
          <w:tcPr>
            <w:tcW w:w="7500" w:type="dxa"/>
            <w:vAlign w:val="bottom"/>
            <w:gridSpan w:val="18"/>
          </w:tcPr>
          <w:p>
            <w:pPr>
              <w:spacing w:after="0" w:line="196" w:lineRule="exact"/>
              <w:rPr>
                <w:rFonts w:ascii="Arial" w:cs="Arial" w:eastAsia="Arial" w:hAnsi="Arial"/>
                <w:sz w:val="18"/>
                <w:szCs w:val="18"/>
                <w:color w:val="0000EE"/>
                <w:w w:val="93"/>
              </w:rPr>
            </w:pPr>
            <w:hyperlink w:anchor="page81">
              <w:r>
                <w:rPr>
                  <w:rFonts w:ascii="Arial" w:cs="Arial" w:eastAsia="Arial" w:hAnsi="Arial"/>
                  <w:sz w:val="18"/>
                  <w:szCs w:val="18"/>
                  <w:color w:val="0000EE"/>
                  <w:w w:val="93"/>
                </w:rPr>
                <w:t>Security Ownership of Certain Beneficial Owners and Management and Related Stockholder Matters</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80</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81">
              <w:r>
                <w:rPr>
                  <w:rFonts w:ascii="Arial" w:cs="Arial" w:eastAsia="Arial" w:hAnsi="Arial"/>
                  <w:sz w:val="18"/>
                  <w:szCs w:val="18"/>
                  <w:color w:val="0000EE"/>
                  <w:w w:val="92"/>
                </w:rPr>
                <w:t>Item 13.</w:t>
              </w:r>
            </w:hyperlink>
          </w:p>
        </w:tc>
        <w:tc>
          <w:tcPr>
            <w:tcW w:w="280" w:type="dxa"/>
            <w:vAlign w:val="bottom"/>
            <w:gridSpan w:val="4"/>
          </w:tcPr>
          <w:p>
            <w:pPr>
              <w:spacing w:after="0"/>
              <w:rPr>
                <w:sz w:val="17"/>
                <w:szCs w:val="17"/>
                <w:color w:val="auto"/>
              </w:rPr>
            </w:pPr>
          </w:p>
        </w:tc>
        <w:tc>
          <w:tcPr>
            <w:tcW w:w="708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Certain Relationships and Related Transactions, and Director Independence</w:t>
              </w:r>
            </w:hyperlink>
          </w:p>
        </w:tc>
        <w:tc>
          <w:tcPr>
            <w:tcW w:w="420" w:type="dxa"/>
            <w:vAlign w:val="bottom"/>
            <w:gridSpan w:val="2"/>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Borders>
              <w:top w:val="single" w:sz="8" w:color="0000EE"/>
            </w:tcBorders>
            <w:gridSpan w:val="6"/>
          </w:tcPr>
          <w:p>
            <w:pPr>
              <w:spacing w:after="0" w:line="196"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Item 14.</w:t>
              </w:r>
            </w:hyperlink>
          </w:p>
        </w:tc>
        <w:tc>
          <w:tcPr>
            <w:tcW w:w="20" w:type="dxa"/>
            <w:vAlign w:val="bottom"/>
            <w:tcBorders>
              <w:top w:val="single" w:sz="8" w:color="0000EE"/>
            </w:tcBorders>
          </w:tcPr>
          <w:p>
            <w:pPr>
              <w:spacing w:after="0"/>
              <w:rPr>
                <w:sz w:val="17"/>
                <w:szCs w:val="17"/>
                <w:color w:val="auto"/>
              </w:rPr>
            </w:pPr>
          </w:p>
        </w:tc>
        <w:tc>
          <w:tcPr>
            <w:tcW w:w="280" w:type="dxa"/>
            <w:vAlign w:val="bottom"/>
            <w:gridSpan w:val="4"/>
          </w:tcPr>
          <w:p>
            <w:pPr>
              <w:spacing w:after="0"/>
              <w:rPr>
                <w:sz w:val="17"/>
                <w:szCs w:val="17"/>
                <w:color w:val="auto"/>
              </w:rPr>
            </w:pPr>
          </w:p>
        </w:tc>
        <w:tc>
          <w:tcPr>
            <w:tcW w:w="528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81">
              <w:r>
                <w:rPr>
                  <w:rFonts w:ascii="Arial" w:cs="Arial" w:eastAsia="Arial" w:hAnsi="Arial"/>
                  <w:sz w:val="18"/>
                  <w:szCs w:val="18"/>
                  <w:color w:val="0000EE"/>
                </w:rPr>
                <w:t>Principal Accounting Fees and Services</w:t>
              </w:r>
            </w:hyperlink>
          </w:p>
        </w:tc>
        <w:tc>
          <w:tcPr>
            <w:tcW w:w="2220" w:type="dxa"/>
            <w:vAlign w:val="bottom"/>
            <w:gridSpan w:val="5"/>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1">
              <w:r>
                <w:rPr>
                  <w:rFonts w:ascii="Arial" w:cs="Arial" w:eastAsia="Arial" w:hAnsi="Arial"/>
                  <w:sz w:val="18"/>
                  <w:szCs w:val="18"/>
                  <w:color w:val="0000EE"/>
                  <w:w w:val="79"/>
                </w:rPr>
                <w:t>80</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60" w:type="dxa"/>
            <w:vAlign w:val="bottom"/>
            <w:gridSpan w:val="3"/>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72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82">
              <w:r>
                <w:rPr>
                  <w:rFonts w:ascii="Arial" w:cs="Arial" w:eastAsia="Arial" w:hAnsi="Arial"/>
                  <w:sz w:val="18"/>
                  <w:szCs w:val="18"/>
                  <w:color w:val="0000EE"/>
                  <w:w w:val="93"/>
                </w:rPr>
                <w:t>PART IV.</w:t>
              </w:r>
            </w:hyperlink>
          </w:p>
        </w:tc>
        <w:tc>
          <w:tcPr>
            <w:tcW w:w="360" w:type="dxa"/>
            <w:vAlign w:val="bottom"/>
            <w:gridSpan w:val="8"/>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81</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gridSpan w:val="7"/>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Item 15.</w:t>
              </w:r>
            </w:hyperlink>
          </w:p>
        </w:tc>
        <w:tc>
          <w:tcPr>
            <w:tcW w:w="280" w:type="dxa"/>
            <w:vAlign w:val="bottom"/>
            <w:gridSpan w:val="4"/>
          </w:tcPr>
          <w:p>
            <w:pPr>
              <w:spacing w:after="0"/>
              <w:rPr>
                <w:sz w:val="17"/>
                <w:szCs w:val="17"/>
                <w:color w:val="auto"/>
              </w:rPr>
            </w:pPr>
          </w:p>
        </w:tc>
        <w:tc>
          <w:tcPr>
            <w:tcW w:w="7500" w:type="dxa"/>
            <w:vAlign w:val="bottom"/>
            <w:gridSpan w:val="18"/>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Exhibits, Financial Statement Schedule</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81</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top w:val="single" w:sz="8" w:color="0000EE"/>
            </w:tcBorders>
            <w:gridSpan w:val="7"/>
          </w:tcPr>
          <w:p>
            <w:pPr>
              <w:spacing w:after="0" w:line="196" w:lineRule="exact"/>
              <w:rPr>
                <w:rFonts w:ascii="Arial" w:cs="Arial" w:eastAsia="Arial" w:hAnsi="Arial"/>
                <w:sz w:val="18"/>
                <w:szCs w:val="18"/>
                <w:color w:val="0000EE"/>
                <w:w w:val="92"/>
              </w:rPr>
            </w:pPr>
            <w:hyperlink w:anchor="page82">
              <w:r>
                <w:rPr>
                  <w:rFonts w:ascii="Arial" w:cs="Arial" w:eastAsia="Arial" w:hAnsi="Arial"/>
                  <w:sz w:val="18"/>
                  <w:szCs w:val="18"/>
                  <w:color w:val="0000EE"/>
                  <w:w w:val="92"/>
                </w:rPr>
                <w:t>Item 16.</w:t>
              </w:r>
            </w:hyperlink>
          </w:p>
        </w:tc>
        <w:tc>
          <w:tcPr>
            <w:tcW w:w="280" w:type="dxa"/>
            <w:vAlign w:val="bottom"/>
            <w:gridSpan w:val="4"/>
          </w:tcPr>
          <w:p>
            <w:pPr>
              <w:spacing w:after="0"/>
              <w:rPr>
                <w:sz w:val="17"/>
                <w:szCs w:val="17"/>
                <w:color w:val="auto"/>
              </w:rPr>
            </w:pPr>
          </w:p>
        </w:tc>
        <w:tc>
          <w:tcPr>
            <w:tcW w:w="2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82">
              <w:r>
                <w:rPr>
                  <w:rFonts w:ascii="Arial" w:cs="Arial" w:eastAsia="Arial" w:hAnsi="Arial"/>
                  <w:sz w:val="18"/>
                  <w:szCs w:val="18"/>
                  <w:color w:val="0000EE"/>
                </w:rPr>
                <w:t>Form 10-K Summary</w:t>
              </w:r>
            </w:hyperlink>
          </w:p>
        </w:tc>
        <w:tc>
          <w:tcPr>
            <w:tcW w:w="4740" w:type="dxa"/>
            <w:vAlign w:val="bottom"/>
            <w:gridSpan w:val="9"/>
          </w:tcPr>
          <w:p>
            <w:pPr>
              <w:spacing w:after="0"/>
              <w:rPr>
                <w:sz w:val="17"/>
                <w:szCs w:val="17"/>
                <w:color w:val="auto"/>
              </w:rPr>
            </w:pPr>
          </w:p>
        </w:tc>
        <w:tc>
          <w:tcPr>
            <w:tcW w:w="380" w:type="dxa"/>
            <w:vAlign w:val="bottom"/>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82">
              <w:r>
                <w:rPr>
                  <w:rFonts w:ascii="Arial" w:cs="Arial" w:eastAsia="Arial" w:hAnsi="Arial"/>
                  <w:sz w:val="18"/>
                  <w:szCs w:val="18"/>
                  <w:color w:val="0000EE"/>
                  <w:w w:val="79"/>
                </w:rPr>
                <w:t>81</w:t>
              </w:r>
            </w:hyperlink>
          </w:p>
        </w:tc>
        <w:tc>
          <w:tcPr>
            <w:tcW w:w="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gridSpan w:val="7"/>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80" w:type="dxa"/>
            <w:vAlign w:val="bottom"/>
            <w:gridSpan w:val="5"/>
            <w:shd w:val="clear" w:color="auto" w:fill="0000EE"/>
          </w:tcPr>
          <w:p>
            <w:pPr>
              <w:spacing w:after="0" w:line="20" w:lineRule="exact"/>
              <w:rPr>
                <w:sz w:val="1"/>
                <w:szCs w:val="1"/>
                <w:color w:val="auto"/>
              </w:rPr>
            </w:pPr>
          </w:p>
        </w:tc>
        <w:tc>
          <w:tcPr>
            <w:tcW w:w="6020" w:type="dxa"/>
            <w:vAlign w:val="bottom"/>
            <w:gridSpan w:val="1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580" w:type="dxa"/>
            <w:vAlign w:val="bottom"/>
            <w:gridSpan w:val="30"/>
          </w:tcPr>
          <w:p>
            <w:pPr>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SIGNATURES</w:t>
              </w:r>
            </w:hyperlink>
          </w:p>
        </w:tc>
        <w:tc>
          <w:tcPr>
            <w:tcW w:w="580" w:type="dxa"/>
            <w:vAlign w:val="bottom"/>
            <w:gridSpan w:val="5"/>
          </w:tcPr>
          <w:p>
            <w:pPr>
              <w:jc w:val="right"/>
              <w:ind w:right="20"/>
              <w:spacing w:after="0" w:line="196" w:lineRule="exact"/>
              <w:rPr>
                <w:rFonts w:ascii="Arial" w:cs="Arial" w:eastAsia="Arial" w:hAnsi="Arial"/>
                <w:sz w:val="18"/>
                <w:szCs w:val="18"/>
                <w:color w:val="0000EE"/>
              </w:rPr>
            </w:pPr>
            <w:hyperlink w:anchor="page83">
              <w:r>
                <w:rPr>
                  <w:rFonts w:ascii="Arial" w:cs="Arial" w:eastAsia="Arial" w:hAnsi="Arial"/>
                  <w:sz w:val="18"/>
                  <w:szCs w:val="18"/>
                  <w:color w:val="0000EE"/>
                </w:rPr>
                <w:t>82</w:t>
              </w:r>
            </w:hyperlink>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960" w:type="dxa"/>
            <w:vAlign w:val="bottom"/>
            <w:gridSpan w:val="11"/>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80" w:type="dxa"/>
            <w:vAlign w:val="bottom"/>
            <w:gridSpan w:val="12"/>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Exhibit Index</w:t>
              </w:r>
            </w:hyperlink>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gridSpan w:val="5"/>
          </w:tcPr>
          <w:p>
            <w:pPr>
              <w:spacing w:after="0" w:line="196" w:lineRule="exact"/>
              <w:rPr>
                <w:rFonts w:ascii="Arial" w:cs="Arial" w:eastAsia="Arial" w:hAnsi="Arial"/>
                <w:sz w:val="18"/>
                <w:szCs w:val="18"/>
                <w:color w:val="0000EE"/>
              </w:rPr>
            </w:pPr>
            <w:hyperlink w:anchor="page145">
              <w:r>
                <w:rPr>
                  <w:rFonts w:ascii="Arial" w:cs="Arial" w:eastAsia="Arial" w:hAnsi="Arial"/>
                  <w:sz w:val="18"/>
                  <w:szCs w:val="18"/>
                  <w:color w:val="0000EE"/>
                </w:rPr>
                <w:t>E-1</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gridSpan w:val="11"/>
          </w:tcPr>
          <w:p>
            <w:pPr>
              <w:jc w:val="right"/>
              <w:ind w:right="46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9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1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w:t>
      </w:r>
    </w:p>
    <w:p>
      <w:pPr>
        <w:spacing w:after="0" w:line="231" w:lineRule="exact"/>
        <w:rPr>
          <w:sz w:val="20"/>
          <w:szCs w:val="20"/>
          <w:color w:val="auto"/>
        </w:rPr>
      </w:pPr>
    </w:p>
    <w:p>
      <w:pPr>
        <w:ind w:right="200" w:firstLine="351"/>
        <w:spacing w:after="0" w:line="286" w:lineRule="auto"/>
        <w:rPr>
          <w:sz w:val="20"/>
          <w:szCs w:val="20"/>
          <w:color w:val="auto"/>
        </w:rPr>
      </w:pPr>
      <w:r>
        <w:rPr>
          <w:rFonts w:ascii="Arial" w:cs="Arial" w:eastAsia="Arial" w:hAnsi="Arial"/>
          <w:sz w:val="16"/>
          <w:szCs w:val="16"/>
          <w:i w:val="1"/>
          <w:iCs w:val="1"/>
          <w:color w:val="auto"/>
        </w:rPr>
        <w:t>This Annual Report on Form 10-K contains, or incorporates by reference, certain forward-looking statements within the meaning of the Private Securities Litigation Reform Act of 1995. Such statements consist of any statement other than a recitation of historical facts and include, but are not limited to:</w:t>
      </w:r>
    </w:p>
    <w:p>
      <w:pPr>
        <w:ind w:right="20" w:firstLine="8"/>
        <w:spacing w:after="0" w:line="285" w:lineRule="auto"/>
        <w:tabs>
          <w:tab w:leader="none" w:pos="249" w:val="left"/>
        </w:tabs>
        <w:numPr>
          <w:ilvl w:val="0"/>
          <w:numId w:val="3"/>
        </w:numPr>
        <w:rPr>
          <w:rFonts w:ascii="Arial" w:cs="Arial" w:eastAsia="Arial" w:hAnsi="Arial"/>
          <w:sz w:val="16"/>
          <w:szCs w:val="16"/>
          <w:i w:val="1"/>
          <w:iCs w:val="1"/>
          <w:color w:val="auto"/>
        </w:rPr>
      </w:pPr>
      <w:r>
        <w:rPr>
          <w:rFonts w:ascii="Arial" w:cs="Arial" w:eastAsia="Arial" w:hAnsi="Arial"/>
          <w:sz w:val="16"/>
          <w:szCs w:val="16"/>
          <w:i w:val="1"/>
          <w:iCs w:val="1"/>
          <w:color w:val="auto"/>
        </w:rPr>
        <w:t>projections of revenues, expenses, income or loss, earnings or loss per share, cash flow or other financial items; (2) statements of our plans and objectives, including those relating to releases of products or services; (3) statements of future financial or operating performance; and (4) statements of assumptions underlying such statements. Activision Blizzard, Inc. generally uses words such as "outlook," "forecast," "will," "could," "should," "would," "to be," "plan," "plans," "believes," "may," "might," "expects," "intends," "intends as," "anticipates," "estimate," "future," "positioned," "potential," "project," "remain," "scheduled," "set to," "subject to," "upcoming" and other similar expressions to help identify forward-looking statements. Forward-looking statements are subject to business and economic risks, reflect management's current expectations, estimates and projections about our business, and are inherently uncertain and difficult to predict. Our actual results could differ materially from expectations stated in forward-looking statements. Some of the risk factors that could cause our actual results to differ from those stated in forward-looking statements can be found in "Risk Factors" included in Part I, Item 1A of this Annual Report on Form 10-K. The forward-looking statements contained herein are based upon information available to us as of the date of this Annual Report on Form 10-K and we assume no obligation to update any such forward-looking statements. Although these forward-looking statements are believed to be true when made, they may ultimately prove to be incorrect. These statements are not guarantees of our future performance and are subject to risks, uncertainties and other factors, some of which are beyond our control and may cause actual results to differ materially from current expectations.</w:t>
      </w:r>
    </w:p>
    <w:p>
      <w:pPr>
        <w:spacing w:after="0" w:line="18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i w:val="1"/>
          <w:iCs w:val="1"/>
          <w:color w:val="auto"/>
        </w:rPr>
        <w:t>Activision Blizzard Inc.'s names, abbreviations thereof, logos, and product and service designators are all either the registered or unregistered trademarks or trade names of Activision Blizzard. All other product or service names are the property of their respective owners.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Activision Blizzard, Inc. is a leading global developer and publisher of interactive entertainment content and services. We develop and distribute content and services across all of the major gaming platforms, including video game consoles, personal computers ("PC"), and mobile devices. The terms "Activision Blizzard," the "Company," "we," "us," and "our" are used to refer collectively to Activision Blizzard, Inc. and its subsidiaries.</w:t>
      </w:r>
    </w:p>
    <w:p>
      <w:pPr>
        <w:spacing w:after="0" w:line="161" w:lineRule="exact"/>
        <w:rPr>
          <w:sz w:val="20"/>
          <w:szCs w:val="20"/>
          <w:color w:val="auto"/>
        </w:rPr>
      </w:pPr>
    </w:p>
    <w:p>
      <w:pPr>
        <w:ind w:right="520" w:firstLine="348"/>
        <w:spacing w:after="0" w:line="256" w:lineRule="auto"/>
        <w:rPr>
          <w:sz w:val="20"/>
          <w:szCs w:val="20"/>
          <w:color w:val="auto"/>
        </w:rPr>
      </w:pPr>
      <w:r>
        <w:rPr>
          <w:rFonts w:ascii="Arial" w:cs="Arial" w:eastAsia="Arial" w:hAnsi="Arial"/>
          <w:sz w:val="18"/>
          <w:szCs w:val="18"/>
          <w:color w:val="auto"/>
        </w:rPr>
        <w:t>The Company was originally incorporated in California in 1979 and was reincorporated in Delaware in December 1992. We are the result of the 2008 business combination (the "Business Combination") by and among the Company (then known as Activision, Inc.), Vivendi S.A. ("Vivendi"), and Vivendi Games, Inc. ("Vivendi Games"), an indirect wholly-owned subsidiary of Vivendi. In connection with the consummation of the Business Combination, Activision, Inc., was renamed Activision Blizzard, Inc.</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common stock of Activision Blizzard is traded on The NASDAQ Stock Market under the ticker symbol "ATVI."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King Acquisition</w:t>
      </w:r>
    </w:p>
    <w:p>
      <w:pPr>
        <w:spacing w:after="0" w:line="225"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On February 23, 2016 (the "King Closing Date"), we acquired King Digital Entertainment, a leading interactive mobile entertainment company ("King"), by purchasing all of its outstanding shares (the "King Acquisition"). We made this acquisition because we believe that the addition of King's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highly complementary mobile business positions the Company as a global leader in interactive entertainment across mobile, console, and PC platforms, as well as positioning us for future growth. The aggregate purchase price of approximately $5.8 billion was funded with $3.6 billion of existing cash and $2.2 billion of cash from new debt issued by the Company. King's results of operations since the King Closing Date are included in our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Strategy and Vision</w:t>
      </w:r>
    </w:p>
    <w:p>
      <w:pPr>
        <w:spacing w:after="0" w:line="225" w:lineRule="exact"/>
        <w:rPr>
          <w:sz w:val="20"/>
          <w:szCs w:val="20"/>
          <w:color w:val="auto"/>
        </w:rPr>
      </w:pPr>
    </w:p>
    <w:p>
      <w:pPr>
        <w:ind w:right="20" w:firstLine="351"/>
        <w:spacing w:after="0" w:line="306" w:lineRule="auto"/>
        <w:rPr>
          <w:sz w:val="20"/>
          <w:szCs w:val="20"/>
          <w:color w:val="auto"/>
        </w:rPr>
      </w:pPr>
      <w:r>
        <w:rPr>
          <w:rFonts w:ascii="Arial" w:cs="Arial" w:eastAsia="Arial" w:hAnsi="Arial"/>
          <w:sz w:val="16"/>
          <w:szCs w:val="16"/>
          <w:color w:val="auto"/>
        </w:rPr>
        <w:t>Our objective is to continue to be a worldwide leader in the development, publishing, and distribution of high-quality interactive entertainment content and services and other media that deliver year-round, highly satisfying and engaging entertainment experiences. In pursuit of this objective we focus on three strategic pillars: expanding audience reach; driving deep consumer engagement; and providing more opportunities for player investment.</w:t>
      </w:r>
    </w:p>
    <w:p>
      <w:pPr>
        <w:spacing w:after="0" w:line="161"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i w:val="1"/>
          <w:iCs w:val="1"/>
          <w:color w:val="auto"/>
        </w:rPr>
        <w:t xml:space="preserve">Expanding audience reach. </w:t>
      </w:r>
      <w:r>
        <w:rPr>
          <w:rFonts w:ascii="Arial" w:cs="Arial" w:eastAsia="Arial" w:hAnsi="Arial"/>
          <w:sz w:val="18"/>
          <w:szCs w:val="18"/>
          <w:color w:val="auto"/>
        </w:rPr>
        <w:t>Building on our strong established franchises and creating new franchises through compelling new content is at the core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Our employees, technology, and institutionalized processes allow us to continue to deliver high-quality content that expands our reach. We endeavor to reach as many consumers as possible either through: (1) the purchase of our content and services; (2) engagement in our free-to-play games, which allow consumers to play games with no up-front cost but are instead monetized through sales of downloadable content or via microtransactions; or (3) engagement in other types of media based on our franchises.</w:t>
      </w:r>
    </w:p>
    <w:p>
      <w:pPr>
        <w:spacing w:after="0" w:line="197" w:lineRule="exact"/>
        <w:rPr>
          <w:sz w:val="20"/>
          <w:szCs w:val="20"/>
          <w:color w:val="auto"/>
        </w:rPr>
      </w:pPr>
    </w:p>
    <w:p>
      <w:pPr>
        <w:jc w:val="both"/>
        <w:ind w:right="60" w:firstLine="351"/>
        <w:spacing w:after="0" w:line="306" w:lineRule="auto"/>
        <w:rPr>
          <w:sz w:val="20"/>
          <w:szCs w:val="20"/>
          <w:color w:val="auto"/>
        </w:rPr>
      </w:pPr>
      <w:r>
        <w:rPr>
          <w:rFonts w:ascii="Arial" w:cs="Arial" w:eastAsia="Arial" w:hAnsi="Arial"/>
          <w:sz w:val="16"/>
          <w:szCs w:val="16"/>
          <w:i w:val="1"/>
          <w:iCs w:val="1"/>
          <w:color w:val="auto"/>
        </w:rPr>
        <w:t xml:space="preserve">Driving deep consumer engagement. </w:t>
      </w:r>
      <w:r>
        <w:rPr>
          <w:rFonts w:ascii="Arial" w:cs="Arial" w:eastAsia="Arial" w:hAnsi="Arial"/>
          <w:sz w:val="16"/>
          <w:szCs w:val="16"/>
          <w:color w:val="auto"/>
        </w:rPr>
        <w:t>Our high-quality entertainment content not only expands our audience reach, but it also drives deep engagement with</w:t>
      </w:r>
      <w:r>
        <w:rPr>
          <w:rFonts w:ascii="Arial" w:cs="Arial" w:eastAsia="Arial" w:hAnsi="Arial"/>
          <w:sz w:val="16"/>
          <w:szCs w:val="16"/>
          <w:i w:val="1"/>
          <w:iCs w:val="1"/>
          <w:color w:val="auto"/>
        </w:rPr>
        <w:t xml:space="preserve"> </w:t>
      </w:r>
      <w:r>
        <w:rPr>
          <w:rFonts w:ascii="Arial" w:cs="Arial" w:eastAsia="Arial" w:hAnsi="Arial"/>
          <w:sz w:val="16"/>
          <w:szCs w:val="16"/>
          <w:color w:val="auto"/>
        </w:rPr>
        <w:t>our franchises. We design our games and other forms of media to provide a depth of content that keeps consumers playing and engaged for a long period of time following a game's release, delivering value to our players and additional growth opportunities for our franchises.</w:t>
      </w:r>
    </w:p>
    <w:p>
      <w:pPr>
        <w:spacing w:after="0" w:line="161"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i w:val="1"/>
          <w:iCs w:val="1"/>
          <w:color w:val="auto"/>
        </w:rPr>
        <w:t xml:space="preserve">Providing more opportunities for player investment. </w:t>
      </w:r>
      <w:r>
        <w:rPr>
          <w:rFonts w:ascii="Arial" w:cs="Arial" w:eastAsia="Arial" w:hAnsi="Arial"/>
          <w:sz w:val="16"/>
          <w:szCs w:val="16"/>
          <w:color w:val="auto"/>
        </w:rPr>
        <w:t>Increasingly, our consumers engage in our content year-round and are connected to our games online</w:t>
      </w:r>
      <w:r>
        <w:rPr>
          <w:rFonts w:ascii="Arial" w:cs="Arial" w:eastAsia="Arial" w:hAnsi="Arial"/>
          <w:sz w:val="16"/>
          <w:szCs w:val="16"/>
          <w:i w:val="1"/>
          <w:iCs w:val="1"/>
          <w:color w:val="auto"/>
        </w:rPr>
        <w:t xml:space="preserve"> </w:t>
      </w:r>
      <w:r>
        <w:rPr>
          <w:rFonts w:ascii="Arial" w:cs="Arial" w:eastAsia="Arial" w:hAnsi="Arial"/>
          <w:sz w:val="16"/>
          <w:szCs w:val="16"/>
          <w:color w:val="auto"/>
        </w:rPr>
        <w:t>through mobile devices, connected consoles, and PCs. This allows us to offer additional digital player investment opportunities directly to the consumers. In addition to purchasing full games or subscriptions, players can invest in certain of our games and franchises by purchasing incremental "in-game" content (including larger downloadable content or smaller content, via microtransactions). These digital revenue streams tend to be recurring and have higher profit margins. Further, if executed properly, additional player investment can increase engagement as it provides more frequent and incremental content for our players. In addition, we believe there is an opportunity for advertising within certain of our franchises, as well as opportunities to drive new forms of player investment through esports, film and television, and consumer products. We are in the early stages of developing these new revenue streams.</w:t>
      </w:r>
    </w:p>
    <w:p>
      <w:pPr>
        <w:spacing w:after="0" w:line="172"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Our strategy is ultimately aimed at creating shareholder value and enhancing returns. We strive to increase profitability, cash flows, and return on capital— and to do so while keeping our company a great place to work for our employees.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our organizational structure, we conduct our business through three reportable operating segments as follows:</w:t>
      </w:r>
    </w:p>
    <w:p>
      <w:pPr>
        <w:spacing w:after="0" w:line="225"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Activision Publishing, Inc.</w:t>
      </w:r>
    </w:p>
    <w:p>
      <w:pPr>
        <w:spacing w:after="0" w:line="225" w:lineRule="exact"/>
        <w:rPr>
          <w:sz w:val="20"/>
          <w:szCs w:val="20"/>
          <w:color w:val="auto"/>
        </w:rPr>
      </w:pPr>
    </w:p>
    <w:p>
      <w:pPr>
        <w:ind w:right="20" w:firstLine="341"/>
        <w:spacing w:after="0" w:line="332" w:lineRule="auto"/>
        <w:rPr>
          <w:sz w:val="20"/>
          <w:szCs w:val="20"/>
          <w:color w:val="auto"/>
        </w:rPr>
      </w:pPr>
      <w:r>
        <w:rPr>
          <w:rFonts w:ascii="Arial" w:cs="Arial" w:eastAsia="Arial" w:hAnsi="Arial"/>
          <w:sz w:val="16"/>
          <w:szCs w:val="16"/>
          <w:color w:val="auto"/>
        </w:rPr>
        <w:t>Activision Publishing, Inc. ("Activision"), is a leading global developer and publisher of interactive software products and entertainment content, particularly in console gaming. Activision primarily delivers content through retail channels or digital downloads, including full-game sales and in-game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purchases, as well as licenses of software to third-party or related-party companies that distribute Activision products. Activision develops, markets and sells products which are principally based on our internally developed intellectual properties, as well as some licensed properties. Additionally, we have established a long-term alliance with Bungie to publish its game universe, Destiny.</w:t>
      </w:r>
    </w:p>
    <w:p>
      <w:pPr>
        <w:spacing w:after="0" w:line="194" w:lineRule="exact"/>
        <w:rPr>
          <w:sz w:val="20"/>
          <w:szCs w:val="20"/>
          <w:color w:val="auto"/>
        </w:rPr>
      </w:pPr>
    </w:p>
    <w:p>
      <w:pPr>
        <w:ind w:right="60" w:firstLine="341"/>
        <w:spacing w:after="0" w:line="298" w:lineRule="auto"/>
        <w:rPr>
          <w:sz w:val="20"/>
          <w:szCs w:val="20"/>
          <w:color w:val="auto"/>
        </w:rPr>
      </w:pPr>
      <w:r>
        <w:rPr>
          <w:rFonts w:ascii="Arial" w:cs="Arial" w:eastAsia="Arial" w:hAnsi="Arial"/>
          <w:sz w:val="16"/>
          <w:szCs w:val="16"/>
          <w:color w:val="auto"/>
        </w:rPr>
        <w:t>Activision's key product franchises include: Call of Duty®, a first-person shooter for the console and PC platforms; Destiny, an online universe of first-person action gameplay (which we call a "shared-world shooter") for console platforms; and Skylanders®, a kid's game franchise that brings physical toys to life digitally in the game primarily for console platforms. Call of Duty, Activision's leading franchise, was the number one console franchise globally in 2016, and in North America for the 8th year in a row, according to The NPD Group, GfK Chart-Track, and our internal estimates.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25"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color w:val="auto"/>
        </w:rPr>
        <w:t>Blizzard Entertainment, Inc. ("Blizzard") is a leading global developer and publisher of interactive software products and entertainment content, particularly in PC gaming. Blizzard primarily delivers content through retail channels or digital downloads, including subscriptions, full-game sales, and in-game purchases, as well as licenses of software to third-party or related-party companies that distribute Blizzard products. Blizzard also maintains a proprietary online gaming service which facilitates digital distribution of Blizzard content, online social connectivity across all Blizzard games, and the creation of user-generated content for Blizzard's games.</w:t>
      </w:r>
    </w:p>
    <w:p>
      <w:pPr>
        <w:spacing w:after="0" w:line="197" w:lineRule="exact"/>
        <w:rPr>
          <w:sz w:val="20"/>
          <w:szCs w:val="20"/>
          <w:color w:val="auto"/>
        </w:rPr>
      </w:pPr>
    </w:p>
    <w:p>
      <w:pPr>
        <w:ind w:right="180" w:firstLine="351"/>
        <w:spacing w:after="0" w:line="298" w:lineRule="auto"/>
        <w:rPr>
          <w:sz w:val="20"/>
          <w:szCs w:val="20"/>
          <w:color w:val="auto"/>
        </w:rPr>
      </w:pPr>
      <w:r>
        <w:rPr>
          <w:rFonts w:ascii="Arial" w:cs="Arial" w:eastAsia="Arial" w:hAnsi="Arial"/>
          <w:sz w:val="16"/>
          <w:szCs w:val="16"/>
          <w:color w:val="auto"/>
        </w:rPr>
        <w:t>Blizzard's key product franchises include: World of Warcraft®, a subscription-based massive multi-player online role-playing game ("MMORPG") for the PC; StarCraft®, a real-time strategy PC franchise; Diablo®, an action role-playing franchise for PC and console platforms; Hearthstone®, an online collectible card franchise for the PC and mobile platforms; Heroes of the Storm®, a free-to-play team brawler for the PC; and Overwatch®, a team-based first person shooter for the PC and console platforms. World of Warcraft is the leading subscription-based MMORPG and was initially launched in November 2004.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25"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King Digital Entertainment ("King") is a leading global developer and publisher of interactive entertainment content and services, particularly on mobile platforms, such as Android and iOS. King also distributes its content and services on online social platforms, such as Facebook and the king.com websites. King's games are free-to-play, however players can acquire in-game virtual items, either with virtual currency the players purchase, or directly using real currency.</w:t>
      </w:r>
    </w:p>
    <w:p>
      <w:pPr>
        <w:spacing w:after="0" w:line="142"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King's key product franchises, all of which are for the PC and mobile platforms, include: Candy Crush™, which features "match three" games; Farm Heroes™, which also features "match three" games; Pet Rescue™, which is a "clicker" game; and Bubble Witch™, which features "bubble shooter" games. King had two of the top 10 highest-grossing titles in the United States of America ("U.S.") mobile app stores for the last thirteen quarters in a row, according to App Annie Intelligence and internal estimates for Apple App Store and Google Play Store combined.</w:t>
      </w:r>
    </w:p>
    <w:p>
      <w:pPr>
        <w:spacing w:after="0" w:line="16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Other</w:t>
      </w:r>
    </w:p>
    <w:p>
      <w:pPr>
        <w:spacing w:after="0" w:line="225"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8"/>
          <w:szCs w:val="18"/>
          <w:color w:val="auto"/>
        </w:rPr>
        <w:t>We also engage in other businesses that do not represent reportable segments, including:</w:t>
      </w:r>
    </w:p>
    <w:p>
      <w:pPr>
        <w:spacing w:after="0" w:line="239" w:lineRule="exact"/>
        <w:rPr>
          <w:sz w:val="20"/>
          <w:szCs w:val="20"/>
          <w:color w:val="auto"/>
        </w:rPr>
      </w:pPr>
    </w:p>
    <w:p>
      <w:pPr>
        <w:ind w:left="1080" w:right="20" w:hanging="532"/>
        <w:spacing w:after="0" w:line="306" w:lineRule="auto"/>
        <w:tabs>
          <w:tab w:leader="none" w:pos="108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Major League Gaming ("MLG") business (which we formerly referred to as Activision Blizzard Media Networks or Media Networks), which is devoted to esports and builds on our competitive gaming efforts by creating ways to deliver a best-in-class fan experience across games, platforms, and geographies with a long-term strategy of monetization through advertising, sponsorships, tournaments, and premium content.</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The Activision Blizzard Studios ("Studios") business, which is devoted to creating original film and television content based on our library of globally recognized intellectual properties, and, in October 2016, released the first season of the animated TV series </w:t>
      </w:r>
      <w:r>
        <w:rPr>
          <w:rFonts w:ascii="Arial" w:cs="Arial" w:eastAsia="Arial" w:hAnsi="Arial"/>
          <w:sz w:val="18"/>
          <w:szCs w:val="18"/>
          <w:i w:val="1"/>
          <w:iCs w:val="1"/>
          <w:color w:val="auto"/>
        </w:rPr>
        <w:t>Skylanders™ Academy</w:t>
      </w:r>
      <w:r>
        <w:rPr>
          <w:rFonts w:ascii="Arial" w:cs="Arial" w:eastAsia="Arial" w:hAnsi="Arial"/>
          <w:sz w:val="18"/>
          <w:szCs w:val="18"/>
          <w:color w:val="auto"/>
        </w:rPr>
        <w:t xml:space="preserve"> on Netflix.</w:t>
      </w:r>
    </w:p>
    <w:p>
      <w:pPr>
        <w:spacing w:after="0" w:line="221" w:lineRule="exact"/>
        <w:rPr>
          <w:rFonts w:ascii="Arial" w:cs="Arial" w:eastAsia="Arial" w:hAnsi="Arial"/>
          <w:sz w:val="18"/>
          <w:szCs w:val="18"/>
          <w:color w:val="auto"/>
        </w:rPr>
      </w:pPr>
    </w:p>
    <w:p>
      <w:pPr>
        <w:jc w:val="both"/>
        <w:ind w:left="1080" w:right="260" w:hanging="532"/>
        <w:spacing w:after="0" w:line="25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Products</w:t>
      </w:r>
    </w:p>
    <w:p>
      <w:pPr>
        <w:spacing w:after="0" w:line="225"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develop content and services principally for console, PC, and mobile devices, and we market and sell our games through retail and digital distribution channels. We develop products spanning various genres, including first-person shooter, action/adventure, role-playing, strategy, and "match three," among others. We primarily offer the following products and services:</w:t>
      </w:r>
    </w:p>
    <w:p>
      <w:pPr>
        <w:spacing w:after="0" w:line="208"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Full-games, which typically provide access to main game content, primarily for console or PC.</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Downloadable content, which provides players with additional in-game content to purchase following the purchase of a full game.</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Microtransactions, which typically provide relatively small pieces of additional in-game content or enhancements to gameplay, generally at relatively low price points.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Subscriptions for players in our World of Warcraft franchise that provide for continual access to the game content.</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Providing additional opportunities for player investment outside of full-game purchases has allowed us to shift from our historical seasonality to a more recurring and year-round revenue model. In addition, if executed properly, it allows us to increase player engagement as it provides more frequent and incremental content for our players.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Development and Support</w:t>
      </w:r>
    </w:p>
    <w:p>
      <w:pPr>
        <w:spacing w:after="0" w:line="225"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We focus on developing enduring franchises backed by well-designed, high-quality games with regular content updates. We build content with the potential for broad reach, sustainable engagement and year-round player investment. It is our experience that enduring franchises then serve as the basis for sequels, prequels and related new products and content that can be released over an extended period of time. We believe that the development and distribution of products and content based on proven franchises enhances predictability of revenues and the probability of high unit volume sales and operating profits. We intend to continue development of owned franchises in the future.</w:t>
      </w:r>
    </w:p>
    <w:p>
      <w:pPr>
        <w:spacing w:after="0" w:line="197" w:lineRule="exact"/>
        <w:rPr>
          <w:sz w:val="20"/>
          <w:szCs w:val="20"/>
          <w:color w:val="auto"/>
        </w:rPr>
      </w:pPr>
    </w:p>
    <w:p>
      <w:pPr>
        <w:ind w:right="120" w:firstLine="348"/>
        <w:spacing w:after="0" w:line="323" w:lineRule="auto"/>
        <w:rPr>
          <w:sz w:val="20"/>
          <w:szCs w:val="20"/>
          <w:color w:val="auto"/>
        </w:rPr>
      </w:pPr>
      <w:r>
        <w:rPr>
          <w:rFonts w:ascii="Arial" w:cs="Arial" w:eastAsia="Arial" w:hAnsi="Arial"/>
          <w:sz w:val="15"/>
          <w:szCs w:val="15"/>
          <w:color w:val="auto"/>
        </w:rPr>
        <w:t>We develop and produce our titles using a model in which a group of creative, production, and technical professionals, including designers, producers, programmers, artists, and sound engineers, in coordination with our marketing, finance, analytics, sales, and other professionals, has responsibility for the entire development and production process, including the supervision and coordination of internal and, where appropriate, external resources. We believe this model allows us to deploy the best resources for a given task, by supplementing our internal expertise with top-quality external resources on an as-needed basis.</w:t>
      </w:r>
    </w:p>
    <w:p>
      <w:pPr>
        <w:spacing w:after="0" w:line="152"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While most of the content for our franchises is developed by internal studios, we periodically engage independent third-party developers to create content on our behalf. From time to time, Activision also acquires the license rights to publish and/or distribute software products that are, or will be, independently created by third-party developers. Since 2010, Activision has been in a long-term exclusive relationship with Bungie, the developer of game franchises including Halo, Myth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Marathon, to publish games in the Destiny franchise. During the term of the agreement, Activision has exclusive, worldwide rights to publish and distribute on multiple platforms all future Bungie games based on Destiny.</w:t>
      </w:r>
    </w:p>
    <w:p>
      <w:pPr>
        <w:spacing w:after="0" w:line="186"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provide various forms of product support. Central technology and development teams review, assess, and provide support to products throughout the development process. Quality assurance personnel are also involved throughout the development and production of published content. We subject all such content to extensive testing before public release to ensure compatibility with appropriate hardware systems and configurations and to minimize the number of bugs and other defects found in the products. To support our content, we generally provide 24-hour game support to players through various means, primarily online and by telephone.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Sales, and Distribution</w:t>
      </w:r>
    </w:p>
    <w:p>
      <w:pPr>
        <w:spacing w:after="0" w:line="225" w:lineRule="exact"/>
        <w:rPr>
          <w:sz w:val="20"/>
          <w:szCs w:val="20"/>
          <w:color w:val="auto"/>
        </w:rPr>
      </w:pPr>
    </w:p>
    <w:p>
      <w:pPr>
        <w:ind w:right="120" w:firstLine="351"/>
        <w:spacing w:after="0" w:line="290" w:lineRule="auto"/>
        <w:rPr>
          <w:sz w:val="20"/>
          <w:szCs w:val="20"/>
          <w:color w:val="auto"/>
        </w:rPr>
      </w:pPr>
      <w:r>
        <w:rPr>
          <w:rFonts w:ascii="Arial" w:cs="Arial" w:eastAsia="Arial" w:hAnsi="Arial"/>
          <w:sz w:val="16"/>
          <w:szCs w:val="16"/>
          <w:color w:val="auto"/>
        </w:rPr>
        <w:t>Many of our products contain software that enables us to connect with our gamers directly. This provides a significant marketing tool that allows us to communicate and market directly to our customers, including through customized advertising and in-game messaging based on customer preferences and trends. Our marketing efforts also include activities on Facebook, Twitter, YouTube and other online social networks, other online advertising, other public relations activity, print and broadcast advertising, coordinated in-store and industry promotions (including merchandising and point of purchase displays), participation in cooperative advertising programs, direct response vehicles, and product sampling through demonstration software distributed through the Internet or the digital online services provided by our partners. From time to time, we also receive marketing support from hardware manufacturers, producers of consumer products related to a game, and retailers in connection with their own promotional efforts.</w:t>
      </w:r>
    </w:p>
    <w:p>
      <w:pPr>
        <w:spacing w:after="0" w:line="172" w:lineRule="exact"/>
        <w:rPr>
          <w:sz w:val="20"/>
          <w:szCs w:val="20"/>
          <w:color w:val="auto"/>
        </w:rPr>
      </w:pPr>
    </w:p>
    <w:p>
      <w:pPr>
        <w:ind w:right="720" w:firstLine="351"/>
        <w:spacing w:after="0" w:line="259" w:lineRule="auto"/>
        <w:rPr>
          <w:sz w:val="20"/>
          <w:szCs w:val="20"/>
          <w:color w:val="auto"/>
        </w:rPr>
      </w:pPr>
      <w:r>
        <w:rPr>
          <w:rFonts w:ascii="Arial" w:cs="Arial" w:eastAsia="Arial" w:hAnsi="Arial"/>
          <w:sz w:val="18"/>
          <w:szCs w:val="18"/>
          <w:color w:val="auto"/>
        </w:rPr>
        <w:t>Our physical products are available for sale in outlets around the world. These products are sold primarily on a direct basis to mass-market retailers (e.g., Target, Wal-Mart), consumer electronics stores (e.g., Best Buy), discount warehouses, game specialty stores (e.g., GameStop), and other stores (e.g., Amazon, Toys "R" Us) or through third-party distribution and licensing arrangements.</w:t>
      </w:r>
    </w:p>
    <w:p>
      <w:pPr>
        <w:spacing w:after="0" w:line="194"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Most of our products and content are also available in a digital format, which allows consumers to purchase and download the content at their convenience directly to their console, PC, or mobile device through our platform partners, including Microsoft Corporation ("Microsoft"), Sony Interactive Entertainment Inc. ("Sony"), Nintendo Co., Ltd. ("Nintendo"), Apple Inc. ("Apple"), Google Inc. ("Google"), and Facebook, Inc. ("Facebook"). Blizzard utilizes its proprietary online gaming service, Battle.net®, to distribute most of Blizzard's content directly to PC consumers.</w:t>
      </w:r>
    </w:p>
    <w:p>
      <w:pPr>
        <w:spacing w:after="0" w:line="167"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In addition to serving as a distribution platform, Blizzard's Battle.net offers players communications features, social networking, player matching and digital content delivery and is designed to allow people to connect regardless of what Blizzard game they are playing. It attracts millions of active players, making it one of the largest online game-related services in the world.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w:t>
      </w:r>
    </w:p>
    <w:p>
      <w:pPr>
        <w:spacing w:after="0" w:line="225" w:lineRule="exact"/>
        <w:rPr>
          <w:sz w:val="20"/>
          <w:szCs w:val="20"/>
          <w:color w:val="auto"/>
        </w:rPr>
      </w:pPr>
    </w:p>
    <w:p>
      <w:pPr>
        <w:jc w:val="both"/>
        <w:ind w:right="60" w:firstLine="348"/>
        <w:spacing w:after="0" w:line="259" w:lineRule="auto"/>
        <w:rPr>
          <w:sz w:val="20"/>
          <w:szCs w:val="20"/>
          <w:color w:val="auto"/>
        </w:rPr>
      </w:pPr>
      <w:r>
        <w:rPr>
          <w:rFonts w:ascii="Arial" w:cs="Arial" w:eastAsia="Arial" w:hAnsi="Arial"/>
          <w:sz w:val="18"/>
          <w:szCs w:val="18"/>
          <w:color w:val="auto"/>
        </w:rPr>
        <w:t>We prepare master program copies for our products on each release platform. With respect to products for Microsoft, Sony and Nintendo consoles, our disk duplication, packaging, printing, manufacturing, warehousing, assembly and shipping are performed by third-party subcontractors or distribution facilities owned by us.</w:t>
      </w:r>
    </w:p>
    <w:p>
      <w:pPr>
        <w:spacing w:after="0" w:line="194"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Microsoft, Sony, and Nintendo generally specify or control the manufacturing and assembly of finished products and license their hardware technologies to us for which we pay an applicable royalty per unit once the manufacturer fills the product order, even if the units do not ultimately sell. We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deliver the master materials to the licensor or its approved replicator, who then manufactures the finished goods and delivers them to us for distribution under our label.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Customers and Top Franchises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Customers</w:t>
      </w:r>
    </w:p>
    <w:p>
      <w:pPr>
        <w:spacing w:after="0" w:line="225" w:lineRule="exact"/>
        <w:rPr>
          <w:sz w:val="20"/>
          <w:szCs w:val="20"/>
          <w:color w:val="auto"/>
        </w:rPr>
      </w:pPr>
    </w:p>
    <w:p>
      <w:pPr>
        <w:ind w:right="80" w:firstLine="348"/>
        <w:spacing w:after="0" w:line="255" w:lineRule="auto"/>
        <w:rPr>
          <w:sz w:val="20"/>
          <w:szCs w:val="20"/>
          <w:color w:val="auto"/>
        </w:rPr>
      </w:pPr>
      <w:r>
        <w:rPr>
          <w:rFonts w:ascii="Arial" w:cs="Arial" w:eastAsia="Arial" w:hAnsi="Arial"/>
          <w:sz w:val="18"/>
          <w:szCs w:val="18"/>
          <w:color w:val="auto"/>
        </w:rPr>
        <w:t>While the Company does sell directly to end consumers in certain instances, such as sales through our Battle.net platform, in other instances our customers may be platform providers, such as Sony, Microsoft, and Apple, or retailers, such as Wal-Mart and GameStop, who act as distributors of our content to end consumers. For the year end December 31, 2016, Sony and Apple each accounted for 13% of our net revenues. For the year ended December 31, 2015, Sony and Microsoft accounted for 12% and 10%, respectively, of our net revenues. We did not have any single customer that accounted for 10% or more of our net revenues for the year ended December 31, 2014.</w:t>
      </w:r>
    </w:p>
    <w:p>
      <w:pPr>
        <w:spacing w:after="0" w:line="197"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We had three customers—Sony, Microsoft, and Wal-Mart Stores, Inc.—who accounted for 17%, 10%, and 10%, respectively, of consolidated gross receivables at December 31, 2016, and 18%, 13%, and 11%, respectively, of consolidated gross receivables at December 31,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 Franchises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For the year ended December 31, 2016, our top four franchises—Call of Duty, Candy Crush, World of Warcraft, and Overwatch—collectively accounted for 69% of our net revenues. For the year ended December 31, 2015, our top four franchises—Call of Duty, World of Warcraft, Destiny, and Hearthstone— collectively accounted for 75% of our net revenues. For the year ended December 31, 2014, our top four franchises—Call of Duty, World of Warcraft, Skylanders, and Diablo—collectively accounted for 75% of our net revenues.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225" w:lineRule="exact"/>
        <w:rPr>
          <w:sz w:val="20"/>
          <w:szCs w:val="20"/>
          <w:color w:val="auto"/>
        </w:rPr>
      </w:pPr>
    </w:p>
    <w:p>
      <w:pPr>
        <w:ind w:right="520" w:firstLine="348"/>
        <w:spacing w:after="0" w:line="268" w:lineRule="auto"/>
        <w:rPr>
          <w:sz w:val="20"/>
          <w:szCs w:val="20"/>
          <w:color w:val="auto"/>
        </w:rPr>
      </w:pPr>
      <w:r>
        <w:rPr>
          <w:rFonts w:ascii="Arial" w:cs="Arial" w:eastAsia="Arial" w:hAnsi="Arial"/>
          <w:sz w:val="18"/>
          <w:szCs w:val="18"/>
          <w:color w:val="auto"/>
        </w:rPr>
        <w:t>We compete for the leisure time and discretionary spending of consumers with other interactive entertainment companies, as well as with providers of different forms of entertainment, such as film, television, social networking, music and other consumer products.</w:t>
      </w:r>
    </w:p>
    <w:p>
      <w:pPr>
        <w:spacing w:after="0" w:line="186"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The interactive entertainment industry is intensely competitive and new interactive entertainment software products and platforms are regularly introduced. We believe that the main competitive factors in the interactive entertainment industry include: product features, game quality, and playability; brand name recognition; compatibility of products with popular platforms; access to distribution channels; online capability and functionality; ease of use; price; marketing support; and quality of customer service.</w:t>
      </w:r>
    </w:p>
    <w:p>
      <w:pPr>
        <w:spacing w:after="0" w:line="197"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compete with other publishers of video game console, PC, and mobile interactive entertainment software. In addition to third-party software competitors, integrated video game console hardware and software companies, such as Microsoft, Sony, and Nintendo, compete directly with us in the development of software titles for their respective platforms. A number of software publishers have developed and commercialized, or are currently developing, online games for use by consumers. Further, we compete with publishers of mobile games. Lastly, with our Skylanders franchise and its toys and accessories, we compete indirectly with companies who sell toys to our target consumers for this franchise.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w:t>
      </w:r>
    </w:p>
    <w:p>
      <w:pPr>
        <w:spacing w:after="0" w:line="225" w:lineRule="exact"/>
        <w:rPr>
          <w:sz w:val="20"/>
          <w:szCs w:val="20"/>
          <w:color w:val="auto"/>
        </w:rPr>
      </w:pPr>
    </w:p>
    <w:p>
      <w:pPr>
        <w:ind w:right="600" w:firstLine="351"/>
        <w:spacing w:after="0" w:line="370" w:lineRule="auto"/>
        <w:rPr>
          <w:sz w:val="20"/>
          <w:szCs w:val="20"/>
          <w:color w:val="auto"/>
        </w:rPr>
      </w:pPr>
      <w:r>
        <w:rPr>
          <w:rFonts w:ascii="Arial" w:cs="Arial" w:eastAsia="Arial" w:hAnsi="Arial"/>
          <w:sz w:val="15"/>
          <w:szCs w:val="15"/>
          <w:color w:val="auto"/>
        </w:rPr>
        <w:t>Like other interactive entertainment companies, our business is significantly dependent on the creation, acquisition, use and protection of intellectual property. Some of this intellectual property is in the form of copyrighted software code, patented technology, and other technology and trade secrets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that we use to develop and run our games. Other intellectual property is in the form of copyrighted audio-visual elements that consumers can see, hear and interact with when they are playing our games.</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develop a majority of our products based on wholly-owned intellectual properties, such as Call of Duty, World of Warcraft, and Candy Crush, among others. In other cases, we obtain intellectual property through licenses and service agreements, such as for our Destiny franchise. Further, our products that play on consoles and mobile platforms include technology that is owned by the platform provider and is licensed non-exclusively to us for use in the relevant product. We also license technology from providers other than console manufacturers in developing our content and services. While we may have renewal rights for some licenses, our business is dependent on our ability to continue to obtain the intellectual property rights from the owners of these rights on reasonable terms and at reasonable rates.</w:t>
      </w:r>
    </w:p>
    <w:p>
      <w:pPr>
        <w:spacing w:after="0" w:line="198"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We actively engage in enforcement and other activities to protect our intellectual property. For our PC products, we use copy protection technology or other technological protection measures to prevent piracy and the use of unauthorized copies of our products. For other platforms, the platform providers typically incorporate technological protections and other security measures in their platforms to prevent the use of unlicensed products on those platforms. In addition, we are actively engaged in enforcement of our copyright, trademark, patent, and trade secret rights against potential infringers of those rights along with other protective activities, including monitoring online channels for distribution of pirated copies and participating in various enforcement initiatives, education programs and legislative activity around the world.</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executive officers and their biographical summaries are provided below:</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9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440" w:type="dxa"/>
            <w:vAlign w:val="bottom"/>
          </w:tcPr>
          <w:p>
            <w:pPr>
              <w:jc w:val="right"/>
              <w:ind w:right="34"/>
              <w:spacing w:after="0"/>
              <w:rPr>
                <w:sz w:val="20"/>
                <w:szCs w:val="20"/>
                <w:color w:val="auto"/>
              </w:rPr>
            </w:pPr>
            <w:r>
              <w:rPr>
                <w:rFonts w:ascii="Arial" w:cs="Arial" w:eastAsia="Arial" w:hAnsi="Arial"/>
                <w:sz w:val="14"/>
                <w:szCs w:val="14"/>
                <w:b w:val="1"/>
                <w:bCs w:val="1"/>
                <w:color w:val="auto"/>
              </w:rPr>
              <w:t>Age</w:t>
            </w:r>
          </w:p>
        </w:tc>
        <w:tc>
          <w:tcPr>
            <w:tcW w:w="200" w:type="dxa"/>
            <w:vAlign w:val="bottom"/>
          </w:tcPr>
          <w:p>
            <w:pPr>
              <w:spacing w:after="0"/>
              <w:rPr>
                <w:sz w:val="14"/>
                <w:szCs w:val="14"/>
                <w:color w:val="auto"/>
              </w:rPr>
            </w:pPr>
          </w:p>
        </w:tc>
        <w:tc>
          <w:tcPr>
            <w:tcW w:w="5560" w:type="dxa"/>
            <w:vAlign w:val="bottom"/>
          </w:tcPr>
          <w:p>
            <w:pPr>
              <w:ind w:left="2540"/>
              <w:spacing w:after="0"/>
              <w:rPr>
                <w:sz w:val="20"/>
                <w:szCs w:val="20"/>
                <w:color w:val="auto"/>
              </w:rPr>
            </w:pPr>
            <w:r>
              <w:rPr>
                <w:rFonts w:ascii="Arial" w:cs="Arial" w:eastAsia="Arial" w:hAnsi="Arial"/>
                <w:sz w:val="14"/>
                <w:szCs w:val="14"/>
                <w:b w:val="1"/>
                <w:bCs w:val="1"/>
                <w:color w:val="auto"/>
              </w:rPr>
              <w:t>Position</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Robert A. Kotick</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Thomas Tippl</w:t>
            </w:r>
          </w:p>
        </w:tc>
        <w:tc>
          <w:tcPr>
            <w:tcW w:w="440" w:type="dxa"/>
            <w:vAlign w:val="bottom"/>
          </w:tcPr>
          <w:p>
            <w:pPr>
              <w:jc w:val="right"/>
              <w:spacing w:after="0"/>
              <w:rPr>
                <w:sz w:val="20"/>
                <w:szCs w:val="20"/>
                <w:color w:val="auto"/>
              </w:rPr>
            </w:pPr>
            <w:r>
              <w:rPr>
                <w:rFonts w:ascii="Arial" w:cs="Arial" w:eastAsia="Arial" w:hAnsi="Arial"/>
                <w:sz w:val="18"/>
                <w:szCs w:val="18"/>
                <w:color w:val="auto"/>
              </w:rPr>
              <w:t>50</w:t>
            </w: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Chief Operating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Dennis Durkin</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Financial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Eric Hirshberg</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President and Chief Executive Officer of Activision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Morhaime</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President and Chief Executive Officer of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Brian Stolz</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Chief People Officer of Activision Blizzard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Christopher Walther</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57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Chief Legal Officer of Activision Blizzard</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auto"/>
              </w:rPr>
              <w:t>Riccardo Zacconi</w:t>
            </w:r>
          </w:p>
        </w:tc>
        <w:tc>
          <w:tcPr>
            <w:tcW w:w="440" w:type="dxa"/>
            <w:vAlign w:val="bottom"/>
          </w:tcPr>
          <w:p>
            <w:pPr>
              <w:jc w:val="right"/>
              <w:spacing w:after="0"/>
              <w:rPr>
                <w:sz w:val="20"/>
                <w:szCs w:val="20"/>
                <w:color w:val="auto"/>
              </w:rPr>
            </w:pPr>
            <w:r>
              <w:rPr>
                <w:rFonts w:ascii="Arial" w:cs="Arial" w:eastAsia="Arial" w:hAnsi="Arial"/>
                <w:sz w:val="18"/>
                <w:szCs w:val="18"/>
                <w:color w:val="auto"/>
              </w:rPr>
              <w:t>48</w:t>
            </w:r>
          </w:p>
        </w:tc>
        <w:tc>
          <w:tcPr>
            <w:tcW w:w="5760" w:type="dxa"/>
            <w:vAlign w:val="bottom"/>
            <w:gridSpan w:val="2"/>
          </w:tcPr>
          <w:p>
            <w:pPr>
              <w:ind w:left="200"/>
              <w:spacing w:after="0"/>
              <w:rPr>
                <w:sz w:val="20"/>
                <w:szCs w:val="20"/>
                <w:color w:val="auto"/>
              </w:rPr>
            </w:pPr>
            <w:r>
              <w:rPr>
                <w:rFonts w:ascii="Arial" w:cs="Arial" w:eastAsia="Arial" w:hAnsi="Arial"/>
                <w:sz w:val="18"/>
                <w:szCs w:val="18"/>
                <w:color w:val="auto"/>
              </w:rPr>
              <w:t>Chief Executive Officer of King</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Robert A. Kotick, President and Chief Executive Officer of Activision Blizzard</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Robert A. Kotick has been a director of Activision Blizzard since February 1991, following his purchase of a significant interest in the Company, which was then on the verge of insolvency. Mr. Kotick was our Chairman and Chief Executive Officer from February 1991 until July 2008, when he became our President and Chief Executive Officer in connection with the Business Combination. Mr. Kotick is also a member of the board of directors of The Coca-Cola Company, a multinational beverage corporation, and the boards of trustees for The Center for Early Education and the Harvard-Westlake School. He is also vice chairman of the board and chairman of the committee of trustees of the Los Angeles County Museum of Art. In addition, Mr. Kotick is the founder and co-chairman of the Call of Duty Endowment, a nonprofit, public benefit corporation that seeks to help organizations that provide job placement and training services for veterans.</w:t>
      </w:r>
    </w:p>
    <w:p>
      <w:pPr>
        <w:spacing w:after="0" w:line="17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Thomas Tippl, Chief Operating Officer of Activision Blizzard</w:t>
      </w:r>
    </w:p>
    <w:p>
      <w:pPr>
        <w:spacing w:after="0" w:line="225" w:lineRule="exact"/>
        <w:rPr>
          <w:sz w:val="20"/>
          <w:szCs w:val="20"/>
          <w:color w:val="auto"/>
        </w:rPr>
      </w:pPr>
    </w:p>
    <w:p>
      <w:pPr>
        <w:ind w:right="20" w:firstLine="348"/>
        <w:spacing w:after="0" w:line="289" w:lineRule="auto"/>
        <w:rPr>
          <w:sz w:val="20"/>
          <w:szCs w:val="20"/>
          <w:color w:val="auto"/>
        </w:rPr>
      </w:pPr>
      <w:r>
        <w:rPr>
          <w:rFonts w:ascii="Arial" w:cs="Arial" w:eastAsia="Arial" w:hAnsi="Arial"/>
          <w:sz w:val="16"/>
          <w:szCs w:val="16"/>
          <w:color w:val="auto"/>
        </w:rPr>
        <w:t>Thomas Tippl became our Chief Operating Officer in March 2010. Prior to that, he served as our Chief Corporate Officer from March 2009 until March 2010. In addition, Mr. Tippl served as our Chief Financial Officer from July 2008 until February 2012. Mr. Tippl joined the Company as the Chief Financial Officer of Activision in October 2005. Prior to joining the Company, Mr. Tippl served as the head of investor relations and shareholder services at The Procter &amp; Gamble Company, a manufacturer of consumer goods products, from 2004 to 2005. Mr. Tippl also served as the finance director of Procter &amp; Gamble's Baby Care Europe division, and as a member of the board of directors of the joint venture between Procter &amp; Gamble and Fater in Italy from 2001 to 2003. Mr. Tippl co-founded Procter &amp; Gamble's Equity Venture Fund in 1999 and also served as the associate director of acquisitions and divestitures for Procter &amp; Gamble from 1999 to 2001. Prior to 1999, Mr. Tippl served in various financial executive positions for Procter &amp; Gamble in Europe, China and Japan. Mr. Tippl holds a master's degree in economics and social sciences from the Vienna University of Economics and Business Administration.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Dennis Durkin, Chief Financial Officer of Activision Blizzard</w:t>
      </w:r>
    </w:p>
    <w:p>
      <w:pPr>
        <w:spacing w:after="0" w:line="225" w:lineRule="exact"/>
        <w:rPr>
          <w:sz w:val="20"/>
          <w:szCs w:val="20"/>
          <w:color w:val="auto"/>
        </w:rPr>
      </w:pPr>
    </w:p>
    <w:p>
      <w:pPr>
        <w:ind w:right="180" w:firstLine="351"/>
        <w:spacing w:after="0" w:line="291" w:lineRule="auto"/>
        <w:rPr>
          <w:sz w:val="20"/>
          <w:szCs w:val="20"/>
          <w:color w:val="auto"/>
        </w:rPr>
      </w:pPr>
      <w:r>
        <w:rPr>
          <w:rFonts w:ascii="Arial" w:cs="Arial" w:eastAsia="Arial" w:hAnsi="Arial"/>
          <w:sz w:val="16"/>
          <w:szCs w:val="16"/>
          <w:color w:val="auto"/>
        </w:rPr>
        <w:t>Dennis Durkin became our Chief Financial Officer in March 2012. Prior to joining the Company, Mr. Durkin held a number of positions of increasing responsibility at Microsoft Corporation, a computing hardware and software manufacturer, most recently serving as the corporate vice president and chief operating and financial officer of Microsoft Corporation's interactive entertainment business, which included the Xbox console business. Prior to joining Microsoft Corporation's interactive entertainment business in 2006, Mr. Durkin worked on Microsoft Corporation's corporate development and strategy team, including two years where he was based in London, England, driving pan-European activity. Before joining Microsoft Corporation, Mr. Durkin was a financial analyst at Alex. Brown and Company. Mr. Durkin holds a B.A. degree in government from Dartmouth College and an M.B.A. degree from Harvard University.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Eric Hirshberg, President and Chief Executive Officer of Activision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Eric Hirshberg became the President and Chief Executive Officer of Activision in September 2010. Prior to joining us, Mr. Hirshberg served in positions of increasing responsibility with Deutsch LA, a marketing and advertising agency, most recently serving as its co-chief executive officer and its chief creative officer. Prior to working at Deutsch LA, Mr. Hirshberg worked at Fattal &amp; Collins, a marketing and advertising agency. Mr. Hirshberg holds a B.F.A. degree from the University of California at Los Angeles.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Michael Morhaime, President and Chief Executive Officer of Blizzard</w:t>
      </w:r>
    </w:p>
    <w:p>
      <w:pPr>
        <w:spacing w:after="0" w:line="225"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Michael Morhaime became Chief Executive Officer of Blizzard and an executive officer of Activision Blizzard in July 2008 in connection with the Business Combination. Mr. Morhaime co-founded Blizzard in February 1991, and transitioned to the role of Blizzard's President in April 1998. Mr. Morhaime served on the executive committee of Vivendi Games from January 1999, when Blizzard became a subsidiary of Vivendi Games, until the consummation of the Business Combination, when Blizzard became a subsidiary of the Company. Mr. Morhaime holds a B.S. degree in electrical engineering from the University of California at Los Angeles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Brian Stolz, Chief People Officer of Activision Blizzard</w:t>
      </w:r>
    </w:p>
    <w:p>
      <w:pPr>
        <w:spacing w:after="0" w:line="225" w:lineRule="exact"/>
        <w:rPr>
          <w:sz w:val="20"/>
          <w:szCs w:val="20"/>
          <w:color w:val="auto"/>
        </w:rPr>
      </w:pPr>
    </w:p>
    <w:p>
      <w:pPr>
        <w:ind w:right="60" w:firstLine="351"/>
        <w:spacing w:after="0" w:line="255" w:lineRule="auto"/>
        <w:rPr>
          <w:sz w:val="20"/>
          <w:szCs w:val="20"/>
          <w:color w:val="auto"/>
        </w:rPr>
      </w:pPr>
      <w:r>
        <w:rPr>
          <w:rFonts w:ascii="Arial" w:cs="Arial" w:eastAsia="Arial" w:hAnsi="Arial"/>
          <w:sz w:val="18"/>
          <w:szCs w:val="18"/>
          <w:color w:val="auto"/>
        </w:rPr>
        <w:t>Brian Stolz became our Chief People Officer in May 2016. Prior to joining the Company, Mr. Stolz served as senior vice president of the neurology, dental, and generics businesses of Valeant Pharmaceuticals, a pharmaceutical company. Before that, Mr. Stolz served as Valeant's executive vice president of administration and its chief human capital officer. Prior to joining Valeant, Mr. Stolz held positions as a principal at ghSMART, a leadership consulting and advisory firm, and as an associate principal at McKinsey &amp; Co., a strategy consulting firm. Mr. Stolz holds a B.S. degree in finance from Georgetown University and an M.B.A. degree from Harvard University.</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Christopher Walther, Chief Legal Officer of Activision Blizzard</w:t>
      </w:r>
    </w:p>
    <w:p>
      <w:pPr>
        <w:spacing w:after="0" w:line="225" w:lineRule="exact"/>
        <w:rPr>
          <w:sz w:val="20"/>
          <w:szCs w:val="20"/>
          <w:color w:val="auto"/>
        </w:rPr>
      </w:pPr>
    </w:p>
    <w:p>
      <w:pPr>
        <w:ind w:right="60" w:firstLine="351"/>
        <w:spacing w:after="0" w:line="283" w:lineRule="auto"/>
        <w:rPr>
          <w:sz w:val="20"/>
          <w:szCs w:val="20"/>
          <w:color w:val="auto"/>
        </w:rPr>
      </w:pPr>
      <w:r>
        <w:rPr>
          <w:rFonts w:ascii="Arial" w:cs="Arial" w:eastAsia="Arial" w:hAnsi="Arial"/>
          <w:sz w:val="16"/>
          <w:szCs w:val="16"/>
          <w:color w:val="auto"/>
        </w:rPr>
        <w:t>Christopher Walther became our Chief Legal Officer in November 2009 and served as our Secretary from February 2010 until February 2011. Prior to joining us, Mr. Walther held a number of positions of increasing responsibility within the legal department of The Procter &amp; Gamble Company from 1992 to 2009, including serving as the general counsel for Central and Eastern Europe, Middle East and Africa, general counsel for Northeast Asia and, most recently, as general counsel for Western Europe. Mr. Walther also led Procter &amp; Gamble's corporate and securities and mergers and acquisitions practices. Before joining Procter &amp; Gamble, Mr. Walther served as a law clerk for Senior Judge Harry W. Wellford of the United States Sixth Circuit Court of Appeals. Since 2012,</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Mr. Walther has served on the board of directors of the Alliance for Children's Rights. Mr. Walther has also served as our representative on the board of directors of the Entertainment Software Association since 2013. Mr. Walther holds a B.A. degree in history and Spanish from Centre College and a J.D. degree from the University of Kentucky College of Law.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Riccardo Zacconi, Chief Executive Officer of King</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Riccardo Zacconi serves as the Chief Executive Officer of King and became an executive officer of Activision Blizzard in February 2016 in connection with the King Acquisition. Mr. Zacconi co-founded King in March 2003, and has served as its chief executive officer since its founding. Prior to founding King,</w:t>
      </w:r>
    </w:p>
    <w:p>
      <w:pPr>
        <w:ind w:right="60"/>
        <w:spacing w:after="0" w:line="292" w:lineRule="auto"/>
        <w:rPr>
          <w:sz w:val="20"/>
          <w:szCs w:val="20"/>
          <w:color w:val="auto"/>
        </w:rPr>
      </w:pPr>
      <w:r>
        <w:rPr>
          <w:rFonts w:ascii="Arial" w:cs="Arial" w:eastAsia="Arial" w:hAnsi="Arial"/>
          <w:sz w:val="16"/>
          <w:szCs w:val="16"/>
          <w:color w:val="auto"/>
        </w:rPr>
        <w:t>Mr. Zacconi served as vice president of European sales and marketing at uDate.com, an online dating service, from 2002 until that company's acquisition later that year. From 2001 to 2002, Mr. Zacconi served as entrepreneur in residence at Benchmark Capital Partners, a venture capital firm. Prior to joining Benchmark Capital, he was managing director for Spray Network, an online messaging portal based in Hamburg, Germany, from 1999 until its sale in 2000. Prior to 1999, Mr. Zacconi served in various investment and consulting positions of increasing responsibility with The Boston Consulting Group and LEK Consulting, both of which are management consulting firms. Mr. Zacconi holds a B.A. degree in economics from LUISS University in Italy.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Employees</w:t>
      </w:r>
    </w:p>
    <w:p>
      <w:pPr>
        <w:spacing w:after="0" w:line="225" w:lineRule="exact"/>
        <w:rPr>
          <w:sz w:val="20"/>
          <w:szCs w:val="20"/>
          <w:color w:val="auto"/>
        </w:rPr>
      </w:pPr>
    </w:p>
    <w:p>
      <w:pPr>
        <w:ind w:right="300" w:firstLine="341"/>
        <w:spacing w:after="0" w:line="268" w:lineRule="auto"/>
        <w:rPr>
          <w:sz w:val="20"/>
          <w:szCs w:val="20"/>
          <w:color w:val="auto"/>
        </w:rPr>
      </w:pPr>
      <w:r>
        <w:rPr>
          <w:rFonts w:ascii="Arial" w:cs="Arial" w:eastAsia="Arial" w:hAnsi="Arial"/>
          <w:sz w:val="18"/>
          <w:szCs w:val="18"/>
          <w:color w:val="auto"/>
        </w:rPr>
        <w:t>At December 31, 2016, we had approximately 9,600 total full-time and part-time employees. At December 31, 2016, approximately 200 of our full-time employees were subject to fixed-term employment agreements with us.</w:t>
      </w:r>
    </w:p>
    <w:p>
      <w:pPr>
        <w:spacing w:after="0" w:line="186" w:lineRule="exact"/>
        <w:rPr>
          <w:sz w:val="20"/>
          <w:szCs w:val="20"/>
          <w:color w:val="auto"/>
        </w:rPr>
      </w:pPr>
    </w:p>
    <w:p>
      <w:pPr>
        <w:ind w:right="200" w:firstLine="348"/>
        <w:spacing w:after="0" w:line="259" w:lineRule="auto"/>
        <w:rPr>
          <w:sz w:val="20"/>
          <w:szCs w:val="20"/>
          <w:color w:val="auto"/>
        </w:rPr>
      </w:pPr>
      <w:r>
        <w:rPr>
          <w:rFonts w:ascii="Arial" w:cs="Arial" w:eastAsia="Arial" w:hAnsi="Arial"/>
          <w:sz w:val="18"/>
          <w:szCs w:val="18"/>
          <w:color w:val="auto"/>
        </w:rPr>
        <w:t>The majority of our employees in France, Germany, Spain, and Italy are subject to collective agreements as a part of normal business practices in those countries. In addition, certain employees in those countries are subject to collective bargaining agreements. To date, we have not experienced any labor-related work stoppages.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Financial Information</w:t>
      </w:r>
    </w:p>
    <w:p>
      <w:pPr>
        <w:spacing w:after="0" w:line="225" w:lineRule="exact"/>
        <w:rPr>
          <w:sz w:val="20"/>
          <w:szCs w:val="20"/>
          <w:color w:val="auto"/>
        </w:rPr>
      </w:pPr>
    </w:p>
    <w:p>
      <w:pPr>
        <w:ind w:right="20" w:firstLine="351"/>
        <w:spacing w:after="0" w:line="290" w:lineRule="auto"/>
        <w:rPr>
          <w:sz w:val="20"/>
          <w:szCs w:val="20"/>
          <w:color w:val="auto"/>
        </w:rPr>
      </w:pPr>
      <w:r>
        <w:rPr>
          <w:rFonts w:ascii="Arial" w:cs="Arial" w:eastAsia="Arial" w:hAnsi="Arial"/>
          <w:sz w:val="16"/>
          <w:szCs w:val="16"/>
          <w:color w:val="auto"/>
        </w:rPr>
        <w:t>See Item 7 "Management's Discussion and Analysis of Financial Condition and Results of Operations" and Note 13 of the notes to consolidated financial statements included in Item 8 of this Annual Report on Form 10-K for certain additional information regarding operating segments and geographic areas. See the Critical Accounting Policies section under Item 7 "Management's Discussion and Analysis of Financial Condition and Results of Operations" for a discussion of our practices with regard to several working capital items, such as rights of returns, and inventory practices. See the "Management's Overview of Business Trends" under Item 7 "Management's Discussion and Analysis of Financial Condition and Results of Operations" for a discussion of the impact of seasonality on our business. See Item 7 "Management's Discussion and Analysis of Financial Condition and Results of Operations" for information regarding product development expense during the past three years.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Information</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Our website, located at http://www.activisionblizzard.com, allows free-of-charge access to our annual reports on Form 10-K, quarterly reports on Form 10-Q, current reports on Form 8-K, proxy statements and amendments to those documents filed or furnished pursuant to Section 13(a) or 15(d) of the Securities Exchange Act of 1934, as amended (the "Exchange Act"). The information found on our website is not a part of, and is not incorporated by reference into, this or any other report that we file with or furnish to the Securities and Exchange Commission ("SEC").</w:t>
      </w:r>
    </w:p>
    <w:p>
      <w:pPr>
        <w:spacing w:after="0" w:line="167"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Our SEC filings are also available to the public over the Internet at the SEC's website at http://www.sec.gov. Additionally, the public may read and copy any materials we file with the SEC at the SEC's Public Reference Room at 100 F Street, N.E., Washington, D.C. 20549. Information on the operation of the Public Reference Room may be obtained by calling the SEC at 1-800-SEC-0330.</w:t>
      </w:r>
    </w:p>
    <w:p>
      <w:pPr>
        <w:spacing w:after="0" w:line="18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25" w:lineRule="exact"/>
        <w:rPr>
          <w:sz w:val="20"/>
          <w:szCs w:val="20"/>
          <w:color w:val="auto"/>
        </w:rPr>
      </w:pPr>
    </w:p>
    <w:p>
      <w:pPr>
        <w:ind w:right="80" w:firstLine="351"/>
        <w:spacing w:after="0" w:line="293" w:lineRule="auto"/>
        <w:rPr>
          <w:sz w:val="20"/>
          <w:szCs w:val="20"/>
          <w:color w:val="auto"/>
        </w:rPr>
      </w:pPr>
      <w:r>
        <w:rPr>
          <w:rFonts w:ascii="Arial" w:cs="Arial" w:eastAsia="Arial" w:hAnsi="Arial"/>
          <w:sz w:val="16"/>
          <w:szCs w:val="16"/>
          <w:b w:val="1"/>
          <w:bCs w:val="1"/>
          <w:color w:val="auto"/>
        </w:rPr>
        <w:t>We wish to caution the reader that the following important risk factors, and those risk factors described elsewhere in this report or in our other filings with the SEC, could cause our actual results to differ materially from those stated in forward-looking statements contained in this document and elsewhere. These risks are not presented in order of importance or probability of occurrence. Further, the risks described below are not the only risks that we face. Additional risks and uncertainties not currently known to us or that we currently deem immaterial may also impair our business operations. Any of these risks may have a material adverse effect on our business, reputation, financial condition, results of operations, profitability, cash flows, liquidity or stock price.</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If we do not consistently deliver popular, high-quality content in a timely manner, or if consumers prefer competing products, our business may be negatively impacted.</w:t>
      </w:r>
    </w:p>
    <w:p>
      <w:pPr>
        <w:spacing w:after="0" w:line="186" w:lineRule="exact"/>
        <w:rPr>
          <w:sz w:val="20"/>
          <w:szCs w:val="20"/>
          <w:color w:val="auto"/>
        </w:rPr>
      </w:pPr>
    </w:p>
    <w:p>
      <w:pPr>
        <w:ind w:right="20" w:firstLine="351"/>
        <w:spacing w:after="0" w:line="286" w:lineRule="auto"/>
        <w:rPr>
          <w:sz w:val="20"/>
          <w:szCs w:val="20"/>
          <w:color w:val="auto"/>
        </w:rPr>
      </w:pPr>
      <w:r>
        <w:rPr>
          <w:rFonts w:ascii="Arial" w:cs="Arial" w:eastAsia="Arial" w:hAnsi="Arial"/>
          <w:sz w:val="16"/>
          <w:szCs w:val="16"/>
          <w:color w:val="auto"/>
        </w:rPr>
        <w:t>Consumer preferences for games are usually cyclical and difficult to predict, and even the most successful content remains popular for only limited periods of time, unless refreshed with new content or otherwise enhanced. In order to remain competitive, we must continuously develop new products or enhancements to existing products. These products may not be well-received by consumers, even if well-reviewed and of high quality. Further, competitors may develop content that imitates or competes with our best-selling games, potentially taking sales away from them or reducing our ability to charge the same prices we have historically charged for our products. These competing products may take a larger share of consumer spending than anticipated, which could cause product sales to fall below expectations. If we do not continue to develop consistently high-quality and well-received games, if our marketing fails to resonate with our consumers, if consumers lose interest in a genre of games we produce, if the use of cross-promotion within our mobile games to retain consumers becomes less effective, or if our competitors develop more successful products or offer competitive products at lower prices, our revenues and profit margins could decline. Further, a failure by us to develop a high-quality product, or our development of a product that is otherwise not well-received, could potentially result in additional expenditures to respond to consumer demands, harm our reputation, and increase the likelihood that our future products will not be well-received. The increased importance of downloadable content to our business amplifies these risks, as downloadable content for poorly-received games typically generates lower-than-expected sales. In addition, our own best-selling products could compete with our other games, reducing sales for those other games.</w:t>
      </w:r>
    </w:p>
    <w:p>
      <w:pPr>
        <w:spacing w:after="0" w:line="178" w:lineRule="exact"/>
        <w:rPr>
          <w:sz w:val="20"/>
          <w:szCs w:val="20"/>
          <w:color w:val="auto"/>
        </w:rPr>
      </w:pPr>
    </w:p>
    <w:p>
      <w:pPr>
        <w:ind w:firstLine="341"/>
        <w:spacing w:after="0" w:line="256" w:lineRule="auto"/>
        <w:rPr>
          <w:sz w:val="20"/>
          <w:szCs w:val="20"/>
          <w:color w:val="auto"/>
        </w:rPr>
      </w:pPr>
      <w:r>
        <w:rPr>
          <w:rFonts w:ascii="Arial" w:cs="Arial" w:eastAsia="Arial" w:hAnsi="Arial"/>
          <w:sz w:val="18"/>
          <w:szCs w:val="18"/>
          <w:color w:val="auto"/>
        </w:rPr>
        <w:t>Additionally, consumer expectations regarding the quality, performance and integrity of our products and services are high. Consumers may be critical of our brands, games, services and/or business practices for a wide variety of reasons, and such negative reactions may not be foreseeable or within our control to manage effectively. For example, if our games or services, such as our proprietary online gaming service, do not function as consumers expect, whether because they fail to function as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advertised or otherwise, our sales may suffer. The risk that this may occur is particularly pronounced with respect to our games with online features because they involve ongoing consumer expectations, which we may not be able to consistently satisfy. Our games with online features are also frequently updated, increasing the risk that a game may contain significant "bugs." If any of these issues occur, consumers may stop playing the game and may be less likely to return to the game as often in the future, which may negatively impact our business.</w:t>
      </w:r>
    </w:p>
    <w:p>
      <w:pPr>
        <w:spacing w:after="0" w:line="197"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Further, delays in product releases or disruptions following the commercial release of one or more new products could have a material adverse effect on our revenues and reputation and could cause our results of operations to be materially different from expectations. If we fail to release our products in a timely manner, or if we are unable to continue to extend the life of existing games by adding features and functionality that will encourage continued engagement with the game, our business may be negatively impacted.</w:t>
      </w:r>
    </w:p>
    <w:p>
      <w:pPr>
        <w:spacing w:after="0" w:line="197" w:lineRule="exact"/>
        <w:rPr>
          <w:sz w:val="20"/>
          <w:szCs w:val="20"/>
          <w:color w:val="auto"/>
        </w:rPr>
      </w:pPr>
    </w:p>
    <w:p>
      <w:pPr>
        <w:ind w:right="200" w:firstLine="341"/>
        <w:spacing w:after="0" w:line="298" w:lineRule="auto"/>
        <w:rPr>
          <w:sz w:val="20"/>
          <w:szCs w:val="20"/>
          <w:color w:val="auto"/>
        </w:rPr>
      </w:pPr>
      <w:r>
        <w:rPr>
          <w:rFonts w:ascii="Arial" w:cs="Arial" w:eastAsia="Arial" w:hAnsi="Arial"/>
          <w:sz w:val="16"/>
          <w:szCs w:val="16"/>
          <w:color w:val="auto"/>
        </w:rPr>
        <w:t>Additionally, the amount of lead time and cost involved in the development of high-quality products is increasing, and the longer the lead time involved in developing a product and the greater the allocation of financial resources to such product, the more critical it is that we accurately predict consumer demand for such product. If our future products do not achieve expected consumer acceptance or generate sufficient revenues upon introduction, we may not be able to recover the substantial up-front development and marketing costs associated with those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depend on a relatively small number of franchises for a significant portion of our revenues and profits.</w:t>
      </w:r>
    </w:p>
    <w:p>
      <w:pPr>
        <w:spacing w:after="0" w:line="225" w:lineRule="exact"/>
        <w:rPr>
          <w:sz w:val="20"/>
          <w:szCs w:val="20"/>
          <w:color w:val="auto"/>
        </w:rPr>
      </w:pPr>
    </w:p>
    <w:p>
      <w:pPr>
        <w:ind w:right="20" w:firstLine="348"/>
        <w:spacing w:after="0" w:line="288" w:lineRule="auto"/>
        <w:rPr>
          <w:sz w:val="20"/>
          <w:szCs w:val="20"/>
          <w:color w:val="auto"/>
        </w:rPr>
      </w:pPr>
      <w:r>
        <w:rPr>
          <w:rFonts w:ascii="Arial" w:cs="Arial" w:eastAsia="Arial" w:hAnsi="Arial"/>
          <w:sz w:val="16"/>
          <w:szCs w:val="16"/>
          <w:color w:val="auto"/>
        </w:rPr>
        <w:t>We follow a franchise model and a significant portion of our revenues has historically been derived from products based on a relatively small number of popular franchises. These products are responsible for a disproportionately high percentage of our profits. For example, revenues associated with the Call of Duty, Candy Crush, World of Warcraft, and Overwatch franchises, collectively, accounted for approximately 69% of our net revenues, and a significantly higher percentage of our operating income, for 2016. We expect that a relatively limited number of popular franchises will continue to produce a disproportionately high percentage of our revenues and profits. Due to this dependence on a limited number of franchises, the failure to achieve anticipated results by one or more products based on these franchises could negatively impact our business. Additionally, if the popularity of a franchise declines, we may have to write off the unrecovered portion of the underlying intellectual property assets, which could negatively impact our business. Further, if a new franchise does not gain consumer acceptance, whether because we are unable to successfully create consumer appeal and brand recognition or for other reasons, our business could be negatively impacted.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effectively manage the growth in the scope and complexity of our business.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have experienced significant growth in the scope and complexity of our business, including through the acquisition of King and the development of our MLG, Studios and consumer products businesses. Our future success depends, in part, on our ability to manage this expanded business. The growth of our business could create significant challenges for our management, operational, and financial resources, and could increase existing strain on, and divert focus from, our core businesses. If not managed effectively, this growth could result in the over-extension of our operating infrastructure, and our management systems, information technology systems, and internal controls and procedures may not be adequate to support this growth. Failure to adequately manage our growth in any of these ways may cause damage to our brand or otherwise negatively impact our business. Further, any failure by these new businesses may damage our reputation or otherwise negatively impact our core business of interactive software products and entertainment content.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The increasing importance of free-to-play games to our business exposes us to the risks of that business model, including the dependence on a relatively small number of consumers for a significant portion of revenues and profits from any given game.</w:t>
      </w:r>
    </w:p>
    <w:p>
      <w:pPr>
        <w:spacing w:after="0" w:line="186"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 xml:space="preserve">As a result of, among other things, the King Acquisition, we are more dependent on our ability to develop, enhance and monetize free-to-play games, such as the games in our Candy Crush franchise and </w:t>
      </w:r>
      <w:r>
        <w:rPr>
          <w:rFonts w:ascii="Arial" w:cs="Arial" w:eastAsia="Arial" w:hAnsi="Arial"/>
          <w:sz w:val="16"/>
          <w:szCs w:val="16"/>
          <w:i w:val="1"/>
          <w:iCs w:val="1"/>
          <w:color w:val="auto"/>
        </w:rPr>
        <w:t>Hearthstone</w:t>
      </w:r>
      <w:r>
        <w:rPr>
          <w:rFonts w:ascii="Arial" w:cs="Arial" w:eastAsia="Arial" w:hAnsi="Arial"/>
          <w:sz w:val="16"/>
          <w:szCs w:val="16"/>
          <w:color w:val="auto"/>
        </w:rPr>
        <w:t>. As such, we are increasingly exposed to the risks of the free-to-play business model. For example, we may invest in the development of new free-to-play interactive entertainment products that do not achieve significant commercial success, in which case our revenues from those products likely will be lower than anticipated and we may not recover our development costs. Further, if: (1) we are unable to continue to offer free-to-play games that encourage consumers to purchase our virtual currency and subsequently use it to buy our virtual items; (2) we fail to offer monetization features that appeal to these consumers; (3) these consumers do not continue to play our free-to-play games or purchase virtual items at the same rate; (4) our platform providers make it more difficult or expensive for players to purchase our virtual currency; or (5) we cannot encourage significant additional consumers to purchase virtual items in our free-to-play games, our business may be negatively impacted.</w:t>
      </w:r>
    </w:p>
    <w:p>
      <w:pPr>
        <w:spacing w:after="0" w:line="172"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Furthermore, as there are relatively low barriers to entry to developing mobile or online free-to-play or other casual games, we expect new competitors to enter the market and existing competitors to allocate more resources to developing and marketing competing games and applications. We compete, or may compete, with a vast number of small companies and individuals who are able to create and launch casual games and other content using relatively limited resources and with relatively limited start-up time or expertise. Competition for the attention of consumers on mobile devices is intense, as the number of applications on mobile devices has been increasing dramatically, which, in turn, has required increased marketing to garner consumer awareness and attention. This increased competition could negatively impact our business. In addition, a continuing industry shift to free-to-play games could result in a deprioritization of our other products by traditional retailers and distributors.</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Our industry is subject to rapid technological change, and if we do not adapt to, and appropriately allocate our resources among, emerging technologies and business models, our business may be negatively impacted.</w:t>
      </w:r>
    </w:p>
    <w:p>
      <w:pPr>
        <w:spacing w:after="0" w:line="186" w:lineRule="exact"/>
        <w:rPr>
          <w:sz w:val="20"/>
          <w:szCs w:val="20"/>
          <w:color w:val="auto"/>
        </w:rPr>
      </w:pPr>
    </w:p>
    <w:p>
      <w:pPr>
        <w:ind w:right="60" w:firstLine="348"/>
        <w:spacing w:after="0" w:line="289" w:lineRule="auto"/>
        <w:rPr>
          <w:sz w:val="20"/>
          <w:szCs w:val="20"/>
          <w:color w:val="auto"/>
        </w:rPr>
      </w:pPr>
      <w:r>
        <w:rPr>
          <w:rFonts w:ascii="Arial" w:cs="Arial" w:eastAsia="Arial" w:hAnsi="Arial"/>
          <w:sz w:val="16"/>
          <w:szCs w:val="16"/>
          <w:color w:val="auto"/>
        </w:rPr>
        <w:t>Technology changes rapidly in the interactive entertainment industry. We must continually anticipate and adapt our products, distribution channels and business models to emerging technologies and delivery platforms in order to stay competitive. Forecasting our revenues and profitability for these new products, distribution channels and business models is inherently uncertain and volatile, and if we invest in the development of interactive entertainment products or distribution channels incorporating a new technology or for a new platform that does not achieve significant commercial success, whether because of competition or otherwise, we may not recover the often substantial "up front" cost of developing and marketing those products and distribution channels, or recover the opportunity cost of diverting management and financial resources away from other products or distribution channels. Further, our competitors may adapt to an emerging technology or business model more quickly or effectively than we do, creating products that are technologically superior to ours, more appealing to consumers, or both.</w:t>
      </w:r>
    </w:p>
    <w:p>
      <w:pPr>
        <w:spacing w:after="0" w:line="172"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If, on the other hand, we elect not to pursue the development of products incorporating a new technology or for new platforms, or otherwise elect not to pursue new business models, that achieve significant commercial success, it may have adverse consequences. It may take significant time and resources to shift product development resources to that technology, platform or business model, as the case may be, and may be more difficult to compete against existing products incorporating that technology or for that platform or against companies using that business model.</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increasing importance of digital sales to our business exposes us to the risks of that business model, including greater competition.</w:t>
      </w:r>
    </w:p>
    <w:p>
      <w:pPr>
        <w:spacing w:after="0" w:line="248" w:lineRule="exact"/>
        <w:rPr>
          <w:sz w:val="20"/>
          <w:szCs w:val="20"/>
          <w:color w:val="auto"/>
        </w:rPr>
      </w:pPr>
    </w:p>
    <w:p>
      <w:pPr>
        <w:ind w:right="80" w:firstLine="348"/>
        <w:spacing w:after="0" w:line="318" w:lineRule="auto"/>
        <w:rPr>
          <w:sz w:val="20"/>
          <w:szCs w:val="20"/>
          <w:color w:val="auto"/>
        </w:rPr>
      </w:pPr>
      <w:r>
        <w:rPr>
          <w:rFonts w:ascii="Arial" w:cs="Arial" w:eastAsia="Arial" w:hAnsi="Arial"/>
          <w:sz w:val="15"/>
          <w:szCs w:val="15"/>
          <w:color w:val="auto"/>
        </w:rPr>
        <w:t>The proportion of our revenues derived from digital content delivery, as compared to traditional retail sales, continues to increase. The increased importance of digital content delivery in our industry increases our potential competition, as the minimum capital needed to produce and publish a digitally delivered game, particularly a new game for mobile platforms, may be significantly less than that needed to produce and publish one that is purchased through retail distribution and is played on a game console. Also, while digitally-distributed products generally have higher profit margins than retail sales, the risk profile for us, as the publisher, may be increased as business shifts to digital distribution, since the volume of initial orders from retailers for physical discs could be reduced.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 within, and to, the interactive entertainment industry is intense, and competitors may succeed in reducing our sales.</w:t>
      </w:r>
    </w:p>
    <w:p>
      <w:pPr>
        <w:spacing w:after="0" w:line="225" w:lineRule="exact"/>
        <w:rPr>
          <w:sz w:val="20"/>
          <w:szCs w:val="20"/>
          <w:color w:val="auto"/>
        </w:rPr>
      </w:pPr>
    </w:p>
    <w:p>
      <w:pPr>
        <w:ind w:right="100" w:firstLine="348"/>
        <w:spacing w:after="0" w:line="253" w:lineRule="auto"/>
        <w:rPr>
          <w:sz w:val="20"/>
          <w:szCs w:val="20"/>
          <w:color w:val="auto"/>
        </w:rPr>
      </w:pPr>
      <w:r>
        <w:rPr>
          <w:rFonts w:ascii="Arial" w:cs="Arial" w:eastAsia="Arial" w:hAnsi="Arial"/>
          <w:sz w:val="18"/>
          <w:szCs w:val="18"/>
          <w:color w:val="auto"/>
        </w:rPr>
        <w:t>Within the interactive entertainment industry, we compete with other publishers of interactive entertainment software, both within and outside the United States. Our competitors include very large corporations with significantly greater financial, marketing and product development resources than we have. Our larger competitors may be able to leverage their greater financial, technical, personnel and other resources to provide larger budgets for development and marketing and make higher offers to licensors and developers for commercially desirable properties, as well as adopt more aggressive pricing policies to develop more commercially successful video game products than we do. In addition, competitors with large product lines and popular games typically have greater leverage with retailers, distributors and other customers, who may be willing to promote products with less consumer appeal in return for access to those competitors' more popular games.</w:t>
      </w:r>
    </w:p>
    <w:p>
      <w:pPr>
        <w:spacing w:after="0" w:line="20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Additionally, we compete with other forms of entertainment and leisure activities. Further, it is difficult to predict and prepare for rapid changes in consumer demand that could materially alter public preferences for different forms of entertainment and leisure activities. Failure to adequately identify and adapt to these competitive pressures could negatively impact our business.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sustain traditional pricing levels for our products, our business may be negatively impacted.</w:t>
      </w:r>
    </w:p>
    <w:p>
      <w:pPr>
        <w:spacing w:after="0" w:line="225"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If we are unable to sustain traditional pricing levels for our console or PC titles or the associated downloadable content, whether due to competitive pressure, because retailers or other third parties elect to price these products at a lower price, or otherwise, it could have a negative impact on our business. Further, our decisions around the development of new game content are grounded in assumptions about eventual pricing levels. If there is price compression in the market after these decisions are made, it could have a negative impact on our business.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do not continue to attract and retain skilled personnel, we will be unable to effectively conduct our business.</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Our employees are our greatest asset. As such, our success depends to a significant extent on our ability to identify, attract, hire, retain and utilize the abilities of qualified personnel, particularly personnel with the specialized skills needed to create and sell the high-quality, well-received content upon which our business is substantially dependent. The software industry generally experiences a high level of employee mobility and aggressive recruiting among competitors for employees with technical, marketing, sales, engineering, product development, creative and/or management skills. We may have difficulties in attracting and retaining skilled personnel or may incur significant costs in order to do so. If we are unable to attract additional qualified employees or retain and utilize the services of key personnel, it could have a negative impact on our business.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external developers to develop some of our software products.</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rely on external software developers to develop some of our software products, particularly in the mobile space. Because we depend on these developers, we are subject to the following risks.</w:t>
      </w:r>
    </w:p>
    <w:p>
      <w:pPr>
        <w:spacing w:after="0" w:line="199" w:lineRule="exact"/>
        <w:rPr>
          <w:sz w:val="20"/>
          <w:szCs w:val="20"/>
          <w:color w:val="auto"/>
        </w:rPr>
      </w:pPr>
    </w:p>
    <w:p>
      <w:pPr>
        <w:jc w:val="both"/>
        <w:ind w:left="1080" w:right="2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Continuing strong demand for top-tier developers' resources, combined with the recognition they receive in connection with their work, may cause developers who worked for us in the past either to work for a competitor in the future or to renegotiate agreements with us on terms less favorable to us.</w:t>
      </w:r>
    </w:p>
    <w:p>
      <w:pPr>
        <w:spacing w:after="0" w:line="221" w:lineRule="exact"/>
        <w:rPr>
          <w:rFonts w:ascii="Arial" w:cs="Arial" w:eastAsia="Arial" w:hAnsi="Arial"/>
          <w:sz w:val="18"/>
          <w:szCs w:val="18"/>
          <w:color w:val="auto"/>
        </w:rPr>
      </w:pPr>
    </w:p>
    <w:p>
      <w:pPr>
        <w:ind w:left="1080" w:right="78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Limited financial resources and business expertise and inability to retain skilled personnel may force developers out of business prior to completing products for us or require us to fund additional costs.</w:t>
      </w:r>
    </w:p>
    <w:p>
      <w:pPr>
        <w:spacing w:after="0" w:line="199"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competitor may acquire the businesses of key developers or sign them to exclusive development arrangements and, in either case, we would not be able to continue to engage such developers' services for our products, except for any period of time for which those developers are contractually obligated to complete development for us.</w:t>
      </w:r>
    </w:p>
    <w:p>
      <w:pPr>
        <w:spacing w:after="0" w:line="207"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Reliance on external developers reduces our visibility into, and control over, development schedules and operational outcomes compared to those when utilizing internal development resources.</w:t>
      </w:r>
    </w:p>
    <w:p>
      <w:pPr>
        <w:spacing w:after="0" w:line="186" w:lineRule="exact"/>
        <w:rPr>
          <w:sz w:val="20"/>
          <w:szCs w:val="20"/>
          <w:color w:val="auto"/>
        </w:rPr>
      </w:pPr>
    </w:p>
    <w:p>
      <w:pPr>
        <w:ind w:right="120" w:firstLine="351"/>
        <w:spacing w:after="0" w:line="254" w:lineRule="auto"/>
        <w:rPr>
          <w:sz w:val="20"/>
          <w:szCs w:val="20"/>
          <w:color w:val="auto"/>
        </w:rPr>
      </w:pPr>
      <w:r>
        <w:rPr>
          <w:rFonts w:ascii="Arial" w:cs="Arial" w:eastAsia="Arial" w:hAnsi="Arial"/>
          <w:sz w:val="18"/>
          <w:szCs w:val="18"/>
          <w:color w:val="auto"/>
        </w:rPr>
        <w:t>Increased competition for skilled third-party software developers also has compelled us to agree to make significant advance payments on royalties to game developers. If the products subject to these arrangements do not generate sufficient revenues to recover these royalty advances, we would have to write off unrecovered portions of these payments, which could negatively impact our business. Typically, we pay developers a royalty based on a percentage of net revenues from product sales, less agreed upon deductions, but from time to time, we have agreed to pay developers fixed per unit product royalties after royalty advances are fully recouped. To the extent that sales prices of products on which we have agreed to pay a fixed per unit royalty are marked down, it could negatively impact our business.</w:t>
      </w:r>
    </w:p>
    <w:p>
      <w:pPr>
        <w:spacing w:after="0" w:line="198"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We engage in strategic transactions and may encounter difficulties in integrating acquired businesses or otherwise realizing the anticipated benefits of the transactions.</w:t>
      </w:r>
    </w:p>
    <w:p>
      <w:pPr>
        <w:spacing w:after="0" w:line="186" w:lineRule="exact"/>
        <w:rPr>
          <w:sz w:val="20"/>
          <w:szCs w:val="20"/>
          <w:color w:val="auto"/>
        </w:rPr>
      </w:pPr>
    </w:p>
    <w:p>
      <w:pPr>
        <w:ind w:right="20" w:firstLine="341"/>
        <w:spacing w:after="0" w:line="286" w:lineRule="auto"/>
        <w:rPr>
          <w:sz w:val="20"/>
          <w:szCs w:val="20"/>
          <w:color w:val="auto"/>
        </w:rPr>
      </w:pPr>
      <w:r>
        <w:rPr>
          <w:rFonts w:ascii="Arial" w:cs="Arial" w:eastAsia="Arial" w:hAnsi="Arial"/>
          <w:sz w:val="16"/>
          <w:szCs w:val="16"/>
          <w:color w:val="auto"/>
        </w:rPr>
        <w:t>As part of our business strategy, from time to time, we acquire, make investments in, or enter into strategic alliances and joint ventures with, complementary businesses. These transactions may involve significant risks and uncertainties, including: (A) in the case of an acquisition, (i) the potential for the acquired business to underperform relative to our expectations and the acquisition price, (ii) the potential for the acquired business to cause our financial results to differ from expectations in any given period, or over the longer-term, (iii) unexpected tax consequences from the acquisition, or the tax treatment of the acquired business's operations going forward, giving rise to incremental tax liabilities that are difficult to predict, (iv) difficulty in integrating the acquired business, its operations and its employees in an efficient and effective manner, (v) any unknown liabilities or internal control deficiencies assumed as part of the acquisition, and (vi) the potential loss of key employees of the acquired businesses, and, (B) in the case of an investment, alliance or joint venture, (i) our ability to cooperate with our partner, (ii) our partner having economic, business or legal interests or goals that are inconsistent with ours, and (iii) the potential that our partner may be unable to meet its economic or other obligations, which would require us to fulfill those obligations alone. Further, any such transaction may involve the risk that our senior management's attention will be excessively diverted from our other operations, the risk that our industry does not evolve as anticipated and that any intellectual property or personnel skills acquired do not prove to be those needed for our future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success, and the risk that our strategic objectives, cost savings or other anticipated benefits are otherwise not achieved.</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On February 23, 2016, we completed the King Acquisition. In addition to the above listed risks, by acquiring King we assumed certain liabilities that may prove to be greater than anticipated. The liabilities we assumed include those with respect to King's ongoing legal proceedings, including the purported securities class action lawsuit relating to King's initial public offering in March 2014, and those with respect to King's potential tax liabilities in various jurisdictions. Any of these liabilities or deficiencies may increase our expenses and adversely affect our financial position.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could adversely affect our business.</w:t>
      </w:r>
    </w:p>
    <w:p>
      <w:pPr>
        <w:spacing w:after="0" w:line="225" w:lineRule="exact"/>
        <w:rPr>
          <w:sz w:val="20"/>
          <w:szCs w:val="20"/>
          <w:color w:val="auto"/>
        </w:rPr>
      </w:pPr>
    </w:p>
    <w:p>
      <w:pPr>
        <w:ind w:right="40" w:firstLine="341"/>
        <w:spacing w:after="0" w:line="309" w:lineRule="auto"/>
        <w:rPr>
          <w:sz w:val="20"/>
          <w:szCs w:val="20"/>
          <w:color w:val="auto"/>
        </w:rPr>
      </w:pPr>
      <w:r>
        <w:rPr>
          <w:rFonts w:ascii="Arial" w:cs="Arial" w:eastAsia="Arial" w:hAnsi="Arial"/>
          <w:sz w:val="15"/>
          <w:szCs w:val="15"/>
          <w:color w:val="auto"/>
        </w:rPr>
        <w:t>As of December 31, 2016, the Company had approximately $4.9 billion of long-term debt outstanding. Our debt burden could have important consequences, including: increasing our vulnerability to general adverse economic and industry conditions; limiting our flexibility in planning for, or reacting to, changes in our business and our industry; requiring the dedication of a substantial portion of any cash flow from operations for the payment of principal and interest on our indebtedness, thereby reducing the availability of cash flow to fund our operations, growth strategy, working capital, capital expenditures, future business opportunities, and other general corporate purposes; exposing us to the risk of increased interest rates with respect to any borrowings that are at floating rates of interest; restricting us from making strategic acquisitions or causing us to make non-strategic divestitures; limiting our ability to obtain additional financing for working capital, capital expenditures, research and development, acquisitions and general corporate or other purposes; limiting our ability to adjust to changing market conditions; and placing us at a competitive disadvantage relative to our competitors who are less highly leveraged. In addition, a significant portion of our cash and investments are held outside the United States, and we may not be able to service our debt without undergoing the costs of repatriating those funds.</w:t>
      </w:r>
    </w:p>
    <w:p>
      <w:pPr>
        <w:spacing w:after="0" w:line="162" w:lineRule="exact"/>
        <w:rPr>
          <w:sz w:val="20"/>
          <w:szCs w:val="20"/>
          <w:color w:val="auto"/>
        </w:rPr>
      </w:pPr>
    </w:p>
    <w:p>
      <w:pPr>
        <w:ind w:firstLine="341"/>
        <w:spacing w:after="0" w:line="286" w:lineRule="auto"/>
        <w:rPr>
          <w:sz w:val="20"/>
          <w:szCs w:val="20"/>
          <w:color w:val="auto"/>
        </w:rPr>
      </w:pPr>
      <w:r>
        <w:rPr>
          <w:rFonts w:ascii="Arial" w:cs="Arial" w:eastAsia="Arial" w:hAnsi="Arial"/>
          <w:sz w:val="16"/>
          <w:szCs w:val="16"/>
          <w:color w:val="auto"/>
        </w:rPr>
        <w:t>Agreements governing our indebtedness, including our credit agreement and the indentures governing our notes, impose operating and financial restrictions on our activities. These restrictions require us to comply with or maintain certain financial tests and ratios. In addition, under certain circumstances, our credit agreement and indentures may limit or prohibit our ability to, among other things: incur additional debt and guarantees; pay distributions or dividends and repurchase stock; make other restricted payments, including without limitation, certain investments; create liens; enter into agreements that restrict dividends from subsidiaries; engage in transactions with affiliates; and enter into mergers, consolidations or sales of substantially all of our assets. In addition, we are required to maintain a maximum total net debt ratio calculated pursuant to a financial maintenance covenant under our credit agreement. Further, various risks, uncertainties and events beyond our control could affect our ability to comply with these covenants. Failure to comply with any of the covenants in our financing agreements could result in a default under those agreements and under other agreements containing cross-default provisions. Such a default would permit lenders to accelerate the maturity of the debt under these agreements. Under these circumstances, we might not have sufficient funds or other resources to satisfy all of our obligations, including our obligations under our credit agreement or the indentures governing our notes. In addition, the limitations imposed by financing agreements on our ability to incur additional debt and to take other actions might significantly impair our ability to obtain other financing. There can be no assurances that we will be granted waivers or amendments to these agreements if for any reason we are unable to comply with these agreements or that we will be able to refinance our debt on terms acceptable to us, or at all.</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involved in legal proceedings that have a negative impact on our business.</w:t>
      </w:r>
    </w:p>
    <w:p>
      <w:pPr>
        <w:spacing w:after="0" w:line="225" w:lineRule="exact"/>
        <w:rPr>
          <w:sz w:val="20"/>
          <w:szCs w:val="20"/>
          <w:color w:val="auto"/>
        </w:rPr>
      </w:pPr>
    </w:p>
    <w:p>
      <w:pPr>
        <w:ind w:right="580" w:firstLine="351"/>
        <w:spacing w:after="0" w:line="268" w:lineRule="auto"/>
        <w:rPr>
          <w:sz w:val="20"/>
          <w:szCs w:val="20"/>
          <w:color w:val="auto"/>
        </w:rPr>
      </w:pPr>
      <w:r>
        <w:rPr>
          <w:rFonts w:ascii="Arial" w:cs="Arial" w:eastAsia="Arial" w:hAnsi="Arial"/>
          <w:sz w:val="18"/>
          <w:szCs w:val="18"/>
          <w:color w:val="auto"/>
        </w:rPr>
        <w:t>From time to time, we are involved in claims, suits, government investigations, audits and proceedings arising in the ordinary course of our business, including actions with respect to intellectual</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property, competition and antitrust matters, privacy matters, tax matters, labor and employment matters, unclaimed property matters, compliance and commercial claims. In addition, negative consumer sentiment about our business practices may result in inquiries or investigations from regulatory agencies and consumer groups, as well as litigation, which, regardless of their outcome, may be damaging to our reputation.</w:t>
      </w:r>
    </w:p>
    <w:p>
      <w:pPr>
        <w:spacing w:after="0" w:line="161"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Claims, suits, government investigations, audits and proceedings are inherently uncertain and their results are subject to significant uncertainties, many of which are outside of our control. Regardless of the outcome, such legal proceedings can have a materially adverse impact on us due to legal costs, diversion of management resources and other factors. In addition, it is possible that a resolution of one or more such proceedings could result in reputational harm, substantial settlements, judgments, fines or penalties, criminal sanctions, consent decrees or orders preventing us from offering certain features, functionalities, products or services, requiring us to change our development process or other business practices.</w:t>
      </w:r>
    </w:p>
    <w:p>
      <w:pPr>
        <w:spacing w:after="0" w:line="170"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There is also inherent uncertainty in determining reserves for these matters. There is significant judgment required in the analysis of these matters, including assessing the probability of potential outcomes and determining whether a potential exposure can be reasonably estimated. In making these determinations, we, in consultation with outside counsel, examine the relevant facts and circumstances on a quarterly basis assuming, as applicable, a combination of settlement and litigated outcomes and strategies. Further, it may take time to develop factors on which reasonable judgments and estimates can be based. If we fail to establish appropriate reserves, our business could be negatively impacted.</w:t>
      </w:r>
    </w:p>
    <w:p>
      <w:pPr>
        <w:spacing w:after="0" w:line="170"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Issues with the toys, accessories or hardware peripherals utilized in certain of our games may lead to product liability, personal injury or property damage claims, recalls, replacements of products, or regulatory actions by governmental authorities.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may experience issues with toys, accessories or peripherals (such as the toys and accessories sold with our Skylanders games or the hardware peripherals sold with our Guitar Hero® games) that may lead to product liability, personal injury or property damage claims, recalls, replacements of products, or regulatory actions by governmental authorities. Any of these activities could result in increased governmental scrutiny, harm to our reputation, reduced demand by consumers for our products, decreased willingness by our customers to purchase, or by our partners to provide marketing support for, those products, denial or increased cost for insurance coverage, or additional safety and testing requirements, any of which could negatively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Lawsuits have been filed, and may continue to be filed, against publishers of interactive entertainment software products.</w:t>
      </w:r>
    </w:p>
    <w:p>
      <w:pPr>
        <w:spacing w:after="0" w:line="225" w:lineRule="exact"/>
        <w:rPr>
          <w:sz w:val="20"/>
          <w:szCs w:val="20"/>
          <w:color w:val="auto"/>
        </w:rPr>
      </w:pPr>
    </w:p>
    <w:p>
      <w:pPr>
        <w:ind w:firstLine="351"/>
        <w:spacing w:after="0" w:line="253" w:lineRule="auto"/>
        <w:rPr>
          <w:sz w:val="20"/>
          <w:szCs w:val="20"/>
          <w:color w:val="auto"/>
        </w:rPr>
      </w:pPr>
      <w:r>
        <w:rPr>
          <w:rFonts w:ascii="Arial" w:cs="Arial" w:eastAsia="Arial" w:hAnsi="Arial"/>
          <w:sz w:val="18"/>
          <w:szCs w:val="18"/>
          <w:color w:val="auto"/>
        </w:rPr>
        <w:t>In prior years, lawsuits have been filed against numerous interactive entertainment companies, including against us, by the families of victims of violence, alleging that interactive entertainment products influence the behavior of the perpetrators of such violence. These lawsuits have been dismissed, but similar additional lawsuits could be filed in the future. Although our general liability insurance carrier has agreed to defend lawsuits of this nature with respect to the prior lawsuits, it is uncertain whether insurance carriers would do so in the future, or if such insurance carriers would cover all or any amounts for which we might be liable if such future lawsuits are not decided in our favor. Further, any such lawsuit could result in increased governmental scrutiny, harm to our reputation, reduced demand by consumers for our products, or decreased willingness by our customers to purchase, or by our partners to provide marketing support for, those products. Such results could divert development and management resources, increase legal fees and other costs and have other negative impacts on our business.</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seasonality in the sale of our products.</w:t>
      </w:r>
    </w:p>
    <w:p>
      <w:pPr>
        <w:spacing w:after="0" w:line="225" w:lineRule="exact"/>
        <w:rPr>
          <w:sz w:val="20"/>
          <w:szCs w:val="20"/>
          <w:color w:val="auto"/>
        </w:rPr>
      </w:pPr>
    </w:p>
    <w:p>
      <w:pPr>
        <w:ind w:right="120" w:firstLine="348"/>
        <w:spacing w:after="0" w:line="294" w:lineRule="auto"/>
        <w:rPr>
          <w:sz w:val="20"/>
          <w:szCs w:val="20"/>
          <w:color w:val="auto"/>
        </w:rPr>
      </w:pPr>
      <w:r>
        <w:rPr>
          <w:rFonts w:ascii="Arial" w:cs="Arial" w:eastAsia="Arial" w:hAnsi="Arial"/>
          <w:sz w:val="16"/>
          <w:szCs w:val="16"/>
          <w:color w:val="auto"/>
        </w:rPr>
        <w:t>The interactive entertainment industry is somewhat seasonal, with the highest levels of consumer demand occurring during the year-end holiday buying season in the fourth quarter of the year. As a result, our sales have historically been highest during the second half of the year, particularly for our Activision segment. Receivables and credit risk are likewise higher during the second half of the year, as retailers increase their purchases of our products in anticipation of the holiday season. Delays in development, approvals or manufacturing could affect the timing of the release of products, causing us to miss key selling periods such as the year-end holiday buying season, which could negatively impact our business.</w:t>
      </w:r>
    </w:p>
    <w:p>
      <w:pPr>
        <w:spacing w:after="0" w:line="170"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Our business may be harmed if our distributors, retailers, development and licensing partners, or other third parties with whom we do business act in ways that put our brand at risk.</w:t>
      </w:r>
    </w:p>
    <w:p>
      <w:pPr>
        <w:spacing w:after="0" w:line="186" w:lineRule="exact"/>
        <w:rPr>
          <w:sz w:val="20"/>
          <w:szCs w:val="20"/>
          <w:color w:val="auto"/>
        </w:rPr>
      </w:pPr>
    </w:p>
    <w:p>
      <w:pPr>
        <w:ind w:right="160" w:firstLine="351"/>
        <w:spacing w:after="0" w:line="294" w:lineRule="auto"/>
        <w:rPr>
          <w:sz w:val="20"/>
          <w:szCs w:val="20"/>
          <w:color w:val="auto"/>
        </w:rPr>
      </w:pPr>
      <w:r>
        <w:rPr>
          <w:rFonts w:ascii="Arial" w:cs="Arial" w:eastAsia="Arial" w:hAnsi="Arial"/>
          <w:sz w:val="16"/>
          <w:szCs w:val="16"/>
          <w:color w:val="auto"/>
        </w:rPr>
        <w:t>In many cases, our business partners are given access to sensitive and proprietary information or control over our intellectual property in order to provide services and support to our team. These third parties may misappropriate our information or intellectual property and engage in unauthorized use of it or otherwise act in a way that places our brand at risk. The failure of these third parties to provide adequate services and technologies, the failure of third parties to adequately maintain or update their services and technologies or the misappropriation or misuse of this information or intellectual property could result in a disruption to our business operations or an adverse effect on our reputation, and may negatively impact our business.</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use open source software in connection with certain of our games and services, which may pose particular risks to our proprietary software, products, and services in a manner that could have a negative impact on our business.</w:t>
      </w:r>
    </w:p>
    <w:p>
      <w:pPr>
        <w:spacing w:after="0" w:line="186"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use open source software in connection with certain of our games and the services we offer. Some open source software licenses require users who distribute open source software as part of their software to publicly disclose all or part of the source code to such software or make available any derivative works of the open source code on unfavorable terms or at no cost. The terms of various open source licenses have not been interpreted by courts, and there is a risk that such licenses could be construed in a manner that imposes unanticipated conditions or restrictions on our use of the open source software. Were it determined that our use was not in compliance with a particular license, we may be required to release our proprietary source code, pay damages for breach of contract, re-engineer our games or products, discontinue distribution in the event re-engineering cannot be accomplished on a timely basis, or take other remedial action that may divert resources away from our game development efforts, any of which could negatively impact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intellectual property claims.</w:t>
      </w:r>
    </w:p>
    <w:p>
      <w:pPr>
        <w:spacing w:after="0" w:line="225" w:lineRule="exact"/>
        <w:rPr>
          <w:sz w:val="20"/>
          <w:szCs w:val="20"/>
          <w:color w:val="auto"/>
        </w:rPr>
      </w:pPr>
    </w:p>
    <w:p>
      <w:pPr>
        <w:ind w:right="300" w:firstLine="341"/>
        <w:spacing w:after="0" w:line="291" w:lineRule="auto"/>
        <w:rPr>
          <w:sz w:val="20"/>
          <w:szCs w:val="20"/>
          <w:color w:val="auto"/>
        </w:rPr>
      </w:pPr>
      <w:r>
        <w:rPr>
          <w:rFonts w:ascii="Arial" w:cs="Arial" w:eastAsia="Arial" w:hAnsi="Arial"/>
          <w:sz w:val="16"/>
          <w:szCs w:val="16"/>
          <w:color w:val="auto"/>
        </w:rPr>
        <w:t>As the number of interactive entertainment software products increases and the features and content of these products continue to overlap, software developers have increasingly become subject to infringement claims. Further, many of our products are highly realistic and feature materials that are based on real-world things or people, which may also be the subject of intellectual property infringement claims of others, including right of publicity, trademark, and unfair competition claims. In addition, our products often utilize complex, cutting-edge technology that may become subject to emerging intellectual property claims of others. Although we take steps to avoid knowingly violating the intellectual property rights of others, third parties may still claim infringement, particularly since there are many companies that focus exclusively on enforcing patent rights.</w:t>
      </w:r>
    </w:p>
    <w:p>
      <w:pPr>
        <w:spacing w:after="0" w:line="17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From time to time, we receive communications from third parties regarding such claims. Existing or future infringement claims against us, whether valid or not, may be time consuming, distracting to</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management and expensive to defend. Further, intellectual property litigation or claims could force us to do one or more of the following:</w:t>
      </w:r>
    </w:p>
    <w:p>
      <w:pPr>
        <w:spacing w:after="0" w:line="239" w:lineRule="exact"/>
        <w:rPr>
          <w:sz w:val="20"/>
          <w:szCs w:val="20"/>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cease selling, incorporating, supporting or using products or services that incorporate the challenged intellectual property;</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obtain a license from the holder of the infringed intellectual property, which, if available at all, may not be available on commercially favorable terms;</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redesign the affected interactive entertainment software products, which could result in additional costs, delay introduction and possibly reduce commercial appeal of the affected products;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pay damages to the holder of the infringed intellectual property for past infringements.</w:t>
      </w:r>
    </w:p>
    <w:p>
      <w:pPr>
        <w:spacing w:after="0" w:line="225" w:lineRule="exact"/>
        <w:rPr>
          <w:sz w:val="20"/>
          <w:szCs w:val="20"/>
          <w:color w:val="auto"/>
        </w:rPr>
      </w:pPr>
    </w:p>
    <w:p>
      <w:pPr>
        <w:spacing w:after="0" w:line="335" w:lineRule="auto"/>
        <w:rPr>
          <w:sz w:val="20"/>
          <w:szCs w:val="20"/>
          <w:color w:val="auto"/>
        </w:rPr>
      </w:pPr>
      <w:r>
        <w:rPr>
          <w:rFonts w:ascii="Arial" w:cs="Arial" w:eastAsia="Arial" w:hAnsi="Arial"/>
          <w:sz w:val="15"/>
          <w:szCs w:val="15"/>
          <w:b w:val="1"/>
          <w:bCs w:val="1"/>
          <w:i w:val="1"/>
          <w:iCs w:val="1"/>
          <w:color w:val="auto"/>
        </w:rPr>
        <w:t>Our products are subject to the threat of piracy and unauthorized copying, and inadequate intellectual property laws and other protections could prevent us from enforcing or defending our proprietary technologies. We may also face legal risks arising out of user-generated content. Further, the use of unauthorized "cheat" programs or the use of other unauthorized software modifications by users could lead to reductions in microtransactions in our games.</w:t>
      </w:r>
    </w:p>
    <w:p>
      <w:pPr>
        <w:spacing w:after="0" w:line="142" w:lineRule="exact"/>
        <w:rPr>
          <w:sz w:val="20"/>
          <w:szCs w:val="20"/>
          <w:color w:val="auto"/>
        </w:rPr>
      </w:pPr>
    </w:p>
    <w:p>
      <w:pPr>
        <w:ind w:right="20" w:firstLine="348"/>
        <w:spacing w:after="0" w:line="323" w:lineRule="auto"/>
        <w:rPr>
          <w:sz w:val="20"/>
          <w:szCs w:val="20"/>
          <w:color w:val="auto"/>
        </w:rPr>
      </w:pPr>
      <w:r>
        <w:rPr>
          <w:rFonts w:ascii="Arial" w:cs="Arial" w:eastAsia="Arial" w:hAnsi="Arial"/>
          <w:sz w:val="15"/>
          <w:szCs w:val="15"/>
          <w:color w:val="auto"/>
        </w:rPr>
        <w:t>We regard our software as proprietary and rely on a variety of methods, including a combination of copyright, patent, trademark and trade secret laws and employee and third-party nondisclosure agreements, to protect our proprietary rights. We own or license various copyrights, patents, trademarks and trade secrets. The process of registering and protecting these rights in various jurisdictions is expensive and time-consuming. Further, we are aware that some unauthorized copying occurs, and if a significantly greater amount of unauthorized copying of our software products were to occur, it could negatively impact our business.</w:t>
      </w:r>
    </w:p>
    <w:p>
      <w:pPr>
        <w:spacing w:after="0" w:line="152"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Piracy is a persistent problem for us, and policing the unauthorized sale, distribution and use of our products is difficult, expensive, and time-consuming. Further, the laws of some countries in which our products are, or may be, distributed either do not protect our products and intellectual property rights to the same extent as the laws of the United States, or are poorly enforced. In addition, though we take steps to make the unauthorized sale, distribution and use of our products more difficult and to otherwise enforce and police our rights, as do the manufacturers of consoles and the operators of other platforms on which many of our games are played, our efforts and the efforts of the console manufacturers and platform operators may not be successful in controlling the piracy of our products in all instances. Technology designed to circumvent the protection measures used by console manufacturers and platform operators or by us in our products, the increasing availability of broadband access to the Internet, the refusal of Internet service providers to remove infringing content in certain instances, the ability to download pirated copies of games from various Internet sites and peer-to-peer networks could result in an expansion in piracy.</w:t>
      </w:r>
    </w:p>
    <w:p>
      <w:pPr>
        <w:spacing w:after="0" w:line="172"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In addition, "cheating" programs or other unauthorized software tools and modifications that enable consumers to cheat in games, such as those in our Candy Crush franchise, could negatively impact the volume of microtransactions or purchases of downloadable content. In addition, vulnerabilities in the design of our applications and of the platforms upon which they run could be discovered after their release, which may result in lost revenue opportunities. This may lead to lost revenues from paying consumers or increased cost of developing technological measures to respond to these, either of which could negatively impact our business.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also cannot be certain that existing intellectual property laws will provide adequate protection for our products in connection with emerging technologies.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Due to our reliance on third party platforms, platform licensors are frequently able to influence our products and costs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Generally, when we develop interactive entertainment software products for hardware platforms offered by Sony, Microsoft, or Nintendo, the physical products are manufactured exclusively by that hardware manufacturer or their approved replicator. The agreements with these manufacturers include certain provisions, such as approval rights over all software products and related promotional materials and the ability to change the fee they charge for the manufacturing of products, which allow the hardware manufacturers substantial influence over the cost and the release schedule of such interactive entertainment software products. In addition, because each of the manufacturers is also a publisher of games for its own hardware platforms and manufactures products for all of its other licensees, a manufacturer may give priority to its own products or those of our competitors. Accordingly, Sony, Microsoft, or Nintendo could cause unanticipated delays in the release of our products, as well as increases to projected development, manufacturing, marketing or distribution costs, any of which could negatively impact our business.</w:t>
      </w:r>
    </w:p>
    <w:p>
      <w:pPr>
        <w:spacing w:after="0" w:line="172" w:lineRule="exact"/>
        <w:rPr>
          <w:sz w:val="20"/>
          <w:szCs w:val="20"/>
          <w:color w:val="auto"/>
        </w:rPr>
      </w:pPr>
    </w:p>
    <w:p>
      <w:pPr>
        <w:ind w:right="140" w:firstLine="348"/>
        <w:spacing w:after="0" w:line="289" w:lineRule="auto"/>
        <w:rPr>
          <w:sz w:val="20"/>
          <w:szCs w:val="20"/>
          <w:color w:val="auto"/>
        </w:rPr>
      </w:pPr>
      <w:r>
        <w:rPr>
          <w:rFonts w:ascii="Arial" w:cs="Arial" w:eastAsia="Arial" w:hAnsi="Arial"/>
          <w:sz w:val="16"/>
          <w:szCs w:val="16"/>
          <w:color w:val="auto"/>
        </w:rPr>
        <w:t>The platform licensors also control the networks over which consumers purchase digital products and services for their platforms and through which we provide online game capabilities for our console platform products. The control that the platform licensors have over the fee structures and/or retail pricing for products and services for their platforms and online networks could impact the volume of purchases of our products made over their networks and our profitability. With respect to certain downloadable content and microtransactions, the networks provided by these platform licensors are the exclusive means of selling and distributing this content. Further, increased competition for limited premium "digital shelf space" has placed the platform licensors in an increasingly better position to negotiate favorable terms of sale. If the platform licensor establishes terms that restrict our offerings on its platform, or significantly impact the financial terms on which these products or services are offered to our customers, or does not renew our license or approve the inclusion of online capabilities in our console products, our business could be negatively impacted.</w:t>
      </w:r>
    </w:p>
    <w:p>
      <w:pPr>
        <w:spacing w:after="0" w:line="17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We also derive significant revenues from the distribution of free-to-play games on third-party web and mobile platforms such as the Apple App Store, the Google Play Store, and Facebook, and most of the virtual currency we sell is purchased using the payment processing systems of these platform providers. These platforms also serve as significant online distribution platforms for our games. If these platforms modify their current discovery mechanisms, communication channels available to developers, terms of service or other policies (including fees), or they develop their own competitive offerings, our business could be negatively impacted. Further, if these platform providers are required to change how they label free-to-play games or take payment for in-app purchases or change how the personal information of consumers is made available to developers, our business could be negatively impacted.</w:t>
      </w:r>
    </w:p>
    <w:p>
      <w:pPr>
        <w:spacing w:after="0" w:line="17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Our business is highly dependent on the success and availability of video game platforms manufactured by third parties, as well as our ability to develop commercially successful products for these platforms.</w:t>
      </w:r>
    </w:p>
    <w:p>
      <w:pPr>
        <w:spacing w:after="0" w:line="186" w:lineRule="exact"/>
        <w:rPr>
          <w:sz w:val="20"/>
          <w:szCs w:val="20"/>
          <w:color w:val="auto"/>
        </w:rPr>
      </w:pPr>
    </w:p>
    <w:p>
      <w:pPr>
        <w:ind w:right="20" w:firstLine="348"/>
        <w:spacing w:after="0" w:line="254" w:lineRule="auto"/>
        <w:rPr>
          <w:sz w:val="20"/>
          <w:szCs w:val="20"/>
          <w:color w:val="auto"/>
        </w:rPr>
      </w:pPr>
      <w:r>
        <w:rPr>
          <w:rFonts w:ascii="Arial" w:cs="Arial" w:eastAsia="Arial" w:hAnsi="Arial"/>
          <w:sz w:val="18"/>
          <w:szCs w:val="18"/>
          <w:color w:val="auto"/>
        </w:rPr>
        <w:t>We derive a substantial portion of our revenues from the sale of products for play on video game platforms manufactured by third parties, such as Sony's PS4 and PS3, Microsoft's Xbox One and Xbox 360, and Nintendo's Wii U, Wii and soon-to-be-released Switch. For example, sales of products for consoles accounted for 37% of our consolidated net revenues in 2016. The success of our console business is driven in large part by our ability to accurately predict which platforms will be successful in the marketplace and our ability to develop commercially successful products for these platforms. We also rely on the availability of an adequate supply of these video game platforms and the continued support for these platforms by their manufacturers. We must make product development decisions and</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commit significant resources well in advance of the anticipated introduction of a new platform, and development costs for new console platforms may be greater than those costs for the then-current console platforms. If increased costs are not offset by higher revenues and other cost efficiencies, our business could be negatively impacted. If the platforms for which we develop new software products or modify existing products do not attain significant market acceptance, we may not be able to recover our development costs, which could be significant.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importance of retail sales to our business exposes us to the risks of that business model.</w:t>
      </w:r>
    </w:p>
    <w:p>
      <w:pPr>
        <w:spacing w:after="0" w:line="225"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In the United States and Canada, our "boxed" products are often sold on a direct basis to mass-market retailers, consumer electronics stores, discount warehouses and game specialty stores. Our "boxed" products are sold internationally on a direct-to-retail basis, through third-party distribution and licensing arrangements, and through our wholly-owned European distribution subsidiaries. Our sales are made primarily on a purchase order basis without long-term agreements or other forms of commitments, and our retail customers and distributors have generally been reducing the levels of inventory they are willing to carry. The loss of, or significant reduction in sales to, any of Activision's principal retail customers or distributors could have adverse consequences. In addition, having such a large portion of our total net revenues concentrated in a few customers reduces our negotiating leverage with these customers.</w:t>
      </w:r>
    </w:p>
    <w:p>
      <w:pPr>
        <w:spacing w:after="0" w:line="174" w:lineRule="exact"/>
        <w:rPr>
          <w:sz w:val="20"/>
          <w:szCs w:val="20"/>
          <w:color w:val="auto"/>
        </w:rPr>
      </w:pPr>
    </w:p>
    <w:p>
      <w:pPr>
        <w:ind w:right="40" w:firstLine="351"/>
        <w:spacing w:after="0" w:line="288" w:lineRule="auto"/>
        <w:rPr>
          <w:sz w:val="20"/>
          <w:szCs w:val="20"/>
          <w:color w:val="auto"/>
        </w:rPr>
      </w:pPr>
      <w:r>
        <w:rPr>
          <w:rFonts w:ascii="Arial" w:cs="Arial" w:eastAsia="Arial" w:hAnsi="Arial"/>
          <w:sz w:val="16"/>
          <w:szCs w:val="16"/>
          <w:color w:val="auto"/>
        </w:rPr>
        <w:t>Further, the concentration of sales in a small number of large customers also makes us more vulnerable to collection risk if one or more of these large customers becomes unable to pay for our products or seeks protection under the bankruptcy laws. Retailers and distributors in the interactive entertainment industry have from time to time experienced significant fluctuations in their businesses and a number of them have failed. Challenging economic conditions may impair the ability of our customers to pay for products they have purchased and, as a result, our reserves for doubtful accounts and write-off of accounts receivable could increase and, even if increased, may turn out to be insufficient. Moreover, even in cases where we have insurance to protect against a customer's bankruptcy, insolvency or liquidation, this insurance typically contains a significant deductible and co-payment obligation, and does not cover all instances of non-payment. Further, the insolvency or business failure of other types of business partners could result in disruptions to the manufacturing or distribution of our products or the cancellation of contractual arrangements that we consider to be favorable. A payment default by, or the insolvency or business failure of, a significant business partner could negatively impact our business.</w:t>
      </w:r>
    </w:p>
    <w:p>
      <w:pPr>
        <w:spacing w:after="0" w:line="174" w:lineRule="exact"/>
        <w:rPr>
          <w:sz w:val="20"/>
          <w:szCs w:val="20"/>
          <w:color w:val="auto"/>
        </w:rPr>
      </w:pPr>
    </w:p>
    <w:p>
      <w:pPr>
        <w:ind w:firstLine="351"/>
        <w:spacing w:after="0" w:line="308" w:lineRule="auto"/>
        <w:rPr>
          <w:sz w:val="20"/>
          <w:szCs w:val="20"/>
          <w:color w:val="auto"/>
        </w:rPr>
      </w:pPr>
      <w:r>
        <w:rPr>
          <w:rFonts w:ascii="Arial" w:cs="Arial" w:eastAsia="Arial" w:hAnsi="Arial"/>
          <w:sz w:val="15"/>
          <w:szCs w:val="15"/>
          <w:color w:val="auto"/>
        </w:rPr>
        <w:t>Moreover, the importance of retail sales to our business exposes us to the risk of product returns and price protection with respect to our distributors and retailers. In some cases, return policies allow distributors and retailers to return defective, shelf-worn, damaged and certain other products in accordance with terms granted. Price protection, when granted and applicable, allows these distributors and retailers a credit against amounts owed with respect to merchandise unsold by them. We may permit product returns from, or grant price protection to, distributors and retail customers who meet certain conditions. These conditions may include compliance with applicable payment terms, delivery of weekly inventory and sales information and consistent participation in the launches of premium title releases. We may also consider other factors, including the facilitation of slow-moving inventory and other industry factors. Activision also offers a 90-day limited warranty to end users that Activision products will be free from manufacturing defects. Although we maintain a reserve for returns and price protection, and although we may place limits on product returns and price protection, we could be forced to accept substantial product returns and provide substantial price protection to maintain our relationships with retailers and our access to distribution channels. We face similar issues and risks, including exposure to risk of chargebacks, with respect to end users to whom we sell products directly, whether through our proprietary online gaming service or otherwise.</w:t>
      </w:r>
    </w:p>
    <w:p>
      <w:pPr>
        <w:spacing w:after="0" w:line="1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Further, retailers typically have a limited amount of shelf space and promotional resources, and there is intense competition for high-quality retail shelf space and promotional support from retailers. Competition for shelf space may intensify and may require us to increase our marketing expenditures. Retailers with limited shelf space typically devote the most and highest quality shelf space to those products expected to be best sellers. We cannot be certain that our new products will consistently achieve such "best seller" status. Due to increased competition for limited shelf space, retailers and distributors are in an increasingly better position to negotiate favorable terms of sale, including price discounts, price protection, marketing and display fees and product return policies. Our products constitute a relatively small percentage of most retailers' sales volume. We cannot be certain that retailers will continue to purchase our products or provide those products with adequate levels of shelf space and promotional support on acceptable terms.</w:t>
      </w:r>
    </w:p>
    <w:p>
      <w:pPr>
        <w:spacing w:after="0" w:line="172" w:lineRule="exact"/>
        <w:rPr>
          <w:sz w:val="20"/>
          <w:szCs w:val="20"/>
          <w:color w:val="auto"/>
        </w:rPr>
      </w:pPr>
    </w:p>
    <w:p>
      <w:pPr>
        <w:ind w:right="240" w:firstLine="341"/>
        <w:spacing w:after="0" w:line="298" w:lineRule="auto"/>
        <w:rPr>
          <w:sz w:val="20"/>
          <w:szCs w:val="20"/>
          <w:color w:val="auto"/>
        </w:rPr>
      </w:pPr>
      <w:r>
        <w:rPr>
          <w:rFonts w:ascii="Arial" w:cs="Arial" w:eastAsia="Arial" w:hAnsi="Arial"/>
          <w:sz w:val="16"/>
          <w:szCs w:val="16"/>
          <w:color w:val="auto"/>
        </w:rPr>
        <w:t>Additionally, we make provisions for retail inventory price protection based upon certain assumed lowest prices and if competitive pressures force us to lower our prices below those levels, it could similarly have a negative impact on our business. Further, because we pay a licensing fee to the console hardware manufacturer for each physical copy of a product manufactured for that manufacturer's game platform regardless of whether that product is actually sold, if we overestimate demand and make too many physical "boxed" copies of any title, we will incur unrecoverable manufacturing costs for unsold units.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global company and are subject to the risks and uncertainties of conducting business outside the U.S.</w:t>
      </w:r>
    </w:p>
    <w:p>
      <w:pPr>
        <w:spacing w:after="0" w:line="225"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We conduct business throughout the world, and we derive a substantial amount of our revenues and profits from international trade, particularly from Europe, Asia and Australia. Moving forward, we expect that international sales will continue to account for a significant portion of our total revenues and profits and, moreover, that sales in emerging markets in Asia and elsewhere will be an increasingly important part of our international sales. As such, we are, and may be increasingly, subject to risks inherent in foreign trade generally, as well as risks inherent in doing business in emerging markets, including increased tariffs and duties, compliance with economic sanctions, fluctuations in currency exchange rates, shipping delays, increases in transportation costs, international political, regulatory and economic developments, unexpected changes to laws, regulatory requirements and enforcement on us and our platform partners and differing local business practices, all of which may impact profit margins or make it more difficult, if not impossible, for us to conduct business in foreign markets.</w:t>
      </w:r>
    </w:p>
    <w:p>
      <w:pPr>
        <w:spacing w:after="0" w:line="172" w:lineRule="exact"/>
        <w:rPr>
          <w:sz w:val="20"/>
          <w:szCs w:val="20"/>
          <w:color w:val="auto"/>
        </w:rPr>
      </w:pPr>
    </w:p>
    <w:p>
      <w:pPr>
        <w:ind w:right="40" w:firstLine="341"/>
        <w:spacing w:after="0" w:line="288" w:lineRule="auto"/>
        <w:rPr>
          <w:sz w:val="20"/>
          <w:szCs w:val="20"/>
          <w:color w:val="auto"/>
        </w:rPr>
      </w:pPr>
      <w:r>
        <w:rPr>
          <w:rFonts w:ascii="Arial" w:cs="Arial" w:eastAsia="Arial" w:hAnsi="Arial"/>
          <w:sz w:val="16"/>
          <w:szCs w:val="16"/>
          <w:color w:val="auto"/>
        </w:rPr>
        <w:t>A deterioration in relations between either us or the United States and any country in which we have significant operations or sales, or the implementation of government regulations in such a country, could result in the adoption or expansion of trade restrictions, including economic sanctions, that could have a material adverse effect on our business. For instance, to operate in China, all games must have regulatory approval. A decision by the Chinese government to revoke its approval for any of our games or to decline to approve any products we desire to sell in China in the future could have a material adverse effect on our business. Additionally, in the past, legislation has been implemented in China that has required modifications to our software. The future implementation of similar laws or regulations in China or any other country in which we have operations or sales may restrict or prohibit the sale of our products or may require engineering modifications to our products that are not cost-effective, if even feasible at all, or could degrade the consumer experience to the point where consumers cease to purchase such products. Further, the enforcement of regulation of mobile and other games with an online element in China remains uncertain, and further changes, either in the regulations or their enforcement, could have a material impact on our business in China.</w:t>
      </w:r>
    </w:p>
    <w:p>
      <w:pPr>
        <w:spacing w:after="0" w:line="174" w:lineRule="exact"/>
        <w:rPr>
          <w:sz w:val="20"/>
          <w:szCs w:val="20"/>
          <w:color w:val="auto"/>
        </w:rPr>
      </w:pPr>
    </w:p>
    <w:p>
      <w:pPr>
        <w:ind w:right="200" w:firstLine="348"/>
        <w:spacing w:after="0" w:line="332" w:lineRule="auto"/>
        <w:rPr>
          <w:sz w:val="20"/>
          <w:szCs w:val="20"/>
          <w:color w:val="auto"/>
        </w:rPr>
      </w:pPr>
      <w:r>
        <w:rPr>
          <w:rFonts w:ascii="Arial" w:cs="Arial" w:eastAsia="Arial" w:hAnsi="Arial"/>
          <w:sz w:val="16"/>
          <w:szCs w:val="16"/>
          <w:color w:val="auto"/>
        </w:rPr>
        <w:t>The majority of the manufacturers of our toys, accessories and hardware peripherals are third parties located in China. Anything that impacts our ability to import these products or the ability of those manufacturers to produce or otherwise supply us with hardware meeting our quality and safety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standards or increases the manufacturers' costs of production may adversely impact our ability to supply that hardware to the market and the prices we must pay for that hardware. Such impacts may include changes in safety, environmental or other regulations applicable to the hardware and the manufacturing thereof, labor shortages, civil unrest or issues generally negatively impacting international companies operating in China, increases in the price of petroleum or other raw materials, increases in fuel prices and other shipping costs, and increases in local labor costs in China.</w:t>
      </w:r>
    </w:p>
    <w:p>
      <w:pPr>
        <w:spacing w:after="0" w:line="16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also subject to risks that our operations outside the United States could be conducted by our employees, contractors, third-party partners, representatives or agents in ways that violate the Foreign Corrupt Practices Act, the U.K. Anti-Bribery Act or other similar anti-bribery laws. While we have policies and procedures, as well as training for our employees, intended to secure compliance with these laws, our employees, contractors, third-party partners, representatives or agents may take actions that violate our policies. Moreover, it may be more difficult to oversee the conduct of any such persons who are not our employees, potentially exposing us to greater risk from their actions.</w:t>
      </w:r>
    </w:p>
    <w:p>
      <w:pPr>
        <w:spacing w:after="0" w:line="197" w:lineRule="exact"/>
        <w:rPr>
          <w:sz w:val="20"/>
          <w:szCs w:val="20"/>
          <w:color w:val="auto"/>
        </w:rPr>
      </w:pPr>
    </w:p>
    <w:p>
      <w:pPr>
        <w:jc w:val="both"/>
        <w:ind w:right="60" w:firstLine="341"/>
        <w:spacing w:after="0" w:line="298" w:lineRule="auto"/>
        <w:rPr>
          <w:sz w:val="20"/>
          <w:szCs w:val="20"/>
          <w:color w:val="auto"/>
        </w:rPr>
      </w:pPr>
      <w:r>
        <w:rPr>
          <w:rFonts w:ascii="Arial" w:cs="Arial" w:eastAsia="Arial" w:hAnsi="Arial"/>
          <w:sz w:val="16"/>
          <w:szCs w:val="16"/>
          <w:color w:val="auto"/>
        </w:rPr>
        <w:t>Additionally, in June 2016, voters in the United Kingdom approved an advisory referendum to withdraw from the European Union, commonly referred to as "Brexit." This referendum has created political and economic uncertainty, particularly in the United Kingdom and the European Union, and this uncertainty may persist for years. The uncertainty surrounding the terms of the United Kingdom's withdrawal and its consequences could adversely impact consumer and investor confidence and the level of sales of discretionary items, including our products. Any of these effects could negatively impact our business.</w:t>
      </w:r>
    </w:p>
    <w:p>
      <w:pPr>
        <w:spacing w:after="0" w:line="167"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In addition, cultural differences may affect consumer preferences and limit the international popularity of games that are popular in the U.S, or require us to modify the content of the games or the method by which we charge our customers for the games to be successful. If we do not correctly assess consumer preferences in the countries in which we sell our products, or if the other risks discussed herein come to fruition, it could negatively impact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rates or exposure to additional tax liabilities could negatively impact our business.</w:t>
      </w:r>
    </w:p>
    <w:p>
      <w:pPr>
        <w:spacing w:after="0" w:line="225" w:lineRule="exact"/>
        <w:rPr>
          <w:sz w:val="20"/>
          <w:szCs w:val="20"/>
          <w:color w:val="auto"/>
        </w:rPr>
      </w:pPr>
    </w:p>
    <w:p>
      <w:pPr>
        <w:ind w:right="220" w:firstLine="348"/>
        <w:spacing w:after="0" w:line="256" w:lineRule="auto"/>
        <w:rPr>
          <w:sz w:val="20"/>
          <w:szCs w:val="20"/>
          <w:color w:val="auto"/>
        </w:rPr>
      </w:pPr>
      <w:r>
        <w:rPr>
          <w:rFonts w:ascii="Arial" w:cs="Arial" w:eastAsia="Arial" w:hAnsi="Arial"/>
          <w:sz w:val="18"/>
          <w:szCs w:val="18"/>
          <w:color w:val="auto"/>
        </w:rPr>
        <w:t>We are subject to income taxes in the United States and other jurisdictions. In the ordinary course of business there are many transactions and calculations where the ultimate income tax determination is uncertain. Significant judgment is required in determining our worldwide income tax provision. Although we believe our income tax estimates are reasonable, the ultimate outcomes may have a material adverse effect on the Company's consolidated financial position, liquidity, or results of operations.</w:t>
      </w:r>
    </w:p>
    <w:p>
      <w:pPr>
        <w:spacing w:after="0" w:line="197"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income tax liability and effective tax rate could be adversely affected by a variety of factors, including changes in our business, the mix of earnings in countries with differing statutory tax rates, changes in tax laws or tax rulings, changes in interpretations of existing laws, or developments in tax examinations or investigations. Any of these factors could have a material adverse effect on the Company's consolidated financial position, liquidity, or results of operations or require us to change the manner in which we operate our business. The tax regimes we are subject to or operate under are unsettled and may be subject to significant change. The U.S., the European Union and its member states, and a number of other countries are actively pursuing fundamental changes to the tax laws applicable to multinational companies like us. Furthermore, tax authorities may choose to examine or investigate our tax reporting or tax liability, including under transfer pricing or permanent establishment theories. These proceedings may lead to adjustments or proposed adjustments to our income taxes or provisions for uncertain tax positions.</w:t>
      </w:r>
    </w:p>
    <w:p>
      <w:pPr>
        <w:spacing w:after="0" w:line="172" w:lineRule="exact"/>
        <w:rPr>
          <w:sz w:val="20"/>
          <w:szCs w:val="20"/>
          <w:color w:val="auto"/>
        </w:rPr>
      </w:pPr>
    </w:p>
    <w:p>
      <w:pPr>
        <w:ind w:right="20" w:firstLine="348"/>
        <w:spacing w:after="0" w:line="332" w:lineRule="auto"/>
        <w:rPr>
          <w:sz w:val="20"/>
          <w:szCs w:val="20"/>
          <w:color w:val="auto"/>
        </w:rPr>
      </w:pPr>
      <w:r>
        <w:rPr>
          <w:rFonts w:ascii="Arial" w:cs="Arial" w:eastAsia="Arial" w:hAnsi="Arial"/>
          <w:sz w:val="16"/>
          <w:szCs w:val="16"/>
          <w:color w:val="auto"/>
        </w:rPr>
        <w:t>We earn a significant amount of our operating income, and hold a significant portion of our cash and investments, outside the United States. While our intent is to permanently reinvest these funds outside of the United States, any repatriation of funds currently held in foreign jurisdictions would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likely result in higher effective tax rates for the Company. In addition, there have been proposals to change U.S. tax laws that would significantly impact how U.S. multinational corporations are taxed on foreign earnings. Although we cannot predict whether, or in what form, this proposed legislation will pass, if enacted it could negatively impact our business.</w:t>
      </w:r>
    </w:p>
    <w:p>
      <w:pPr>
        <w:spacing w:after="0" w:line="194" w:lineRule="exact"/>
        <w:rPr>
          <w:sz w:val="20"/>
          <w:szCs w:val="20"/>
          <w:color w:val="auto"/>
        </w:rPr>
      </w:pPr>
    </w:p>
    <w:p>
      <w:pPr>
        <w:ind w:right="60" w:firstLine="348"/>
        <w:spacing w:after="0" w:line="306" w:lineRule="auto"/>
        <w:rPr>
          <w:sz w:val="20"/>
          <w:szCs w:val="20"/>
          <w:color w:val="auto"/>
        </w:rPr>
      </w:pPr>
      <w:r>
        <w:rPr>
          <w:rFonts w:ascii="Arial" w:cs="Arial" w:eastAsia="Arial" w:hAnsi="Arial"/>
          <w:sz w:val="16"/>
          <w:szCs w:val="16"/>
          <w:color w:val="auto"/>
        </w:rPr>
        <w:t>We are also required to pay taxes other than income taxes, such as payroll, sales, use, value-added, net worth, property, and goods and services taxes, in both the United States and various other jurisdictions. Tax authorities regularly examine these non-income taxes. The outcomes from these examinations, changes in the business, changes in applicable tax rules or other tax matters may have a material adverse effect on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Fluctuations in currency exchange rates could negatively impact our business.</w:t>
      </w:r>
    </w:p>
    <w:p>
      <w:pPr>
        <w:spacing w:after="0" w:line="225" w:lineRule="exact"/>
        <w:rPr>
          <w:sz w:val="20"/>
          <w:szCs w:val="20"/>
          <w:color w:val="auto"/>
        </w:rPr>
      </w:pPr>
    </w:p>
    <w:p>
      <w:pPr>
        <w:ind w:right="180" w:firstLine="348"/>
        <w:spacing w:after="0" w:line="290" w:lineRule="auto"/>
        <w:rPr>
          <w:sz w:val="20"/>
          <w:szCs w:val="20"/>
          <w:color w:val="auto"/>
        </w:rPr>
      </w:pPr>
      <w:r>
        <w:rPr>
          <w:rFonts w:ascii="Arial" w:cs="Arial" w:eastAsia="Arial" w:hAnsi="Arial"/>
          <w:sz w:val="16"/>
          <w:szCs w:val="16"/>
          <w:color w:val="auto"/>
        </w:rPr>
        <w:t>We transact business in various currencies other than the U.S. dollar and have significant international sales and expenses denominated in currencies other than the U.S. dollar, subjecting us to currency exchange rate risks. A substantial portion of our international sales and expenses are denominated in local currencies, including euros, British pounds, Australian dollars, South Korean won, Chinese yuan, and Swedish krona, which could fluctuate against the U.S. dollar. Since we have significant international sales, but incur the majority of our costs in the United States, the impact of foreign currency fluctuations, particularly the strengthening of the U.S. dollar, may have an asymmetric and disproportional impact on our business. We have, in the past, utilized currency derivative contracts to hedge certain foreign exchange exposures and managed these exposures with natural offsets. However, there can be no assurance that we will continue our hedging programs, or that we will be successful in managing exposure to currency exchange rate risks whether or not we do so.</w:t>
      </w:r>
    </w:p>
    <w:p>
      <w:pPr>
        <w:spacing w:after="0" w:line="172" w:lineRule="exact"/>
        <w:rPr>
          <w:sz w:val="20"/>
          <w:szCs w:val="20"/>
          <w:color w:val="auto"/>
        </w:rPr>
      </w:pPr>
    </w:p>
    <w:p>
      <w:pPr>
        <w:ind w:right="300"/>
        <w:spacing w:after="0" w:line="332" w:lineRule="auto"/>
        <w:rPr>
          <w:sz w:val="20"/>
          <w:szCs w:val="20"/>
          <w:color w:val="auto"/>
        </w:rPr>
      </w:pPr>
      <w:r>
        <w:rPr>
          <w:rFonts w:ascii="Arial" w:cs="Arial" w:eastAsia="Arial" w:hAnsi="Arial"/>
          <w:sz w:val="16"/>
          <w:szCs w:val="16"/>
          <w:b w:val="1"/>
          <w:bCs w:val="1"/>
          <w:i w:val="1"/>
          <w:iCs w:val="1"/>
          <w:color w:val="auto"/>
        </w:rPr>
        <w:t>Our games are subject to scrutiny regarding the appropriateness of their content. If we fail to receive our target ratings for certain titles, or if our retailers refuse to sell such titles due to what they perceive to be objectionable content, it could have a negative impact on our business.</w:t>
      </w:r>
    </w:p>
    <w:p>
      <w:pPr>
        <w:spacing w:after="0" w:line="139"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console and PC games are subject to ratings by the Entertainment Software Rating Board (the "ESRB"), a self-regulatory body based in the U.S. that provides U.S. and Canadian consumers of interactive entertainment software with ratings information, including information on the content in such software, such as violence, nudity or sexual content, along with an assessment of the suitability of the content for certain age groups. Certain other countries have also established content rating systems as prerequisites for product sales in those countries. In addition, certain stores use other ratings systems, such as Apple's use of its proprietary "App Rating System" and Google Play's use of the International Age Rating Coalition (IARC) rating system. If we are unable to obtain the ratings we have targeted for our products, it could have a negative impact on our business. In some instances, we may be required to modify our products to comply with the requirements of the rating systems, which could delay or disrupt the release of any given product, or may prevent its sale altogether in certain territories. Further, if one of our games is "re-rated" for any reason, a ratings organization could require corrective actions, which could include a recall, retailers could refuse to sell it and demand that we accept the return of any unsold or returned copies or consumers could demand a refund for copies previously purchased.</w:t>
      </w:r>
    </w:p>
    <w:p>
      <w:pPr>
        <w:spacing w:after="0" w:line="174"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Additionally, retailers may decline to sell interactive entertainment software containing what they judge to be graphic violence or sexually explicit material or other content that they deem inappropriate for their businesses, whether because a product received a certain rating by the ESRB or other content rating system, or otherwise. If retailers decline to sell our products based upon their opinion that they contain objectionable themes, graphic violence or sexually explicit material or other generally objectionable content, we might be required to modify particular titles or forfeit the revenue opportunity of selling such titles with that retailer.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Further, throughout the history of the interactive entertainment industry, many interactive software products have included hidden content and/or hidden gameplay features, some of which have been accessible through the use of in-game codes or other technological means, that are intended to enhance the gameplay experience. In some cases, such undisclosed content or features have been considered to be objectionable. While publishers are required to disclose pertinent hidden content during the ESRB ratings process, in a few cases, publishers have failed to disclose hidden content, and the ESRB has required the recall of the game, changed the rating or associated content descriptors originally assigned to the product, required the publisher to change the game or game packaging and/or imposed fines on the publisher. Retailers have on occasion reacted to the discovery of such undisclosed content by removing these games from their shelves, refusing to sell them and demanding that their publishers accept them as product returns. Likewise, some interactive entertainment software consumers have reacted to the revelation of undisclosed content by refusing to purchase such games, demanding refunds for games they have already purchased, refraining from buying other games published by the company whose game contained the objectionable material, and, on at least one occasion, filing a lawsuit against the publisher of the product containing such content.</w:t>
      </w:r>
    </w:p>
    <w:p>
      <w:pPr>
        <w:spacing w:after="0" w:line="177"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have implemented preventive measures designed to reduce the possibility of objectionable undisclosed content from appearing in the interactive software products we publish. Nonetheless, these preventive measures are subject to human error, circumvention, overriding and reasonable resource constraints. If an interactive software product we publish is found to contain undisclosed content, we could be subject to any of these consequences.</w:t>
      </w:r>
    </w:p>
    <w:p>
      <w:pPr>
        <w:spacing w:after="0" w:line="161"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business, products, and distribution are subject to increasing regulation in key territories. If we do not successfully respond to these regulations, our business could be negatively impacted.</w:t>
      </w:r>
    </w:p>
    <w:p>
      <w:pPr>
        <w:spacing w:after="0" w:line="186" w:lineRule="exact"/>
        <w:rPr>
          <w:sz w:val="20"/>
          <w:szCs w:val="20"/>
          <w:color w:val="auto"/>
        </w:rPr>
      </w:pPr>
    </w:p>
    <w:p>
      <w:pPr>
        <w:ind w:right="20" w:firstLine="351"/>
        <w:spacing w:after="0" w:line="284" w:lineRule="auto"/>
        <w:rPr>
          <w:sz w:val="20"/>
          <w:szCs w:val="20"/>
          <w:color w:val="auto"/>
        </w:rPr>
      </w:pPr>
      <w:r>
        <w:rPr>
          <w:rFonts w:ascii="Arial" w:cs="Arial" w:eastAsia="Arial" w:hAnsi="Arial"/>
          <w:sz w:val="16"/>
          <w:szCs w:val="16"/>
          <w:color w:val="auto"/>
        </w:rPr>
        <w:t>Legislation is continually being introduced, and litigation and regulatory enforcement actions are taking place, that may affect the way in which we, and other industry participants, may offer content and features, and distribute and advertise our products. The video game industry continues to evolve, and new and innovative business opportunities are often subject to new attempts at regulation. Many foreign countries, such as China and Germany, have laws that permit governmental entities to restrict or prohibit marketing or distribution of interactive entertainment software products because of the content therein (and similar legislation has been introduced at one time or another at the federal and state levels in the United States). Further, the growth and development of electronic commerce and virtual items and currency may prompt calls for more stringent consumer protection laws that may impose additional burdens or limitations on operations of companies such as ours conducting business through the Internet and mobile devices. We are subject to laws and regulations related to protection of minors, consumer privacy, accessibility, advertising, taxation, payments, intellectual property, distribution, and antitrust, among others. Also, existing laws or new laws regarding the marketing of in-app purchases, regulation of currency, banking institutions, virtual currencies, unclaimed property, and money laundering may be interpreted to cover virtual currency or goods. Furthermore, the growth and development of electronic commerce and virtual items and currency may prompt calls for more stringent consumer protection laws that may impose additional burdens or limitations on operations of companies such as ours conducting business through the Internet and mobile devices. The adoption and enforcement of legislation that restricts the marketing, content, business model, or sales of our products in countries in which we do business may harm the sales of our products, as the products we are able to offer to our customers and the size of the potential market for our products may be limited. We may be required to modify certain product development processes or products or alter our marketing strategies to comply with regulations, which could be costly or delay the release of our products. The laws and regulations affecting our products vary by territory and may be inconsistent with one another, imposing conflicting or uncertain restrictions. Failure to comply with any applicable legislation may also result in government-imposed fines or other penalties, as well as harm to our reputation. Moreover, the public dialogue concerning interactive entertainment may have an adverse impact on our reputation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and consumers' willingness to purchase our products. Because the King Acquisition has significantly increased our user population, it may subject us to laws and regulations in additional jurisdictions and exacerbate the potential adverse impact on our business.</w:t>
      </w:r>
    </w:p>
    <w:p>
      <w:pPr>
        <w:spacing w:after="0" w:line="186" w:lineRule="exact"/>
        <w:rPr>
          <w:sz w:val="20"/>
          <w:szCs w:val="20"/>
          <w:color w:val="auto"/>
        </w:rPr>
      </w:pPr>
    </w:p>
    <w:p>
      <w:pPr>
        <w:ind w:right="20" w:firstLine="341"/>
        <w:spacing w:after="0" w:line="288" w:lineRule="auto"/>
        <w:rPr>
          <w:sz w:val="20"/>
          <w:szCs w:val="20"/>
          <w:color w:val="auto"/>
        </w:rPr>
      </w:pPr>
      <w:r>
        <w:rPr>
          <w:rFonts w:ascii="Arial" w:cs="Arial" w:eastAsia="Arial" w:hAnsi="Arial"/>
          <w:sz w:val="16"/>
          <w:szCs w:val="16"/>
          <w:color w:val="auto"/>
        </w:rPr>
        <w:t>Although we have structured and operate our skill tournaments with applicable laws in mind, including any applicable laws relating to gambling, and believe that playing these games does not constitute gambling, our skill tournaments could in the future become subject to gambling-related rules and regulations and expose us to civil and criminal penalties. We also sometimes offer consumers of our online and casual games various types of contests and promotional opportunities. We are subject to laws in a number of jurisdictions concerning the operation and offering of such activities and games, many of which are still evolving and could be interpreted in ways that could harm our business. If these were to occur, we might be required to seek licenses, authorizations, or approvals from relevant regulators, the granting of which may be dependent on us meeting certain capital and other requirements, and we may be subject to additional regulation and oversight, such as reporting to regulators, all of which could significantly increase our operating costs. Changes in current laws or regulations or the imposition of new laws and regulations in the United States, Europe, or elsewhere regarding these activities may lessen the growth of casual game services and impair our business.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laws and regulations concerning data privacy are continually evolving. Failure to comply with these laws and regulations could harm our business.</w:t>
      </w:r>
    </w:p>
    <w:p>
      <w:pPr>
        <w:spacing w:after="0" w:line="260"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Consumers play certain of our games online using third-party platforms and networks, through online social platforms, and on mobile devices. We collect and store information about our consumers of these games—both personally identifying and non-personally identifying information. We are subject to laws from a variety of jurisdictions regarding privacy and the protection of this information. For example, the European Union (the "E.U.") has traditionally taken a broader view than the United States and certain other jurisdictions as to what is considered personal information and has imposed greater obligations under data privacy regulations. The U.S. Children's Online Privacy Protection Act ("COPPA") also regulates the collection, use, and disclosure of personal information from children under 13 years of age. Failure to comply with COPPA may increase our costs, subject us to expensive and distracting government investigations, and result in substantial fines.</w:t>
      </w:r>
    </w:p>
    <w:p>
      <w:pPr>
        <w:spacing w:after="0" w:line="172" w:lineRule="exact"/>
        <w:rPr>
          <w:sz w:val="20"/>
          <w:szCs w:val="20"/>
          <w:color w:val="auto"/>
        </w:rPr>
      </w:pPr>
    </w:p>
    <w:p>
      <w:pPr>
        <w:ind w:right="80" w:firstLine="351"/>
        <w:spacing w:after="0" w:line="289" w:lineRule="auto"/>
        <w:rPr>
          <w:sz w:val="20"/>
          <w:szCs w:val="20"/>
          <w:color w:val="auto"/>
        </w:rPr>
      </w:pPr>
      <w:r>
        <w:rPr>
          <w:rFonts w:ascii="Arial" w:cs="Arial" w:eastAsia="Arial" w:hAnsi="Arial"/>
          <w:sz w:val="16"/>
          <w:szCs w:val="16"/>
          <w:color w:val="auto"/>
        </w:rPr>
        <w:t>Data privacy protection laws are rapidly changing and likely will continue to do so for the foreseeable future, which could impact our approach to operating and marketing our games. For example, the E.U.'s General Data Protection Regulation (the "GDPR"), which will come into effect in May 2018, imposes a range of new compliance obligations for us and other companies with European users, and increases financial penalties for noncompliance significantly. The U.S. government, including the Federal Trade Commission and the Department of Commerce, is continuing to review the need for greater regulation over the collection of personal information and information about consumer behavior on the Internet and on mobile devices, and the E.U. has proposed reforms to its existing data protection legal framework, including the GDPR. Various government and consumer agencies worldwide have also called for new regulation and changes in industry practices. In addition, in some cases, we are dependent upon our platform providers to solicit, collect and provide us with information regarding our consumers that is necessary for compliance with these various types of regulations.</w:t>
      </w:r>
    </w:p>
    <w:p>
      <w:pPr>
        <w:spacing w:after="0" w:line="172"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Player interaction with our games is subject to our privacy policies, end user license agreements ("EULAs"), and terms of service. If we fail to comply with our posted privacy policies, EULAs, or terms of service, or if we fail to comply with existing privacy-related or data protection laws and regulations, it could result in proceedings or litigation against us by governmental authorities or others, which could result in fines or judgments against us, damage our reputation, impact our financial condition and harm our business. If regulators, the media, or consumers raise any concerns about our privacy and data protection or consumer protection practices, even if unfounded, this could also result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 fines or judgments against us, damage our reputation, negatively impact our financial condition, and damage our business.</w:t>
      </w:r>
    </w:p>
    <w:p>
      <w:pPr>
        <w:spacing w:after="0" w:line="225"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depend on servers to operate our games with online features and our proprietary online gaming service. If we were to lose server functionality for any reason, our business may be negatively impacted.</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Our business relies on the continuous operation of servers, some of which are owned and operated by third parties. Although we strive to maintain more than sufficient server capacity, and provide for active redundancy in the event of limited hardware failure, any broad-based catastrophic server malfunction, a significant service-disrupting attack or intrusion by hackers that circumvents security measures, a failure of disaster recovery service or the failure of a company on which we are relying for server capacity to provide that capacity for whatever reason would likely degrade or interrupt the functionality of our games with online features, and could prevent the operation of such games altogether, any of which could result in the loss of sales for, or in, such games. This risk is particularly pronounced with respect to the mobile games published by King, which rely on a small number of third-party owned data centers located in one city, or with respect to the functioning of our proprietary online gaming service, Battle.net®, the disruption of which could prevent Blizzard from delivering content digitally or render all of Blizzard's games unavailable.</w:t>
      </w:r>
    </w:p>
    <w:p>
      <w:pPr>
        <w:spacing w:after="0" w:line="172"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We also rely on networks operated by third parties, such as the PlayStation Network, Xbox Live and Steam, for the sale and digital delivery of downloadable console and PC game content and the functionality of our games with online features. Similarly, we rely on the continued operation of the Apple App Store, the Google Play Store, and Facebook for the sale of virtual currency for our free-to-play games. An extended interruption to any of these services could adversely affect our ability to sell and distribute our digital products and operate our games with online features, negatively impacting our business.</w:t>
      </w:r>
    </w:p>
    <w:p>
      <w:pPr>
        <w:spacing w:after="0" w:line="167"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Further, insufficient server capacity could also negatively impact our business. Conversely, if we overestimate the amount of server capacity required by our business, we may incur additional operating costs.</w:t>
      </w:r>
    </w:p>
    <w:p>
      <w:pPr>
        <w:spacing w:after="0" w:line="186"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b w:val="1"/>
          <w:bCs w:val="1"/>
          <w:i w:val="1"/>
          <w:iCs w:val="1"/>
          <w:color w:val="auto"/>
        </w:rPr>
        <w:t>We rely on complex information technology systems and networks to operate our business. Any significant data breach or system or network disruption could negatively impact our business.</w:t>
      </w:r>
    </w:p>
    <w:p>
      <w:pPr>
        <w:spacing w:after="0" w:line="186"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the course of our day-to-day business, we and third parties operating on our behalf create, store and/or use commercially sensitive information, such as the source code and game assets for our interactive entertainment software products and confidential information with respect to our customers, consumers, and employees. A malicious intrusion by hackers or other breach of the systems on which such source code and assets, account information (including personally identifiable information) and other sensitive data (including credit card information maintained in a proprietary database) is stored could lead to piracy of our software, fraudulent activity, disclosure or misappropriation of, or access to, our customers', consumers' or employees' personally identifiable information or our own sensitive business data. These attacks may remain undetected for prolonged periods of time. A data intrusion into a server for a game with online features or for our proprietary online gaming service could also disrupt the operation of such game or platform. If we are subject to data security breaches, or a security-related incident that materially disrupts the availability of our products and services, we may have a loss in sales or subscriptions or be forced to pay damages or incur other costs, including from the implementation of additional security measures, or suffer reputational damage. Moreover, if there were a public perception that our data protection measures are inadequate, whether or not the case, it could result in reputational damage and potential harm to our business relationships or the public perception of our business model. In addition, such data security breaches may subject us to legal claims or proceedings, including regulatory investigations and actions, especially if there is loss,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disclosure, or misappropriation of, or access to, our customers' credit card or other sensitive or personally identifiable information.</w:t>
      </w:r>
    </w:p>
    <w:p>
      <w:pPr>
        <w:spacing w:after="0" w:line="225"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b w:val="1"/>
          <w:bCs w:val="1"/>
          <w:i w:val="1"/>
          <w:iCs w:val="1"/>
          <w:color w:val="auto"/>
        </w:rPr>
        <w:t>Our reported financial results could be significantly impacted by changes in financial accounting standards or by the application of existing or future accounting standards to our business as it evolves.</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reported financial results are impacted by the accounting policies promulgated by the SEC and national accounting standards bodies and the methods, estimates and judgments that we use in applying our accounting policies. Policies affecting revenue recognition have affected, and could further significantly affect, the way we report revenues related to our products and services. We recognize a majority of the revenues from bundled sales (</w:t>
      </w:r>
      <w:r>
        <w:rPr>
          <w:rFonts w:ascii="Arial" w:cs="Arial" w:eastAsia="Arial" w:hAnsi="Arial"/>
          <w:sz w:val="16"/>
          <w:szCs w:val="16"/>
          <w:i w:val="1"/>
          <w:iCs w:val="1"/>
          <w:color w:val="auto"/>
        </w:rPr>
        <w:t>i.e.</w:t>
      </w:r>
      <w:r>
        <w:rPr>
          <w:rFonts w:ascii="Arial" w:cs="Arial" w:eastAsia="Arial" w:hAnsi="Arial"/>
          <w:sz w:val="16"/>
          <w:szCs w:val="16"/>
          <w:color w:val="auto"/>
        </w:rPr>
        <w:t>, video games that include an online service component) on a deferred basis over an estimated service period for such games. In addition, we defer the cost of revenues of those products. Further, as we increase our downloadable content and add new features to our online services, our estimate of the service period may change and we could be required to recognize revenues, and defer related costs, over a shorter or longer period of time. As we enhance, expand and diversify our business and product offerings, the application of existing or future financial accounting standards, particularly those relating to the way we account for revenues and taxes, could have a significant impact on our reported net revenues, net income and earnings per share under accounting principles generally accepted in the United States in any given period.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corporate documents and Delaware state law could delay or prevent a change of control.</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Amended and Restated Bylaws contain a provision regulating the ability of shareholders to bring matters for action before annual and special meetings. The regulations on shareholder action could make it more difficult for any person seeking to acquire control of the Company to obtain shareholder approval of actions that would support this effort. In addition, our Third Amended and Restated Certificate of Incorporation authorizes the issuance of so-called "blank check" preferred stock. This ability of our Board of Directors to issue and fix the rights and preferences of preferred stock could effectively dilute the interests of any person seeking control or otherwise make it more difficult to obtain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Historically, our stock price has been highly volatile.</w:t>
      </w:r>
    </w:p>
    <w:p>
      <w:pPr>
        <w:spacing w:after="0" w:line="225"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The trading price of our common stock has been, and could continue to be, subject to wide fluctuations in response to many factors, including for example, but without limitation:</w:t>
      </w:r>
    </w:p>
    <w:p>
      <w:pPr>
        <w:spacing w:after="0" w:line="19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quarter-to-quarter variations in results of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of new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announcement of lower prices on competing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product development or release schedules;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general conditions in the computer, software, entertainment, media or electronics industries, or in the worldwide economy;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announcements of developments in the overall worldwide market for interactive entertainment, including announcements of industry sales data;</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of the introduction of new platforms and delays in the actual release of new platforms;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hardware manufacturers' announcements of price changes for hardware platforms;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consumer acceptance of hardware platforms;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consumer spending trends;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outcome of lawsuits or regulatory investigations in which we are, or may become, involved;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changes in earnings estimates or buy/sell recommendations by analysts;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or acquisitions of common stock by our directors or executive management;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investor perceptions and expectations regarding our products, plans and strategic position, and those of our competitors and customers.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Catastrophic events may disrupt our business.</w:t>
      </w:r>
    </w:p>
    <w:p>
      <w:pPr>
        <w:spacing w:after="0" w:line="225" w:lineRule="exact"/>
        <w:rPr>
          <w:sz w:val="20"/>
          <w:szCs w:val="20"/>
          <w:color w:val="auto"/>
        </w:rPr>
      </w:pPr>
    </w:p>
    <w:p>
      <w:pPr>
        <w:ind w:right="240" w:firstLine="351"/>
        <w:spacing w:after="0" w:line="290" w:lineRule="auto"/>
        <w:rPr>
          <w:sz w:val="20"/>
          <w:szCs w:val="20"/>
          <w:color w:val="auto"/>
        </w:rPr>
      </w:pPr>
      <w:r>
        <w:rPr>
          <w:rFonts w:ascii="Arial" w:cs="Arial" w:eastAsia="Arial" w:hAnsi="Arial"/>
          <w:sz w:val="16"/>
          <w:szCs w:val="16"/>
          <w:color w:val="auto"/>
        </w:rPr>
        <w:t>Our corporate headquarters and our primary corporate disaster center are located in the Los Angeles, California area and our primary corporate disaster recovery data center is in Las Vegas, Nevada, each of which is near a major earthquake fault. A major earthquake or other catastrophic event that results in the destruction or disruption of any of our critical business or information technology systems, or otherwise prevents us from conducting our normal business operations, could require significant expenditures to resume operations and negatively impact our business. While we maintain insurance coverage for some of these events, the potential liabilities associated with such events could exceed the insurance coverage we maintain. Further, our system redundancy may be ineffective or inadequate and our disaster recovery planning may not be sufficient for all eventualities. Any such event could also limit the ability of retailers, distributors or our other customers to sell or distribute our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general economic conditions decline, demand for our products could decline.</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Purchases of our products and services involve discretionary spending on the part of consumers. Consumers are generally more willing to make discretionary purchases, including purchases of products and services like ours, during periods in which favorable economic conditions prevail. As a result, our products are sensitive to general economic conditions and economic cycles. A reduction or shift in domestic or international consumer spending could result in an increase in our selling and promotional expenses, in an effort to offset that reduction, and could negatively impact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23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Our principal corporate and administrative offices are located at 3100 Ocean Park Boulevard, Santa Monica, California. Our other significant leased facilities include: our Blizzard offices located in Irvine, California; our King office located in London, United Kingdom; and our North America distribution warehouse located in Fresno, California.</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is a summary of the principal leased offices we maintained as of December 31, 2016:</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400" w:type="dxa"/>
            <w:vAlign w:val="bottom"/>
            <w:gridSpan w:val="4"/>
          </w:tcPr>
          <w:p>
            <w:pPr>
              <w:spacing w:after="0"/>
              <w:rPr>
                <w:sz w:val="20"/>
                <w:szCs w:val="20"/>
                <w:color w:val="auto"/>
              </w:rPr>
            </w:pPr>
            <w:r>
              <w:rPr>
                <w:rFonts w:ascii="Arial" w:cs="Arial" w:eastAsia="Arial" w:hAnsi="Arial"/>
                <w:sz w:val="14"/>
                <w:szCs w:val="14"/>
                <w:b w:val="1"/>
                <w:bCs w:val="1"/>
                <w:color w:val="auto"/>
              </w:rPr>
              <w:t>Type of Leased Facility</w:t>
            </w:r>
          </w:p>
        </w:tc>
        <w:tc>
          <w:tcPr>
            <w:tcW w:w="840" w:type="dxa"/>
            <w:vAlign w:val="bottom"/>
          </w:tcPr>
          <w:p>
            <w:pPr>
              <w:jc w:val="right"/>
              <w:ind w:right="55"/>
              <w:spacing w:after="0"/>
              <w:rPr>
                <w:sz w:val="20"/>
                <w:szCs w:val="20"/>
                <w:color w:val="auto"/>
              </w:rPr>
            </w:pPr>
            <w:r>
              <w:rPr>
                <w:rFonts w:ascii="Arial" w:cs="Arial" w:eastAsia="Arial" w:hAnsi="Arial"/>
                <w:sz w:val="14"/>
                <w:szCs w:val="14"/>
                <w:b w:val="1"/>
                <w:bCs w:val="1"/>
                <w:color w:val="auto"/>
              </w:rPr>
              <w:t>Americas</w:t>
            </w:r>
          </w:p>
        </w:tc>
        <w:tc>
          <w:tcPr>
            <w:tcW w:w="16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4"/>
                <w:szCs w:val="14"/>
                <w:b w:val="1"/>
                <w:bCs w:val="1"/>
                <w:color w:val="auto"/>
              </w:rPr>
              <w:t>EMEA(1)</w:t>
            </w:r>
          </w:p>
        </w:tc>
        <w:tc>
          <w:tcPr>
            <w:tcW w:w="160" w:type="dxa"/>
            <w:vAlign w:val="bottom"/>
          </w:tcPr>
          <w:p>
            <w:pPr>
              <w:spacing w:after="0"/>
              <w:rPr>
                <w:sz w:val="14"/>
                <w:szCs w:val="14"/>
                <w:color w:val="auto"/>
              </w:rPr>
            </w:pPr>
          </w:p>
        </w:tc>
        <w:tc>
          <w:tcPr>
            <w:tcW w:w="960" w:type="dxa"/>
            <w:vAlign w:val="bottom"/>
            <w:gridSpan w:val="3"/>
          </w:tcPr>
          <w:p>
            <w:pPr>
              <w:ind w:left="220"/>
              <w:spacing w:after="0"/>
              <w:rPr>
                <w:sz w:val="20"/>
                <w:szCs w:val="20"/>
                <w:color w:val="auto"/>
              </w:rPr>
            </w:pPr>
            <w:r>
              <w:rPr>
                <w:rFonts w:ascii="Arial" w:cs="Arial" w:eastAsia="Arial" w:hAnsi="Arial"/>
                <w:sz w:val="14"/>
                <w:szCs w:val="14"/>
                <w:b w:val="1"/>
                <w:bCs w:val="1"/>
                <w:color w:val="auto"/>
              </w:rPr>
              <w:t>Asia</w:t>
            </w: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r>
      <w:tr>
        <w:trPr>
          <w:trHeight w:val="20"/>
        </w:trPr>
        <w:tc>
          <w:tcPr>
            <w:tcW w:w="2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30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0" w:type="dxa"/>
            <w:vAlign w:val="bottom"/>
            <w:gridSpan w:val="6"/>
          </w:tcPr>
          <w:p>
            <w:pPr>
              <w:spacing w:after="0" w:line="142" w:lineRule="exact"/>
              <w:rPr>
                <w:sz w:val="20"/>
                <w:szCs w:val="20"/>
                <w:color w:val="auto"/>
              </w:rPr>
            </w:pPr>
            <w:r>
              <w:rPr>
                <w:rFonts w:ascii="Arial" w:cs="Arial" w:eastAsia="Arial" w:hAnsi="Arial"/>
                <w:sz w:val="14"/>
                <w:szCs w:val="14"/>
                <w:b w:val="1"/>
                <w:bCs w:val="1"/>
                <w:color w:val="auto"/>
                <w:w w:val="82"/>
              </w:rPr>
              <w:t>Square footage of leased properties</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Corporate Offices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153,297</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14,390</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167,687</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Activision Product Development &amp; Publishing Facilities (Activision</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380" w:type="dxa"/>
            <w:vAlign w:val="bottom"/>
            <w:gridSpan w:val="3"/>
          </w:tcPr>
          <w:p>
            <w:pPr>
              <w:ind w:left="160"/>
              <w:spacing w:after="0"/>
              <w:rPr>
                <w:sz w:val="20"/>
                <w:szCs w:val="20"/>
                <w:color w:val="auto"/>
              </w:rPr>
            </w:pPr>
            <w:r>
              <w:rPr>
                <w:rFonts w:ascii="Arial" w:cs="Arial" w:eastAsia="Arial" w:hAnsi="Arial"/>
                <w:sz w:val="18"/>
                <w:szCs w:val="18"/>
                <w:color w:val="auto"/>
              </w:rPr>
              <w:t>segment)</w:t>
            </w:r>
          </w:p>
        </w:tc>
        <w:tc>
          <w:tcPr>
            <w:tcW w:w="840" w:type="dxa"/>
            <w:vAlign w:val="bottom"/>
          </w:tcPr>
          <w:p>
            <w:pPr>
              <w:jc w:val="right"/>
              <w:spacing w:after="0"/>
              <w:rPr>
                <w:sz w:val="20"/>
                <w:szCs w:val="20"/>
                <w:color w:val="auto"/>
              </w:rPr>
            </w:pPr>
            <w:r>
              <w:rPr>
                <w:rFonts w:ascii="Arial" w:cs="Arial" w:eastAsia="Arial" w:hAnsi="Arial"/>
                <w:sz w:val="18"/>
                <w:szCs w:val="18"/>
                <w:color w:val="auto"/>
              </w:rPr>
              <w:t>879,432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48,343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26,138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953,913</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2"/>
              </w:rPr>
              <w:t>Blizzard Product Development &amp; Publishing Facilities (Blizzard segment)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611,583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123,139</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120,172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854,894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King Product Development &amp; Publishing Facilities (King segment)</w:t>
            </w:r>
          </w:p>
        </w:tc>
        <w:tc>
          <w:tcPr>
            <w:tcW w:w="840" w:type="dxa"/>
            <w:vAlign w:val="bottom"/>
          </w:tcPr>
          <w:p>
            <w:pPr>
              <w:jc w:val="right"/>
              <w:spacing w:after="0"/>
              <w:rPr>
                <w:sz w:val="20"/>
                <w:szCs w:val="20"/>
                <w:color w:val="auto"/>
              </w:rPr>
            </w:pPr>
            <w:r>
              <w:rPr>
                <w:rFonts w:ascii="Arial" w:cs="Arial" w:eastAsia="Arial" w:hAnsi="Arial"/>
                <w:sz w:val="18"/>
                <w:szCs w:val="18"/>
                <w:color w:val="auto"/>
              </w:rPr>
              <w:t>43,254</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316,143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25,101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384,498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Distribution and Other Facilities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55,640</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165,759</w:t>
            </w:r>
          </w:p>
        </w:tc>
        <w:tc>
          <w:tcPr>
            <w:tcW w:w="1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221,399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380" w:type="dxa"/>
            <w:vAlign w:val="bottom"/>
            <w:gridSpan w:val="3"/>
          </w:tcPr>
          <w:p>
            <w:pPr>
              <w:spacing w:after="0"/>
              <w:rPr>
                <w:sz w:val="20"/>
                <w:szCs w:val="20"/>
                <w:color w:val="auto"/>
              </w:rPr>
            </w:pPr>
            <w:r>
              <w:rPr>
                <w:rFonts w:ascii="Arial" w:cs="Arial" w:eastAsia="Arial" w:hAnsi="Arial"/>
                <w:sz w:val="18"/>
                <w:szCs w:val="18"/>
                <w:color w:val="auto"/>
              </w:rPr>
              <w:t>Sales offices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13,345</w:t>
            </w:r>
          </w:p>
        </w:tc>
        <w:tc>
          <w:tcPr>
            <w:tcW w:w="16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41,324</w:t>
            </w:r>
          </w:p>
        </w:tc>
        <w:tc>
          <w:tcPr>
            <w:tcW w:w="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8,555</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63,224</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53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1,756,551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709,098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2,645,615</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320" w:type="dxa"/>
            <w:vAlign w:val="bottom"/>
            <w:tcBorders>
              <w:bottom w:val="single" w:sz="8" w:color="auto"/>
            </w:tcBorders>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30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EMEA consists of the Europe, Middle East, and Africa geographic regions.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In total, we lease approximately 100 facilities in the following 20 countries: Australia, Brazil, Canada, China, France, Germany, Ireland, Italy, Japan, Malta, Mexico, the Netherlands, Romania, Singapore, South Korea, Spain, Sweden, Taiwan, the United Kingdom, and the United States.</w:t>
      </w:r>
    </w:p>
    <w:p>
      <w:pPr>
        <w:spacing w:after="0" w:line="139"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only facilities currently owned by the Company are two European warehouses utilized by the Distribution segment, located in Burglengenfeld, Germany and Venlo, the Netherlands.</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anticipate no difficulty in extending the leases of our facilities or obtaining comparable facilities in suitable locations, as needed, and we consider our facilities to be adequate for our current needs.</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231" w:lineRule="exact"/>
        <w:rPr>
          <w:sz w:val="20"/>
          <w:szCs w:val="20"/>
          <w:color w:val="auto"/>
        </w:rPr>
      </w:pPr>
    </w:p>
    <w:p>
      <w:pPr>
        <w:ind w:right="200" w:firstLine="348"/>
        <w:spacing w:after="0" w:line="298"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6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Information and Holders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Our common stock is quoted on the NASDAQ National Market under the symbol "ATVI." The following table sets forth, for the periods indicated, the high and low reported sale prices for our common stock. At February 23, 2017, there were 1,678 holders of record of our common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80" w:type="dxa"/>
            <w:vAlign w:val="bottom"/>
            <w:gridSpan w:val="3"/>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3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First Quarter Ended March 31, 2015</w:t>
            </w:r>
          </w:p>
        </w:tc>
        <w:tc>
          <w:tcPr>
            <w:tcW w:w="3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23.69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18.43</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Ended June 30, 2015</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Third Quarter Ended September 30, 2015</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24.04</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Ended December 31, 2015</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851"/>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High</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780" w:type="dxa"/>
            <w:vAlign w:val="bottom"/>
            <w:gridSpan w:val="3"/>
          </w:tcPr>
          <w:p>
            <w:pPr>
              <w:ind w:left="40"/>
              <w:spacing w:after="0"/>
              <w:rPr>
                <w:sz w:val="20"/>
                <w:szCs w:val="20"/>
                <w:color w:val="auto"/>
              </w:rPr>
            </w:pPr>
            <w:r>
              <w:rPr>
                <w:rFonts w:ascii="Arial" w:cs="Arial" w:eastAsia="Arial" w:hAnsi="Arial"/>
                <w:sz w:val="14"/>
                <w:szCs w:val="14"/>
                <w:b w:val="1"/>
                <w:bCs w:val="1"/>
                <w:color w:val="auto"/>
              </w:rPr>
              <w:t>Low</w:t>
            </w:r>
          </w:p>
        </w:tc>
      </w:tr>
      <w:tr>
        <w:trPr>
          <w:trHeight w:val="210"/>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38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First Quarter Ended March 31, 2016</w:t>
            </w:r>
          </w:p>
        </w:tc>
        <w:tc>
          <w:tcPr>
            <w:tcW w:w="39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38.09</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26.49</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Ended June 30, 2016</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33.03</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Third Quarter Ended September 30, 2016</w:t>
            </w:r>
          </w:p>
        </w:tc>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45.12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39.28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Ended December 31, 2016</w:t>
            </w:r>
          </w:p>
        </w:tc>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35.12</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430"/>
        </w:trPr>
        <w:tc>
          <w:tcPr>
            <w:tcW w:w="116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3860" w:type="dxa"/>
            <w:vAlign w:val="bottom"/>
          </w:tcPr>
          <w:p>
            <w:pPr>
              <w:jc w:val="right"/>
              <w:ind w:right="2832"/>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700" w:type="dxa"/>
            <w:vAlign w:val="bottom"/>
            <w:tcBorders>
              <w:bottom w:val="single" w:sz="8" w:color="808080"/>
            </w:tcBorders>
          </w:tcPr>
          <w:p>
            <w:pPr>
              <w:spacing w:after="0"/>
              <w:rPr>
                <w:sz w:val="19"/>
                <w:szCs w:val="19"/>
                <w:color w:val="auto"/>
              </w:rPr>
            </w:pPr>
          </w:p>
        </w:tc>
        <w:tc>
          <w:tcPr>
            <w:tcW w:w="38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Performance Graph</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This performance graph shall not be deemed "filed" for purposes of Section 18 of the Exchange Act or otherwise subject to the liabilities under that Section, and shall not be deemed to be incorporated by reference into any filing of Activision Blizzard, Inc. under the Exchange Act or the Securities Act of 1933.</w:t>
      </w:r>
    </w:p>
    <w:p>
      <w:pPr>
        <w:spacing w:after="0" w:line="349" w:lineRule="exact"/>
        <w:rPr>
          <w:sz w:val="20"/>
          <w:szCs w:val="20"/>
          <w:color w:val="auto"/>
        </w:rPr>
      </w:pPr>
    </w:p>
    <w:p>
      <w:pPr>
        <w:jc w:val="center"/>
        <w:ind w:left="260" w:right="2680"/>
        <w:spacing w:after="0" w:line="262" w:lineRule="auto"/>
        <w:rPr>
          <w:sz w:val="20"/>
          <w:szCs w:val="20"/>
          <w:color w:val="auto"/>
        </w:rPr>
      </w:pPr>
      <w:r>
        <w:rPr>
          <w:rFonts w:ascii="Arial" w:cs="Arial" w:eastAsia="Arial" w:hAnsi="Arial"/>
          <w:sz w:val="18"/>
          <w:szCs w:val="18"/>
          <w:b w:val="1"/>
          <w:bCs w:val="1"/>
          <w:color w:val="auto"/>
        </w:rPr>
        <w:t xml:space="preserve">COMPARISON OF 5-YEAR CUMULATIVE TOTAL RETURN </w:t>
      </w:r>
      <w:r>
        <w:rPr>
          <w:rFonts w:ascii="Arial" w:cs="Arial" w:eastAsia="Arial" w:hAnsi="Arial"/>
          <w:sz w:val="18"/>
          <w:szCs w:val="18"/>
          <w:color w:val="auto"/>
        </w:rPr>
        <w:t>among Activision Blizzard, Inc., the NASDAQ Composite Index, the S&amp;P 500 Index, and the RDG Technology Composite Index</w:t>
      </w:r>
    </w:p>
    <w:p>
      <w:pPr>
        <w:spacing w:after="0" w:line="192" w:lineRule="exact"/>
        <w:rPr>
          <w:sz w:val="20"/>
          <w:szCs w:val="20"/>
          <w:color w:val="auto"/>
        </w:rPr>
      </w:pPr>
    </w:p>
    <w:p>
      <w:pPr>
        <w:jc w:val="both"/>
        <w:ind w:right="120" w:firstLine="348"/>
        <w:spacing w:after="0" w:line="306" w:lineRule="auto"/>
        <w:rPr>
          <w:sz w:val="20"/>
          <w:szCs w:val="20"/>
          <w:color w:val="auto"/>
        </w:rPr>
      </w:pPr>
      <w:r>
        <w:rPr>
          <w:rFonts w:ascii="Arial" w:cs="Arial" w:eastAsia="Arial" w:hAnsi="Arial"/>
          <w:sz w:val="16"/>
          <w:szCs w:val="16"/>
          <w:color w:val="auto"/>
        </w:rPr>
        <w:t>The following graph and table compare the cumulative total stockholder return on our common stock, the NASDAQ Composite Index, the S&amp;P 500 Index, and the RDG Technology Composite Index. The graph and table assume that $100 was invested on December 31, 2011 and that dividends were reinvested daily. The stock price performance on the following graph and table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107315</wp:posOffset>
            </wp:positionV>
            <wp:extent cx="5582920" cy="227266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582920" cy="227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060" w:type="dxa"/>
            <w:vAlign w:val="bottom"/>
            <w:gridSpan w:val="3"/>
          </w:tcPr>
          <w:p>
            <w:pPr>
              <w:spacing w:after="0"/>
              <w:rPr>
                <w:sz w:val="20"/>
                <w:szCs w:val="20"/>
                <w:color w:val="auto"/>
              </w:rPr>
            </w:pPr>
            <w:r>
              <w:rPr>
                <w:rFonts w:ascii="Arial" w:cs="Arial" w:eastAsia="Arial" w:hAnsi="Arial"/>
                <w:sz w:val="14"/>
                <w:szCs w:val="14"/>
                <w:b w:val="1"/>
                <w:bCs w:val="1"/>
                <w:color w:val="auto"/>
              </w:rPr>
              <w:t>Fiscal year ending December 31:</w:t>
            </w:r>
          </w:p>
        </w:tc>
        <w:tc>
          <w:tcPr>
            <w:tcW w:w="16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12/11</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jc w:val="right"/>
              <w:ind w:right="116"/>
              <w:spacing w:after="0"/>
              <w:rPr>
                <w:sz w:val="20"/>
                <w:szCs w:val="20"/>
                <w:color w:val="auto"/>
              </w:rPr>
            </w:pPr>
            <w:r>
              <w:rPr>
                <w:rFonts w:ascii="Arial" w:cs="Arial" w:eastAsia="Arial" w:hAnsi="Arial"/>
                <w:sz w:val="14"/>
                <w:szCs w:val="14"/>
                <w:b w:val="1"/>
                <w:bCs w:val="1"/>
                <w:color w:val="auto"/>
                <w:w w:val="96"/>
              </w:rPr>
              <w:t>12/12</w:t>
            </w:r>
          </w:p>
        </w:tc>
        <w:tc>
          <w:tcPr>
            <w:tcW w:w="8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12/13</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12/14</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12/15</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12/16</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2"/>
              </w:rPr>
              <w:t>Activision Blizzard, Inc</w:t>
            </w:r>
            <w:r>
              <w:rPr>
                <w:rFonts w:ascii="Arial" w:cs="Arial" w:eastAsia="Arial" w:hAnsi="Arial"/>
                <w:sz w:val="18"/>
                <w:szCs w:val="18"/>
                <w:color w:val="auto"/>
                <w:w w:val="92"/>
              </w:rPr>
              <w:t>.</w:t>
            </w:r>
          </w:p>
        </w:tc>
        <w:tc>
          <w:tcPr>
            <w:tcW w:w="1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100.00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87.44</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148.75</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  169.68</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329.31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309.68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NASDAQ Composite</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116.41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165.47</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188.69</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200.32</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216.54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S&amp;P 500</w:t>
            </w:r>
          </w:p>
        </w:tc>
        <w:tc>
          <w:tcPr>
            <w:tcW w:w="16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116.00</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153.58</w:t>
            </w: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174.60</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177.01</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198.18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gridSpan w:val="2"/>
          </w:tcPr>
          <w:p>
            <w:pPr>
              <w:spacing w:after="0"/>
              <w:rPr>
                <w:sz w:val="20"/>
                <w:szCs w:val="20"/>
                <w:color w:val="auto"/>
              </w:rPr>
            </w:pPr>
            <w:r>
              <w:rPr>
                <w:rFonts w:ascii="Arial" w:cs="Arial" w:eastAsia="Arial" w:hAnsi="Arial"/>
                <w:sz w:val="18"/>
                <w:szCs w:val="18"/>
                <w:b w:val="1"/>
                <w:bCs w:val="1"/>
                <w:color w:val="auto"/>
              </w:rPr>
              <w:t>RDG Technology Composite</w:t>
            </w:r>
          </w:p>
        </w:tc>
        <w:tc>
          <w:tcPr>
            <w:tcW w:w="16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100.00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114.61</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152.95</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178.50</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183.08</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206.81</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ind w:right="620" w:firstLine="348"/>
        <w:spacing w:after="0" w:line="268" w:lineRule="auto"/>
        <w:rPr>
          <w:sz w:val="20"/>
          <w:szCs w:val="20"/>
          <w:color w:val="auto"/>
        </w:rPr>
      </w:pPr>
      <w:r>
        <w:rPr>
          <w:rFonts w:ascii="Arial" w:cs="Arial" w:eastAsia="Arial" w:hAnsi="Arial"/>
          <w:sz w:val="18"/>
          <w:szCs w:val="18"/>
          <w:color w:val="auto"/>
        </w:rPr>
        <w:t>We have paid a dividend annually since 2010. Below is a summary of cash dividends paid over the past three fiscal years, along with the most recent dividend declared by the Board of Directors that will be paid in 2017:</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87"/>
              </w:rPr>
              <w:t>Dividend</w:t>
            </w: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3840" w:type="dxa"/>
            <w:vAlign w:val="bottom"/>
          </w:tcPr>
          <w:p>
            <w:pPr>
              <w:spacing w:after="0"/>
              <w:rPr>
                <w:sz w:val="12"/>
                <w:szCs w:val="12"/>
                <w:color w:val="auto"/>
              </w:rPr>
            </w:pPr>
          </w:p>
        </w:tc>
        <w:tc>
          <w:tcPr>
            <w:tcW w:w="7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4"/>
              </w:rPr>
              <w:t>Per Share</w:t>
            </w:r>
          </w:p>
        </w:tc>
        <w:tc>
          <w:tcPr>
            <w:tcW w:w="160" w:type="dxa"/>
            <w:vAlign w:val="bottom"/>
          </w:tcPr>
          <w:p>
            <w:pPr>
              <w:spacing w:after="0"/>
              <w:rPr>
                <w:sz w:val="12"/>
                <w:szCs w:val="12"/>
                <w:color w:val="auto"/>
              </w:rPr>
            </w:pPr>
          </w:p>
        </w:tc>
        <w:tc>
          <w:tcPr>
            <w:tcW w:w="84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Record</w:t>
            </w:r>
          </w:p>
        </w:tc>
        <w:tc>
          <w:tcPr>
            <w:tcW w:w="160" w:type="dxa"/>
            <w:vAlign w:val="bottom"/>
          </w:tcPr>
          <w:p>
            <w:pPr>
              <w:spacing w:after="0"/>
              <w:rPr>
                <w:sz w:val="12"/>
                <w:szCs w:val="12"/>
                <w:color w:val="auto"/>
              </w:rPr>
            </w:pPr>
          </w:p>
        </w:tc>
        <w:tc>
          <w:tcPr>
            <w:tcW w:w="2140" w:type="dxa"/>
            <w:vAlign w:val="bottom"/>
            <w:gridSpan w:val="3"/>
          </w:tcPr>
          <w:p>
            <w:pPr>
              <w:jc w:val="center"/>
              <w:ind w:right="1300"/>
              <w:spacing w:after="0" w:line="149" w:lineRule="exact"/>
              <w:rPr>
                <w:sz w:val="20"/>
                <w:szCs w:val="20"/>
                <w:color w:val="auto"/>
              </w:rPr>
            </w:pPr>
            <w:r>
              <w:rPr>
                <w:rFonts w:ascii="Arial" w:cs="Arial" w:eastAsia="Arial" w:hAnsi="Arial"/>
                <w:sz w:val="14"/>
                <w:szCs w:val="14"/>
                <w:b w:val="1"/>
                <w:bCs w:val="1"/>
                <w:color w:val="auto"/>
                <w:w w:val="89"/>
              </w:rPr>
              <w:t>Payment</w:t>
            </w:r>
          </w:p>
        </w:tc>
        <w:tc>
          <w:tcPr>
            <w:tcW w:w="0" w:type="dxa"/>
            <w:vAlign w:val="bottom"/>
          </w:tcPr>
          <w:p>
            <w:pPr>
              <w:spacing w:after="0"/>
              <w:rPr>
                <w:sz w:val="1"/>
                <w:szCs w:val="1"/>
                <w:color w:val="auto"/>
              </w:rPr>
            </w:pPr>
          </w:p>
        </w:tc>
      </w:tr>
      <w:tr>
        <w:trPr>
          <w:trHeight w:val="161"/>
        </w:trPr>
        <w:tc>
          <w:tcPr>
            <w:tcW w:w="3560" w:type="dxa"/>
            <w:vAlign w:val="bottom"/>
            <w:gridSpan w:val="3"/>
          </w:tcPr>
          <w:p>
            <w:pPr>
              <w:ind w:left="1140"/>
              <w:spacing w:after="0"/>
              <w:rPr>
                <w:sz w:val="20"/>
                <w:szCs w:val="20"/>
                <w:color w:val="auto"/>
              </w:rPr>
            </w:pPr>
            <w:r>
              <w:rPr>
                <w:rFonts w:ascii="Arial" w:cs="Arial" w:eastAsia="Arial" w:hAnsi="Arial"/>
                <w:sz w:val="14"/>
                <w:szCs w:val="14"/>
                <w:b w:val="1"/>
                <w:bCs w:val="1"/>
                <w:color w:val="auto"/>
              </w:rPr>
              <w:t>Year</w:t>
            </w:r>
          </w:p>
        </w:tc>
        <w:tc>
          <w:tcPr>
            <w:tcW w:w="3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jc w:val="right"/>
              <w:ind w:right="56"/>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40" w:type="dxa"/>
            <w:vAlign w:val="bottom"/>
          </w:tcPr>
          <w:p>
            <w:pPr>
              <w:jc w:val="right"/>
              <w:ind w:right="212"/>
              <w:spacing w:after="0"/>
              <w:rPr>
                <w:sz w:val="20"/>
                <w:szCs w:val="20"/>
                <w:color w:val="auto"/>
              </w:rPr>
            </w:pPr>
            <w:r>
              <w:rPr>
                <w:rFonts w:ascii="Arial" w:cs="Arial" w:eastAsia="Arial" w:hAnsi="Arial"/>
                <w:sz w:val="14"/>
                <w:szCs w:val="14"/>
                <w:b w:val="1"/>
                <w:bCs w:val="1"/>
                <w:color w:val="auto"/>
              </w:rPr>
              <w:t>Date</w:t>
            </w:r>
          </w:p>
        </w:tc>
        <w:tc>
          <w:tcPr>
            <w:tcW w:w="160" w:type="dxa"/>
            <w:vAlign w:val="bottom"/>
          </w:tcPr>
          <w:p>
            <w:pPr>
              <w:spacing w:after="0"/>
              <w:rPr>
                <w:sz w:val="14"/>
                <w:szCs w:val="14"/>
                <w:color w:val="auto"/>
              </w:rPr>
            </w:pPr>
          </w:p>
        </w:tc>
        <w:tc>
          <w:tcPr>
            <w:tcW w:w="2140" w:type="dxa"/>
            <w:vAlign w:val="bottom"/>
            <w:gridSpan w:val="3"/>
          </w:tcPr>
          <w:p>
            <w:pPr>
              <w:jc w:val="center"/>
              <w:ind w:right="13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2017</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3/30/2017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5/10/2017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2016</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3/30/2016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5/11/2016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2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2015</w:t>
            </w:r>
          </w:p>
        </w:tc>
        <w:tc>
          <w:tcPr>
            <w:tcW w:w="3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3/30/2015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5/13/2015</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2400" w:type="dxa"/>
            <w:vAlign w:val="bottom"/>
            <w:gridSpan w:val="2"/>
          </w:tcPr>
          <w:p>
            <w:pPr>
              <w:spacing w:after="0"/>
              <w:rPr>
                <w:sz w:val="20"/>
                <w:szCs w:val="20"/>
                <w:color w:val="auto"/>
              </w:rPr>
            </w:pPr>
            <w:r>
              <w:rPr>
                <w:rFonts w:ascii="Arial" w:cs="Arial" w:eastAsia="Arial" w:hAnsi="Arial"/>
                <w:sz w:val="18"/>
                <w:szCs w:val="18"/>
                <w:color w:val="auto"/>
              </w:rPr>
              <w:t>2014</w:t>
            </w:r>
          </w:p>
        </w:tc>
        <w:tc>
          <w:tcPr>
            <w:tcW w:w="3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0.20</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3/19/2014</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5/14/2014</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3840" w:type="dxa"/>
            <w:vAlign w:val="bottom"/>
          </w:tcPr>
          <w:p>
            <w:pPr>
              <w:jc w:val="right"/>
              <w:ind w:right="1512"/>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2140" w:type="dxa"/>
            <w:vAlign w:val="bottom"/>
            <w:tcBorders>
              <w:bottom w:val="single" w:sz="8" w:color="808080"/>
            </w:tcBorders>
          </w:tcPr>
          <w:p>
            <w:pPr>
              <w:spacing w:after="0"/>
              <w:rPr>
                <w:sz w:val="19"/>
                <w:szCs w:val="19"/>
                <w:color w:val="auto"/>
              </w:rPr>
            </w:pPr>
          </w:p>
        </w:tc>
        <w:tc>
          <w:tcPr>
            <w:tcW w:w="38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firstLine="351"/>
        <w:spacing w:after="0" w:line="256" w:lineRule="auto"/>
        <w:rPr>
          <w:sz w:val="20"/>
          <w:szCs w:val="20"/>
          <w:color w:val="auto"/>
        </w:rPr>
      </w:pPr>
      <w:r>
        <w:rPr>
          <w:rFonts w:ascii="Arial" w:cs="Arial" w:eastAsia="Arial" w:hAnsi="Arial"/>
          <w:sz w:val="18"/>
          <w:szCs w:val="18"/>
          <w:color w:val="auto"/>
        </w:rPr>
        <w:t>Future dividends will depend upon our earnings, financial condition, cash requirements, anticipated future prospects, and other factors deemed relevant by our Board of Directors. Further, agreements governing certain of our indebtedness, as described in Note 11 of the notes to consolidated financial statements included in Item 8 of this Annual Report on Form 10-K, may, under certain circumstances, limit our ability to pay distributions or dividends. There can be no assurances that dividends will be declared in the future.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10b5-1 Stock Trading Plans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Company's directors and employees may, at a time they are not aware of material non-public information, enter into plans to purchase or sell shares of our common stock that satisfy the requirements of Exchange Act Rule 10b5-1 ("Rule 10b5-1 Plans"). Rule 10b5-1 Plans permit persons whose ability to purchase or sell our common stock may otherwise be substantially restricted (by quarterly and special stock-trading blackouts and by their possession from time to time of material nonpublic information) to trade on a pre-arranged, "automatic-pilot" basis.</w:t>
      </w:r>
    </w:p>
    <w:p>
      <w:pPr>
        <w:spacing w:after="0" w:line="167"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Trading under Rule 10b5-1 Plans is subject to certain conditions, including that the person for whom the plan is created (or anyone else aware of material non-public information acting on such person's behalf) not exercise any subsequent influence regarding the amount, price and dates of transactions under the plan. In addition, the Company requires Rule 10b5-1 Plans to be established and maintained in accordance with the Company's "Policy on Establishing and Maintaining 10b5-1 Trading Plans."</w:t>
      </w:r>
    </w:p>
    <w:p>
      <w:pPr>
        <w:spacing w:after="0" w:line="197"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Trades under a Rule 10b5-1 Plan by our directors and employees are not necessarily indicative of their respective opinions of our current or potential future performance at the time of the trade. Trades by our directors and executive officers pursuant to a Rule 10b5-1 Plan will be disclosed publicly through Form 144 and Form 4 filings with the SEC, in accordance with applicable laws, rules, and regulations.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Issuer Purchase of Equity Securities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On February 2, 2017, our Board of Directors authorized a new stock repurchase program under which we are authorized to repurchase up to $1 billion of our common stock during the two-year period from February 13, 2017 through February 12, 2019.</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On February 3, 2015, our Board of Directors authorized a stock repurchase program pursuant under which we were authorized to repurchase up to $750 million of the Company's common stock during the two-year period from February 9, 2015 through February 8, 2017. There were no repurchases pursuant to this program.</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231" w:lineRule="exact"/>
        <w:rPr>
          <w:sz w:val="20"/>
          <w:szCs w:val="20"/>
          <w:color w:val="auto"/>
        </w:rPr>
      </w:pPr>
    </w:p>
    <w:p>
      <w:pPr>
        <w:ind w:right="160" w:firstLine="348"/>
        <w:spacing w:after="0" w:line="298" w:lineRule="auto"/>
        <w:rPr>
          <w:sz w:val="20"/>
          <w:szCs w:val="20"/>
          <w:color w:val="auto"/>
        </w:rPr>
      </w:pPr>
      <w:r>
        <w:rPr>
          <w:rFonts w:ascii="Arial" w:cs="Arial" w:eastAsia="Arial" w:hAnsi="Arial"/>
          <w:sz w:val="16"/>
          <w:szCs w:val="16"/>
          <w:color w:val="auto"/>
        </w:rPr>
        <w:t>The following table summarizes certain selected consolidated financial data, which should be read in conjunction with our Consolidated Financial Statements and Notes thereto and with Management's Discussion and Analysis of Financial Condition and Results of Operations included elsewhere in this Annual Report on Form 10-K. The selected consolidated financial data presented below at and for each of the years in the five-year period ended December 31, 2016 is derived from our Consolidated Financial Statements. All amounts set forth in the following tables are in millions, except per share data.</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7"/>
          </w:tcPr>
          <w:p>
            <w:pPr>
              <w:jc w:val="right"/>
              <w:ind w:right="134"/>
              <w:spacing w:after="0"/>
              <w:rPr>
                <w:sz w:val="20"/>
                <w:szCs w:val="20"/>
                <w:color w:val="auto"/>
              </w:rPr>
            </w:pPr>
            <w:r>
              <w:rPr>
                <w:rFonts w:ascii="Arial" w:cs="Arial" w:eastAsia="Arial" w:hAnsi="Arial"/>
                <w:sz w:val="14"/>
                <w:szCs w:val="14"/>
                <w:b w:val="1"/>
                <w:bCs w:val="1"/>
                <w:color w:val="auto"/>
                <w:w w:val="88"/>
              </w:rPr>
              <w:t>For the Years Ended December 31,</w:t>
            </w: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55"/>
              <w:spacing w:after="0" w:line="142" w:lineRule="exact"/>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2013</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2012</w:t>
            </w: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Statement of Operations Data:</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Net revenues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6,608</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4,664</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4,408</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4,583</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4,856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Basic net income per share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0.96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net income per share</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Cash dividends declared per share</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0.23</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0.18</w:t>
            </w:r>
          </w:p>
        </w:tc>
        <w:tc>
          <w:tcPr>
            <w:tcW w:w="160" w:type="dxa"/>
            <w:vAlign w:val="bottom"/>
          </w:tcPr>
          <w:p>
            <w:pPr>
              <w:spacing w:after="0"/>
              <w:rPr>
                <w:sz w:val="18"/>
                <w:szCs w:val="18"/>
                <w:color w:val="auto"/>
              </w:rPr>
            </w:pPr>
          </w:p>
        </w:tc>
      </w:tr>
      <w:tr>
        <w:trPr>
          <w:trHeight w:val="432"/>
        </w:trPr>
        <w:tc>
          <w:tcPr>
            <w:tcW w:w="20" w:type="dxa"/>
            <w:vAlign w:val="bottom"/>
          </w:tcPr>
          <w:p>
            <w:pPr>
              <w:spacing w:after="0"/>
              <w:rPr>
                <w:sz w:val="24"/>
                <w:szCs w:val="24"/>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cash flows(1)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1,350</w:t>
            </w:r>
          </w:p>
        </w:tc>
        <w:tc>
          <w:tcPr>
            <w:tcW w:w="160" w:type="dxa"/>
            <w:vAlign w:val="bottom"/>
            <w:shd w:val="clear" w:color="auto" w:fill="CCEEFF"/>
          </w:tcPr>
          <w:p>
            <w:pPr>
              <w:spacing w:after="0"/>
              <w:rPr>
                <w:sz w:val="24"/>
                <w:szCs w:val="24"/>
                <w:color w:val="auto"/>
              </w:rPr>
            </w:pPr>
          </w:p>
        </w:tc>
      </w:tr>
      <w:tr>
        <w:trPr>
          <w:trHeight w:val="430"/>
        </w:trPr>
        <w:tc>
          <w:tcPr>
            <w:tcW w:w="3620" w:type="dxa"/>
            <w:vAlign w:val="bottom"/>
            <w:gridSpan w:val="3"/>
          </w:tcPr>
          <w:p>
            <w:pPr>
              <w:spacing w:after="0"/>
              <w:rPr>
                <w:sz w:val="20"/>
                <w:szCs w:val="20"/>
                <w:color w:val="auto"/>
              </w:rPr>
            </w:pPr>
            <w:r>
              <w:rPr>
                <w:rFonts w:ascii="Arial" w:cs="Arial" w:eastAsia="Arial" w:hAnsi="Arial"/>
                <w:sz w:val="18"/>
                <w:szCs w:val="18"/>
                <w:color w:val="auto"/>
              </w:rPr>
              <w:t>Balance Sheet Data:</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8"/>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investments(2)</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3,271</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1,840</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4,867</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4,452</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17,452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15,246</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14,637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13,947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14,181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net(3)</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Long-term debt, gross</w:t>
            </w:r>
          </w:p>
        </w:tc>
        <w:tc>
          <w:tcPr>
            <w:tcW w:w="1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4,940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4,369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4,744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debt(4)</w:t>
            </w:r>
          </w:p>
        </w:tc>
        <w:tc>
          <w:tcPr>
            <w:tcW w:w="1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20" w:type="dxa"/>
            <w:vAlign w:val="bottom"/>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12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221" w:lineRule="exact"/>
        <w:rPr>
          <w:sz w:val="20"/>
          <w:szCs w:val="20"/>
          <w:color w:val="auto"/>
        </w:rPr>
      </w:pPr>
    </w:p>
    <w:p>
      <w:pPr>
        <w:ind w:left="1680" w:hanging="531"/>
        <w:spacing w:after="0" w:line="294"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During the third quarter of 2016, we early adopted an accounting standard which simplifies the accounting for share-based payments. The standard, among other things, requires excess tax benefits and shortfalls associated with share-based payments to be reported within operating activities instead of financing activities, as was required under previous guidance. We elected to apply this guidance retrospectively for all periods presented resulting in increases in our operating cash flows of $67 million, $39 million, $29 million, and $5 million, for the years ended December 31, 2015, 2014, 2013, and 2012, respectively, when compared to prior periods.</w:t>
      </w:r>
    </w:p>
    <w:p>
      <w:pPr>
        <w:spacing w:after="0" w:line="196" w:lineRule="exact"/>
        <w:rPr>
          <w:rFonts w:ascii="Arial" w:cs="Arial" w:eastAsia="Arial" w:hAnsi="Arial"/>
          <w:sz w:val="16"/>
          <w:szCs w:val="16"/>
          <w:color w:val="auto"/>
        </w:rPr>
      </w:pPr>
    </w:p>
    <w:p>
      <w:pPr>
        <w:ind w:left="1680" w:right="60" w:hanging="531"/>
        <w:spacing w:after="0" w:line="294" w:lineRule="auto"/>
        <w:tabs>
          <w:tab w:leader="none" w:pos="16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Cash and investments consists of cash and cash equivalents along with short-term and long-term investments. We had short-term and long-term investments of $13 million and $13 million, respectively, as of December 31, 2016, $8 million and $9 million, respectively, as of December 31, 2015, $10 million and $9 million, respectively, as of December 31, 2014, $33 million and $9 million, respectively, as of December 31, 2013, and $416 million and $8 million, respectively, as of December 31, 2012. Cash and investments as of December 31, 2015 excludes $3,561 million of cash placed in escrow for the King Acquisition.</w:t>
      </w:r>
    </w:p>
    <w:p>
      <w:pPr>
        <w:spacing w:after="0" w:line="183" w:lineRule="exact"/>
        <w:rPr>
          <w:rFonts w:ascii="Arial" w:cs="Arial" w:eastAsia="Arial" w:hAnsi="Arial"/>
          <w:sz w:val="16"/>
          <w:szCs w:val="16"/>
          <w:color w:val="auto"/>
        </w:rPr>
      </w:pPr>
    </w:p>
    <w:p>
      <w:pPr>
        <w:ind w:left="1680" w:right="300" w:hanging="531"/>
        <w:spacing w:after="0" w:line="268" w:lineRule="auto"/>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For discussion on our debt obligations, see Note 11 of the notes to consolidated financial statements included in Item 8 of this Annual Report on Form 10-K.</w:t>
      </w:r>
    </w:p>
    <w:p>
      <w:pPr>
        <w:spacing w:after="0" w:line="199" w:lineRule="exact"/>
        <w:rPr>
          <w:rFonts w:ascii="Arial" w:cs="Arial" w:eastAsia="Arial" w:hAnsi="Arial"/>
          <w:sz w:val="18"/>
          <w:szCs w:val="18"/>
          <w:color w:val="auto"/>
        </w:rPr>
      </w:pPr>
    </w:p>
    <w:p>
      <w:pPr>
        <w:ind w:left="1680" w:hanging="531"/>
        <w:spacing w:after="0"/>
        <w:tabs>
          <w:tab w:leader="none" w:pos="1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Net debt is defined as long-term debt, gross less cash and investments.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31" w:lineRule="exact"/>
        <w:rPr>
          <w:sz w:val="20"/>
          <w:szCs w:val="20"/>
          <w:color w:val="auto"/>
        </w:rPr>
      </w:pPr>
    </w:p>
    <w:p>
      <w:pPr>
        <w:jc w:val="both"/>
        <w:ind w:firstLine="341"/>
        <w:spacing w:after="0" w:line="268" w:lineRule="auto"/>
        <w:rPr>
          <w:sz w:val="20"/>
          <w:szCs w:val="20"/>
          <w:color w:val="auto"/>
        </w:rPr>
      </w:pPr>
      <w:r>
        <w:rPr>
          <w:rFonts w:ascii="Arial" w:cs="Arial" w:eastAsia="Arial" w:hAnsi="Arial"/>
          <w:sz w:val="18"/>
          <w:szCs w:val="18"/>
          <w:color w:val="auto"/>
        </w:rPr>
        <w:t>Activision Blizzard, Inc. is a leading global developer and publisher of interactive entertainment content and services. We develop and distribute content and services across all of the major gaming platforms, including video game consoles, PC, and mobile devices.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King Acquisition</w:t>
      </w:r>
    </w:p>
    <w:p>
      <w:pPr>
        <w:spacing w:after="0" w:line="225" w:lineRule="exact"/>
        <w:rPr>
          <w:sz w:val="20"/>
          <w:szCs w:val="20"/>
          <w:color w:val="auto"/>
        </w:rPr>
      </w:pPr>
    </w:p>
    <w:p>
      <w:pPr>
        <w:ind w:right="60" w:firstLine="351"/>
        <w:spacing w:after="0" w:line="332" w:lineRule="auto"/>
        <w:rPr>
          <w:sz w:val="20"/>
          <w:szCs w:val="20"/>
          <w:color w:val="auto"/>
        </w:rPr>
      </w:pPr>
      <w:r>
        <w:rPr>
          <w:rFonts w:ascii="Arial" w:cs="Arial" w:eastAsia="Arial" w:hAnsi="Arial"/>
          <w:sz w:val="16"/>
          <w:szCs w:val="16"/>
          <w:color w:val="auto"/>
        </w:rPr>
        <w:t>On February 23, 2016, we completed the King Acquisition for an aggregate purchase price of approximately $5.8 billion, as further described in Note 21 of the notes to the consolidated financial statements. Our consolidated financial statements include the operations of King commencing on February 23, 2016.</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Reportable Segments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Based upon our organizational structure, we conduct our business through three reportable operating segments: Activision, Blizzard, and King.</w:t>
      </w:r>
    </w:p>
    <w:p>
      <w:pPr>
        <w:spacing w:after="0" w:line="248"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i w:val="1"/>
          <w:iCs w:val="1"/>
          <w:color w:val="auto"/>
        </w:rPr>
        <w:t>(i)</w:t>
      </w:r>
      <w:r>
        <w:rPr>
          <w:sz w:val="20"/>
          <w:szCs w:val="20"/>
          <w:color w:val="auto"/>
        </w:rPr>
        <w:tab/>
      </w:r>
      <w:r>
        <w:rPr>
          <w:rFonts w:ascii="Arial" w:cs="Arial" w:eastAsia="Arial" w:hAnsi="Arial"/>
          <w:sz w:val="16"/>
          <w:szCs w:val="16"/>
          <w:i w:val="1"/>
          <w:iCs w:val="1"/>
          <w:color w:val="auto"/>
        </w:rPr>
        <w:t>Activision</w:t>
      </w:r>
    </w:p>
    <w:p>
      <w:pPr>
        <w:spacing w:after="0" w:line="225" w:lineRule="exact"/>
        <w:rPr>
          <w:sz w:val="20"/>
          <w:szCs w:val="20"/>
          <w:color w:val="auto"/>
        </w:rPr>
      </w:pPr>
    </w:p>
    <w:p>
      <w:pPr>
        <w:jc w:val="both"/>
        <w:ind w:firstLine="341"/>
        <w:spacing w:after="0" w:line="256" w:lineRule="auto"/>
        <w:rPr>
          <w:sz w:val="20"/>
          <w:szCs w:val="20"/>
          <w:color w:val="auto"/>
        </w:rPr>
      </w:pPr>
      <w:r>
        <w:rPr>
          <w:rFonts w:ascii="Arial" w:cs="Arial" w:eastAsia="Arial" w:hAnsi="Arial"/>
          <w:sz w:val="18"/>
          <w:szCs w:val="18"/>
          <w:color w:val="auto"/>
        </w:rPr>
        <w:t>Activision is a leading global developer and publisher of interactive software products and entertainment content, particularly in console gaming. Activision primarily delivers content through retail channels or digital downloads, including full-game sales and in-game purchases, as well as licenses of software to third-party or related-party companies that distribute Activision products. Activision develops, markets and sells products which are principally based on our internally developed intellectual properties, as well as some licensed properties.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Blizzard is a leading global developer and publisher of interactive software products and entertainment content, particularly in PC gaming. Blizzard primarily delivers content through retail channels or digital downloads, including subscriptions, full-game sales, and in-game purchases, as well as licenses of software to third-party or related-party companies that distribute Blizzard products. Blizzard also maintains a proprietary online gaming service which facilitates digital distribution of Blizzard content, online social connectivity across all Blizzard games, and the creation of user-generated content for Blizzard games.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w:t>
      </w:r>
    </w:p>
    <w:p>
      <w:pPr>
        <w:spacing w:after="0" w:line="225"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King is a leading global developer and publisher of interactive entertainment content and services, particularly on mobile platforms, such as Android and iOS. King also distributes its content and services on online social platforms, such as Facebook and the king.com websites. King's games are free-to-play, however players can acquire in-game virtual items, either with virtual currency the players purchase, or directly using real currency.</w:t>
      </w:r>
    </w:p>
    <w:p>
      <w:pPr>
        <w:spacing w:after="0" w:line="161"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Other</w:t>
      </w:r>
    </w:p>
    <w:p>
      <w:pPr>
        <w:spacing w:after="0" w:line="225" w:lineRule="exact"/>
        <w:rPr>
          <w:rFonts w:ascii="Arial" w:cs="Arial" w:eastAsia="Arial" w:hAnsi="Arial"/>
          <w:sz w:val="18"/>
          <w:szCs w:val="18"/>
          <w:i w:val="1"/>
          <w:iCs w:val="1"/>
          <w:color w:val="auto"/>
        </w:rPr>
      </w:pPr>
    </w:p>
    <w:p>
      <w:pPr>
        <w:ind w:left="360"/>
        <w:spacing w:after="0"/>
        <w:rPr>
          <w:rFonts w:ascii="Arial" w:cs="Arial" w:eastAsia="Arial" w:hAnsi="Arial"/>
          <w:sz w:val="18"/>
          <w:szCs w:val="18"/>
          <w:i w:val="1"/>
          <w:iCs w:val="1"/>
          <w:color w:val="auto"/>
        </w:rPr>
      </w:pPr>
      <w:r>
        <w:rPr>
          <w:rFonts w:ascii="Arial" w:cs="Arial" w:eastAsia="Arial" w:hAnsi="Arial"/>
          <w:sz w:val="18"/>
          <w:szCs w:val="18"/>
          <w:color w:val="auto"/>
        </w:rPr>
        <w:t>We also engage in other businesses that do not represent reportable segments, including:</w:t>
      </w:r>
    </w:p>
    <w:p>
      <w:pPr>
        <w:spacing w:after="0" w:line="238" w:lineRule="exact"/>
        <w:rPr>
          <w:rFonts w:ascii="Arial" w:cs="Arial" w:eastAsia="Arial" w:hAnsi="Arial"/>
          <w:sz w:val="18"/>
          <w:szCs w:val="18"/>
          <w:i w:val="1"/>
          <w:iCs w:val="1"/>
          <w:color w:val="auto"/>
        </w:rPr>
      </w:pPr>
    </w:p>
    <w:p>
      <w:pPr>
        <w:ind w:left="1080" w:right="520" w:hanging="532"/>
        <w:spacing w:after="0" w:line="268" w:lineRule="auto"/>
        <w:tabs>
          <w:tab w:leader="none" w:pos="108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MLG business, which is devoted to esports and builds on our competitive gaming efforts by celebrating the success of our players and creating ways to deliver a best-in-class fan experience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68" w:lineRule="auto"/>
        <w:rPr>
          <w:sz w:val="20"/>
          <w:szCs w:val="20"/>
          <w:color w:val="auto"/>
        </w:rPr>
      </w:pPr>
      <w:r>
        <w:rPr>
          <w:rFonts w:ascii="Arial" w:cs="Arial" w:eastAsia="Arial" w:hAnsi="Arial"/>
          <w:sz w:val="18"/>
          <w:szCs w:val="18"/>
          <w:color w:val="auto"/>
        </w:rPr>
        <w:t>across games, platforms, and geographies with a long-term strategy of monetization through advertising, sponsorships, tournaments, and premium content;</w:t>
      </w:r>
    </w:p>
    <w:p>
      <w:pPr>
        <w:spacing w:after="0" w:line="199" w:lineRule="exact"/>
        <w:rPr>
          <w:sz w:val="20"/>
          <w:szCs w:val="20"/>
          <w:color w:val="auto"/>
        </w:rPr>
      </w:pPr>
    </w:p>
    <w:p>
      <w:pPr>
        <w:ind w:left="1080" w:right="500" w:hanging="532"/>
        <w:spacing w:after="0" w:line="268"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Studios business, which is devoted to creating original film and television content based on our extensive library of iconic and globally recognized intellectual properties; and</w:t>
      </w:r>
    </w:p>
    <w:p>
      <w:pPr>
        <w:spacing w:after="0" w:line="212"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Results and Highlights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Results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Company's 2016 financial highlights include:</w:t>
      </w:r>
    </w:p>
    <w:p>
      <w:pPr>
        <w:spacing w:after="0" w:line="239" w:lineRule="exact"/>
        <w:rPr>
          <w:sz w:val="20"/>
          <w:szCs w:val="20"/>
          <w:color w:val="auto"/>
        </w:rPr>
      </w:pPr>
    </w:p>
    <w:p>
      <w:pPr>
        <w:ind w:left="1080" w:right="18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2016 consolidated net revenues increased 42% to $6.6 billion and 2016 consolidated operating income increased 7% to $1.4 billion, inclusive of King's results of operations since the King Closing Date, as compared to consolidated net revenues of $4.7 billion and consolidated operating income of $1.3 billion in 2015.</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Revenues from digital online channels increased 94% to $4.9 billion in 2016, as compared to $2.5 billion in 2015.</w:t>
      </w:r>
    </w:p>
    <w:p>
      <w:pPr>
        <w:spacing w:after="0" w:line="25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Operating margin was 21.4% for 2016, compared with 28.3% in 2015. The lower margin was driven primarily by amortization of intangible assets acquired in the King Acquisition.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generated cash flows from operating activities of approximately $2.2 billion in 2016, an increase of 71% as compared to $1.3 billion in 2015.</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Consolidated net income increased 8% to $966 million in 2016, as compared to $892 million in 2015.</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diluted earnings per common share increased 8% to $1.28 in 2016, as compared to $1.19 in 2015.</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Since certain of our games are hosted or include online functionality that represents an essential component of gameplay and, as a result, a more-than-inconsequential separate deliverable, we initially defer the software-related revenues from the sale of these games and recognize the attributable revenues over the relevant estimated service periods, which are generally less than a year. Net revenues for the year ended December 31, 2016 include a net effect of $9 million from the recognition of deferred net revenues.</w:t>
      </w:r>
    </w:p>
    <w:p>
      <w:pPr>
        <w:spacing w:after="0" w:line="197"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Also, for the year ended December 31, 2016, as a result of the King Acquisition, our net revenues include $1.5 billion and our net income includes a net loss of $230 million from King's operations, after adjustments for purchase price accounting, inclusive of amortization of intangible assets, share-based payments, and deferral of revenues and related cost of revenues. The majority of these U.S. GAAP accounting charges do not impact the economics or operating cash flows of our business, although they had a material impact on our 2016 U.S. GAAP results and will have a material impact on our 2017 U.S. GAAP results.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Release Highlights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Games and digital downloadable content released, among others, during the year ended December 31, 2016 included:</w:t>
      </w:r>
    </w:p>
    <w:p>
      <w:pPr>
        <w:spacing w:after="0" w:line="239" w:lineRule="exact"/>
        <w:rPr>
          <w:sz w:val="20"/>
          <w:szCs w:val="20"/>
          <w:color w:val="auto"/>
        </w:rPr>
      </w:pPr>
    </w:p>
    <w:p>
      <w:pPr>
        <w:ind w:left="5620" w:right="5600" w:hanging="5072"/>
        <w:spacing w:after="0" w:line="613" w:lineRule="auto"/>
        <w:tabs>
          <w:tab w:leader="none" w:pos="1082" w:val="left"/>
        </w:tabs>
        <w:numPr>
          <w:ilvl w:val="0"/>
          <w:numId w:val="17"/>
        </w:numPr>
        <w:rPr>
          <w:rFonts w:ascii="Arial" w:cs="Arial" w:eastAsia="Arial" w:hAnsi="Arial"/>
          <w:sz w:val="16"/>
          <w:szCs w:val="16"/>
          <w:color w:val="auto"/>
        </w:rPr>
      </w:pPr>
      <w:r>
        <w:rPr>
          <w:rFonts w:ascii="Arial" w:cs="Arial" w:eastAsia="Arial" w:hAnsi="Arial"/>
          <w:sz w:val="16"/>
          <w:szCs w:val="16"/>
          <w:color w:val="auto"/>
        </w:rPr>
        <w:t xml:space="preserve">Four downloadable content packs for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-43815</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Three content packs for </w:t>
      </w:r>
      <w:r>
        <w:rPr>
          <w:rFonts w:ascii="Arial" w:cs="Arial" w:eastAsia="Arial" w:hAnsi="Arial"/>
          <w:sz w:val="18"/>
          <w:szCs w:val="18"/>
          <w:i w:val="1"/>
          <w:iCs w:val="1"/>
          <w:color w:val="auto"/>
        </w:rPr>
        <w:t>Hearthstone</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Overwatch</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Farm Heroes Super Saga™</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World of Warcraft: Legion™</w:t>
      </w:r>
      <w:r>
        <w:rPr>
          <w:rFonts w:ascii="Arial" w:cs="Arial" w:eastAsia="Arial" w:hAnsi="Arial"/>
          <w:sz w:val="18"/>
          <w:szCs w:val="18"/>
          <w:color w:val="auto"/>
        </w:rPr>
        <w: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Destiny: Rise of Iron </w:t>
      </w:r>
      <w:r>
        <w:rPr>
          <w:rFonts w:ascii="Arial" w:cs="Arial" w:eastAsia="Arial" w:hAnsi="Arial"/>
          <w:sz w:val="18"/>
          <w:szCs w:val="18"/>
          <w:color w:val="auto"/>
        </w:rPr>
        <w:t>(expansion pack for</w:t>
      </w:r>
      <w:r>
        <w:rPr>
          <w:rFonts w:ascii="Arial" w:cs="Arial" w:eastAsia="Arial" w:hAnsi="Arial"/>
          <w:sz w:val="18"/>
          <w:szCs w:val="18"/>
          <w:i w:val="1"/>
          <w:iCs w:val="1"/>
          <w:color w:val="auto"/>
        </w:rPr>
        <w:t xml:space="preserve"> Destiny</w:t>
      </w:r>
      <w:r>
        <w:rPr>
          <w:rFonts w:ascii="Arial" w:cs="Arial" w:eastAsia="Arial" w:hAnsi="Arial"/>
          <w:sz w:val="18"/>
          <w:szCs w:val="18"/>
          <w:color w:val="auto"/>
        </w:rPr>
        <w: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Skylanders Imaginators</w:t>
      </w:r>
      <w:r>
        <w:rPr>
          <w:rFonts w:ascii="Arial" w:cs="Arial" w:eastAsia="Arial" w:hAnsi="Arial"/>
          <w:sz w:val="18"/>
          <w:szCs w:val="18"/>
          <w:color w:val="auto"/>
        </w:rPr>
        <w: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featuring</w:t>
      </w:r>
      <w:r>
        <w:rPr>
          <w:rFonts w:ascii="Arial" w:cs="Arial" w:eastAsia="Arial" w:hAnsi="Arial"/>
          <w:sz w:val="18"/>
          <w:szCs w:val="18"/>
          <w:i w:val="1"/>
          <w:iCs w:val="1"/>
          <w:color w:val="auto"/>
        </w:rPr>
        <w:t xml:space="preserve"> Modern Warfare® Remastered.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Monthly Active Users ("MAUs"): Measuring the Size and Engagement of Our User Base</w:t>
      </w:r>
    </w:p>
    <w:p>
      <w:pPr>
        <w:spacing w:after="0" w:line="225"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monitor MAUs as a key measure of the overall size of our user base and its regular engagement with our portfolio of games. MAUs are the number of individuals who played a particular game in a given month. We calculate average MAUs in a period by adding the total number of MAUs in each of the months in a given period and dividing that total by the number of months in the period. An individual who plays two of our games would be counted as two users. In addition, due to technical limitations, for Activision and King, an individual who plays the same game on two platforms or devices in the relevant period would be counted as two users. For Blizzard, an individual who plays the same game on two platforms or devices in the relevant period would generally be counted as a single user.</w:t>
      </w:r>
    </w:p>
    <w:p>
      <w:pPr>
        <w:spacing w:after="0" w:line="198" w:lineRule="exact"/>
        <w:rPr>
          <w:sz w:val="20"/>
          <w:szCs w:val="20"/>
          <w:color w:val="auto"/>
        </w:rPr>
      </w:pPr>
    </w:p>
    <w:p>
      <w:pPr>
        <w:ind w:right="380" w:firstLine="348"/>
        <w:spacing w:after="0" w:line="256" w:lineRule="auto"/>
        <w:rPr>
          <w:sz w:val="20"/>
          <w:szCs w:val="20"/>
          <w:color w:val="auto"/>
        </w:rPr>
      </w:pPr>
      <w:r>
        <w:rPr>
          <w:rFonts w:ascii="Arial" w:cs="Arial" w:eastAsia="Arial" w:hAnsi="Arial"/>
          <w:sz w:val="18"/>
          <w:szCs w:val="18"/>
          <w:color w:val="auto"/>
        </w:rPr>
        <w:t>The number of MAUs for a given period can be significantly impacted by the timing of new content releases, since new releases may cause a temporary surge in MAUs. Accordingly, although we believe that overall trending in the number of MAUs can be a meaningful performance metric, period-to-period fluctuations may not be indicative of longer-term trends. The following table details our average MAUs on a sequential quarterly basis for our reportable segments (amounts in millions):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Pr>
          <w:p>
            <w:pPr>
              <w:jc w:val="right"/>
              <w:ind w:right="19"/>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000" w:type="dxa"/>
            <w:vAlign w:val="bottom"/>
          </w:tcPr>
          <w:p>
            <w:pPr>
              <w:jc w:val="right"/>
              <w:ind w:right="26"/>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660" w:type="dxa"/>
            <w:vAlign w:val="bottom"/>
          </w:tcPr>
          <w:p>
            <w:pPr>
              <w:jc w:val="right"/>
              <w:ind w:right="26"/>
              <w:spacing w:after="0"/>
              <w:rPr>
                <w:sz w:val="20"/>
                <w:szCs w:val="20"/>
                <w:color w:val="auto"/>
              </w:rPr>
            </w:pPr>
            <w:r>
              <w:rPr>
                <w:rFonts w:ascii="Arial" w:cs="Arial" w:eastAsia="Arial" w:hAnsi="Arial"/>
                <w:sz w:val="14"/>
                <w:szCs w:val="14"/>
                <w:b w:val="1"/>
                <w:bCs w:val="1"/>
                <w:color w:val="auto"/>
                <w:w w:val="96"/>
              </w:rPr>
              <w:t>June 30,</w:t>
            </w:r>
          </w:p>
        </w:tc>
        <w:tc>
          <w:tcPr>
            <w:tcW w:w="160" w:type="dxa"/>
            <w:vAlign w:val="bottom"/>
          </w:tcPr>
          <w:p>
            <w:pPr>
              <w:spacing w:after="0"/>
              <w:rPr>
                <w:sz w:val="14"/>
                <w:szCs w:val="14"/>
                <w:color w:val="auto"/>
              </w:rPr>
            </w:pPr>
          </w:p>
        </w:tc>
        <w:tc>
          <w:tcPr>
            <w:tcW w:w="740" w:type="dxa"/>
            <w:vAlign w:val="bottom"/>
          </w:tcPr>
          <w:p>
            <w:pPr>
              <w:jc w:val="right"/>
              <w:ind w:right="6"/>
              <w:spacing w:after="0"/>
              <w:rPr>
                <w:sz w:val="20"/>
                <w:szCs w:val="20"/>
                <w:color w:val="auto"/>
              </w:rPr>
            </w:pPr>
            <w:r>
              <w:rPr>
                <w:rFonts w:ascii="Arial" w:cs="Arial" w:eastAsia="Arial" w:hAnsi="Arial"/>
                <w:sz w:val="14"/>
                <w:szCs w:val="14"/>
                <w:b w:val="1"/>
                <w:bCs w:val="1"/>
                <w:color w:val="auto"/>
                <w:w w:val="99"/>
              </w:rPr>
              <w:t>March 31,</w:t>
            </w:r>
          </w:p>
        </w:tc>
        <w:tc>
          <w:tcPr>
            <w:tcW w:w="180" w:type="dxa"/>
            <w:vAlign w:val="bottom"/>
          </w:tcPr>
          <w:p>
            <w:pPr>
              <w:spacing w:after="0"/>
              <w:rPr>
                <w:sz w:val="14"/>
                <w:szCs w:val="14"/>
                <w:color w:val="auto"/>
              </w:rPr>
            </w:pPr>
          </w:p>
        </w:tc>
        <w:tc>
          <w:tcPr>
            <w:tcW w:w="960" w:type="dxa"/>
            <w:vAlign w:val="bottom"/>
          </w:tcPr>
          <w:p>
            <w:pPr>
              <w:jc w:val="right"/>
              <w:ind w:right="26"/>
              <w:spacing w:after="0"/>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r>
      <w:tr>
        <w:trPr>
          <w:trHeight w:val="161"/>
        </w:trPr>
        <w:tc>
          <w:tcPr>
            <w:tcW w:w="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6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660" w:type="dxa"/>
            <w:vAlign w:val="bottom"/>
            <w:tcBorders>
              <w:bottom w:val="single" w:sz="8" w:color="auto"/>
            </w:tcBorders>
          </w:tcPr>
          <w:p>
            <w:pPr>
              <w:jc w:val="right"/>
              <w:ind w:right="126"/>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740" w:type="dxa"/>
            <w:vAlign w:val="bottom"/>
            <w:tcBorders>
              <w:bottom w:val="single" w:sz="8" w:color="auto"/>
            </w:tcBorders>
          </w:tcPr>
          <w:p>
            <w:pPr>
              <w:jc w:val="right"/>
              <w:ind w:right="166"/>
              <w:spacing w:after="0"/>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4"/>
                <w:szCs w:val="14"/>
                <w:color w:val="auto"/>
              </w:rPr>
            </w:pPr>
          </w:p>
        </w:tc>
        <w:tc>
          <w:tcPr>
            <w:tcW w:w="960" w:type="dxa"/>
            <w:vAlign w:val="bottom"/>
            <w:tcBorders>
              <w:bottom w:val="single" w:sz="8" w:color="auto"/>
            </w:tcBorders>
          </w:tcPr>
          <w:p>
            <w:pPr>
              <w:jc w:val="right"/>
              <w:ind w:right="28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00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Activision</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Blizzard</w:t>
            </w:r>
          </w:p>
        </w:tc>
        <w:tc>
          <w:tcPr>
            <w:tcW w:w="960" w:type="dxa"/>
            <w:vAlign w:val="bottom"/>
          </w:tcPr>
          <w:p>
            <w:pPr>
              <w:jc w:val="right"/>
              <w:spacing w:after="0"/>
              <w:rPr>
                <w:sz w:val="20"/>
                <w:szCs w:val="20"/>
                <w:color w:val="auto"/>
              </w:rPr>
            </w:pPr>
            <w:r>
              <w:rPr>
                <w:rFonts w:ascii="Arial" w:cs="Arial" w:eastAsia="Arial" w:hAnsi="Arial"/>
                <w:sz w:val="18"/>
                <w:szCs w:val="18"/>
                <w:color w:val="auto"/>
              </w:rPr>
              <w:t>41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33</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King</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shd w:val="clear" w:color="auto" w:fill="CCEEFF"/>
          </w:tcPr>
          <w:p>
            <w:pPr>
              <w:spacing w:after="0"/>
              <w:rPr>
                <w:sz w:val="18"/>
                <w:szCs w:val="18"/>
                <w:color w:val="auto"/>
              </w:rPr>
            </w:pPr>
          </w:p>
        </w:tc>
      </w:tr>
      <w:tr>
        <w:trPr>
          <w:trHeight w:val="210"/>
        </w:trPr>
        <w:tc>
          <w:tcPr>
            <w:tcW w:w="2960" w:type="dxa"/>
            <w:vAlign w:val="bottom"/>
            <w:gridSpan w:val="2"/>
          </w:tcPr>
          <w:p>
            <w:pPr>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491</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544</w:t>
            </w:r>
          </w:p>
        </w:tc>
        <w:tc>
          <w:tcPr>
            <w:tcW w:w="1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530</w:t>
            </w:r>
          </w:p>
        </w:tc>
        <w:tc>
          <w:tcPr>
            <w:tcW w:w="16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 xml:space="preserve">Average MAUs decreased by 35 million, or 7%, for the quarter ended December 31, 2016, as compared to the quarter ended September 30, 2016. The decrease in King's average MAUs is due to decreases across King's franchises that are largely attributable to less engaged users leaving the network. The increase in Activision's average MAUs is reflective of the launch of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in November 2016 along with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xml:space="preserve"> continuing to have strong MAU retention relative to previous releases.</w:t>
      </w:r>
    </w:p>
    <w:p>
      <w:pPr>
        <w:spacing w:after="0" w:line="197" w:lineRule="exact"/>
        <w:rPr>
          <w:sz w:val="20"/>
          <w:szCs w:val="20"/>
          <w:color w:val="auto"/>
        </w:rPr>
      </w:pPr>
    </w:p>
    <w:p>
      <w:pPr>
        <w:ind w:right="460" w:firstLine="341"/>
        <w:spacing w:after="0" w:line="306" w:lineRule="auto"/>
        <w:rPr>
          <w:sz w:val="20"/>
          <w:szCs w:val="20"/>
          <w:color w:val="auto"/>
        </w:rPr>
      </w:pPr>
      <w:r>
        <w:rPr>
          <w:rFonts w:ascii="Arial" w:cs="Arial" w:eastAsia="Arial" w:hAnsi="Arial"/>
          <w:sz w:val="16"/>
          <w:szCs w:val="16"/>
          <w:color w:val="auto"/>
        </w:rPr>
        <w:t xml:space="preserve">Average MAUs decreased by 83 million, or 16%, for the quarter ended December 31, 2016, as compared to the quarter ended December 31, 2015. The decrease in King's average MAUs is due to decreases across King's franchises that are largely attributable to less engaged users leaving the network. This decrease is partially offset by the increase in Blizzard's average MAUs, driven by the release of </w:t>
      </w:r>
      <w:r>
        <w:rPr>
          <w:rFonts w:ascii="Arial" w:cs="Arial" w:eastAsia="Arial" w:hAnsi="Arial"/>
          <w:sz w:val="16"/>
          <w:szCs w:val="16"/>
          <w:i w:val="1"/>
          <w:iCs w:val="1"/>
          <w:color w:val="auto"/>
        </w:rPr>
        <w:t>Overwatch</w:t>
      </w:r>
      <w:r>
        <w:rPr>
          <w:rFonts w:ascii="Arial" w:cs="Arial" w:eastAsia="Arial" w:hAnsi="Arial"/>
          <w:sz w:val="16"/>
          <w:szCs w:val="16"/>
          <w:color w:val="auto"/>
        </w:rPr>
        <w:t xml:space="preserve"> in May 2016.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Sales</w:t>
      </w:r>
    </w:p>
    <w:p>
      <w:pPr>
        <w:spacing w:after="0" w:line="225"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International sales are a fundamental part of our business. An important element of our international strategy is to develop content that is specifically directed toward local cultures and customs. Net revenues from international sales accounted for approximately 48%, 48%, and 50% of our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total consolidated net revenues for the years ended December 31, 2016, 2015, and 2014, respectively. The majority of our net revenues from foreign countries is generated by consumers in Australia, Canada, China, France, Germany, Italy, Japan, the Netherlands, South Korea, Spain, Sweden, and the United Kingdom. Our international business is subject to risks typical of an international business, including, but not limited to, foreign currency exchange rate volatility and changes in local economies. Accordingly, our future results could be materially and adversely affected by changes in foreign currency exchange rates and changes in local economies.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Overview of Business Trends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Interactive Entertainment and Mobile Gaming Growth</w:t>
      </w:r>
    </w:p>
    <w:p>
      <w:pPr>
        <w:spacing w:after="0" w:line="225" w:lineRule="exact"/>
        <w:rPr>
          <w:sz w:val="20"/>
          <w:szCs w:val="20"/>
          <w:color w:val="auto"/>
        </w:rPr>
      </w:pPr>
    </w:p>
    <w:p>
      <w:pPr>
        <w:ind w:right="280" w:firstLine="351"/>
        <w:spacing w:after="0" w:line="335" w:lineRule="auto"/>
        <w:rPr>
          <w:sz w:val="20"/>
          <w:szCs w:val="20"/>
          <w:color w:val="auto"/>
        </w:rPr>
      </w:pPr>
      <w:r>
        <w:rPr>
          <w:rFonts w:ascii="Arial" w:cs="Arial" w:eastAsia="Arial" w:hAnsi="Arial"/>
          <w:sz w:val="15"/>
          <w:szCs w:val="15"/>
          <w:color w:val="auto"/>
        </w:rPr>
        <w:t>Our business participates in the global interactive entertainment industry. Games have become an increasingly popular form of entertainment, and we estimate the total industry has grown, on average, 19% annually over the last four years. The industry continues to benefit from additional players entering the market as interactive entertainment becomes more common place across age groups and as more developing regions gain access to this form of entertainment.</w:t>
      </w:r>
    </w:p>
    <w:p>
      <w:pPr>
        <w:spacing w:after="0" w:line="142" w:lineRule="exact"/>
        <w:rPr>
          <w:sz w:val="20"/>
          <w:szCs w:val="20"/>
          <w:color w:val="auto"/>
        </w:rPr>
      </w:pPr>
    </w:p>
    <w:p>
      <w:pPr>
        <w:ind w:right="160" w:firstLine="351"/>
        <w:spacing w:after="0" w:line="255" w:lineRule="auto"/>
        <w:rPr>
          <w:sz w:val="20"/>
          <w:szCs w:val="20"/>
          <w:color w:val="auto"/>
        </w:rPr>
      </w:pPr>
      <w:r>
        <w:rPr>
          <w:rFonts w:ascii="Arial" w:cs="Arial" w:eastAsia="Arial" w:hAnsi="Arial"/>
          <w:sz w:val="18"/>
          <w:szCs w:val="18"/>
          <w:color w:val="auto"/>
        </w:rPr>
        <w:t>Further, the wide adoption of smart phones globally and the free-to-play business model on those platforms has increased the total addressable market for gaming significantly. Smart phones and associated free-to-play games have introduced gaming to new age groups and new regions and allowed gaming to occur more widely outside the home. Mobile gaming is now estimated to be larger than console and PC gaming and continues to grow at a significant rate. King is a leading developer of mobile and free-to-play games. In addition, our other segments have mobile efforts underway that present the opportunity for us to drive additional player investment from our franchises.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Opportunities To Expand Franchises Outside of Games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Our fans spend significant time investing in our franchises through purchases of our game content, whether through purchases of full games or downloadable content or via microtransactions. Given the passion our players have for our franchises, we believe there are emerging opportunities to drive player investment outside of game purchases. These opportunities include esports, film and television, and consumer products. Our efforts to build these additional opportunities are still relatively nascent, but we view them as potentially significant sources of future revenues.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Sales Among the Most Popular Franchises</w:t>
      </w:r>
    </w:p>
    <w:p>
      <w:pPr>
        <w:spacing w:after="0" w:line="225"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The concentration of retail revenues among key titles has continued as a trend in the overall interactive software industry. According to The NPD Group, the top 10 titles accounted for 32% of the retail sales in the U.S. interactive entertainment industry in 2016. Similarly, a significant portion of our revenues has historically been derived from video games based on a few popular franchises and these video games were responsible for a disproportionately high percentage of our profits. For example, the Call of Duty, Candy Crush, World of Warcraft, and Overwatch franchises, collectively, accounted for 69% of our consolidated net revenues, and a significantly higher percentage of our operating income, for 2016.</w:t>
      </w:r>
    </w:p>
    <w:p>
      <w:pPr>
        <w:spacing w:after="0" w:line="170" w:lineRule="exact"/>
        <w:rPr>
          <w:sz w:val="20"/>
          <w:szCs w:val="20"/>
          <w:color w:val="auto"/>
        </w:rPr>
      </w:pPr>
    </w:p>
    <w:p>
      <w:pPr>
        <w:jc w:val="both"/>
        <w:ind w:right="240" w:firstLine="348"/>
        <w:spacing w:after="0" w:line="259" w:lineRule="auto"/>
        <w:rPr>
          <w:sz w:val="20"/>
          <w:szCs w:val="20"/>
          <w:color w:val="auto"/>
        </w:rPr>
      </w:pPr>
      <w:r>
        <w:rPr>
          <w:rFonts w:ascii="Arial" w:cs="Arial" w:eastAsia="Arial" w:hAnsi="Arial"/>
          <w:sz w:val="18"/>
          <w:szCs w:val="18"/>
          <w:color w:val="auto"/>
        </w:rPr>
        <w:t>The top titles in the industry are also becoming more consistent as players and revenues concentrate more heavily in established franchises. Of the top 10 console franchises in 2016, all 10 are from established franchises. Similarly, according to U.S rankings for the Apple App Store and Google Play store per App Annie Intelligence, the top 10 mobile games have an average tenure of 24 months.</w:t>
      </w:r>
    </w:p>
    <w:p>
      <w:pPr>
        <w:spacing w:after="0" w:line="194" w:lineRule="exact"/>
        <w:rPr>
          <w:sz w:val="20"/>
          <w:szCs w:val="20"/>
          <w:color w:val="auto"/>
        </w:rPr>
      </w:pPr>
    </w:p>
    <w:p>
      <w:pPr>
        <w:ind w:right="320" w:firstLine="351"/>
        <w:spacing w:after="0" w:line="332" w:lineRule="auto"/>
        <w:rPr>
          <w:sz w:val="20"/>
          <w:szCs w:val="20"/>
          <w:color w:val="auto"/>
        </w:rPr>
      </w:pPr>
      <w:r>
        <w:rPr>
          <w:rFonts w:ascii="Arial" w:cs="Arial" w:eastAsia="Arial" w:hAnsi="Arial"/>
          <w:sz w:val="16"/>
          <w:szCs w:val="16"/>
          <w:color w:val="auto"/>
        </w:rPr>
        <w:t xml:space="preserve">In addition to investing in and developing sequels and content for our top titles, we are continually exploring additional ways to expand those franchises. Further, we invest in new properties in an effort to develop the future top franchises. In 2014, we released </w:t>
      </w:r>
      <w:r>
        <w:rPr>
          <w:rFonts w:ascii="Arial" w:cs="Arial" w:eastAsia="Arial" w:hAnsi="Arial"/>
          <w:sz w:val="16"/>
          <w:szCs w:val="16"/>
          <w:i w:val="1"/>
          <w:iCs w:val="1"/>
          <w:color w:val="auto"/>
        </w:rPr>
        <w:t>Hearthstone</w:t>
      </w:r>
      <w:r>
        <w:rPr>
          <w:rFonts w:ascii="Arial" w:cs="Arial" w:eastAsia="Arial" w:hAnsi="Arial"/>
          <w:sz w:val="16"/>
          <w:szCs w:val="16"/>
          <w:color w:val="auto"/>
        </w:rPr>
        <w:t xml:space="preserve"> and </w:t>
      </w:r>
      <w:r>
        <w:rPr>
          <w:rFonts w:ascii="Arial" w:cs="Arial" w:eastAsia="Arial" w:hAnsi="Arial"/>
          <w:sz w:val="16"/>
          <w:szCs w:val="16"/>
          <w:i w:val="1"/>
          <w:iCs w:val="1"/>
          <w:color w:val="auto"/>
        </w:rPr>
        <w:t>Destiny</w:t>
      </w:r>
      <w:r>
        <w:rPr>
          <w:rFonts w:ascii="Arial" w:cs="Arial" w:eastAsia="Arial" w:hAnsi="Arial"/>
          <w:sz w:val="16"/>
          <w:szCs w:val="16"/>
          <w:color w:val="auto"/>
        </w:rPr>
        <w:t>, in 2015, we released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i w:val="1"/>
          <w:iCs w:val="1"/>
          <w:color w:val="auto"/>
        </w:rPr>
        <w:t>Heroes of the Storm</w:t>
      </w:r>
      <w:r>
        <w:rPr>
          <w:rFonts w:ascii="Arial" w:cs="Arial" w:eastAsia="Arial" w:hAnsi="Arial"/>
          <w:sz w:val="16"/>
          <w:szCs w:val="16"/>
          <w:color w:val="auto"/>
        </w:rPr>
        <w:t>, and on May 24, 2016, we released</w:t>
      </w:r>
      <w:r>
        <w:rPr>
          <w:rFonts w:ascii="Arial" w:cs="Arial" w:eastAsia="Arial" w:hAnsi="Arial"/>
          <w:sz w:val="16"/>
          <w:szCs w:val="16"/>
          <w:i w:val="1"/>
          <w:iCs w:val="1"/>
          <w:color w:val="auto"/>
        </w:rPr>
        <w:t xml:space="preserve"> Overwatch</w:t>
      </w:r>
      <w:r>
        <w:rPr>
          <w:rFonts w:ascii="Arial" w:cs="Arial" w:eastAsia="Arial" w:hAnsi="Arial"/>
          <w:sz w:val="16"/>
          <w:szCs w:val="16"/>
          <w:color w:val="auto"/>
        </w:rPr>
        <w:t>. There is no guarantee these investments will result in established franchises. Additionally, to</w:t>
      </w:r>
      <w:r>
        <w:rPr>
          <w:rFonts w:ascii="Arial" w:cs="Arial" w:eastAsia="Arial" w:hAnsi="Arial"/>
          <w:sz w:val="16"/>
          <w:szCs w:val="16"/>
          <w:i w:val="1"/>
          <w:iCs w:val="1"/>
          <w:color w:val="auto"/>
        </w:rPr>
        <w:t xml:space="preserve"> </w:t>
      </w:r>
      <w:r>
        <w:rPr>
          <w:rFonts w:ascii="Arial" w:cs="Arial" w:eastAsia="Arial" w:hAnsi="Arial"/>
          <w:sz w:val="16"/>
          <w:szCs w:val="16"/>
          <w:color w:val="auto"/>
        </w:rPr>
        <w:t>diversify our portfolio of key franchises and increase our presence in the mobile market, on February 23, 2016, we acquired King.</w:t>
      </w:r>
    </w:p>
    <w:p>
      <w:pPr>
        <w:spacing w:after="0" w:line="139"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Overall, we do expect that a limited number of popular franchises will continue to produce a disproportionately high percentage of our, and the industry's, revenues and profits in the near future. Accordingly, our ability to maintain our top franchises and our ability to successfully compete against our competitors' top franchises can significantly impact our performance.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Revenue Business Models and Seasonality</w:t>
      </w:r>
    </w:p>
    <w:p>
      <w:pPr>
        <w:spacing w:after="0" w:line="225"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Increased consumer online connectivity has allowed us to offer players new investment opportunities and to shift our business to a more recurring and year-round model. Offering downloadable content and microtransactions, in addition to full games, allows our players to access and invest in new content throughout the year. This incremental content not only provides additional high-margin revenue, it can also increase engagement. Also, mobile games, and free-to-play games more broadly, are generally less seasonal.</w:t>
      </w:r>
    </w:p>
    <w:p>
      <w:pPr>
        <w:spacing w:after="0" w:line="197"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While our business is transitioning to a year-round engagement model, the interactive entertainment industry remains somewhat seasonal. We have historically experienced our highest sales volume, particularly for Activision, in the year-end holiday buying season, which occurs in the fourth quarter. As we make the shift to a year-round model and also now include the operating results of King, which focuses on free-to-play games, less of our revenues are coming from the fourth quarter. For our reportable segments—Activision, Blizzard, and King—the percentage of our revenue represented by the fourth quarter in 2016 decreased by 10% year-over-year to 36%, compared with 46% in 2015.</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31" w:lineRule="exact"/>
        <w:rPr>
          <w:sz w:val="20"/>
          <w:szCs w:val="20"/>
          <w:color w:val="auto"/>
        </w:rPr>
      </w:pPr>
    </w:p>
    <w:p>
      <w:pPr>
        <w:jc w:val="both"/>
        <w:ind w:right="420" w:firstLine="351"/>
        <w:spacing w:after="0" w:line="256" w:lineRule="auto"/>
        <w:rPr>
          <w:sz w:val="20"/>
          <w:szCs w:val="20"/>
          <w:color w:val="auto"/>
        </w:rPr>
      </w:pPr>
      <w:r>
        <w:rPr>
          <w:rFonts w:ascii="Arial" w:cs="Arial" w:eastAsia="Arial" w:hAnsi="Arial"/>
          <w:sz w:val="18"/>
          <w:szCs w:val="18"/>
          <w:color w:val="auto"/>
        </w:rPr>
        <w:t xml:space="preserve">In 2017, we will have a lighter slate of full-game releases than 2016, which we expect to result in lower revenues and earnings per share than we had in 2016. For Activision, we do expect to release the first sequel to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and a new Call of Duty title in the second half of the year, however, our Skylanders franchise will not have a new full console game launch in 2017. Across our businesses, we will continue to focus on our opportunities for year-round player engagement and investment.</w:t>
      </w:r>
    </w:p>
    <w:p>
      <w:pPr>
        <w:spacing w:after="0" w:line="19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While our results for 2017 will include the full-year operations of King, the expected results will continue to be impacted by additional accounting charges associated with the King Acquisition, which include, among other things, integration and acquisition-related costs, the amortization of intangible assets resulting from purchase price accounting adjustments, and the related tax impact from the King Acquisition. While the majority of these GAAP accounting charges will not impact the economics or operating cash flows of our business, they will have a material impact on our GAAP results.</w:t>
      </w:r>
    </w:p>
    <w:p>
      <w:pPr>
        <w:spacing w:after="0" w:line="167"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Finally, one of our current initiatives is to create an esports equivalent of the world's established major professional sport leagues. This may provide for additional opportunities in 2017 through strategically important emerging new revenue streams, including possible team sales for the Overwatch League</w:t>
      </w:r>
      <w:r>
        <w:rPr>
          <w:rFonts w:ascii="Arial" w:cs="Arial" w:eastAsia="Arial" w:hAnsi="Arial"/>
          <w:sz w:val="18"/>
          <w:szCs w:val="18"/>
          <w:i w:val="1"/>
          <w:iCs w:val="1"/>
          <w:color w:val="auto"/>
        </w:rPr>
        <w:t>™</w:t>
      </w:r>
      <w:r>
        <w:rPr>
          <w:rFonts w:ascii="Arial" w:cs="Arial" w:eastAsia="Arial" w:hAnsi="Arial"/>
          <w:sz w:val="18"/>
          <w:szCs w:val="18"/>
          <w:color w:val="auto"/>
        </w:rPr>
        <w:t>, the associated media rights, and in-game advertising.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 Data</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sets forth consolidated statements of operations data for the periods indicated in dollars and as a percentage of total net revenues, except for cost of revenues, which are presented as a percentage of associated revenues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10"/>
          </w:tcPr>
          <w:p>
            <w:pPr>
              <w:jc w:val="center"/>
              <w:ind w:right="380"/>
              <w:spacing w:after="0"/>
              <w:rPr>
                <w:sz w:val="20"/>
                <w:szCs w:val="20"/>
                <w:color w:val="auto"/>
              </w:rPr>
            </w:pPr>
            <w:r>
              <w:rPr>
                <w:rFonts w:ascii="Arial" w:cs="Arial" w:eastAsia="Arial" w:hAnsi="Arial"/>
                <w:sz w:val="14"/>
                <w:szCs w:val="14"/>
                <w:b w:val="1"/>
                <w:bCs w:val="1"/>
                <w:color w:val="auto"/>
                <w:w w:val="87"/>
              </w:rPr>
              <w:t>For the Years Ended December 31,</w:t>
            </w: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gridSpan w:val="2"/>
          </w:tcPr>
          <w:p>
            <w:pPr>
              <w:jc w:val="right"/>
              <w:ind w:right="60"/>
              <w:spacing w:after="0" w:line="142" w:lineRule="exact"/>
              <w:rPr>
                <w:sz w:val="20"/>
                <w:szCs w:val="20"/>
                <w:color w:val="auto"/>
              </w:rPr>
            </w:pPr>
            <w:r>
              <w:rPr>
                <w:rFonts w:ascii="Arial" w:cs="Arial" w:eastAsia="Arial" w:hAnsi="Arial"/>
                <w:sz w:val="14"/>
                <w:szCs w:val="14"/>
                <w:b w:val="1"/>
                <w:bCs w:val="1"/>
                <w:color w:val="auto"/>
              </w:rPr>
              <w:t>2014</w:t>
            </w:r>
          </w:p>
        </w:tc>
        <w:tc>
          <w:tcPr>
            <w:tcW w:w="4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Product sales</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2,196</w:t>
            </w:r>
          </w:p>
        </w:tc>
        <w:tc>
          <w:tcPr>
            <w:tcW w:w="160" w:type="dxa"/>
            <w:vAlign w:val="bottom"/>
          </w:tcPr>
          <w:p>
            <w:pPr>
              <w:spacing w:after="0"/>
              <w:rPr>
                <w:sz w:val="18"/>
                <w:szCs w:val="18"/>
                <w:color w:val="auto"/>
              </w:rPr>
            </w:pPr>
          </w:p>
        </w:tc>
        <w:tc>
          <w:tcPr>
            <w:tcW w:w="740" w:type="dxa"/>
            <w:vAlign w:val="bottom"/>
            <w:gridSpan w:val="3"/>
          </w:tcPr>
          <w:p>
            <w:pPr>
              <w:jc w:val="right"/>
              <w:ind w:right="60"/>
              <w:spacing w:after="0"/>
              <w:rPr>
                <w:sz w:val="20"/>
                <w:szCs w:val="20"/>
                <w:color w:val="auto"/>
              </w:rPr>
            </w:pPr>
            <w:r>
              <w:rPr>
                <w:rFonts w:ascii="Arial" w:cs="Arial" w:eastAsia="Arial" w:hAnsi="Arial"/>
                <w:sz w:val="18"/>
                <w:szCs w:val="18"/>
                <w:color w:val="auto"/>
              </w:rPr>
              <w:t>33%$</w:t>
            </w:r>
          </w:p>
        </w:tc>
        <w:tc>
          <w:tcPr>
            <w:tcW w:w="480" w:type="dxa"/>
            <w:vAlign w:val="bottom"/>
          </w:tcPr>
          <w:p>
            <w:pPr>
              <w:jc w:val="right"/>
              <w:spacing w:after="0"/>
              <w:rPr>
                <w:sz w:val="20"/>
                <w:szCs w:val="20"/>
                <w:color w:val="auto"/>
              </w:rPr>
            </w:pPr>
            <w:r>
              <w:rPr>
                <w:rFonts w:ascii="Arial" w:cs="Arial" w:eastAsia="Arial" w:hAnsi="Arial"/>
                <w:sz w:val="18"/>
                <w:szCs w:val="18"/>
                <w:color w:val="auto"/>
                <w:w w:val="97"/>
              </w:rPr>
              <w:t>2,447</w:t>
            </w:r>
          </w:p>
        </w:tc>
        <w:tc>
          <w:tcPr>
            <w:tcW w:w="160" w:type="dxa"/>
            <w:vAlign w:val="bottom"/>
          </w:tcPr>
          <w:p>
            <w:pPr>
              <w:spacing w:after="0"/>
              <w:rPr>
                <w:sz w:val="18"/>
                <w:szCs w:val="18"/>
                <w:color w:val="auto"/>
              </w:rPr>
            </w:pPr>
          </w:p>
        </w:tc>
        <w:tc>
          <w:tcPr>
            <w:tcW w:w="740" w:type="dxa"/>
            <w:vAlign w:val="bottom"/>
            <w:gridSpan w:val="3"/>
          </w:tcPr>
          <w:p>
            <w:pPr>
              <w:jc w:val="right"/>
              <w:ind w:right="80"/>
              <w:spacing w:after="0"/>
              <w:rPr>
                <w:sz w:val="20"/>
                <w:szCs w:val="20"/>
                <w:color w:val="auto"/>
              </w:rPr>
            </w:pPr>
            <w:r>
              <w:rPr>
                <w:rFonts w:ascii="Arial" w:cs="Arial" w:eastAsia="Arial" w:hAnsi="Arial"/>
                <w:sz w:val="18"/>
                <w:szCs w:val="18"/>
                <w:color w:val="auto"/>
              </w:rPr>
              <w:t>52%$</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2,786</w:t>
            </w:r>
          </w:p>
        </w:tc>
        <w:tc>
          <w:tcPr>
            <w:tcW w:w="1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63%</w:t>
            </w: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Subscription, licensing, and other revenues</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4,412</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2,217</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1,622</w:t>
            </w: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60" w:type="dxa"/>
            <w:vAlign w:val="bottom"/>
            <w:shd w:val="clear" w:color="auto" w:fill="CCEEFF"/>
          </w:tcPr>
          <w:p>
            <w:pPr>
              <w:spacing w:after="0"/>
              <w:rPr>
                <w:sz w:val="18"/>
                <w:szCs w:val="18"/>
                <w:color w:val="auto"/>
              </w:rPr>
            </w:pPr>
          </w:p>
        </w:tc>
      </w:tr>
      <w:tr>
        <w:trPr>
          <w:trHeight w:val="210"/>
        </w:trPr>
        <w:tc>
          <w:tcPr>
            <w:tcW w:w="4620" w:type="dxa"/>
            <w:vAlign w:val="bottom"/>
            <w:gridSpan w:val="3"/>
          </w:tcPr>
          <w:p>
            <w:pPr>
              <w:spacing w:after="0"/>
              <w:rPr>
                <w:sz w:val="20"/>
                <w:szCs w:val="20"/>
                <w:color w:val="auto"/>
              </w:rPr>
            </w:pPr>
            <w:r>
              <w:rPr>
                <w:rFonts w:ascii="Arial" w:cs="Arial" w:eastAsia="Arial" w:hAnsi="Arial"/>
                <w:sz w:val="18"/>
                <w:szCs w:val="18"/>
                <w:color w:val="auto"/>
              </w:rPr>
              <w:t>Total net revenues</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6,608</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4,664</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4,408</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Cost of revenues—product sales(1):</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Product costs</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w w:val="97"/>
              </w:rPr>
              <w:t>Software royalties, amortization, and intellectual property</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4600" w:type="dxa"/>
            <w:vAlign w:val="bottom"/>
            <w:gridSpan w:val="2"/>
          </w:tcPr>
          <w:p>
            <w:pPr>
              <w:ind w:left="340"/>
              <w:spacing w:after="0"/>
              <w:rPr>
                <w:sz w:val="20"/>
                <w:szCs w:val="20"/>
                <w:color w:val="auto"/>
              </w:rPr>
            </w:pPr>
            <w:r>
              <w:rPr>
                <w:rFonts w:ascii="Arial" w:cs="Arial" w:eastAsia="Arial" w:hAnsi="Arial"/>
                <w:sz w:val="18"/>
                <w:szCs w:val="18"/>
                <w:color w:val="auto"/>
              </w:rPr>
              <w:t>licenses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370</w:t>
            </w:r>
          </w:p>
        </w:tc>
        <w:tc>
          <w:tcPr>
            <w:tcW w:w="16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265</w:t>
            </w: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9"/>
                <w:szCs w:val="19"/>
                <w:color w:val="auto"/>
              </w:rPr>
            </w:pPr>
          </w:p>
        </w:tc>
      </w:tr>
      <w:tr>
        <w:trPr>
          <w:trHeight w:val="218"/>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 of revenues—subscription, licensing, and other(1):</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ind w:left="160"/>
              <w:spacing w:after="0"/>
              <w:rPr>
                <w:sz w:val="20"/>
                <w:szCs w:val="20"/>
                <w:color w:val="auto"/>
              </w:rPr>
            </w:pPr>
            <w:r>
              <w:rPr>
                <w:rFonts w:ascii="Arial" w:cs="Arial" w:eastAsia="Arial" w:hAnsi="Arial"/>
                <w:sz w:val="18"/>
                <w:szCs w:val="18"/>
                <w:color w:val="auto"/>
              </w:rPr>
              <w:t>Game operations and distribution costs</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274</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6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7"/>
              </w:rPr>
              <w:t>Software royalties, amortization, and intellectual property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licenses</w:t>
            </w:r>
          </w:p>
        </w:tc>
        <w:tc>
          <w:tcPr>
            <w:tcW w:w="4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Product development</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646</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571</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1,210</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General and administrative</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4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5,196</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3,345</w:t>
            </w:r>
          </w:p>
        </w:tc>
        <w:tc>
          <w:tcPr>
            <w:tcW w:w="16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3,225</w:t>
            </w: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r>
      <w:tr>
        <w:trPr>
          <w:trHeight w:val="210"/>
        </w:trPr>
        <w:tc>
          <w:tcPr>
            <w:tcW w:w="4620" w:type="dxa"/>
            <w:vAlign w:val="bottom"/>
            <w:gridSpan w:val="3"/>
          </w:tcPr>
          <w:p>
            <w:pPr>
              <w:spacing w:after="0"/>
              <w:rPr>
                <w:sz w:val="20"/>
                <w:szCs w:val="20"/>
                <w:color w:val="auto"/>
              </w:rPr>
            </w:pPr>
            <w:r>
              <w:rPr>
                <w:rFonts w:ascii="Arial" w:cs="Arial" w:eastAsia="Arial" w:hAnsi="Arial"/>
                <w:sz w:val="18"/>
                <w:szCs w:val="18"/>
                <w:color w:val="auto"/>
              </w:rPr>
              <w:t>Operating income</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1,412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97"/>
              </w:rPr>
              <w:t>1,319</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1,183</w:t>
            </w:r>
          </w:p>
        </w:tc>
        <w:tc>
          <w:tcPr>
            <w:tcW w:w="1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6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Loss on extinguishment of debt(2)</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74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4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1,106</w:t>
            </w: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1,121</w:t>
            </w:r>
          </w:p>
        </w:tc>
        <w:tc>
          <w:tcPr>
            <w:tcW w:w="16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80" w:type="dxa"/>
            <w:vAlign w:val="bottom"/>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6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2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line="323" w:lineRule="auto"/>
        <w:tabs>
          <w:tab w:leader="none" w:pos="1680" w:val="left"/>
        </w:tabs>
        <w:numPr>
          <w:ilvl w:val="0"/>
          <w:numId w:val="19"/>
        </w:numPr>
        <w:rPr>
          <w:rFonts w:ascii="Arial" w:cs="Arial" w:eastAsia="Arial" w:hAnsi="Arial"/>
          <w:sz w:val="15"/>
          <w:szCs w:val="15"/>
          <w:color w:val="auto"/>
        </w:rPr>
      </w:pPr>
      <w:r>
        <w:rPr>
          <w:rFonts w:ascii="Arial" w:cs="Arial" w:eastAsia="Arial" w:hAnsi="Arial"/>
          <w:sz w:val="15"/>
          <w:szCs w:val="15"/>
          <w:color w:val="auto"/>
        </w:rPr>
        <w:t>In periods prior to the second quarter of 2016, we presented cost of revenues in our consolidated statements of operations using the following four financial statement captions: "Cost of sales—product costs," "Cost of sales—online," "Cost of sales—software royalties and amortization," and "Cost of sales—intellectual property licenses." Since the second quarter of 2016, we have revised the presentation in our consolidated statements of operations to more clearly align our costs of revenues with the associated revenue captions as follows:</w:t>
      </w:r>
    </w:p>
    <w:p>
      <w:pPr>
        <w:spacing w:after="0" w:line="151" w:lineRule="exact"/>
        <w:rPr>
          <w:rFonts w:ascii="Arial" w:cs="Arial" w:eastAsia="Arial" w:hAnsi="Arial"/>
          <w:sz w:val="15"/>
          <w:szCs w:val="15"/>
          <w:color w:val="auto"/>
        </w:rPr>
      </w:pPr>
    </w:p>
    <w:p>
      <w:pPr>
        <w:ind w:left="1680"/>
        <w:spacing w:after="0"/>
        <w:rPr>
          <w:rFonts w:ascii="Arial" w:cs="Arial" w:eastAsia="Arial" w:hAnsi="Arial"/>
          <w:sz w:val="15"/>
          <w:szCs w:val="15"/>
          <w:color w:val="auto"/>
        </w:rPr>
      </w:pPr>
      <w:r>
        <w:rPr>
          <w:rFonts w:ascii="Arial" w:cs="Arial" w:eastAsia="Arial" w:hAnsi="Arial"/>
          <w:sz w:val="18"/>
          <w:szCs w:val="18"/>
          <w:color w:val="auto"/>
        </w:rPr>
        <w:t>Cost of revenues—product sales:</w:t>
      </w:r>
    </w:p>
    <w:p>
      <w:pPr>
        <w:spacing w:after="0" w:line="252" w:lineRule="exact"/>
        <w:rPr>
          <w:rFonts w:ascii="Arial" w:cs="Arial" w:eastAsia="Arial" w:hAnsi="Arial"/>
          <w:sz w:val="15"/>
          <w:szCs w:val="15"/>
          <w:color w:val="auto"/>
        </w:rPr>
      </w:pPr>
    </w:p>
    <w:p>
      <w:pPr>
        <w:ind w:left="2220" w:right="380" w:hanging="531"/>
        <w:spacing w:after="0" w:line="335" w:lineRule="auto"/>
        <w:tabs>
          <w:tab w:leader="none" w:pos="2220" w:val="left"/>
        </w:tabs>
        <w:numPr>
          <w:ilvl w:val="1"/>
          <w:numId w:val="19"/>
        </w:numPr>
        <w:rPr>
          <w:rFonts w:ascii="Arial" w:cs="Arial" w:eastAsia="Arial" w:hAnsi="Arial"/>
          <w:sz w:val="15"/>
          <w:szCs w:val="15"/>
          <w:color w:val="auto"/>
        </w:rPr>
      </w:pPr>
      <w:r>
        <w:rPr>
          <w:rFonts w:ascii="Arial" w:cs="Arial" w:eastAsia="Arial" w:hAnsi="Arial"/>
          <w:sz w:val="15"/>
          <w:szCs w:val="15"/>
          <w:color w:val="auto"/>
        </w:rPr>
        <w:t>"Product costs"—includes the manufacturing cost of goods produced and sold. This generally includes product costs, manufacturing royalties, net of volume discounts, personnel-related costs, warehousing, and distribution costs. We generally recognize volume discounts when they are earned (typically in connection with the achievement of unit-based milestones).</w:t>
      </w:r>
    </w:p>
    <w:p>
      <w:pPr>
        <w:spacing w:after="0" w:line="155" w:lineRule="exact"/>
        <w:rPr>
          <w:rFonts w:ascii="Arial" w:cs="Arial" w:eastAsia="Arial" w:hAnsi="Arial"/>
          <w:sz w:val="15"/>
          <w:szCs w:val="15"/>
          <w:color w:val="auto"/>
        </w:rPr>
      </w:pPr>
    </w:p>
    <w:p>
      <w:pPr>
        <w:ind w:left="2220" w:right="20" w:hanging="531"/>
        <w:spacing w:after="0" w:line="259" w:lineRule="auto"/>
        <w:tabs>
          <w:tab w:leader="none" w:pos="22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"Software royalties, amortization, and intellectual property licenses"—includes the amortization of capitalized software costs and royalties attributable to product sales revenues. These are costs capitalized on the balance sheet until the respective games are released, at</w:t>
      </w:r>
    </w:p>
    <w:p>
      <w:pPr>
        <w:spacing w:after="0" w:line="19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2220" w:right="720"/>
        <w:spacing w:after="0" w:line="268" w:lineRule="auto"/>
        <w:rPr>
          <w:sz w:val="20"/>
          <w:szCs w:val="20"/>
          <w:color w:val="auto"/>
        </w:rPr>
      </w:pPr>
      <w:r>
        <w:rPr>
          <w:rFonts w:ascii="Arial" w:cs="Arial" w:eastAsia="Arial" w:hAnsi="Arial"/>
          <w:sz w:val="18"/>
          <w:szCs w:val="18"/>
          <w:color w:val="auto"/>
        </w:rPr>
        <w:t>which time the capitalized costs are amortized. Also included is amortization of intangible assets recognized in purchase accounting attributable to product sales revenues.</w:t>
      </w:r>
    </w:p>
    <w:p>
      <w:pPr>
        <w:spacing w:after="0" w:line="186"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Cost of revenues—subscription, licensing, and other revenues:</w:t>
      </w:r>
    </w:p>
    <w:p>
      <w:pPr>
        <w:spacing w:after="0" w:line="239" w:lineRule="exact"/>
        <w:rPr>
          <w:sz w:val="20"/>
          <w:szCs w:val="20"/>
          <w:color w:val="auto"/>
        </w:rPr>
      </w:pPr>
    </w:p>
    <w:p>
      <w:pPr>
        <w:ind w:left="2220" w:right="80" w:hanging="531"/>
        <w:spacing w:after="0" w:line="268" w:lineRule="auto"/>
        <w:tabs>
          <w:tab w:leader="none" w:pos="2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"Game operations and distribution costs"—includes costs to operate our games, such as customer service, internet bandwidth and server costs, platform provider fees, and payment provider fees.</w:t>
      </w:r>
    </w:p>
    <w:p>
      <w:pPr>
        <w:spacing w:after="0" w:line="212" w:lineRule="exact"/>
        <w:rPr>
          <w:rFonts w:ascii="Arial" w:cs="Arial" w:eastAsia="Arial" w:hAnsi="Arial"/>
          <w:sz w:val="18"/>
          <w:szCs w:val="18"/>
          <w:color w:val="auto"/>
        </w:rPr>
      </w:pPr>
    </w:p>
    <w:p>
      <w:pPr>
        <w:ind w:left="2220" w:right="40" w:hanging="531"/>
        <w:spacing w:after="0" w:line="298" w:lineRule="auto"/>
        <w:tabs>
          <w:tab w:leader="none" w:pos="22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"Software royalties, amortization, and intellectual property licenses"—includes the amortization of capitalized software costs and royalties attributable to subscription, licensing and other revenues. These are costs capitalized on the balance sheet until the respective games are released, at which time the capitalized costs are amortized. Also included is amortization of intangible assets recognized in purchase accounting attributable to subscription, licensing, and other revenues.</w:t>
      </w:r>
    </w:p>
    <w:p>
      <w:pPr>
        <w:spacing w:after="0" w:line="167"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Prior periods have been reclassified to conform to the current presentation.</w:t>
      </w:r>
    </w:p>
    <w:p>
      <w:pPr>
        <w:spacing w:after="0" w:line="239" w:lineRule="exact"/>
        <w:rPr>
          <w:sz w:val="20"/>
          <w:szCs w:val="20"/>
          <w:color w:val="auto"/>
        </w:rPr>
      </w:pPr>
    </w:p>
    <w:p>
      <w:pPr>
        <w:ind w:left="1680" w:hanging="531"/>
        <w:spacing w:after="0" w:line="259" w:lineRule="auto"/>
        <w:tabs>
          <w:tab w:leader="none" w:pos="16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Represents the loss on extinguishment of debt we recognized during 2016 as a result of the extinguishment of certain term loan and senior note facilities through our refinancing activities, comprised of a premium payment of $63 million and write-off of unamortized discount and financing costs of $29 million.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Net Revenues</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our consolidated net revenues and the increase/(decrease) in deferred revenues recognized for the years ended December 31, 2016, 2015, and 2014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9"/>
          </w:tcPr>
          <w:p>
            <w:pPr>
              <w:jc w:val="right"/>
              <w:ind w:right="24"/>
              <w:spacing w:after="0"/>
              <w:rPr>
                <w:sz w:val="20"/>
                <w:szCs w:val="20"/>
                <w:color w:val="auto"/>
              </w:rPr>
            </w:pPr>
            <w:r>
              <w:rPr>
                <w:rFonts w:ascii="Arial" w:cs="Arial" w:eastAsia="Arial" w:hAnsi="Arial"/>
                <w:sz w:val="14"/>
                <w:szCs w:val="14"/>
                <w:b w:val="1"/>
                <w:bCs w:val="1"/>
                <w:color w:val="auto"/>
              </w:rPr>
              <w:t>For the Years Ended December 31,</w:t>
            </w: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Increase/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4"/>
              <w:spacing w:after="0" w:line="129" w:lineRule="exact"/>
              <w:rPr>
                <w:sz w:val="20"/>
                <w:szCs w:val="20"/>
                <w:color w:val="auto"/>
              </w:rPr>
            </w:pPr>
            <w:r>
              <w:rPr>
                <w:rFonts w:ascii="Arial" w:cs="Arial" w:eastAsia="Arial" w:hAnsi="Arial"/>
                <w:sz w:val="14"/>
                <w:szCs w:val="14"/>
                <w:b w:val="1"/>
                <w:bCs w:val="1"/>
                <w:color w:val="auto"/>
                <w:w w:val="85"/>
              </w:rPr>
              <w:t>Increase/</w:t>
            </w: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82"/>
              </w:rPr>
              <w:t>(decrease)</w:t>
            </w:r>
          </w:p>
        </w:tc>
        <w:tc>
          <w:tcPr>
            <w:tcW w:w="160" w:type="dxa"/>
            <w:vAlign w:val="bottom"/>
          </w:tcPr>
          <w:p>
            <w:pPr>
              <w:spacing w:after="0"/>
              <w:rPr>
                <w:sz w:val="12"/>
                <w:szCs w:val="12"/>
                <w:color w:val="auto"/>
              </w:rPr>
            </w:pPr>
          </w:p>
        </w:tc>
        <w:tc>
          <w:tcPr>
            <w:tcW w:w="10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 Change</w:t>
            </w:r>
          </w:p>
        </w:tc>
        <w:tc>
          <w:tcPr>
            <w:tcW w:w="102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 Change</w:t>
            </w:r>
          </w:p>
        </w:tc>
      </w:tr>
      <w:tr>
        <w:trPr>
          <w:trHeight w:val="161"/>
        </w:trPr>
        <w:tc>
          <w:tcPr>
            <w:tcW w:w="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62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7"/>
              </w:rPr>
              <w:t>2016 v 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4"/>
              <w:spacing w:after="0"/>
              <w:rPr>
                <w:sz w:val="20"/>
                <w:szCs w:val="20"/>
                <w:color w:val="auto"/>
              </w:rPr>
            </w:pPr>
            <w:r>
              <w:rPr>
                <w:rFonts w:ascii="Arial" w:cs="Arial" w:eastAsia="Arial" w:hAnsi="Arial"/>
                <w:sz w:val="14"/>
                <w:szCs w:val="14"/>
                <w:b w:val="1"/>
                <w:bCs w:val="1"/>
                <w:color w:val="auto"/>
                <w:w w:val="87"/>
              </w:rPr>
              <w:t>2015 v 2014</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2015 v 2014</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revenues</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6,608</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4,664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4,408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8"/>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3"/>
              </w:rPr>
              <w:t>Net effect from recognition (deferral)</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2720" w:type="dxa"/>
            <w:vAlign w:val="bottom"/>
          </w:tcPr>
          <w:p>
            <w:pPr>
              <w:ind w:left="160"/>
              <w:spacing w:after="0"/>
              <w:rPr>
                <w:sz w:val="20"/>
                <w:szCs w:val="20"/>
                <w:color w:val="auto"/>
              </w:rPr>
            </w:pPr>
            <w:r>
              <w:rPr>
                <w:rFonts w:ascii="Arial" w:cs="Arial" w:eastAsia="Arial" w:hAnsi="Arial"/>
                <w:sz w:val="18"/>
                <w:szCs w:val="18"/>
                <w:color w:val="auto"/>
              </w:rPr>
              <w:t>of deferred net revenues</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880" w:type="dxa"/>
            <w:vAlign w:val="bottom"/>
            <w:gridSpan w:val="3"/>
          </w:tcPr>
          <w:p>
            <w:pPr>
              <w:jc w:val="right"/>
              <w:ind w:right="40"/>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60" w:type="dxa"/>
            <w:vAlign w:val="bottom"/>
          </w:tcPr>
          <w:p>
            <w:pPr>
              <w:spacing w:after="0"/>
              <w:rPr>
                <w:sz w:val="19"/>
                <w:szCs w:val="19"/>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consolidated net revenues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New revenues from King titles following the King Closing Date, primarily driven by the Candy Crush franchise.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a new team-based first-person shooter released in May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which was released in the fourth quarter of 2015 and was the third game in</w:t>
      </w:r>
    </w:p>
    <w:p>
      <w:pPr>
        <w:spacing w:after="0" w:line="38" w:lineRule="exact"/>
        <w:rPr>
          <w:rFonts w:ascii="Arial" w:cs="Arial" w:eastAsia="Arial" w:hAnsi="Arial"/>
          <w:sz w:val="16"/>
          <w:szCs w:val="16"/>
          <w:color w:val="auto"/>
        </w:rPr>
      </w:pPr>
    </w:p>
    <w:p>
      <w:pPr>
        <w:ind w:left="1080" w:right="30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our successful Black Ops series, as compared to revenues recognized in 2015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which was released in the fourth quarter of 2014, including, in each case, the associated digital content.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39" w:lineRule="exact"/>
        <w:rPr>
          <w:sz w:val="20"/>
          <w:szCs w:val="20"/>
          <w:color w:val="auto"/>
        </w:rPr>
      </w:pPr>
    </w:p>
    <w:p>
      <w:pPr>
        <w:ind w:left="5620" w:right="140" w:hanging="5072"/>
        <w:spacing w:after="0" w:line="519" w:lineRule="auto"/>
        <w:tabs>
          <w:tab w:leader="none" w:pos="1082"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Lower revenues recognized from the Destiny franchise, as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debuted in September 2014 but had no comparable full-game release in 2015.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332" w:lineRule="auto"/>
        <w:tabs>
          <w:tab w:leader="none" w:pos="10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Skylanders Imaginators</w:t>
      </w:r>
      <w:r>
        <w:rPr>
          <w:rFonts w:ascii="Arial" w:cs="Arial" w:eastAsia="Arial" w:hAnsi="Arial"/>
          <w:sz w:val="16"/>
          <w:szCs w:val="16"/>
          <w:color w:val="auto"/>
        </w:rPr>
        <w:t xml:space="preserve">, which was released in October 2016, as compared to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the comparable 2015 title, as well as lower revenues from standalone toys and accessories from the Skylanders franchise in 2016.</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Lower revenues recognized from the Diablo franchise due to the timing of releases.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consolidated net revenues for 2015, as compared to 2014, was primarily due to:</w:t>
      </w:r>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Higher revenues recognized from the Destiny franchise, as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debuted in September 2014.</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Hearthstone</w:t>
      </w:r>
      <w:r>
        <w:rPr>
          <w:rFonts w:ascii="Arial" w:cs="Arial" w:eastAsia="Arial" w:hAnsi="Arial"/>
          <w:sz w:val="18"/>
          <w:szCs w:val="18"/>
          <w:color w:val="auto"/>
        </w:rPr>
        <w:t>, which were partially driven by its incremental release on iPhone and Android smartphones in April 2015.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52" w:lineRule="exact"/>
        <w:rPr>
          <w:sz w:val="20"/>
          <w:szCs w:val="20"/>
          <w:color w:val="auto"/>
        </w:rPr>
      </w:pPr>
    </w:p>
    <w:p>
      <w:pPr>
        <w:ind w:left="1080" w:hanging="532"/>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Lower revenues from </w:t>
      </w:r>
      <w:r>
        <w:rPr>
          <w:rFonts w:ascii="Arial" w:cs="Arial" w:eastAsia="Arial" w:hAnsi="Arial"/>
          <w:sz w:val="18"/>
          <w:szCs w:val="18"/>
          <w:i w:val="1"/>
          <w:iCs w:val="1"/>
          <w:color w:val="auto"/>
        </w:rPr>
        <w:t>Skylanders SuperChargers</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Skylanders Trap Team</w:t>
      </w:r>
      <w:r>
        <w:rPr>
          <w:rFonts w:ascii="Arial" w:cs="Arial" w:eastAsia="Arial" w:hAnsi="Arial"/>
          <w:sz w:val="18"/>
          <w:szCs w:val="18"/>
          <w:color w:val="auto"/>
        </w:rPr>
        <w:t>, the comparable 2014 title.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Diablo III: Reaper of Souls™</w:t>
      </w:r>
      <w:r>
        <w:rPr>
          <w:rFonts w:ascii="Arial" w:cs="Arial" w:eastAsia="Arial" w:hAnsi="Arial"/>
          <w:sz w:val="18"/>
          <w:szCs w:val="18"/>
          <w:color w:val="auto"/>
        </w:rPr>
        <w:t xml:space="preserve"> and </w:t>
      </w:r>
      <w:r>
        <w:rPr>
          <w:rFonts w:ascii="Arial" w:cs="Arial" w:eastAsia="Arial" w:hAnsi="Arial"/>
          <w:sz w:val="18"/>
          <w:szCs w:val="18"/>
          <w:i w:val="1"/>
          <w:iCs w:val="1"/>
          <w:color w:val="auto"/>
        </w:rPr>
        <w:t>Diablo III: Reaper of Souls—Ultimate Evil Edition™</w:t>
      </w:r>
      <w:r>
        <w:rPr>
          <w:rFonts w:ascii="Arial" w:cs="Arial" w:eastAsia="Arial" w:hAnsi="Arial"/>
          <w:sz w:val="18"/>
          <w:szCs w:val="18"/>
          <w:color w:val="auto"/>
        </w:rPr>
        <w:t>, which were released in March 2014 on PC and in August 2014 on consoles,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Deferred Revenues Recognized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deferred revenues recognized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Deferrals of revenues associated with the release of </w:t>
      </w:r>
      <w:r>
        <w:rPr>
          <w:rFonts w:ascii="Arial" w:cs="Arial" w:eastAsia="Arial" w:hAnsi="Arial"/>
          <w:sz w:val="16"/>
          <w:szCs w:val="16"/>
          <w:i w:val="1"/>
          <w:iCs w:val="1"/>
          <w:color w:val="auto"/>
        </w:rPr>
        <w:t>World of Warcraft: Legion</w:t>
      </w:r>
      <w:r>
        <w:rPr>
          <w:rFonts w:ascii="Arial" w:cs="Arial" w:eastAsia="Arial" w:hAnsi="Arial"/>
          <w:sz w:val="16"/>
          <w:szCs w:val="16"/>
          <w:color w:val="auto"/>
        </w:rPr>
        <w:t xml:space="preserve"> in August 2016, as compared to the recognition of deferred</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revenues in 2015 from the release of </w:t>
      </w:r>
      <w:r>
        <w:rPr>
          <w:rFonts w:ascii="Arial" w:cs="Arial" w:eastAsia="Arial" w:hAnsi="Arial"/>
          <w:sz w:val="18"/>
          <w:szCs w:val="18"/>
          <w:i w:val="1"/>
          <w:iCs w:val="1"/>
          <w:color w:val="auto"/>
        </w:rPr>
        <w:t>World of Warcraft: Warlords of Draenor®</w:t>
      </w:r>
      <w:r>
        <w:rPr>
          <w:rFonts w:ascii="Arial" w:cs="Arial" w:eastAsia="Arial" w:hAnsi="Arial"/>
          <w:sz w:val="18"/>
          <w:szCs w:val="18"/>
          <w:color w:val="auto"/>
        </w:rPr>
        <w:t xml:space="preserve"> in November 2014.</w:t>
      </w:r>
    </w:p>
    <w:p>
      <w:pPr>
        <w:spacing w:after="0" w:line="245" w:lineRule="exact"/>
        <w:rPr>
          <w:rFonts w:ascii="Arial" w:cs="Arial" w:eastAsia="Arial" w:hAnsi="Arial"/>
          <w:sz w:val="16"/>
          <w:szCs w:val="16"/>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Deferrals of revenues associated with </w:t>
      </w:r>
      <w:r>
        <w:rPr>
          <w:rFonts w:ascii="Arial" w:cs="Arial" w:eastAsia="Arial" w:hAnsi="Arial"/>
          <w:sz w:val="18"/>
          <w:szCs w:val="18"/>
          <w:i w:val="1"/>
          <w:iCs w:val="1"/>
          <w:color w:val="auto"/>
        </w:rPr>
        <w:t>Overwatch.</w:t>
      </w:r>
    </w:p>
    <w:p>
      <w:pPr>
        <w:spacing w:after="0" w:line="225" w:lineRule="exact"/>
        <w:rPr>
          <w:sz w:val="20"/>
          <w:szCs w:val="20"/>
          <w:color w:val="auto"/>
        </w:rPr>
      </w:pPr>
    </w:p>
    <w:p>
      <w:pPr>
        <w:ind w:right="220" w:firstLine="348"/>
        <w:spacing w:after="0" w:line="332" w:lineRule="auto"/>
        <w:rPr>
          <w:sz w:val="20"/>
          <w:szCs w:val="20"/>
          <w:color w:val="auto"/>
        </w:rPr>
      </w:pPr>
      <w:r>
        <w:rPr>
          <w:rFonts w:ascii="Arial" w:cs="Arial" w:eastAsia="Arial" w:hAnsi="Arial"/>
          <w:sz w:val="16"/>
          <w:szCs w:val="16"/>
          <w:color w:val="auto"/>
        </w:rPr>
        <w:t xml:space="preserve">The decrease was partially offset by lower deferrals of revenues associated with the Call of Duty franchise, driven by lower revenue deferrals from </w:t>
      </w:r>
      <w:r>
        <w:rPr>
          <w:rFonts w:ascii="Arial" w:cs="Arial" w:eastAsia="Arial" w:hAnsi="Arial"/>
          <w:sz w:val="16"/>
          <w:szCs w:val="16"/>
          <w:i w:val="1"/>
          <w:iCs w:val="1"/>
          <w:color w:val="auto"/>
        </w:rPr>
        <w:t>Call of</w:t>
      </w:r>
      <w:r>
        <w:rPr>
          <w:rFonts w:ascii="Arial" w:cs="Arial" w:eastAsia="Arial" w:hAnsi="Arial"/>
          <w:sz w:val="16"/>
          <w:szCs w:val="16"/>
          <w:color w:val="auto"/>
        </w:rPr>
        <w:t xml:space="preserve"> </w:t>
      </w:r>
      <w:r>
        <w:rPr>
          <w:rFonts w:ascii="Arial" w:cs="Arial" w:eastAsia="Arial" w:hAnsi="Arial"/>
          <w:sz w:val="16"/>
          <w:szCs w:val="16"/>
          <w:i w:val="1"/>
          <w:iCs w:val="1"/>
          <w:color w:val="auto"/>
        </w:rPr>
        <w:t>Duty: Infinite Warfare</w:t>
      </w:r>
      <w:r>
        <w:rPr>
          <w:rFonts w:ascii="Arial" w:cs="Arial" w:eastAsia="Arial" w:hAnsi="Arial"/>
          <w:sz w:val="16"/>
          <w:szCs w:val="16"/>
          <w:color w:val="auto"/>
        </w:rPr>
        <w:t>, which was released in the fourth quarter of 2016, as compared to</w:t>
      </w:r>
      <w:r>
        <w:rPr>
          <w:rFonts w:ascii="Arial" w:cs="Arial" w:eastAsia="Arial" w:hAnsi="Arial"/>
          <w:sz w:val="16"/>
          <w:szCs w:val="16"/>
          <w:i w:val="1"/>
          <w:iCs w:val="1"/>
          <w:color w:val="auto"/>
        </w:rPr>
        <w:t xml:space="preserve"> Call of Duty: Black Ops III</w:t>
      </w:r>
      <w:r>
        <w:rPr>
          <w:rFonts w:ascii="Arial" w:cs="Arial" w:eastAsia="Arial" w:hAnsi="Arial"/>
          <w:sz w:val="16"/>
          <w:szCs w:val="16"/>
          <w:color w:val="auto"/>
        </w:rPr>
        <w:t>, the comparable 2015 title.</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deferred revenues recognized for 2015, as compared to 2014, was primarily due to:</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Lower deferrals of revenues from the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franchise, which debuted in September 2014.</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Lower deferrals of revenues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primarily associated with </w:t>
      </w:r>
      <w:r>
        <w:rPr>
          <w:rFonts w:ascii="Arial" w:cs="Arial" w:eastAsia="Arial" w:hAnsi="Arial"/>
          <w:sz w:val="18"/>
          <w:szCs w:val="18"/>
          <w:i w:val="1"/>
          <w:iCs w:val="1"/>
          <w:color w:val="auto"/>
        </w:rPr>
        <w:t>World of Warcraft: Warlords of Draenor</w:t>
      </w:r>
      <w:r>
        <w:rPr>
          <w:rFonts w:ascii="Arial" w:cs="Arial" w:eastAsia="Arial" w:hAnsi="Arial"/>
          <w:sz w:val="18"/>
          <w:szCs w:val="18"/>
          <w:color w:val="auto"/>
        </w:rPr>
        <w:t>, which was released in November 2014, and value-added services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 higher deferrals of revenues from the Call of Duty franchise.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Changes in foreign exchange rates had a negative impact of $81 million, $373 million, and $2 million on Activision Blizzard's consolidated net revenues in 2016, 2015, and 2014, respectively, as compared to the same periods in the previous year. The changes are primarily due to changes in the value of the U.S. dollar relative to the euro and British pound.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Segment Results</w:t>
      </w:r>
    </w:p>
    <w:p>
      <w:pPr>
        <w:spacing w:after="0" w:line="231"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Currently, we have three reportable operating segments.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 assets as a result of purchase price accounting; and fees and other expenses (including legal fees, expenses and accruals) related to acquisitions, associated integration activities, and financings. The CODM does not review any information regarding total assets on an operating segment basis, and accordingly, no disclosure is made with respect thereto.</w:t>
      </w:r>
    </w:p>
    <w:p>
      <w:pPr>
        <w:spacing w:after="0" w:line="17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operating segments are also consistent with our internal organization structure, the way we assess operating performance and allocate resources, and the availability of separate financial information. We do not aggregate operating segments.</w:t>
      </w:r>
    </w:p>
    <w:p>
      <w:pPr>
        <w:spacing w:after="0" w:line="186"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Information on the operating segments and reconciliations of total segment net revenues and total segment operating income to consolidated net revenues from external customers and consolidated</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income before income tax expense for the years ended December 31, 2016, 2015, and 2014 are presented in the table below (amounts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10"/>
          </w:tcPr>
          <w:p>
            <w:pPr>
              <w:jc w:val="right"/>
              <w:ind w:right="200"/>
              <w:spacing w:after="0"/>
              <w:rPr>
                <w:sz w:val="20"/>
                <w:szCs w:val="20"/>
                <w:color w:val="auto"/>
              </w:rPr>
            </w:pPr>
            <w:r>
              <w:rPr>
                <w:rFonts w:ascii="Arial" w:cs="Arial" w:eastAsia="Arial" w:hAnsi="Arial"/>
                <w:sz w:val="14"/>
                <w:szCs w:val="14"/>
                <w:b w:val="1"/>
                <w:bCs w:val="1"/>
                <w:color w:val="auto"/>
                <w:w w:val="94"/>
              </w:rPr>
              <w:t>For the Years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Increase/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Increase/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(decrease)</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113"/>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2016 v 2015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2015 v 2014</w:t>
            </w: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net revenues: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Activision</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2,686</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(480)</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Blizzard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King</w:t>
            </w:r>
          </w:p>
        </w:tc>
        <w:tc>
          <w:tcPr>
            <w:tcW w:w="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Reportable segments net revenues total</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w:t>
            </w:r>
          </w:p>
        </w:tc>
      </w:tr>
      <w:tr>
        <w:trPr>
          <w:trHeight w:val="209"/>
        </w:trPr>
        <w:tc>
          <w:tcPr>
            <w:tcW w:w="4760" w:type="dxa"/>
            <w:vAlign w:val="bottom"/>
            <w:gridSpan w:val="3"/>
          </w:tcPr>
          <w:p>
            <w:pPr>
              <w:spacing w:after="0"/>
              <w:rPr>
                <w:sz w:val="20"/>
                <w:szCs w:val="20"/>
                <w:color w:val="auto"/>
              </w:rPr>
            </w:pPr>
            <w:r>
              <w:rPr>
                <w:rFonts w:ascii="Arial" w:cs="Arial" w:eastAsia="Arial" w:hAnsi="Arial"/>
                <w:sz w:val="18"/>
                <w:szCs w:val="18"/>
                <w:color w:val="auto"/>
              </w:rPr>
              <w:t>Reconciliation to consolidated net revenues: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segments(1)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r>
      <w:tr>
        <w:trPr>
          <w:trHeight w:val="208"/>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Net effect from recognition (deferral) of deferred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revenues(2)</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(405)</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448</w:t>
            </w:r>
          </w:p>
        </w:tc>
        <w:tc>
          <w:tcPr>
            <w:tcW w:w="1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Consolidated net revenues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r>
      <w:tr>
        <w:trPr>
          <w:trHeight w:val="209"/>
        </w:trPr>
        <w:tc>
          <w:tcPr>
            <w:tcW w:w="4760" w:type="dxa"/>
            <w:vAlign w:val="bottom"/>
            <w:gridSpan w:val="3"/>
          </w:tcPr>
          <w:p>
            <w:pPr>
              <w:spacing w:after="0"/>
              <w:rPr>
                <w:sz w:val="20"/>
                <w:szCs w:val="20"/>
                <w:color w:val="auto"/>
              </w:rPr>
            </w:pPr>
            <w:r>
              <w:rPr>
                <w:rFonts w:ascii="Arial" w:cs="Arial" w:eastAsia="Arial" w:hAnsi="Arial"/>
                <w:sz w:val="18"/>
                <w:szCs w:val="18"/>
                <w:color w:val="auto"/>
              </w:rPr>
              <w:t>Segment income from operations:</w:t>
            </w: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Activision</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Blizzard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King</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Reportable segments income from operations total</w:t>
            </w: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18"/>
                <w:szCs w:val="18"/>
                <w:color w:val="auto"/>
              </w:rPr>
            </w:pPr>
          </w:p>
        </w:tc>
      </w:tr>
      <w:tr>
        <w:trPr>
          <w:trHeight w:val="201"/>
        </w:trPr>
        <w:tc>
          <w:tcPr>
            <w:tcW w:w="20" w:type="dxa"/>
            <w:vAlign w:val="bottom"/>
          </w:tcPr>
          <w:p>
            <w:pPr>
              <w:spacing w:after="0"/>
              <w:rPr>
                <w:sz w:val="17"/>
                <w:szCs w:val="17"/>
                <w:color w:val="auto"/>
              </w:rPr>
            </w:pPr>
          </w:p>
        </w:tc>
        <w:tc>
          <w:tcPr>
            <w:tcW w:w="474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Reconciliation to consolidated operating income and</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 income before income tax expense:</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Other segments(1)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Net effect from recognition (deferral) of deferred net revenues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and related cost of revenues(2)</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(215)</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 expense(3)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(67)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(695)</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Fees and other expenses related to acquisitions and the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40" w:type="dxa"/>
            <w:vAlign w:val="bottom"/>
            <w:gridSpan w:val="2"/>
          </w:tcPr>
          <w:p>
            <w:pPr>
              <w:ind w:left="340"/>
              <w:spacing w:after="0"/>
              <w:rPr>
                <w:sz w:val="20"/>
                <w:szCs w:val="20"/>
                <w:color w:val="auto"/>
              </w:rPr>
            </w:pPr>
            <w:r>
              <w:rPr>
                <w:rFonts w:ascii="Arial" w:cs="Arial" w:eastAsia="Arial" w:hAnsi="Arial"/>
                <w:sz w:val="18"/>
                <w:szCs w:val="18"/>
                <w:color w:val="auto"/>
              </w:rPr>
              <w:t>Purchase Transaction(5)</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9"/>
                <w:szCs w:val="19"/>
                <w:color w:val="auto"/>
              </w:rPr>
            </w:pPr>
          </w:p>
        </w:tc>
      </w:tr>
      <w:tr>
        <w:trPr>
          <w:trHeight w:val="211"/>
        </w:trPr>
        <w:tc>
          <w:tcPr>
            <w:tcW w:w="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operating income</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40" w:type="dxa"/>
            <w:vAlign w:val="bottom"/>
            <w:gridSpan w:val="2"/>
          </w:tcPr>
          <w:p>
            <w:pPr>
              <w:ind w:left="160"/>
              <w:spacing w:after="0"/>
              <w:rPr>
                <w:sz w:val="20"/>
                <w:szCs w:val="20"/>
                <w:color w:val="auto"/>
              </w:rPr>
            </w:pPr>
            <w:r>
              <w:rPr>
                <w:rFonts w:ascii="Arial" w:cs="Arial" w:eastAsia="Arial" w:hAnsi="Arial"/>
                <w:sz w:val="18"/>
                <w:szCs w:val="18"/>
                <w:color w:val="auto"/>
              </w:rPr>
              <w:t>Interest and other expense, net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r>
      <w:tr>
        <w:trPr>
          <w:trHeight w:val="216"/>
        </w:trPr>
        <w:tc>
          <w:tcPr>
            <w:tcW w:w="20" w:type="dxa"/>
            <w:vAlign w:val="bottom"/>
          </w:tcPr>
          <w:p>
            <w:pPr>
              <w:spacing w:after="0"/>
              <w:rPr>
                <w:sz w:val="18"/>
                <w:szCs w:val="18"/>
                <w:color w:val="auto"/>
              </w:rPr>
            </w:pPr>
          </w:p>
        </w:tc>
        <w:tc>
          <w:tcPr>
            <w:tcW w:w="4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0"/>
        </w:trPr>
        <w:tc>
          <w:tcPr>
            <w:tcW w:w="4760" w:type="dxa"/>
            <w:vAlign w:val="bottom"/>
            <w:gridSpan w:val="3"/>
          </w:tcPr>
          <w:p>
            <w:pPr>
              <w:spacing w:after="0"/>
              <w:rPr>
                <w:sz w:val="20"/>
                <w:szCs w:val="20"/>
                <w:color w:val="auto"/>
              </w:rPr>
            </w:pPr>
            <w:r>
              <w:rPr>
                <w:rFonts w:ascii="Arial" w:cs="Arial" w:eastAsia="Arial" w:hAnsi="Arial"/>
                <w:sz w:val="18"/>
                <w:szCs w:val="18"/>
                <w:color w:val="auto"/>
              </w:rPr>
              <w:t>Consolidated income before income tax expense</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3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340" w:hanging="531"/>
        <w:spacing w:after="0" w:line="332"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Other segments include other income and expenses from operating segments managed outside the reportable segments, including our MLG, Studios, and Distribution businesses. Other segments also include unallocated corporate income and expenses.</w:t>
      </w:r>
    </w:p>
    <w:p>
      <w:pPr>
        <w:spacing w:after="0" w:line="166" w:lineRule="exact"/>
        <w:rPr>
          <w:rFonts w:ascii="Arial" w:cs="Arial" w:eastAsia="Arial" w:hAnsi="Arial"/>
          <w:sz w:val="16"/>
          <w:szCs w:val="16"/>
          <w:color w:val="auto"/>
        </w:rPr>
      </w:pPr>
    </w:p>
    <w:p>
      <w:pPr>
        <w:ind w:left="1680" w:hanging="531"/>
        <w:spacing w:after="0" w:line="294"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have determined that some of our titles' online functionality represents an essential component of gameplay and as a result, represents a more-than-inconsequential separate deliverable. As such, we are required to recognize revenues from these titles over the estimated service periods, which are generally less than one year. The related cost of revenues are deferred and recognized when the related revenues are recognized. In the operating segment results table, we reflect the net effect from the deferral of revenues and (recognition) of deferred revenues, along with the related cost of revenues, on certain of our online enabled products.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260" w:hanging="531"/>
        <w:spacing w:after="0" w:line="259"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expense our share-based awards using the grant date fair value over the vesting periods of the stock awards. In the case of liability awards, the liability is subject to revaluation based on the stock price at the end of the relevant period. Included within this share-based compensation are the net effects of capitalization, deferral, and amortization.</w:t>
      </w:r>
    </w:p>
    <w:p>
      <w:pPr>
        <w:spacing w:after="0" w:line="221" w:lineRule="exact"/>
        <w:rPr>
          <w:rFonts w:ascii="Arial" w:cs="Arial" w:eastAsia="Arial" w:hAnsi="Arial"/>
          <w:sz w:val="18"/>
          <w:szCs w:val="18"/>
          <w:color w:val="auto"/>
        </w:rPr>
      </w:pPr>
    </w:p>
    <w:p>
      <w:pPr>
        <w:ind w:left="1680" w:right="80" w:hanging="531"/>
        <w:spacing w:after="0" w:line="259" w:lineRule="auto"/>
        <w:tabs>
          <w:tab w:leader="none" w:pos="16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amortize intangible assets over their estimated useful lives based on the pattern of consumption of the underlying economic benefits. The amounts presented in the table represent the effect of the amortization of intangible assets, as well as other purchase price accounting adjustments, where applicable, in our consolidated statements of operations.</w:t>
      </w:r>
    </w:p>
    <w:p>
      <w:pPr>
        <w:spacing w:after="0" w:line="207" w:lineRule="exact"/>
        <w:rPr>
          <w:rFonts w:ascii="Arial" w:cs="Arial" w:eastAsia="Arial" w:hAnsi="Arial"/>
          <w:sz w:val="18"/>
          <w:szCs w:val="18"/>
          <w:color w:val="auto"/>
        </w:rPr>
      </w:pPr>
    </w:p>
    <w:p>
      <w:pPr>
        <w:ind w:left="1680" w:right="80" w:hanging="531"/>
        <w:spacing w:after="0" w:line="318" w:lineRule="auto"/>
        <w:tabs>
          <w:tab w:leader="none" w:pos="1680" w:val="left"/>
        </w:tabs>
        <w:numPr>
          <w:ilvl w:val="0"/>
          <w:numId w:val="30"/>
        </w:numPr>
        <w:rPr>
          <w:rFonts w:ascii="Arial" w:cs="Arial" w:eastAsia="Arial" w:hAnsi="Arial"/>
          <w:sz w:val="15"/>
          <w:szCs w:val="15"/>
          <w:color w:val="auto"/>
        </w:rPr>
      </w:pPr>
      <w:r>
        <w:rPr>
          <w:rFonts w:ascii="Arial" w:cs="Arial" w:eastAsia="Arial" w:hAnsi="Arial"/>
          <w:sz w:val="15"/>
          <w:szCs w:val="15"/>
          <w:color w:val="auto"/>
        </w:rPr>
        <w:t>We incurred fees and other expenses, such as legal, banking and professional services fees, related to (a) the October 11, 2013 repurchase of approximately 429 million shares of our common stock (the "Purchase Transaction"), pursuant to a stock purchase agreement among us, Vivendi and ASAC II LP, an exempted limited partnership established under the laws of the Cayman Islands, acting by its general partner, ASAC II LLC, (b) the King Acquisition, and (c) other business acquisitions and associated integration activities, in each case, inclusive of any related debt financings. Such expenses are not reviewed by the CODM as part of segment performance.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Activision's net revenues for 2016, as compared to 2015, was primarily due to:</w:t>
      </w:r>
    </w:p>
    <w:p>
      <w:pPr>
        <w:spacing w:after="0" w:line="239" w:lineRule="exact"/>
        <w:rPr>
          <w:sz w:val="20"/>
          <w:szCs w:val="20"/>
          <w:color w:val="auto"/>
        </w:rPr>
      </w:pPr>
    </w:p>
    <w:p>
      <w:pPr>
        <w:ind w:left="1080" w:right="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Lower revenues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which was released in the fourth quarter of 2016, as compared to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the comparable 2015 title, which was the third game in our successful Black Ops series.</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Lower revenues from the Destiny franchise, as there were two expansion packs in 2015—</w:t>
      </w:r>
      <w:r>
        <w:rPr>
          <w:rFonts w:ascii="Arial" w:cs="Arial" w:eastAsia="Arial" w:hAnsi="Arial"/>
          <w:sz w:val="18"/>
          <w:szCs w:val="18"/>
          <w:i w:val="1"/>
          <w:iCs w:val="1"/>
          <w:color w:val="auto"/>
        </w:rPr>
        <w:t>House of Wolves</w:t>
      </w:r>
      <w:r>
        <w:rPr>
          <w:rFonts w:ascii="Arial" w:cs="Arial" w:eastAsia="Arial" w:hAnsi="Arial"/>
          <w:sz w:val="18"/>
          <w:szCs w:val="18"/>
          <w:color w:val="auto"/>
        </w:rPr>
        <w:t xml:space="preserve"> and </w:t>
      </w:r>
      <w:r>
        <w:rPr>
          <w:rFonts w:ascii="Arial" w:cs="Arial" w:eastAsia="Arial" w:hAnsi="Arial"/>
          <w:sz w:val="18"/>
          <w:szCs w:val="18"/>
          <w:i w:val="1"/>
          <w:iCs w:val="1"/>
          <w:color w:val="auto"/>
        </w:rPr>
        <w:t>The Taken King</w:t>
      </w:r>
      <w:r>
        <w:rPr>
          <w:rFonts w:ascii="Arial" w:cs="Arial" w:eastAsia="Arial" w:hAnsi="Arial"/>
          <w:sz w:val="18"/>
          <w:szCs w:val="18"/>
          <w:color w:val="auto"/>
        </w:rPr>
        <w:t>—but only one in 2016—</w:t>
      </w:r>
      <w:r>
        <w:rPr>
          <w:rFonts w:ascii="Arial" w:cs="Arial" w:eastAsia="Arial" w:hAnsi="Arial"/>
          <w:sz w:val="18"/>
          <w:szCs w:val="18"/>
          <w:i w:val="1"/>
          <w:iCs w:val="1"/>
          <w:color w:val="auto"/>
        </w:rPr>
        <w:t>Rise of Iron</w:t>
      </w:r>
      <w:r>
        <w:rPr>
          <w:rFonts w:ascii="Arial" w:cs="Arial" w:eastAsia="Arial" w:hAnsi="Arial"/>
          <w:sz w:val="18"/>
          <w:szCs w:val="18"/>
          <w:color w:val="auto"/>
        </w:rPr>
        <w:t>.</w:t>
      </w:r>
    </w:p>
    <w:p>
      <w:pPr>
        <w:spacing w:after="0" w:line="199" w:lineRule="exact"/>
        <w:rPr>
          <w:rFonts w:ascii="Arial" w:cs="Arial" w:eastAsia="Arial" w:hAnsi="Arial"/>
          <w:sz w:val="18"/>
          <w:szCs w:val="18"/>
          <w:color w:val="auto"/>
        </w:rPr>
      </w:pPr>
    </w:p>
    <w:p>
      <w:pPr>
        <w:ind w:left="1080" w:right="280" w:hanging="532"/>
        <w:spacing w:after="0" w:line="332" w:lineRule="auto"/>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Skylanders Imaginators</w:t>
      </w:r>
      <w:r>
        <w:rPr>
          <w:rFonts w:ascii="Arial" w:cs="Arial" w:eastAsia="Arial" w:hAnsi="Arial"/>
          <w:sz w:val="16"/>
          <w:szCs w:val="16"/>
          <w:color w:val="auto"/>
        </w:rPr>
        <w:t xml:space="preserve">, which was released in October 2016, as compared to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the comparable 2015 title, as well as lower revenues from standalone Skylanders toys and accessories in 2016.</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 xml:space="preserve">Lower revenues from </w:t>
      </w:r>
      <w:r>
        <w:rPr>
          <w:rFonts w:ascii="Arial" w:cs="Arial" w:eastAsia="Arial" w:hAnsi="Arial"/>
          <w:sz w:val="18"/>
          <w:szCs w:val="18"/>
          <w:i w:val="1"/>
          <w:iCs w:val="1"/>
          <w:color w:val="auto"/>
        </w:rPr>
        <w:t>Guitar Hero Live</w:t>
      </w:r>
      <w:r>
        <w:rPr>
          <w:rFonts w:ascii="Arial" w:cs="Arial" w:eastAsia="Arial" w:hAnsi="Arial"/>
          <w:sz w:val="18"/>
          <w:szCs w:val="18"/>
          <w:color w:val="auto"/>
        </w:rPr>
        <w:t>, which was released in 2015 with no comparable release in 2016.</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 decrease was partially offset by higher revenues from digital content associated with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Call of Duty: Advanced</w:t>
      </w:r>
      <w:r>
        <w:rPr>
          <w:rFonts w:ascii="Arial" w:cs="Arial" w:eastAsia="Arial" w:hAnsi="Arial"/>
          <w:sz w:val="18"/>
          <w:szCs w:val="18"/>
          <w:color w:val="auto"/>
        </w:rPr>
        <w:t xml:space="preserve"> </w:t>
      </w:r>
      <w:r>
        <w:rPr>
          <w:rFonts w:ascii="Arial" w:cs="Arial" w:eastAsia="Arial" w:hAnsi="Arial"/>
          <w:sz w:val="18"/>
          <w:szCs w:val="18"/>
          <w:i w:val="1"/>
          <w:iCs w:val="1"/>
          <w:color w:val="auto"/>
        </w:rPr>
        <w:t>Warfare</w:t>
      </w:r>
      <w:r>
        <w:rPr>
          <w:rFonts w:ascii="Arial" w:cs="Arial" w:eastAsia="Arial" w:hAnsi="Arial"/>
          <w:sz w:val="18"/>
          <w:szCs w:val="18"/>
          <w:color w:val="auto"/>
        </w:rPr>
        <w:t>, the comparable 2014 title.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Activision's net revenues for 2015, as compared to 2014, was primarily due to:</w:t>
      </w:r>
    </w:p>
    <w:p>
      <w:pPr>
        <w:spacing w:after="0" w:line="252"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Higher revenues from the Call of Duty franchise, specifically 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which was released in the fourth quarter of 2015,</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as compared to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which was released in the fourth quarter of 2014.</w:t>
      </w:r>
    </w:p>
    <w:p>
      <w:pPr>
        <w:spacing w:after="0" w:line="232" w:lineRule="exact"/>
        <w:rPr>
          <w:rFonts w:ascii="Arial" w:cs="Arial" w:eastAsia="Arial" w:hAnsi="Arial"/>
          <w:sz w:val="16"/>
          <w:szCs w:val="16"/>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Strong digital content performance, including expansion packs and supply drops for </w:t>
      </w:r>
      <w:r>
        <w:rPr>
          <w:rFonts w:ascii="Arial" w:cs="Arial" w:eastAsia="Arial" w:hAnsi="Arial"/>
          <w:sz w:val="18"/>
          <w:szCs w:val="18"/>
          <w:i w:val="1"/>
          <w:iCs w:val="1"/>
          <w:color w:val="auto"/>
        </w:rPr>
        <w:t>Call of Duty: Advanced Warfare.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Guitar Hero Live</w:t>
      </w:r>
      <w:r>
        <w:rPr>
          <w:rFonts w:ascii="Arial" w:cs="Arial" w:eastAsia="Arial" w:hAnsi="Arial"/>
          <w:sz w:val="18"/>
          <w:szCs w:val="18"/>
          <w:color w:val="auto"/>
        </w:rPr>
        <w:t>, which was released in the fourth quarter of 2015, with no comparable release in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5"/>
          <w:szCs w:val="15"/>
          <w:color w:val="auto"/>
        </w:rPr>
      </w:pPr>
      <w:r>
        <w:rPr>
          <w:rFonts w:ascii="Arial" w:cs="Arial" w:eastAsia="Arial" w:hAnsi="Arial"/>
          <w:sz w:val="15"/>
          <w:szCs w:val="15"/>
          <w:color w:val="auto"/>
        </w:rPr>
        <w:t xml:space="preserve">Lower revenues from </w:t>
      </w:r>
      <w:r>
        <w:rPr>
          <w:rFonts w:ascii="Arial" w:cs="Arial" w:eastAsia="Arial" w:hAnsi="Arial"/>
          <w:sz w:val="15"/>
          <w:szCs w:val="15"/>
          <w:i w:val="1"/>
          <w:iCs w:val="1"/>
          <w:color w:val="auto"/>
        </w:rPr>
        <w:t>Skylanders SuperChargers</w:t>
      </w:r>
      <w:r>
        <w:rPr>
          <w:rFonts w:ascii="Arial" w:cs="Arial" w:eastAsia="Arial" w:hAnsi="Arial"/>
          <w:sz w:val="15"/>
          <w:szCs w:val="15"/>
          <w:color w:val="auto"/>
        </w:rPr>
        <w:t xml:space="preserve">, which was released in 2015, as compared to </w:t>
      </w:r>
      <w:r>
        <w:rPr>
          <w:rFonts w:ascii="Arial" w:cs="Arial" w:eastAsia="Arial" w:hAnsi="Arial"/>
          <w:sz w:val="15"/>
          <w:szCs w:val="15"/>
          <w:i w:val="1"/>
          <w:iCs w:val="1"/>
          <w:color w:val="auto"/>
        </w:rPr>
        <w:t>Skylanders Trap Team</w:t>
      </w:r>
      <w:r>
        <w:rPr>
          <w:rFonts w:ascii="Arial" w:cs="Arial" w:eastAsia="Arial" w:hAnsi="Arial"/>
          <w:sz w:val="15"/>
          <w:szCs w:val="15"/>
          <w:color w:val="auto"/>
        </w:rPr>
        <w:t>, the comparable 2014 title.</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Lower revenues from the Destiny franchise, as </w:t>
      </w:r>
      <w:r>
        <w:rPr>
          <w:rFonts w:ascii="Arial" w:cs="Arial" w:eastAsia="Arial" w:hAnsi="Arial"/>
          <w:sz w:val="16"/>
          <w:szCs w:val="16"/>
          <w:i w:val="1"/>
          <w:iCs w:val="1"/>
          <w:color w:val="auto"/>
        </w:rPr>
        <w:t>Destiny</w:t>
      </w:r>
      <w:r>
        <w:rPr>
          <w:rFonts w:ascii="Arial" w:cs="Arial" w:eastAsia="Arial" w:hAnsi="Arial"/>
          <w:sz w:val="16"/>
          <w:szCs w:val="16"/>
          <w:color w:val="auto"/>
        </w:rPr>
        <w:t xml:space="preserve"> debuted in September 2014 with no comparable full-game release in 2015.</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The Amazing Spider-Man™ 2</w:t>
      </w:r>
      <w:r>
        <w:rPr>
          <w:rFonts w:ascii="Arial" w:cs="Arial" w:eastAsia="Arial" w:hAnsi="Arial"/>
          <w:sz w:val="16"/>
          <w:szCs w:val="16"/>
          <w:color w:val="auto"/>
        </w:rPr>
        <w:t>, which was released during 2014, with no corresponding releases during 2015.</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Overwatch</w:t>
      </w:r>
      <w:r>
        <w:rPr>
          <w:rFonts w:ascii="Arial" w:cs="Arial" w:eastAsia="Arial" w:hAnsi="Arial"/>
          <w:sz w:val="18"/>
          <w:szCs w:val="18"/>
          <w:color w:val="auto"/>
        </w:rPr>
        <w:t>, a new team-based first-person shooter released in May 2016.</w:t>
      </w:r>
    </w:p>
    <w:p>
      <w:pPr>
        <w:spacing w:after="0" w:line="252" w:lineRule="exact"/>
        <w:rPr>
          <w:rFonts w:ascii="Arial" w:cs="Arial" w:eastAsia="Arial" w:hAnsi="Arial"/>
          <w:sz w:val="18"/>
          <w:szCs w:val="18"/>
          <w:color w:val="auto"/>
        </w:rPr>
      </w:pPr>
    </w:p>
    <w:p>
      <w:pPr>
        <w:ind w:left="540" w:right="20" w:firstLine="8"/>
        <w:spacing w:after="0" w:line="501"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Higher revenues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driven by the release of </w:t>
      </w:r>
      <w:r>
        <w:rPr>
          <w:rFonts w:ascii="Arial" w:cs="Arial" w:eastAsia="Arial" w:hAnsi="Arial"/>
          <w:sz w:val="18"/>
          <w:szCs w:val="18"/>
          <w:i w:val="1"/>
          <w:iCs w:val="1"/>
          <w:color w:val="auto"/>
        </w:rPr>
        <w:t>World of Warcraft: Legion</w:t>
      </w:r>
      <w:r>
        <w:rPr>
          <w:rFonts w:ascii="Arial" w:cs="Arial" w:eastAsia="Arial" w:hAnsi="Arial"/>
          <w:sz w:val="18"/>
          <w:szCs w:val="18"/>
          <w:color w:val="auto"/>
        </w:rPr>
        <w:t xml:space="preserve"> in August 2016, with no comparable release in 2015. </w:t>
      </w:r>
      <w:r>
        <w:rPr>
          <w:rFonts w:ascii="Arial" w:cs="Arial" w:eastAsia="Arial" w:hAnsi="Arial"/>
          <w:sz w:val="18"/>
          <w:szCs w:val="18"/>
          <w:u w:val="single" w:color="auto"/>
          <w:color w:val="auto"/>
        </w:rPr>
        <w:t>2015 vs. 2014</w:t>
      </w:r>
    </w:p>
    <w:p>
      <w:pPr>
        <w:ind w:left="360"/>
        <w:spacing w:after="0"/>
        <w:rPr>
          <w:sz w:val="20"/>
          <w:szCs w:val="20"/>
          <w:color w:val="auto"/>
        </w:rPr>
      </w:pPr>
      <w:r>
        <w:rPr>
          <w:rFonts w:ascii="Arial" w:cs="Arial" w:eastAsia="Arial" w:hAnsi="Arial"/>
          <w:sz w:val="18"/>
          <w:szCs w:val="18"/>
          <w:color w:val="auto"/>
        </w:rPr>
        <w:t>The decrease in Blizzard's net revenues for 2015, as compared to 2014, was primarily due to the timing of releases, including:</w:t>
      </w:r>
    </w:p>
    <w:p>
      <w:pPr>
        <w:spacing w:after="0" w:line="239" w:lineRule="exact"/>
        <w:rPr>
          <w:sz w:val="20"/>
          <w:szCs w:val="20"/>
          <w:color w:val="auto"/>
        </w:rPr>
      </w:pPr>
    </w:p>
    <w:p>
      <w:pPr>
        <w:ind w:left="1080" w:right="36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Diablo III: Reaper of Souls</w:t>
      </w:r>
      <w:r>
        <w:rPr>
          <w:rFonts w:ascii="Arial" w:cs="Arial" w:eastAsia="Arial" w:hAnsi="Arial"/>
          <w:sz w:val="18"/>
          <w:szCs w:val="18"/>
          <w:color w:val="auto"/>
        </w:rPr>
        <w:t>, which was released in March 2014 on the PC, and</w:t>
      </w:r>
      <w:r>
        <w:rPr>
          <w:rFonts w:ascii="Arial" w:cs="Arial" w:eastAsia="Arial" w:hAnsi="Arial"/>
          <w:sz w:val="18"/>
          <w:szCs w:val="18"/>
          <w:i w:val="1"/>
          <w:iCs w:val="1"/>
          <w:color w:val="auto"/>
        </w:rPr>
        <w:t xml:space="preserve"> Diablo III: Reaper of Souls-Ultimate Evil Edition</w:t>
      </w:r>
      <w:r>
        <w:rPr>
          <w:rFonts w:ascii="Arial" w:cs="Arial" w:eastAsia="Arial" w:hAnsi="Arial"/>
          <w:sz w:val="18"/>
          <w:szCs w:val="18"/>
          <w:color w:val="auto"/>
        </w:rPr>
        <w:t>, which was</w:t>
      </w:r>
      <w:r>
        <w:rPr>
          <w:rFonts w:ascii="Arial" w:cs="Arial" w:eastAsia="Arial" w:hAnsi="Arial"/>
          <w:sz w:val="18"/>
          <w:szCs w:val="18"/>
          <w:i w:val="1"/>
          <w:iCs w:val="1"/>
          <w:color w:val="auto"/>
        </w:rPr>
        <w:t xml:space="preserve"> </w:t>
      </w:r>
      <w:r>
        <w:rPr>
          <w:rFonts w:ascii="Arial" w:cs="Arial" w:eastAsia="Arial" w:hAnsi="Arial"/>
          <w:sz w:val="18"/>
          <w:szCs w:val="18"/>
          <w:color w:val="auto"/>
        </w:rPr>
        <w:t>released in August 2014 on consoles.</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i w:val="1"/>
          <w:iCs w:val="1"/>
          <w:color w:val="auto"/>
        </w:rPr>
        <w:t>World of Warcraft: Warlords of Draenor</w:t>
      </w:r>
      <w:r>
        <w:rPr>
          <w:rFonts w:ascii="Arial" w:cs="Arial" w:eastAsia="Arial" w:hAnsi="Arial"/>
          <w:sz w:val="18"/>
          <w:szCs w:val="18"/>
          <w:color w:val="auto"/>
        </w:rPr>
        <w:t>, which was released in November 2014, along with the overall lower revenues from</w:t>
      </w:r>
      <w:r>
        <w:rPr>
          <w:rFonts w:ascii="Arial" w:cs="Arial" w:eastAsia="Arial" w:hAnsi="Arial"/>
          <w:sz w:val="18"/>
          <w:szCs w:val="18"/>
          <w:i w:val="1"/>
          <w:iCs w:val="1"/>
          <w:color w:val="auto"/>
        </w:rPr>
        <w:t xml:space="preserve"> World of Warcraft </w:t>
      </w:r>
      <w:r>
        <w:rPr>
          <w:rFonts w:ascii="Arial" w:cs="Arial" w:eastAsia="Arial" w:hAnsi="Arial"/>
          <w:sz w:val="18"/>
          <w:szCs w:val="18"/>
          <w:color w:val="auto"/>
        </w:rPr>
        <w:t>due to a smaller subscriber base.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080" w:hanging="532"/>
        <w:spacing w:after="0" w:line="268"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Higher revenues from </w:t>
      </w:r>
      <w:r>
        <w:rPr>
          <w:rFonts w:ascii="Arial" w:cs="Arial" w:eastAsia="Arial" w:hAnsi="Arial"/>
          <w:sz w:val="18"/>
          <w:szCs w:val="18"/>
          <w:i w:val="1"/>
          <w:iCs w:val="1"/>
          <w:color w:val="auto"/>
        </w:rPr>
        <w:t>Hearthstone</w:t>
      </w:r>
      <w:r>
        <w:rPr>
          <w:rFonts w:ascii="Arial" w:cs="Arial" w:eastAsia="Arial" w:hAnsi="Arial"/>
          <w:sz w:val="18"/>
          <w:szCs w:val="18"/>
          <w:color w:val="auto"/>
        </w:rPr>
        <w:t>, which had multiple content releases throughout the year, and benefited from its incremental release on iPhone and Android smartphones in April 2015.</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Heroes of the Storm</w:t>
      </w:r>
      <w:r>
        <w:rPr>
          <w:rFonts w:ascii="Arial" w:cs="Arial" w:eastAsia="Arial" w:hAnsi="Arial"/>
          <w:sz w:val="18"/>
          <w:szCs w:val="18"/>
          <w:color w:val="auto"/>
        </w:rPr>
        <w:t xml:space="preserve"> and </w:t>
      </w:r>
      <w:r>
        <w:rPr>
          <w:rFonts w:ascii="Arial" w:cs="Arial" w:eastAsia="Arial" w:hAnsi="Arial"/>
          <w:sz w:val="18"/>
          <w:szCs w:val="18"/>
          <w:i w:val="1"/>
          <w:iCs w:val="1"/>
          <w:color w:val="auto"/>
        </w:rPr>
        <w:t>StarCraft II: Legacy of the Void™</w:t>
      </w:r>
      <w:r>
        <w:rPr>
          <w:rFonts w:ascii="Arial" w:cs="Arial" w:eastAsia="Arial" w:hAnsi="Arial"/>
          <w:sz w:val="18"/>
          <w:szCs w:val="18"/>
          <w:color w:val="auto"/>
        </w:rPr>
        <w:t>, which were released in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 xml:space="preserve">King's net revenues represent the net revenues from the King Closing Date through December 31, 2016. The revenues were primarily driven by the Candy Crush franchise, which included the release of </w:t>
      </w:r>
      <w:r>
        <w:rPr>
          <w:rFonts w:ascii="Arial" w:cs="Arial" w:eastAsia="Arial" w:hAnsi="Arial"/>
          <w:sz w:val="18"/>
          <w:szCs w:val="18"/>
          <w:i w:val="1"/>
          <w:iCs w:val="1"/>
          <w:color w:val="auto"/>
        </w:rPr>
        <w:t>Candy Crush Jelly Saga™</w:t>
      </w:r>
      <w:r>
        <w:rPr>
          <w:rFonts w:ascii="Arial" w:cs="Arial" w:eastAsia="Arial" w:hAnsi="Arial"/>
          <w:sz w:val="18"/>
          <w:szCs w:val="18"/>
          <w:color w:val="auto"/>
        </w:rPr>
        <w:t xml:space="preserve"> in January 2016.</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Income from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Activision</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decrease in Activision's operating income for 2016, as compared to 2015, was primarily due to lower revenues. This was partially offset by:</w:t>
      </w:r>
    </w:p>
    <w:p>
      <w:pPr>
        <w:spacing w:after="0" w:line="262" w:lineRule="exact"/>
        <w:rPr>
          <w:sz w:val="20"/>
          <w:szCs w:val="20"/>
          <w:color w:val="auto"/>
        </w:rPr>
      </w:pPr>
    </w:p>
    <w:p>
      <w:pPr>
        <w:ind w:left="5620" w:right="2080" w:hanging="5072"/>
        <w:spacing w:after="0" w:line="519" w:lineRule="auto"/>
        <w:tabs>
          <w:tab w:leader="none" w:pos="1082"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Lower sales and marketing spend on </w:t>
      </w:r>
      <w:r>
        <w:rPr>
          <w:rFonts w:ascii="Arial" w:cs="Arial" w:eastAsia="Arial" w:hAnsi="Arial"/>
          <w:sz w:val="18"/>
          <w:szCs w:val="18"/>
          <w:i w:val="1"/>
          <w:iCs w:val="1"/>
          <w:color w:val="auto"/>
        </w:rPr>
        <w:t>Guitar Hero Live</w:t>
      </w:r>
      <w:r>
        <w:rPr>
          <w:rFonts w:ascii="Arial" w:cs="Arial" w:eastAsia="Arial" w:hAnsi="Arial"/>
          <w:sz w:val="18"/>
          <w:szCs w:val="18"/>
          <w:color w:val="auto"/>
        </w:rPr>
        <w:t xml:space="preserve"> and the Destiny franchise given the timing of game launches.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right="2060" w:firstLine="8"/>
        <w:spacing w:after="0" w:line="501" w:lineRule="auto"/>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 xml:space="preserve">The relative increase in revenues coming from the digital online channel, which typically has a higher profit margin. </w:t>
      </w:r>
      <w:r>
        <w:rPr>
          <w:rFonts w:ascii="Arial" w:cs="Arial" w:eastAsia="Arial" w:hAnsi="Arial"/>
          <w:sz w:val="18"/>
          <w:szCs w:val="18"/>
          <w:u w:val="single" w:color="auto"/>
          <w:color w:val="auto"/>
        </w:rPr>
        <w:t>2015 vs. 2014</w:t>
      </w:r>
    </w:p>
    <w:p>
      <w:pPr>
        <w:ind w:left="360"/>
        <w:spacing w:after="0"/>
        <w:rPr>
          <w:sz w:val="20"/>
          <w:szCs w:val="20"/>
          <w:color w:val="auto"/>
        </w:rPr>
      </w:pPr>
      <w:r>
        <w:rPr>
          <w:rFonts w:ascii="Arial" w:cs="Arial" w:eastAsia="Arial" w:hAnsi="Arial"/>
          <w:sz w:val="18"/>
          <w:szCs w:val="18"/>
          <w:color w:val="auto"/>
        </w:rPr>
        <w:t>The increase in Activision's operating income for 2015, as compared to 2014, was primarily due to:</w:t>
      </w:r>
    </w:p>
    <w:p>
      <w:pPr>
        <w:spacing w:after="0" w:line="252"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relative increase in revenues coming from the digital online channel, which typically has a higher profit margin.</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 xml:space="preserve">Lower sales and marketing spending on the Destiny franchise because of the September 2014 launch of </w:t>
      </w:r>
      <w:r>
        <w:rPr>
          <w:rFonts w:ascii="Arial" w:cs="Arial" w:eastAsia="Arial" w:hAnsi="Arial"/>
          <w:sz w:val="18"/>
          <w:szCs w:val="18"/>
          <w:i w:val="1"/>
          <w:iCs w:val="1"/>
          <w:color w:val="auto"/>
        </w:rPr>
        <w:t>Destiny</w:t>
      </w:r>
      <w:r>
        <w:rPr>
          <w:rFonts w:ascii="Arial" w:cs="Arial" w:eastAsia="Arial" w:hAnsi="Arial"/>
          <w:sz w:val="18"/>
          <w:szCs w:val="18"/>
          <w:color w:val="auto"/>
        </w:rPr>
        <w:t>, with no comparable full-game release in 2015.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Operating losses from </w:t>
      </w:r>
      <w:r>
        <w:rPr>
          <w:rFonts w:ascii="Arial" w:cs="Arial" w:eastAsia="Arial" w:hAnsi="Arial"/>
          <w:sz w:val="18"/>
          <w:szCs w:val="18"/>
          <w:i w:val="1"/>
          <w:iCs w:val="1"/>
          <w:color w:val="auto"/>
        </w:rPr>
        <w:t>Guitar Hero Live</w:t>
      </w:r>
      <w:r>
        <w:rPr>
          <w:rFonts w:ascii="Arial" w:cs="Arial" w:eastAsia="Arial" w:hAnsi="Arial"/>
          <w:sz w:val="18"/>
          <w:szCs w:val="18"/>
          <w:color w:val="auto"/>
        </w:rPr>
        <w:t>, which was released in the fourth quarter of 2015, with no comparable release in 2014.</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 xml:space="preserve">Lower revenues from </w:t>
      </w:r>
      <w:r>
        <w:rPr>
          <w:rFonts w:ascii="Arial" w:cs="Arial" w:eastAsia="Arial" w:hAnsi="Arial"/>
          <w:sz w:val="18"/>
          <w:szCs w:val="18"/>
          <w:i w:val="1"/>
          <w:iCs w:val="1"/>
          <w:color w:val="auto"/>
        </w:rPr>
        <w:t>Skylanders SuperChargers</w:t>
      </w:r>
      <w:r>
        <w:rPr>
          <w:rFonts w:ascii="Arial" w:cs="Arial" w:eastAsia="Arial" w:hAnsi="Arial"/>
          <w:sz w:val="18"/>
          <w:szCs w:val="18"/>
          <w:color w:val="auto"/>
        </w:rPr>
        <w:t xml:space="preserve">, as compared to </w:t>
      </w:r>
      <w:r>
        <w:rPr>
          <w:rFonts w:ascii="Arial" w:cs="Arial" w:eastAsia="Arial" w:hAnsi="Arial"/>
          <w:sz w:val="18"/>
          <w:szCs w:val="18"/>
          <w:i w:val="1"/>
          <w:iCs w:val="1"/>
          <w:color w:val="auto"/>
        </w:rPr>
        <w:t>Skylanders Trap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Blizzard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increase in Blizzard's operating income for 2016, as compared to 2015, was primarily due to higher revenues. This was partially offset by:</w:t>
      </w:r>
    </w:p>
    <w:p>
      <w:pPr>
        <w:spacing w:after="0" w:line="262"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New sales and marketing spending to support </w:t>
      </w:r>
      <w:r>
        <w:rPr>
          <w:rFonts w:ascii="Arial" w:cs="Arial" w:eastAsia="Arial" w:hAnsi="Arial"/>
          <w:sz w:val="18"/>
          <w:szCs w:val="18"/>
          <w:i w:val="1"/>
          <w:iCs w:val="1"/>
          <w:color w:val="auto"/>
        </w:rPr>
        <w:t>Overwatch.</w:t>
      </w:r>
    </w:p>
    <w:p>
      <w:pPr>
        <w:spacing w:after="0" w:line="238" w:lineRule="exact"/>
        <w:rPr>
          <w:rFonts w:ascii="Arial" w:cs="Arial" w:eastAsia="Arial" w:hAnsi="Arial"/>
          <w:sz w:val="18"/>
          <w:szCs w:val="18"/>
          <w:color w:val="auto"/>
        </w:rPr>
      </w:pPr>
    </w:p>
    <w:p>
      <w:pPr>
        <w:ind w:left="540" w:right="1980" w:firstLine="8"/>
        <w:spacing w:after="0" w:line="501"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 xml:space="preserve">Higher personnel costs due to segment performance bonuses and increased headcount to support the business growth. </w:t>
      </w:r>
      <w:r>
        <w:rPr>
          <w:rFonts w:ascii="Arial" w:cs="Arial" w:eastAsia="Arial" w:hAnsi="Arial"/>
          <w:sz w:val="18"/>
          <w:szCs w:val="18"/>
          <w:u w:val="single" w:color="auto"/>
          <w:color w:val="auto"/>
        </w:rPr>
        <w:t>2015 vs. 2014</w:t>
      </w:r>
    </w:p>
    <w:p>
      <w:pPr>
        <w:ind w:left="360"/>
        <w:spacing w:after="0"/>
        <w:rPr>
          <w:sz w:val="20"/>
          <w:szCs w:val="20"/>
          <w:color w:val="auto"/>
        </w:rPr>
      </w:pPr>
      <w:r>
        <w:rPr>
          <w:rFonts w:ascii="Arial" w:cs="Arial" w:eastAsia="Arial" w:hAnsi="Arial"/>
          <w:sz w:val="18"/>
          <w:szCs w:val="18"/>
          <w:color w:val="auto"/>
        </w:rPr>
        <w:t>The decrease in Blizzard's operating income for 2015, as compared to 2014, was primarily due to:</w:t>
      </w:r>
    </w:p>
    <w:p>
      <w:pPr>
        <w:spacing w:after="0" w:line="252" w:lineRule="exact"/>
        <w:rPr>
          <w:sz w:val="20"/>
          <w:szCs w:val="20"/>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revenues.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Higher cost of revenues from </w:t>
      </w:r>
      <w:r>
        <w:rPr>
          <w:rFonts w:ascii="Arial" w:cs="Arial" w:eastAsia="Arial" w:hAnsi="Arial"/>
          <w:sz w:val="18"/>
          <w:szCs w:val="18"/>
          <w:i w:val="1"/>
          <w:iCs w:val="1"/>
          <w:color w:val="auto"/>
        </w:rPr>
        <w:t>Hearthstone</w:t>
      </w:r>
      <w:r>
        <w:rPr>
          <w:rFonts w:ascii="Arial" w:cs="Arial" w:eastAsia="Arial" w:hAnsi="Arial"/>
          <w:sz w:val="18"/>
          <w:szCs w:val="18"/>
          <w:color w:val="auto"/>
        </w:rPr>
        <w:t xml:space="preserve"> related to commissions on mobile purchases following the launch on iPhone and Android smartphones in April 2015.</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 xml:space="preserve">Higher sales and marketing spending for releases, including </w:t>
      </w:r>
      <w:r>
        <w:rPr>
          <w:rFonts w:ascii="Arial" w:cs="Arial" w:eastAsia="Arial" w:hAnsi="Arial"/>
          <w:sz w:val="18"/>
          <w:szCs w:val="18"/>
          <w:i w:val="1"/>
          <w:iCs w:val="1"/>
          <w:color w:val="auto"/>
        </w:rPr>
        <w:t>Hearthstone</w:t>
      </w:r>
      <w:r>
        <w:rPr>
          <w:rFonts w:ascii="Arial" w:cs="Arial" w:eastAsia="Arial" w:hAnsi="Arial"/>
          <w:sz w:val="18"/>
          <w:szCs w:val="18"/>
          <w:color w:val="auto"/>
        </w:rPr>
        <w:t xml:space="preserve"> and </w:t>
      </w:r>
      <w:r>
        <w:rPr>
          <w:rFonts w:ascii="Arial" w:cs="Arial" w:eastAsia="Arial" w:hAnsi="Arial"/>
          <w:sz w:val="18"/>
          <w:szCs w:val="18"/>
          <w:i w:val="1"/>
          <w:iCs w:val="1"/>
          <w:color w:val="auto"/>
        </w:rPr>
        <w:t>Heroes of the Storm.</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Lower capitalization of software development costs and higher software amortization.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King</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King's operating income for the year ended December 31, 2016 represents the operating income from the King Closing Date through December 31, 2016.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Changes in foreign exchange rates had a negative impact of $30 million and $338 million on reportable segment net revenues for 2016 and 2015, respectively, as compared to the same periods in the previous year. The changes are primarily due to changes in the value of the U.S. dollar relative to the euro and British pound.</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Distribution Channel</w:t>
      </w:r>
    </w:p>
    <w:p>
      <w:pPr>
        <w:spacing w:after="0" w:line="225"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The following table details our consolidated net revenues by distribution channel for the years ended December 31, 2016, 2015, and 2014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9"/>
          </w:tcPr>
          <w:p>
            <w:pPr>
              <w:jc w:val="right"/>
              <w:ind w:right="260"/>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Increase/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Increase/</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(decrease)</w:t>
            </w:r>
          </w:p>
        </w:tc>
        <w:tc>
          <w:tcPr>
            <w:tcW w:w="102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 Change</w:t>
            </w:r>
          </w:p>
        </w:tc>
      </w:tr>
      <w:tr>
        <w:trPr>
          <w:trHeight w:val="161"/>
        </w:trPr>
        <w:tc>
          <w:tcPr>
            <w:tcW w:w="2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2016 v 2015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2015 v 2014</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2016 v 2015</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2015 v 2014</w:t>
            </w: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w w:val="92"/>
              </w:rPr>
              <w:t>Net revenues by distribution channel</w:t>
            </w:r>
          </w:p>
        </w:tc>
        <w:tc>
          <w:tcPr>
            <w:tcW w:w="1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Digital online channels(1)</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4,865</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2,502</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1,897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2,363</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605</w:t>
            </w:r>
          </w:p>
        </w:tc>
        <w:tc>
          <w:tcPr>
            <w:tcW w:w="160" w:type="dxa"/>
            <w:vAlign w:val="bottom"/>
          </w:tcPr>
          <w:p>
            <w:pPr>
              <w:spacing w:after="0"/>
              <w:rPr>
                <w:sz w:val="18"/>
                <w:szCs w:val="18"/>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94%</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r>
      <w:tr>
        <w:trPr>
          <w:trHeight w:val="216"/>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 channels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w:t>
            </w:r>
          </w:p>
        </w:tc>
      </w:tr>
      <w:tr>
        <w:trPr>
          <w:trHeight w:val="216"/>
        </w:trPr>
        <w:tc>
          <w:tcPr>
            <w:tcW w:w="20" w:type="dxa"/>
            <w:vAlign w:val="bottom"/>
          </w:tcPr>
          <w:p>
            <w:pPr>
              <w:spacing w:after="0"/>
              <w:rPr>
                <w:sz w:val="18"/>
                <w:szCs w:val="18"/>
                <w:color w:val="auto"/>
              </w:rPr>
            </w:pPr>
          </w:p>
        </w:tc>
        <w:tc>
          <w:tcPr>
            <w:tcW w:w="2700" w:type="dxa"/>
            <w:vAlign w:val="bottom"/>
          </w:tcPr>
          <w:p>
            <w:pPr>
              <w:ind w:left="160"/>
              <w:spacing w:after="0"/>
              <w:rPr>
                <w:sz w:val="20"/>
                <w:szCs w:val="20"/>
                <w:color w:val="auto"/>
              </w:rPr>
            </w:pPr>
            <w:r>
              <w:rPr>
                <w:rFonts w:ascii="Arial" w:cs="Arial" w:eastAsia="Arial" w:hAnsi="Arial"/>
                <w:sz w:val="18"/>
                <w:szCs w:val="18"/>
                <w:color w:val="auto"/>
              </w:rPr>
              <w:t>Other(2)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(13)</w:t>
            </w: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7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Total consolidated net revenues</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increase/(decrease) in deferred revenues recognized by distribution channel for the years ended December 31, 2016, 2015, and 2014, was as follows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10"/>
          </w:tcPr>
          <w:p>
            <w:pPr>
              <w:jc w:val="right"/>
              <w:ind w:right="100"/>
              <w:spacing w:after="0"/>
              <w:rPr>
                <w:sz w:val="20"/>
                <w:szCs w:val="20"/>
                <w:color w:val="auto"/>
              </w:rPr>
            </w:pPr>
            <w:r>
              <w:rPr>
                <w:rFonts w:ascii="Arial" w:cs="Arial" w:eastAsia="Arial" w:hAnsi="Arial"/>
                <w:sz w:val="14"/>
                <w:szCs w:val="14"/>
                <w:b w:val="1"/>
                <w:bCs w:val="1"/>
                <w:color w:val="auto"/>
                <w:w w:val="93"/>
              </w:rPr>
              <w:t>For the Years Ended December 31,</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5"/>
              </w:rPr>
              <w:t>Increase/</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1"/>
              <w:spacing w:after="0" w:line="129" w:lineRule="exact"/>
              <w:rPr>
                <w:sz w:val="20"/>
                <w:szCs w:val="20"/>
                <w:color w:val="auto"/>
              </w:rPr>
            </w:pPr>
            <w:r>
              <w:rPr>
                <w:rFonts w:ascii="Arial" w:cs="Arial" w:eastAsia="Arial" w:hAnsi="Arial"/>
                <w:sz w:val="14"/>
                <w:szCs w:val="14"/>
                <w:b w:val="1"/>
                <w:bCs w:val="1"/>
                <w:color w:val="auto"/>
                <w:w w:val="85"/>
              </w:rPr>
              <w:t>Increase/</w:t>
            </w: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2"/>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(decrease)</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56"/>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59"/>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jc w:val="right"/>
              <w:ind w:right="76"/>
              <w:spacing w:after="0"/>
              <w:rPr>
                <w:sz w:val="20"/>
                <w:szCs w:val="20"/>
                <w:color w:val="auto"/>
              </w:rPr>
            </w:pPr>
            <w:r>
              <w:rPr>
                <w:rFonts w:ascii="Arial" w:cs="Arial" w:eastAsia="Arial" w:hAnsi="Arial"/>
                <w:sz w:val="14"/>
                <w:szCs w:val="14"/>
                <w:b w:val="1"/>
                <w:bCs w:val="1"/>
                <w:color w:val="auto"/>
                <w:w w:val="83"/>
              </w:rPr>
              <w:t>2014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2016 v 2015</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2015 v 2014</w:t>
            </w:r>
          </w:p>
        </w:tc>
      </w:tr>
      <w:tr>
        <w:trPr>
          <w:trHeight w:val="201"/>
        </w:trPr>
        <w:tc>
          <w:tcPr>
            <w:tcW w:w="20" w:type="dxa"/>
            <w:vAlign w:val="bottom"/>
          </w:tcPr>
          <w:p>
            <w:pPr>
              <w:spacing w:after="0"/>
              <w:rPr>
                <w:sz w:val="17"/>
                <w:szCs w:val="17"/>
                <w:color w:val="auto"/>
              </w:rPr>
            </w:pPr>
          </w:p>
        </w:tc>
        <w:tc>
          <w:tcPr>
            <w:tcW w:w="48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89"/>
              </w:rPr>
              <w:t>Increase/(decrease) in deferred revenues recognized by distribution</w:t>
            </w:r>
          </w:p>
        </w:tc>
        <w:tc>
          <w:tcPr>
            <w:tcW w:w="1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20" w:type="dxa"/>
            <w:vAlign w:val="bottom"/>
          </w:tcPr>
          <w:p>
            <w:pPr>
              <w:spacing w:after="0"/>
              <w:rPr>
                <w:sz w:val="19"/>
                <w:szCs w:val="19"/>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channel:</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Digital online channels(1)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(351)</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(126)</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(301)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(225)</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Retail channels</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20" w:type="dxa"/>
            <w:vAlign w:val="bottom"/>
            <w:gridSpan w:val="2"/>
          </w:tcPr>
          <w:p>
            <w:pPr>
              <w:ind w:left="160"/>
              <w:spacing w:after="0"/>
              <w:rPr>
                <w:sz w:val="20"/>
                <w:szCs w:val="20"/>
                <w:color w:val="auto"/>
              </w:rPr>
            </w:pPr>
            <w:r>
              <w:rPr>
                <w:rFonts w:ascii="Arial" w:cs="Arial" w:eastAsia="Arial" w:hAnsi="Arial"/>
                <w:sz w:val="18"/>
                <w:szCs w:val="18"/>
                <w:color w:val="auto"/>
              </w:rPr>
              <w:t>Other(2)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Net (deferral)/recognition impact on consolidated net revenues</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24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40" w:hanging="531"/>
        <w:spacing w:after="0" w:line="268" w:lineRule="auto"/>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define revenues from digital online channels as revenues from digitally distributed subscriptions, licensing royalties, value-added services, downloadable content, microtransactions, and products.</w:t>
      </w:r>
    </w:p>
    <w:p>
      <w:pPr>
        <w:spacing w:after="0" w:line="212" w:lineRule="exact"/>
        <w:rPr>
          <w:rFonts w:ascii="Arial" w:cs="Arial" w:eastAsia="Arial" w:hAnsi="Arial"/>
          <w:sz w:val="18"/>
          <w:szCs w:val="18"/>
          <w:color w:val="auto"/>
        </w:rPr>
      </w:pPr>
    </w:p>
    <w:p>
      <w:pPr>
        <w:ind w:left="1680" w:hanging="531"/>
        <w:spacing w:after="0"/>
        <w:tabs>
          <w:tab w:leader="none" w:pos="16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MLG, Studios, and Distribution businesses.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Digital Online Channel 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digital online channels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New revenues from King titles following the King Closing Date, primarily driven by the Candy Crush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a new team-based first-person shooter released in May 2016.</w:t>
      </w:r>
    </w:p>
    <w:p>
      <w:pPr>
        <w:spacing w:after="0" w:line="225"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131" w:right="57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digital content associated with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as compared to revenues recognized in 2015</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from digital content associated with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the comparable 2015 title.</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digital online channels for 2015, as compared to 2014, was primarily due to:</w:t>
      </w:r>
    </w:p>
    <w:p>
      <w:pPr>
        <w:spacing w:after="0" w:line="252" w:lineRule="exact"/>
        <w:rPr>
          <w:sz w:val="20"/>
          <w:szCs w:val="20"/>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Higher revenues recognized from the Destiny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Hearthstone.</w:t>
      </w:r>
    </w:p>
    <w:p>
      <w:pPr>
        <w:spacing w:after="0" w:line="238"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xml:space="preserve"> and its digital content released during 2015, as compared to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Ghosts </w:t>
      </w:r>
      <w:r>
        <w:rPr>
          <w:rFonts w:ascii="Arial" w:cs="Arial" w:eastAsia="Arial" w:hAnsi="Arial"/>
          <w:sz w:val="18"/>
          <w:szCs w:val="18"/>
          <w:color w:val="auto"/>
        </w:rPr>
        <w:t>and its digital content released during 2014, including revenues recognized from the introduction of microtransactions in</w:t>
      </w:r>
      <w:r>
        <w:rPr>
          <w:rFonts w:ascii="Arial" w:cs="Arial" w:eastAsia="Arial" w:hAnsi="Arial"/>
          <w:sz w:val="18"/>
          <w:szCs w:val="18"/>
          <w:i w:val="1"/>
          <w:iCs w:val="1"/>
          <w:color w:val="auto"/>
        </w:rPr>
        <w:t xml:space="preserve"> Call of Duty: Advanced Warfare.</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Revenues recognized from </w:t>
      </w:r>
      <w:r>
        <w:rPr>
          <w:rFonts w:ascii="Arial" w:cs="Arial" w:eastAsia="Arial" w:hAnsi="Arial"/>
          <w:sz w:val="16"/>
          <w:szCs w:val="16"/>
          <w:i w:val="1"/>
          <w:iCs w:val="1"/>
          <w:color w:val="auto"/>
        </w:rPr>
        <w:t>Heroes of the Storm</w:t>
      </w:r>
      <w:r>
        <w:rPr>
          <w:rFonts w:ascii="Arial" w:cs="Arial" w:eastAsia="Arial" w:hAnsi="Arial"/>
          <w:sz w:val="16"/>
          <w:szCs w:val="16"/>
          <w:color w:val="auto"/>
        </w:rPr>
        <w:t>, which was released in June 2015, with no comparable release during the prior periods.</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 lower revenues from the Diablo franchise due to the timing of title releases.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Deferred Revenues Recognized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deferred revenues recognized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Deferrals of revenues associated with the release of </w:t>
      </w:r>
      <w:r>
        <w:rPr>
          <w:rFonts w:ascii="Arial" w:cs="Arial" w:eastAsia="Arial" w:hAnsi="Arial"/>
          <w:sz w:val="16"/>
          <w:szCs w:val="16"/>
          <w:i w:val="1"/>
          <w:iCs w:val="1"/>
          <w:color w:val="auto"/>
        </w:rPr>
        <w:t>World of Warcraft: Legion</w:t>
      </w:r>
      <w:r>
        <w:rPr>
          <w:rFonts w:ascii="Arial" w:cs="Arial" w:eastAsia="Arial" w:hAnsi="Arial"/>
          <w:sz w:val="16"/>
          <w:szCs w:val="16"/>
          <w:color w:val="auto"/>
        </w:rPr>
        <w:t xml:space="preserve"> in August 2016, as compared to the recognition of deferred</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revenues from the release of </w:t>
      </w:r>
      <w:r>
        <w:rPr>
          <w:rFonts w:ascii="Arial" w:cs="Arial" w:eastAsia="Arial" w:hAnsi="Arial"/>
          <w:sz w:val="18"/>
          <w:szCs w:val="18"/>
          <w:i w:val="1"/>
          <w:iCs w:val="1"/>
          <w:color w:val="auto"/>
        </w:rPr>
        <w:t>World of Warcraft: Warlords of Draenor</w:t>
      </w:r>
      <w:r>
        <w:rPr>
          <w:rFonts w:ascii="Arial" w:cs="Arial" w:eastAsia="Arial" w:hAnsi="Arial"/>
          <w:sz w:val="18"/>
          <w:szCs w:val="18"/>
          <w:color w:val="auto"/>
        </w:rPr>
        <w:t xml:space="preserve"> in 2015.</w:t>
      </w:r>
    </w:p>
    <w:p>
      <w:pPr>
        <w:spacing w:after="0" w:line="232" w:lineRule="exact"/>
        <w:rPr>
          <w:rFonts w:ascii="Arial" w:cs="Arial" w:eastAsia="Arial" w:hAnsi="Arial"/>
          <w:sz w:val="16"/>
          <w:szCs w:val="16"/>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 xml:space="preserve">Deferrals of revenues associated with </w:t>
      </w:r>
      <w:r>
        <w:rPr>
          <w:rFonts w:ascii="Arial" w:cs="Arial" w:eastAsia="Arial" w:hAnsi="Arial"/>
          <w:sz w:val="18"/>
          <w:szCs w:val="18"/>
          <w:i w:val="1"/>
          <w:iCs w:val="1"/>
          <w:color w:val="auto"/>
        </w:rPr>
        <w:t>Overwatch.</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 xml:space="preserve">The decrease was partially offset by higher deferred revenues recognized from </w:t>
      </w:r>
      <w:r>
        <w:rPr>
          <w:rFonts w:ascii="Arial" w:cs="Arial" w:eastAsia="Arial" w:hAnsi="Arial"/>
          <w:sz w:val="18"/>
          <w:szCs w:val="18"/>
          <w:i w:val="1"/>
          <w:iCs w:val="1"/>
          <w:color w:val="auto"/>
        </w:rPr>
        <w:t>Hearthstone.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jc w:val="both"/>
        <w:ind w:right="140" w:firstLine="348"/>
        <w:spacing w:after="0" w:line="259" w:lineRule="auto"/>
        <w:rPr>
          <w:sz w:val="20"/>
          <w:szCs w:val="20"/>
          <w:color w:val="auto"/>
        </w:rPr>
      </w:pPr>
      <w:r>
        <w:rPr>
          <w:rFonts w:ascii="Arial" w:cs="Arial" w:eastAsia="Arial" w:hAnsi="Arial"/>
          <w:sz w:val="18"/>
          <w:szCs w:val="18"/>
          <w:color w:val="auto"/>
        </w:rPr>
        <w:t xml:space="preserve">The increase in net deferred revenues recognized for 2015, as compared to 2014, was primarily due to lower deferrals of revenues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primarily associated with </w:t>
      </w:r>
      <w:r>
        <w:rPr>
          <w:rFonts w:ascii="Arial" w:cs="Arial" w:eastAsia="Arial" w:hAnsi="Arial"/>
          <w:sz w:val="18"/>
          <w:szCs w:val="18"/>
          <w:i w:val="1"/>
          <w:iCs w:val="1"/>
          <w:color w:val="auto"/>
        </w:rPr>
        <w:t>World of Warcraft: Warlords of Draenor</w:t>
      </w:r>
      <w:r>
        <w:rPr>
          <w:rFonts w:ascii="Arial" w:cs="Arial" w:eastAsia="Arial" w:hAnsi="Arial"/>
          <w:sz w:val="18"/>
          <w:szCs w:val="18"/>
          <w:color w:val="auto"/>
        </w:rPr>
        <w:t xml:space="preserve"> and value-added services. The increases were partially offset by higher deferrals of revenues from the Call of Duty franchise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Retail Channel Net 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revenues from retail channels for 2016, as compared to 2015, was primarily due to:</w:t>
      </w:r>
    </w:p>
    <w:p>
      <w:pPr>
        <w:spacing w:after="0" w:line="252" w:lineRule="exact"/>
        <w:rPr>
          <w:sz w:val="20"/>
          <w:szCs w:val="20"/>
          <w:color w:val="auto"/>
        </w:rPr>
      </w:pPr>
    </w:p>
    <w:p>
      <w:pPr>
        <w:ind w:left="5620" w:right="100" w:hanging="5072"/>
        <w:spacing w:after="0" w:line="519" w:lineRule="auto"/>
        <w:tabs>
          <w:tab w:leader="none" w:pos="1082" w:val="left"/>
        </w:tabs>
        <w:numPr>
          <w:ilvl w:val="0"/>
          <w:numId w:val="48"/>
        </w:numPr>
        <w:rPr>
          <w:rFonts w:ascii="Arial" w:cs="Arial" w:eastAsia="Arial" w:hAnsi="Arial"/>
          <w:sz w:val="18"/>
          <w:szCs w:val="18"/>
          <w:color w:val="auto"/>
        </w:rPr>
      </w:pPr>
      <w:r>
        <w:rPr>
          <w:rFonts w:ascii="Arial" w:cs="Arial" w:eastAsia="Arial" w:hAnsi="Arial"/>
          <w:sz w:val="18"/>
          <w:szCs w:val="18"/>
          <w:color w:val="auto"/>
        </w:rPr>
        <w:t xml:space="preserve">Lower revenues recognized from the Destiny franchise, as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debuted in September 2014 but had no comparable full-game release in 2015. 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80" w:hanging="532"/>
        <w:spacing w:after="0" w:line="332"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Skylanders Imaginators</w:t>
      </w:r>
      <w:r>
        <w:rPr>
          <w:rFonts w:ascii="Arial" w:cs="Arial" w:eastAsia="Arial" w:hAnsi="Arial"/>
          <w:sz w:val="16"/>
          <w:szCs w:val="16"/>
          <w:color w:val="auto"/>
        </w:rPr>
        <w:t xml:space="preserve">, which was released in October 2016, as compared to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the comparable 2015 title, as well as lower revenues from standalone Skylanders toys and accessories in 2016.</w:t>
      </w:r>
    </w:p>
    <w:p>
      <w:pPr>
        <w:spacing w:after="0" w:line="166" w:lineRule="exact"/>
        <w:rPr>
          <w:rFonts w:ascii="Arial" w:cs="Arial" w:eastAsia="Arial" w:hAnsi="Arial"/>
          <w:sz w:val="16"/>
          <w:szCs w:val="16"/>
          <w:color w:val="auto"/>
        </w:rPr>
      </w:pPr>
    </w:p>
    <w:p>
      <w:pPr>
        <w:ind w:left="1080" w:right="260" w:hanging="532"/>
        <w:spacing w:after="0" w:line="268"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Call of Duty: Infinite Warfare</w:t>
      </w:r>
      <w:r>
        <w:rPr>
          <w:rFonts w:ascii="Arial" w:cs="Arial" w:eastAsia="Arial" w:hAnsi="Arial"/>
          <w:sz w:val="18"/>
          <w:szCs w:val="18"/>
          <w:color w:val="auto"/>
        </w:rPr>
        <w:t xml:space="preserve">, which was released in the fourth quarter of 2016, as compared to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w:t>
      </w:r>
      <w:r>
        <w:rPr>
          <w:rFonts w:ascii="Arial" w:cs="Arial" w:eastAsia="Arial" w:hAnsi="Arial"/>
          <w:sz w:val="18"/>
          <w:szCs w:val="18"/>
          <w:i w:val="1"/>
          <w:iCs w:val="1"/>
          <w:color w:val="auto"/>
        </w:rPr>
        <w:t>Black Ops III</w:t>
      </w:r>
      <w:r>
        <w:rPr>
          <w:rFonts w:ascii="Arial" w:cs="Arial" w:eastAsia="Arial" w:hAnsi="Arial"/>
          <w:sz w:val="18"/>
          <w:szCs w:val="18"/>
          <w:color w:val="auto"/>
        </w:rPr>
        <w:t>, which was released in the fourth quarter of 2015.</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was partially offset by:</w:t>
      </w:r>
    </w:p>
    <w:p>
      <w:pPr>
        <w:spacing w:after="0" w:line="239" w:lineRule="exact"/>
        <w:rPr>
          <w:sz w:val="20"/>
          <w:szCs w:val="20"/>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a new team-based first-person shooter released in May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which was released in the fourth quarter of 2015, as compared to revenues</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recognized in 2015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which was released in the fourth quarter of 2014.</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revenues from retail channels for 2015, as compared to 2014, was primarily due to:</w:t>
      </w:r>
    </w:p>
    <w:p>
      <w:pPr>
        <w:spacing w:after="0" w:line="252"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xml:space="preserve">, which was released in 2015, as compared to </w:t>
      </w:r>
      <w:r>
        <w:rPr>
          <w:rFonts w:ascii="Arial" w:cs="Arial" w:eastAsia="Arial" w:hAnsi="Arial"/>
          <w:sz w:val="16"/>
          <w:szCs w:val="16"/>
          <w:i w:val="1"/>
          <w:iCs w:val="1"/>
          <w:color w:val="auto"/>
        </w:rPr>
        <w:t>Skylanders Trap Team</w:t>
      </w:r>
      <w:r>
        <w:rPr>
          <w:rFonts w:ascii="Arial" w:cs="Arial" w:eastAsia="Arial" w:hAnsi="Arial"/>
          <w:sz w:val="16"/>
          <w:szCs w:val="16"/>
          <w:color w:val="auto"/>
        </w:rPr>
        <w:t>, the comparable 2014 title.</w:t>
      </w:r>
    </w:p>
    <w:p>
      <w:pPr>
        <w:spacing w:after="0" w:line="261"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xml:space="preserve">, which was released in the fourth quarter of 2014, as compared to </w:t>
      </w:r>
      <w:r>
        <w:rPr>
          <w:rFonts w:ascii="Arial" w:cs="Arial" w:eastAsia="Arial" w:hAnsi="Arial"/>
          <w:sz w:val="18"/>
          <w:szCs w:val="18"/>
          <w:i w:val="1"/>
          <w:iCs w:val="1"/>
          <w:color w:val="auto"/>
        </w:rPr>
        <w:t>Call of Duty:</w:t>
      </w:r>
      <w:r>
        <w:rPr>
          <w:rFonts w:ascii="Arial" w:cs="Arial" w:eastAsia="Arial" w:hAnsi="Arial"/>
          <w:sz w:val="18"/>
          <w:szCs w:val="18"/>
          <w:color w:val="auto"/>
        </w:rPr>
        <w:t xml:space="preserve"> </w:t>
      </w:r>
      <w:r>
        <w:rPr>
          <w:rFonts w:ascii="Arial" w:cs="Arial" w:eastAsia="Arial" w:hAnsi="Arial"/>
          <w:sz w:val="18"/>
          <w:szCs w:val="18"/>
          <w:i w:val="1"/>
          <w:iCs w:val="1"/>
          <w:color w:val="auto"/>
        </w:rPr>
        <w:t>Ghosts</w:t>
      </w:r>
      <w:r>
        <w:rPr>
          <w:rFonts w:ascii="Arial" w:cs="Arial" w:eastAsia="Arial" w:hAnsi="Arial"/>
          <w:sz w:val="18"/>
          <w:szCs w:val="18"/>
          <w:color w:val="auto"/>
        </w:rPr>
        <w:t>, which was released in the fourth quarter of 2013.</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Lower revenues recognized from </w:t>
      </w:r>
      <w:r>
        <w:rPr>
          <w:rFonts w:ascii="Arial" w:cs="Arial" w:eastAsia="Arial" w:hAnsi="Arial"/>
          <w:sz w:val="18"/>
          <w:szCs w:val="18"/>
          <w:i w:val="1"/>
          <w:iCs w:val="1"/>
          <w:color w:val="auto"/>
        </w:rPr>
        <w:t>Diablo III: Reaper of Souls</w:t>
      </w:r>
      <w:r>
        <w:rPr>
          <w:rFonts w:ascii="Arial" w:cs="Arial" w:eastAsia="Arial" w:hAnsi="Arial"/>
          <w:sz w:val="18"/>
          <w:szCs w:val="18"/>
          <w:color w:val="auto"/>
        </w:rPr>
        <w:t xml:space="preserve"> and </w:t>
      </w:r>
      <w:r>
        <w:rPr>
          <w:rFonts w:ascii="Arial" w:cs="Arial" w:eastAsia="Arial" w:hAnsi="Arial"/>
          <w:sz w:val="18"/>
          <w:szCs w:val="18"/>
          <w:i w:val="1"/>
          <w:iCs w:val="1"/>
          <w:color w:val="auto"/>
        </w:rPr>
        <w:t>Diablo III: Reaper of Souls—Ultimate Evil Edition</w:t>
      </w:r>
      <w:r>
        <w:rPr>
          <w:rFonts w:ascii="Arial" w:cs="Arial" w:eastAsia="Arial" w:hAnsi="Arial"/>
          <w:sz w:val="18"/>
          <w:szCs w:val="18"/>
          <w:color w:val="auto"/>
        </w:rPr>
        <w:t>, which were released in March 2014 on PC and in August 2014 on consoles, respectively.</w:t>
      </w:r>
    </w:p>
    <w:p>
      <w:pPr>
        <w:spacing w:after="0" w:line="186"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 xml:space="preserve">The decrease was partially offset by higher revenues recognized from the Destiny franchise and revenues from </w:t>
      </w:r>
      <w:r>
        <w:rPr>
          <w:rFonts w:ascii="Arial" w:cs="Arial" w:eastAsia="Arial" w:hAnsi="Arial"/>
          <w:sz w:val="18"/>
          <w:szCs w:val="18"/>
          <w:i w:val="1"/>
          <w:iCs w:val="1"/>
          <w:color w:val="auto"/>
        </w:rPr>
        <w:t>Guitar Hero Live</w:t>
      </w:r>
      <w:r>
        <w:rPr>
          <w:rFonts w:ascii="Arial" w:cs="Arial" w:eastAsia="Arial" w:hAnsi="Arial"/>
          <w:sz w:val="18"/>
          <w:szCs w:val="18"/>
          <w:color w:val="auto"/>
        </w:rPr>
        <w:t>, which was released in October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Deferred Revenues Recognized</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deferred revenues recognized for 2016, as compared to 2015, was primarily due to:</w:t>
      </w:r>
    </w:p>
    <w:p>
      <w:pPr>
        <w:spacing w:after="0" w:line="252"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Lower deferrals of revenues associated with the Call of Duty franchise, driven by lower revenue deferrals from </w:t>
      </w:r>
      <w:r>
        <w:rPr>
          <w:rFonts w:ascii="Arial" w:cs="Arial" w:eastAsia="Arial" w:hAnsi="Arial"/>
          <w:sz w:val="16"/>
          <w:szCs w:val="16"/>
          <w:i w:val="1"/>
          <w:iCs w:val="1"/>
          <w:color w:val="auto"/>
        </w:rPr>
        <w:t>Call of Duty: Infinite Warfare</w:t>
      </w:r>
      <w:r>
        <w:rPr>
          <w:rFonts w:ascii="Arial" w:cs="Arial" w:eastAsia="Arial" w:hAnsi="Arial"/>
          <w:sz w:val="16"/>
          <w:szCs w:val="16"/>
          <w:color w:val="auto"/>
        </w:rPr>
        <w:t>,</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color w:val="auto"/>
        </w:rPr>
        <w:t xml:space="preserve">which was released in the fourth quarter of 2016, as compared to </w:t>
      </w:r>
      <w:r>
        <w:rPr>
          <w:rFonts w:ascii="Arial" w:cs="Arial" w:eastAsia="Arial" w:hAnsi="Arial"/>
          <w:sz w:val="18"/>
          <w:szCs w:val="18"/>
          <w:i w:val="1"/>
          <w:iCs w:val="1"/>
          <w:color w:val="auto"/>
        </w:rPr>
        <w:t>Call of Duty: Black Ops III</w:t>
      </w:r>
      <w:r>
        <w:rPr>
          <w:rFonts w:ascii="Arial" w:cs="Arial" w:eastAsia="Arial" w:hAnsi="Arial"/>
          <w:sz w:val="18"/>
          <w:szCs w:val="18"/>
          <w:color w:val="auto"/>
        </w:rPr>
        <w:t>, the comparable 2015 title.</w:t>
      </w:r>
    </w:p>
    <w:p>
      <w:pPr>
        <w:spacing w:after="0" w:line="232"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Deferred revenues recognized from </w:t>
      </w:r>
      <w:r>
        <w:rPr>
          <w:rFonts w:ascii="Arial" w:cs="Arial" w:eastAsia="Arial" w:hAnsi="Arial"/>
          <w:sz w:val="18"/>
          <w:szCs w:val="18"/>
          <w:i w:val="1"/>
          <w:iCs w:val="1"/>
          <w:color w:val="auto"/>
        </w:rPr>
        <w:t>Guitar Hero Live</w:t>
      </w:r>
      <w:r>
        <w:rPr>
          <w:rFonts w:ascii="Arial" w:cs="Arial" w:eastAsia="Arial" w:hAnsi="Arial"/>
          <w:sz w:val="18"/>
          <w:szCs w:val="18"/>
          <w:color w:val="auto"/>
        </w:rPr>
        <w:t>, which was released in the fourth quarter of 2015.</w:t>
      </w:r>
    </w:p>
    <w:p>
      <w:pPr>
        <w:spacing w:after="0" w:line="225"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 xml:space="preserve">The decrease was partially offset by lower deferred revenues recognized from the Destiny franchise, as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debuted in September 2014 but had no comparable full-game release in 2015.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 increase in net deferred revenues recognized for 2015, as compared to 2014, was primarily due to lower deferrals of revenues from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The increase was partially offset by higher deferrals of revenues from the Call of Duty franchise.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Geographic Region</w:t>
      </w:r>
    </w:p>
    <w:p>
      <w:pPr>
        <w:spacing w:after="0" w:line="225"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following table details our consolidated net revenues by geographic region for the years ended December 31, 2016, 2015, and 2014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8"/>
          </w:tcPr>
          <w:p>
            <w:pPr>
              <w:jc w:val="right"/>
              <w:ind w:right="260"/>
              <w:spacing w:after="0"/>
              <w:rPr>
                <w:sz w:val="20"/>
                <w:szCs w:val="20"/>
                <w:color w:val="auto"/>
              </w:rPr>
            </w:pPr>
            <w:r>
              <w:rPr>
                <w:rFonts w:ascii="Arial" w:cs="Arial" w:eastAsia="Arial" w:hAnsi="Arial"/>
                <w:sz w:val="14"/>
                <w:szCs w:val="14"/>
                <w:b w:val="1"/>
                <w:bCs w:val="1"/>
                <w:color w:val="auto"/>
              </w:rPr>
              <w:t>For the Years Ended 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5"/>
              </w:rPr>
              <w:t>Increase/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5"/>
              </w:rPr>
              <w:t>Increase/</w:t>
            </w: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5"/>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2"/>
              </w:rPr>
              <w:t>(decrease)</w:t>
            </w:r>
          </w:p>
        </w:tc>
        <w:tc>
          <w:tcPr>
            <w:tcW w:w="1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 Change</w:t>
            </w:r>
          </w:p>
        </w:tc>
        <w:tc>
          <w:tcPr>
            <w:tcW w:w="102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rPr>
              <w:t>% Change</w:t>
            </w:r>
          </w:p>
        </w:tc>
      </w:tr>
      <w:tr>
        <w:trPr>
          <w:trHeight w:val="161"/>
        </w:trPr>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6"/>
              <w:spacing w:after="0"/>
              <w:rPr>
                <w:sz w:val="20"/>
                <w:szCs w:val="20"/>
                <w:color w:val="auto"/>
              </w:rPr>
            </w:pPr>
            <w:r>
              <w:rPr>
                <w:rFonts w:ascii="Arial" w:cs="Arial" w:eastAsia="Arial" w:hAnsi="Arial"/>
                <w:sz w:val="14"/>
                <w:szCs w:val="14"/>
                <w:b w:val="1"/>
                <w:bCs w:val="1"/>
                <w:color w:val="auto"/>
                <w:w w:val="96"/>
              </w:rPr>
              <w:t>2015</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99"/>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1"/>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2015 v 2014</w:t>
            </w:r>
          </w:p>
        </w:tc>
        <w:tc>
          <w:tcPr>
            <w:tcW w:w="1020" w:type="dxa"/>
            <w:vAlign w:val="bottom"/>
            <w:gridSpan w:val="2"/>
          </w:tcPr>
          <w:p>
            <w:pPr>
              <w:ind w:left="80"/>
              <w:spacing w:after="0"/>
              <w:rPr>
                <w:sz w:val="20"/>
                <w:szCs w:val="20"/>
                <w:color w:val="auto"/>
              </w:rPr>
            </w:pPr>
            <w:r>
              <w:rPr>
                <w:rFonts w:ascii="Arial" w:cs="Arial" w:eastAsia="Arial" w:hAnsi="Arial"/>
                <w:sz w:val="14"/>
                <w:szCs w:val="14"/>
                <w:b w:val="1"/>
                <w:bCs w:val="1"/>
                <w:color w:val="auto"/>
              </w:rPr>
              <w:t>2016 v 2015</w:t>
            </w:r>
          </w:p>
        </w:tc>
        <w:tc>
          <w:tcPr>
            <w:tcW w:w="10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5"/>
              </w:rPr>
              <w:t>2015 v 2014</w:t>
            </w:r>
          </w:p>
        </w:tc>
      </w:tr>
      <w:tr>
        <w:trPr>
          <w:trHeight w:val="210"/>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Geographic region net revenues:</w:t>
            </w: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Americas</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3,423</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2,409</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1,014</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Arial" w:cs="Arial" w:eastAsia="Arial" w:hAnsi="Arial"/>
                <w:sz w:val="18"/>
                <w:szCs w:val="18"/>
                <w:color w:val="auto"/>
                <w:w w:val="88"/>
              </w:rPr>
              <w:t>42%</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r>
      <w:tr>
        <w:trPr>
          <w:trHeight w:val="216"/>
        </w:trPr>
        <w:tc>
          <w:tcPr>
            <w:tcW w:w="20" w:type="dxa"/>
            <w:vAlign w:val="bottom"/>
          </w:tcPr>
          <w:p>
            <w:pPr>
              <w:spacing w:after="0"/>
              <w:rPr>
                <w:sz w:val="18"/>
                <w:szCs w:val="18"/>
                <w:color w:val="auto"/>
              </w:rPr>
            </w:pPr>
          </w:p>
        </w:tc>
        <w:tc>
          <w:tcPr>
            <w:tcW w:w="2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EMEA(1)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w:t>
            </w: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28</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r>
      <w:tr>
        <w:trPr>
          <w:trHeight w:val="216"/>
        </w:trPr>
        <w:tc>
          <w:tcPr>
            <w:tcW w:w="20" w:type="dxa"/>
            <w:vAlign w:val="bottom"/>
          </w:tcPr>
          <w:p>
            <w:pPr>
              <w:spacing w:after="0"/>
              <w:rPr>
                <w:sz w:val="18"/>
                <w:szCs w:val="18"/>
                <w:color w:val="auto"/>
              </w:rPr>
            </w:pPr>
          </w:p>
        </w:tc>
        <w:tc>
          <w:tcPr>
            <w:tcW w:w="2560" w:type="dxa"/>
            <w:vAlign w:val="bottom"/>
            <w:gridSpan w:val="2"/>
          </w:tcPr>
          <w:p>
            <w:pPr>
              <w:ind w:left="160"/>
              <w:spacing w:after="0"/>
              <w:rPr>
                <w:sz w:val="20"/>
                <w:szCs w:val="20"/>
                <w:color w:val="auto"/>
              </w:rPr>
            </w:pPr>
            <w:r>
              <w:rPr>
                <w:rFonts w:ascii="Arial" w:cs="Arial" w:eastAsia="Arial" w:hAnsi="Arial"/>
                <w:sz w:val="18"/>
                <w:szCs w:val="18"/>
                <w:color w:val="auto"/>
              </w:rPr>
              <w:t>Asia Pacific</w:t>
            </w:r>
          </w:p>
        </w:tc>
        <w:tc>
          <w:tcPr>
            <w:tcW w:w="2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860" w:type="dxa"/>
            <w:vAlign w:val="bottom"/>
          </w:tcPr>
          <w:p>
            <w:pPr>
              <w:ind w:left="680"/>
              <w:spacing w:after="0"/>
              <w:rPr>
                <w:sz w:val="20"/>
                <w:szCs w:val="20"/>
                <w:color w:val="auto"/>
              </w:rPr>
            </w:pPr>
            <w:r>
              <w:rPr>
                <w:rFonts w:ascii="Arial" w:cs="Arial" w:eastAsia="Arial" w:hAnsi="Arial"/>
                <w:sz w:val="18"/>
                <w:szCs w:val="18"/>
                <w:color w:val="auto"/>
                <w:w w:val="79"/>
              </w:rPr>
              <w:t>88</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net revenues</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ind w:left="680"/>
              <w:spacing w:after="0"/>
              <w:rPr>
                <w:sz w:val="20"/>
                <w:szCs w:val="20"/>
                <w:color w:val="auto"/>
              </w:rPr>
            </w:pPr>
            <w:r>
              <w:rPr>
                <w:rFonts w:ascii="Arial" w:cs="Arial" w:eastAsia="Arial" w:hAnsi="Arial"/>
                <w:sz w:val="18"/>
                <w:szCs w:val="18"/>
                <w:color w:val="auto"/>
                <w:w w:val="79"/>
              </w:rPr>
              <w:t>42</w:t>
            </w: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620" w:type="dxa"/>
            <w:vAlign w:val="bottom"/>
            <w:tcBorders>
              <w:bottom w:val="single" w:sz="8" w:color="auto"/>
            </w:tcBorders>
          </w:tcPr>
          <w:p>
            <w:pPr>
              <w:spacing w:after="0"/>
              <w:rPr>
                <w:sz w:val="7"/>
                <w:szCs w:val="7"/>
                <w:color w:val="auto"/>
              </w:rPr>
            </w:pPr>
          </w:p>
        </w:tc>
        <w:tc>
          <w:tcPr>
            <w:tcW w:w="94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hanging="531"/>
        <w:spacing w:after="0"/>
        <w:tabs>
          <w:tab w:leader="none" w:pos="16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EMEA consists of the Europe, Middle East, and Africa geographic regions.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Americas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in the Americas region for 2016, as compared to 2015, was primarily due to:</w:t>
      </w:r>
    </w:p>
    <w:p>
      <w:pPr>
        <w:spacing w:after="0" w:line="252"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New revenues from King titles following the King Closing Date, primarily driven by the Candy Crush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xml:space="preserve"> a new team-based first-person shooter released in May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which was released in the fourth quarter of 2015, as compared to revenues</w:t>
      </w:r>
    </w:p>
    <w:p>
      <w:pPr>
        <w:spacing w:after="0" w:line="38" w:lineRule="exact"/>
        <w:rPr>
          <w:rFonts w:ascii="Arial" w:cs="Arial" w:eastAsia="Arial" w:hAnsi="Arial"/>
          <w:sz w:val="16"/>
          <w:szCs w:val="16"/>
          <w:color w:val="auto"/>
        </w:rPr>
      </w:pPr>
    </w:p>
    <w:p>
      <w:pPr>
        <w:ind w:left="108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recognized in 2015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which was released in the fourth quarter of 2014, including, in each case, the associated digital content.</w:t>
      </w:r>
    </w:p>
    <w:p>
      <w:pPr>
        <w:spacing w:after="0" w:line="19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52" w:lineRule="exact"/>
        <w:rPr>
          <w:sz w:val="20"/>
          <w:szCs w:val="20"/>
          <w:color w:val="auto"/>
        </w:rPr>
      </w:pPr>
    </w:p>
    <w:p>
      <w:pPr>
        <w:ind w:left="1080" w:hanging="532"/>
        <w:spacing w:after="0"/>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Lower revenues recognized from the Destiny franchise, as </w:t>
      </w:r>
      <w:r>
        <w:rPr>
          <w:rFonts w:ascii="Arial" w:cs="Arial" w:eastAsia="Arial" w:hAnsi="Arial"/>
          <w:sz w:val="16"/>
          <w:szCs w:val="16"/>
          <w:i w:val="1"/>
          <w:iCs w:val="1"/>
          <w:color w:val="auto"/>
        </w:rPr>
        <w:t>Destiny</w:t>
      </w:r>
      <w:r>
        <w:rPr>
          <w:rFonts w:ascii="Arial" w:cs="Arial" w:eastAsia="Arial" w:hAnsi="Arial"/>
          <w:sz w:val="16"/>
          <w:szCs w:val="16"/>
          <w:color w:val="auto"/>
        </w:rPr>
        <w:t xml:space="preserve"> debuted in September 2014 but had no comparable full-game release in 2015.</w:t>
      </w:r>
    </w:p>
    <w:p>
      <w:pPr>
        <w:spacing w:after="0" w:line="261" w:lineRule="exact"/>
        <w:rPr>
          <w:rFonts w:ascii="Arial" w:cs="Arial" w:eastAsia="Arial" w:hAnsi="Arial"/>
          <w:sz w:val="16"/>
          <w:szCs w:val="16"/>
          <w:color w:val="auto"/>
        </w:rPr>
      </w:pPr>
    </w:p>
    <w:p>
      <w:pPr>
        <w:ind w:left="1080" w:right="240" w:hanging="532"/>
        <w:spacing w:after="0" w:line="332" w:lineRule="auto"/>
        <w:tabs>
          <w:tab w:leader="none" w:pos="1080"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Lower revenues from </w:t>
      </w:r>
      <w:r>
        <w:rPr>
          <w:rFonts w:ascii="Arial" w:cs="Arial" w:eastAsia="Arial" w:hAnsi="Arial"/>
          <w:sz w:val="16"/>
          <w:szCs w:val="16"/>
          <w:i w:val="1"/>
          <w:iCs w:val="1"/>
          <w:color w:val="auto"/>
        </w:rPr>
        <w:t>Skylanders Imaginators</w:t>
      </w:r>
      <w:r>
        <w:rPr>
          <w:rFonts w:ascii="Arial" w:cs="Arial" w:eastAsia="Arial" w:hAnsi="Arial"/>
          <w:sz w:val="16"/>
          <w:szCs w:val="16"/>
          <w:color w:val="auto"/>
        </w:rPr>
        <w:t xml:space="preserve">, which was released in October 2016, as compared to </w:t>
      </w:r>
      <w:r>
        <w:rPr>
          <w:rFonts w:ascii="Arial" w:cs="Arial" w:eastAsia="Arial" w:hAnsi="Arial"/>
          <w:sz w:val="16"/>
          <w:szCs w:val="16"/>
          <w:i w:val="1"/>
          <w:iCs w:val="1"/>
          <w:color w:val="auto"/>
        </w:rPr>
        <w:t>Skylanders Superchargers</w:t>
      </w:r>
      <w:r>
        <w:rPr>
          <w:rFonts w:ascii="Arial" w:cs="Arial" w:eastAsia="Arial" w:hAnsi="Arial"/>
          <w:sz w:val="16"/>
          <w:szCs w:val="16"/>
          <w:color w:val="auto"/>
        </w:rPr>
        <w:t>, the comparable 2015 title, as well as lower revenues from standalone toys and accessories from the Skylanders franchise in 2016.</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in the Americas region for 2015, as compared to 2014, was primarily due to:</w:t>
      </w:r>
    </w:p>
    <w:p>
      <w:pPr>
        <w:spacing w:after="0" w:line="23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Higher revenues recognized from the Destiny franchise.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Hearthstone.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Heroes of the Storm</w:t>
      </w:r>
      <w:r>
        <w:rPr>
          <w:rFonts w:ascii="Arial" w:cs="Arial" w:eastAsia="Arial" w:hAnsi="Arial"/>
          <w:sz w:val="18"/>
          <w:szCs w:val="18"/>
          <w:color w:val="auto"/>
        </w:rPr>
        <w:t xml:space="preserve"> and </w:t>
      </w:r>
      <w:r>
        <w:rPr>
          <w:rFonts w:ascii="Arial" w:cs="Arial" w:eastAsia="Arial" w:hAnsi="Arial"/>
          <w:sz w:val="18"/>
          <w:szCs w:val="18"/>
          <w:i w:val="1"/>
          <w:iCs w:val="1"/>
          <w:color w:val="auto"/>
        </w:rPr>
        <w:t>Guitar Hero Live</w:t>
      </w:r>
      <w:r>
        <w:rPr>
          <w:rFonts w:ascii="Arial" w:cs="Arial" w:eastAsia="Arial" w:hAnsi="Arial"/>
          <w:sz w:val="18"/>
          <w:szCs w:val="18"/>
          <w:color w:val="auto"/>
        </w:rPr>
        <w:t>, which were both released in 2015 with no comparable releases during the prior periods.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w:t>
      </w:r>
    </w:p>
    <w:p>
      <w:pPr>
        <w:spacing w:after="0" w:line="239"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5"/>
          <w:szCs w:val="15"/>
          <w:color w:val="auto"/>
        </w:rPr>
      </w:pPr>
      <w:r>
        <w:rPr>
          <w:rFonts w:ascii="Arial" w:cs="Arial" w:eastAsia="Arial" w:hAnsi="Arial"/>
          <w:sz w:val="15"/>
          <w:szCs w:val="15"/>
          <w:color w:val="auto"/>
        </w:rPr>
        <w:t xml:space="preserve">Lower revenues from </w:t>
      </w:r>
      <w:r>
        <w:rPr>
          <w:rFonts w:ascii="Arial" w:cs="Arial" w:eastAsia="Arial" w:hAnsi="Arial"/>
          <w:sz w:val="15"/>
          <w:szCs w:val="15"/>
          <w:i w:val="1"/>
          <w:iCs w:val="1"/>
          <w:color w:val="auto"/>
        </w:rPr>
        <w:t>Skylanders SuperChargers</w:t>
      </w:r>
      <w:r>
        <w:rPr>
          <w:rFonts w:ascii="Arial" w:cs="Arial" w:eastAsia="Arial" w:hAnsi="Arial"/>
          <w:sz w:val="15"/>
          <w:szCs w:val="15"/>
          <w:color w:val="auto"/>
        </w:rPr>
        <w:t xml:space="preserve">, which was released in 2015, as compared to </w:t>
      </w:r>
      <w:r>
        <w:rPr>
          <w:rFonts w:ascii="Arial" w:cs="Arial" w:eastAsia="Arial" w:hAnsi="Arial"/>
          <w:sz w:val="15"/>
          <w:szCs w:val="15"/>
          <w:i w:val="1"/>
          <w:iCs w:val="1"/>
          <w:color w:val="auto"/>
        </w:rPr>
        <w:t>Skylanders Trap Team</w:t>
      </w:r>
      <w:r>
        <w:rPr>
          <w:rFonts w:ascii="Arial" w:cs="Arial" w:eastAsia="Arial" w:hAnsi="Arial"/>
          <w:sz w:val="15"/>
          <w:szCs w:val="15"/>
          <w:color w:val="auto"/>
        </w:rPr>
        <w:t>, the comparable 2014 title.</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Lower revenues recognized from the Diablo franchise due to the timing of title releases.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EMEA</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increase in net revenues in the EMEA region for 2016, as compared to 2015, was primarily due to the same drivers and partially offsetting factors as the Americas region discussed above.</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net revenues in the EMEA region for 2015, as compared to 2014, was primarily due to:</w:t>
      </w:r>
    </w:p>
    <w:p>
      <w:pPr>
        <w:spacing w:after="0" w:line="239" w:lineRule="exact"/>
        <w:rPr>
          <w:sz w:val="20"/>
          <w:szCs w:val="20"/>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revenues recognized from the Diablo and Call of Duty franchises.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8"/>
        </w:numPr>
        <w:rPr>
          <w:rFonts w:ascii="Arial" w:cs="Arial" w:eastAsia="Arial" w:hAnsi="Arial"/>
          <w:sz w:val="15"/>
          <w:szCs w:val="15"/>
          <w:color w:val="auto"/>
        </w:rPr>
      </w:pPr>
      <w:r>
        <w:rPr>
          <w:rFonts w:ascii="Arial" w:cs="Arial" w:eastAsia="Arial" w:hAnsi="Arial"/>
          <w:sz w:val="15"/>
          <w:szCs w:val="15"/>
          <w:color w:val="auto"/>
        </w:rPr>
        <w:t xml:space="preserve">Lower revenues from </w:t>
      </w:r>
      <w:r>
        <w:rPr>
          <w:rFonts w:ascii="Arial" w:cs="Arial" w:eastAsia="Arial" w:hAnsi="Arial"/>
          <w:sz w:val="15"/>
          <w:szCs w:val="15"/>
          <w:i w:val="1"/>
          <w:iCs w:val="1"/>
          <w:color w:val="auto"/>
        </w:rPr>
        <w:t>Skylanders SuperChargers</w:t>
      </w:r>
      <w:r>
        <w:rPr>
          <w:rFonts w:ascii="Arial" w:cs="Arial" w:eastAsia="Arial" w:hAnsi="Arial"/>
          <w:sz w:val="15"/>
          <w:szCs w:val="15"/>
          <w:color w:val="auto"/>
        </w:rPr>
        <w:t xml:space="preserve">, which was released in 2015, as compared to </w:t>
      </w:r>
      <w:r>
        <w:rPr>
          <w:rFonts w:ascii="Arial" w:cs="Arial" w:eastAsia="Arial" w:hAnsi="Arial"/>
          <w:sz w:val="15"/>
          <w:szCs w:val="15"/>
          <w:i w:val="1"/>
          <w:iCs w:val="1"/>
          <w:color w:val="auto"/>
        </w:rPr>
        <w:t>Skylanders Trap Team</w:t>
      </w:r>
      <w:r>
        <w:rPr>
          <w:rFonts w:ascii="Arial" w:cs="Arial" w:eastAsia="Arial" w:hAnsi="Arial"/>
          <w:sz w:val="15"/>
          <w:szCs w:val="15"/>
          <w:color w:val="auto"/>
        </w:rPr>
        <w:t>, the comparable 2014 title.</w:t>
      </w:r>
    </w:p>
    <w:p>
      <w:pPr>
        <w:spacing w:after="0" w:line="286" w:lineRule="exact"/>
        <w:rPr>
          <w:rFonts w:ascii="Arial" w:cs="Arial" w:eastAsia="Arial" w:hAnsi="Arial"/>
          <w:sz w:val="15"/>
          <w:szCs w:val="15"/>
          <w:color w:val="auto"/>
        </w:rPr>
      </w:pPr>
    </w:p>
    <w:p>
      <w:pPr>
        <w:ind w:left="1080" w:hanging="532"/>
        <w:spacing w:after="0"/>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Lower revenues from our Distribution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Higher revenues recognized from the Destiny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Hearthstone.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9"/>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Heroes of the Storm.</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New revenues from King titles following the King Closing Date, primarily driven by the Candy Crush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a new team-based first-person shooter released in May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Hearthstone.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was partially offset by lower revenues recognized from the Diablo franchise due to the timing of releases.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Hearthstone</w:t>
      </w:r>
      <w:r>
        <w:rPr>
          <w:rFonts w:ascii="Arial" w:cs="Arial" w:eastAsia="Arial" w:hAnsi="Arial"/>
          <w:sz w:val="18"/>
          <w:szCs w:val="18"/>
          <w:color w:val="auto"/>
        </w:rPr>
        <w:t xml:space="preserve"> and </w:t>
      </w:r>
      <w:r>
        <w:rPr>
          <w:rFonts w:ascii="Arial" w:cs="Arial" w:eastAsia="Arial" w:hAnsi="Arial"/>
          <w:sz w:val="18"/>
          <w:szCs w:val="18"/>
          <w:i w:val="1"/>
          <w:iCs w:val="1"/>
          <w:color w:val="auto"/>
        </w:rPr>
        <w:t>Call of Duty Online.</w:t>
      </w:r>
    </w:p>
    <w:p>
      <w:pPr>
        <w:spacing w:after="0" w:line="238" w:lineRule="exact"/>
        <w:rPr>
          <w:rFonts w:ascii="Arial" w:cs="Arial" w:eastAsia="Arial" w:hAnsi="Arial"/>
          <w:sz w:val="18"/>
          <w:szCs w:val="18"/>
          <w:color w:val="auto"/>
        </w:rPr>
      </w:pPr>
    </w:p>
    <w:p>
      <w:pPr>
        <w:ind w:left="360" w:right="4480" w:firstLine="188"/>
        <w:spacing w:after="0" w:line="601" w:lineRule="auto"/>
        <w:tabs>
          <w:tab w:leader="none" w:pos="1092" w:val="left"/>
        </w:tabs>
        <w:numPr>
          <w:ilvl w:val="0"/>
          <w:numId w:val="61"/>
        </w:numPr>
        <w:rPr>
          <w:rFonts w:ascii="Arial" w:cs="Arial" w:eastAsia="Arial" w:hAnsi="Arial"/>
          <w:sz w:val="15"/>
          <w:szCs w:val="15"/>
          <w:color w:val="auto"/>
        </w:rPr>
      </w:pPr>
      <w:r>
        <w:rPr>
          <w:rFonts w:ascii="Arial" w:cs="Arial" w:eastAsia="Arial" w:hAnsi="Arial"/>
          <w:sz w:val="15"/>
          <w:szCs w:val="15"/>
          <w:color w:val="auto"/>
        </w:rPr>
        <w:t xml:space="preserve">Revenues recognized from </w:t>
      </w:r>
      <w:r>
        <w:rPr>
          <w:rFonts w:ascii="Arial" w:cs="Arial" w:eastAsia="Arial" w:hAnsi="Arial"/>
          <w:sz w:val="15"/>
          <w:szCs w:val="15"/>
          <w:i w:val="1"/>
          <w:iCs w:val="1"/>
          <w:color w:val="auto"/>
        </w:rPr>
        <w:t>Heroes of the Storm</w:t>
      </w:r>
      <w:r>
        <w:rPr>
          <w:rFonts w:ascii="Arial" w:cs="Arial" w:eastAsia="Arial" w:hAnsi="Arial"/>
          <w:sz w:val="15"/>
          <w:szCs w:val="15"/>
          <w:color w:val="auto"/>
        </w:rPr>
        <w:t>, which launched in China in 2015. The increase was partially offset by lower revenues recognized from the Diablo franchise.</w:t>
      </w: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 by Platform</w:t>
      </w:r>
    </w:p>
    <w:p>
      <w:pPr>
        <w:spacing w:after="0" w:line="225"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following tables detail our net revenues by platform and as a percentage of total consolidated net revenues for the years ended December 31, 2016, 2015, and 2014 (amounts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total(4)</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total(4)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Increase/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Increase/</w:t>
            </w:r>
          </w:p>
        </w:tc>
      </w:tr>
      <w:tr>
        <w:trPr>
          <w:trHeight w:val="149"/>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8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8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6"/>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2016 v 2015</w:t>
            </w:r>
          </w:p>
        </w:tc>
        <w:tc>
          <w:tcPr>
            <w:tcW w:w="160" w:type="dxa"/>
            <w:vAlign w:val="bottom"/>
          </w:tcPr>
          <w:p>
            <w:pPr>
              <w:spacing w:after="0"/>
              <w:rPr>
                <w:sz w:val="14"/>
                <w:szCs w:val="14"/>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2015 v 2014</w:t>
            </w:r>
          </w:p>
        </w:tc>
      </w:tr>
      <w:tr>
        <w:trPr>
          <w:trHeight w:val="131"/>
        </w:trPr>
        <w:tc>
          <w:tcPr>
            <w:tcW w:w="20" w:type="dxa"/>
            <w:vAlign w:val="bottom"/>
          </w:tcPr>
          <w:p>
            <w:pPr>
              <w:spacing w:after="0"/>
              <w:rPr>
                <w:sz w:val="11"/>
                <w:szCs w:val="11"/>
                <w:color w:val="auto"/>
              </w:rPr>
            </w:pPr>
          </w:p>
        </w:tc>
        <w:tc>
          <w:tcPr>
            <w:tcW w:w="130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rPr>
              <w:t>Platform net</w:t>
            </w:r>
          </w:p>
        </w:tc>
        <w:tc>
          <w:tcPr>
            <w:tcW w:w="80" w:type="dxa"/>
            <w:vAlign w:val="bottom"/>
            <w:tcBorders>
              <w:top w:val="single" w:sz="8" w:color="auto"/>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5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revenues:</w:t>
            </w:r>
          </w:p>
        </w:tc>
        <w:tc>
          <w:tcPr>
            <w:tcW w:w="8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300" w:type="dxa"/>
            <w:vAlign w:val="bottom"/>
          </w:tcPr>
          <w:p>
            <w:pPr>
              <w:ind w:left="120"/>
              <w:spacing w:after="0" w:line="149" w:lineRule="exact"/>
              <w:rPr>
                <w:sz w:val="20"/>
                <w:szCs w:val="20"/>
                <w:color w:val="auto"/>
              </w:rPr>
            </w:pPr>
            <w:r>
              <w:rPr>
                <w:rFonts w:ascii="Arial" w:cs="Arial" w:eastAsia="Arial" w:hAnsi="Arial"/>
                <w:sz w:val="14"/>
                <w:szCs w:val="14"/>
                <w:color w:val="auto"/>
              </w:rPr>
              <w:t>Console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2,453</w:t>
            </w:r>
          </w:p>
        </w:tc>
        <w:tc>
          <w:tcPr>
            <w:tcW w:w="12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37% $</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2,391</w:t>
            </w:r>
          </w:p>
        </w:tc>
        <w:tc>
          <w:tcPr>
            <w:tcW w:w="120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51% $</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2,150</w:t>
            </w:r>
          </w:p>
        </w:tc>
        <w:tc>
          <w:tcPr>
            <w:tcW w:w="122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49% $</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62</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241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PC(1)</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2,124</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1,499</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1,418</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w:t>
            </w:r>
          </w:p>
        </w:tc>
        <w:tc>
          <w:tcPr>
            <w:tcW w:w="160" w:type="dxa"/>
            <w:vAlign w:val="bottom"/>
            <w:shd w:val="clear" w:color="auto" w:fill="CCEEFF"/>
          </w:tcPr>
          <w:p>
            <w:pPr>
              <w:spacing w:after="0"/>
              <w:rPr>
                <w:sz w:val="12"/>
                <w:szCs w:val="12"/>
                <w:color w:val="auto"/>
              </w:rPr>
            </w:pPr>
          </w:p>
        </w:tc>
      </w:tr>
      <w:tr>
        <w:trPr>
          <w:trHeight w:val="138"/>
        </w:trPr>
        <w:tc>
          <w:tcPr>
            <w:tcW w:w="20" w:type="dxa"/>
            <w:vAlign w:val="bottom"/>
          </w:tcPr>
          <w:p>
            <w:pPr>
              <w:spacing w:after="0"/>
              <w:rPr>
                <w:sz w:val="11"/>
                <w:szCs w:val="11"/>
                <w:color w:val="auto"/>
              </w:rPr>
            </w:pPr>
          </w:p>
        </w:tc>
        <w:tc>
          <w:tcPr>
            <w:tcW w:w="1300" w:type="dxa"/>
            <w:vAlign w:val="bottom"/>
          </w:tcPr>
          <w:p>
            <w:pPr>
              <w:ind w:left="120"/>
              <w:spacing w:after="0" w:line="138" w:lineRule="exact"/>
              <w:rPr>
                <w:sz w:val="20"/>
                <w:szCs w:val="20"/>
                <w:color w:val="auto"/>
              </w:rPr>
            </w:pPr>
            <w:r>
              <w:rPr>
                <w:rFonts w:ascii="Arial" w:cs="Arial" w:eastAsia="Arial" w:hAnsi="Arial"/>
                <w:sz w:val="14"/>
                <w:szCs w:val="14"/>
                <w:color w:val="auto"/>
              </w:rPr>
              <w:t>Mobile and</w:t>
            </w: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00" w:type="dxa"/>
            <w:vAlign w:val="bottom"/>
          </w:tcPr>
          <w:p>
            <w:pPr>
              <w:ind w:left="240"/>
              <w:spacing w:after="0" w:line="159" w:lineRule="exact"/>
              <w:rPr>
                <w:sz w:val="20"/>
                <w:szCs w:val="20"/>
                <w:color w:val="auto"/>
              </w:rPr>
            </w:pPr>
            <w:r>
              <w:rPr>
                <w:rFonts w:ascii="Arial" w:cs="Arial" w:eastAsia="Arial" w:hAnsi="Arial"/>
                <w:sz w:val="14"/>
                <w:szCs w:val="14"/>
                <w:color w:val="auto"/>
              </w:rPr>
              <w:t>ancillary(2)</w:t>
            </w:r>
          </w:p>
        </w:tc>
        <w:tc>
          <w:tcPr>
            <w:tcW w:w="80" w:type="dxa"/>
            <w:vAlign w:val="bottom"/>
          </w:tcPr>
          <w:p>
            <w:pPr>
              <w:spacing w:after="0"/>
              <w:rPr>
                <w:sz w:val="13"/>
                <w:szCs w:val="13"/>
                <w:color w:val="auto"/>
              </w:rPr>
            </w:pP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1,674</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418</w:t>
            </w:r>
          </w:p>
        </w:tc>
        <w:tc>
          <w:tcPr>
            <w:tcW w:w="96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433</w:t>
            </w:r>
          </w:p>
        </w:tc>
        <w:tc>
          <w:tcPr>
            <w:tcW w:w="98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1,256</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(15)</w:t>
            </w:r>
          </w:p>
        </w:tc>
      </w:tr>
      <w:tr>
        <w:trPr>
          <w:trHeight w:val="149"/>
        </w:trPr>
        <w:tc>
          <w:tcPr>
            <w:tcW w:w="20" w:type="dxa"/>
            <w:vAlign w:val="bottom"/>
          </w:tcPr>
          <w:p>
            <w:pPr>
              <w:spacing w:after="0"/>
              <w:rPr>
                <w:sz w:val="12"/>
                <w:szCs w:val="12"/>
                <w:color w:val="auto"/>
              </w:rPr>
            </w:pPr>
          </w:p>
        </w:tc>
        <w:tc>
          <w:tcPr>
            <w:tcW w:w="13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Other(3)</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w:t>
            </w:r>
          </w:p>
        </w:tc>
        <w:tc>
          <w:tcPr>
            <w:tcW w:w="9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w:t>
            </w:r>
          </w:p>
        </w:tc>
        <w:tc>
          <w:tcPr>
            <w:tcW w:w="1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w:t>
            </w:r>
          </w:p>
        </w:tc>
        <w:tc>
          <w:tcPr>
            <w:tcW w:w="9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(51)</w:t>
            </w:r>
          </w:p>
        </w:tc>
      </w:tr>
      <w:tr>
        <w:trPr>
          <w:trHeight w:val="131"/>
        </w:trPr>
        <w:tc>
          <w:tcPr>
            <w:tcW w:w="1320" w:type="dxa"/>
            <w:vAlign w:val="bottom"/>
            <w:gridSpan w:val="2"/>
          </w:tcPr>
          <w:p>
            <w:pPr>
              <w:spacing w:after="0" w:line="131" w:lineRule="exact"/>
              <w:rPr>
                <w:sz w:val="20"/>
                <w:szCs w:val="20"/>
                <w:color w:val="auto"/>
              </w:rPr>
            </w:pPr>
            <w:r>
              <w:rPr>
                <w:rFonts w:ascii="Arial" w:cs="Arial" w:eastAsia="Arial" w:hAnsi="Arial"/>
                <w:sz w:val="14"/>
                <w:szCs w:val="14"/>
                <w:color w:val="auto"/>
              </w:rPr>
              <w:t>Total consolidated</w:t>
            </w:r>
          </w:p>
        </w:tc>
        <w:tc>
          <w:tcPr>
            <w:tcW w:w="8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300" w:type="dxa"/>
            <w:vAlign w:val="bottom"/>
          </w:tcPr>
          <w:p>
            <w:pPr>
              <w:ind w:left="120"/>
              <w:spacing w:after="0" w:line="159" w:lineRule="exact"/>
              <w:rPr>
                <w:sz w:val="20"/>
                <w:szCs w:val="20"/>
                <w:color w:val="auto"/>
              </w:rPr>
            </w:pPr>
            <w:r>
              <w:rPr>
                <w:rFonts w:ascii="Arial" w:cs="Arial" w:eastAsia="Arial" w:hAnsi="Arial"/>
                <w:sz w:val="14"/>
                <w:szCs w:val="14"/>
                <w:color w:val="auto"/>
              </w:rPr>
              <w:t>net revenues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6,608</w:t>
            </w:r>
          </w:p>
        </w:tc>
        <w:tc>
          <w:tcPr>
            <w:tcW w:w="12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100% $</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4,664</w:t>
            </w:r>
          </w:p>
        </w:tc>
        <w:tc>
          <w:tcPr>
            <w:tcW w:w="120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100% $</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4,408</w:t>
            </w:r>
          </w:p>
        </w:tc>
        <w:tc>
          <w:tcPr>
            <w:tcW w:w="1220" w:type="dxa"/>
            <w:vAlign w:val="bottom"/>
            <w:gridSpan w:val="4"/>
          </w:tcPr>
          <w:p>
            <w:pPr>
              <w:jc w:val="right"/>
              <w:spacing w:after="0" w:line="159" w:lineRule="exact"/>
              <w:rPr>
                <w:sz w:val="20"/>
                <w:szCs w:val="20"/>
                <w:color w:val="auto"/>
              </w:rPr>
            </w:pPr>
            <w:r>
              <w:rPr>
                <w:rFonts w:ascii="Arial" w:cs="Arial" w:eastAsia="Arial" w:hAnsi="Arial"/>
                <w:sz w:val="14"/>
                <w:szCs w:val="14"/>
                <w:color w:val="auto"/>
              </w:rPr>
              <w:t>100% $</w:t>
            </w:r>
          </w:p>
        </w:tc>
        <w:tc>
          <w:tcPr>
            <w:tcW w:w="700" w:type="dxa"/>
            <w:vAlign w:val="bottom"/>
          </w:tcPr>
          <w:p>
            <w:pPr>
              <w:jc w:val="right"/>
              <w:spacing w:after="0" w:line="159" w:lineRule="exact"/>
              <w:rPr>
                <w:sz w:val="20"/>
                <w:szCs w:val="20"/>
                <w:color w:val="auto"/>
              </w:rPr>
            </w:pPr>
            <w:r>
              <w:rPr>
                <w:rFonts w:ascii="Arial" w:cs="Arial" w:eastAsia="Arial" w:hAnsi="Arial"/>
                <w:sz w:val="14"/>
                <w:szCs w:val="14"/>
                <w:color w:val="auto"/>
              </w:rPr>
              <w:t>1,944</w:t>
            </w:r>
          </w:p>
        </w:tc>
        <w:tc>
          <w:tcPr>
            <w:tcW w:w="2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256</w:t>
            </w:r>
          </w:p>
        </w:tc>
        <w:tc>
          <w:tcPr>
            <w:tcW w:w="16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2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192" w:lineRule="exact"/>
        <w:rPr>
          <w:sz w:val="20"/>
          <w:szCs w:val="20"/>
          <w:color w:val="auto"/>
        </w:rPr>
      </w:pPr>
    </w:p>
    <w:p>
      <w:pPr>
        <w:ind w:left="1680" w:hanging="531"/>
        <w:spacing w:after="0"/>
        <w:tabs>
          <w:tab w:leader="none" w:pos="16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Net revenues from PC includes revenues that were historically shown as Online.</w:t>
      </w:r>
    </w:p>
    <w:p>
      <w:pPr>
        <w:spacing w:after="0" w:line="122" w:lineRule="exact"/>
        <w:rPr>
          <w:rFonts w:ascii="Arial" w:cs="Arial" w:eastAsia="Arial" w:hAnsi="Arial"/>
          <w:sz w:val="14"/>
          <w:szCs w:val="14"/>
          <w:color w:val="auto"/>
        </w:rPr>
      </w:pPr>
    </w:p>
    <w:p>
      <w:pPr>
        <w:ind w:left="1680" w:right="100" w:hanging="531"/>
        <w:spacing w:after="0" w:line="239" w:lineRule="auto"/>
        <w:tabs>
          <w:tab w:leader="none" w:pos="16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Net revenues from Mobile and ancillary includes revenues from handheld, mobile, and tablet devices, as well as non-platform-specific game-related revenues, such as standalone sales of toys and accessories from our Skylanders franchise, and other physical merchandise and accessories.</w:t>
      </w:r>
    </w:p>
    <w:p>
      <w:pPr>
        <w:spacing w:after="0" w:line="111" w:lineRule="exact"/>
        <w:rPr>
          <w:rFonts w:ascii="Arial" w:cs="Arial" w:eastAsia="Arial" w:hAnsi="Arial"/>
          <w:sz w:val="14"/>
          <w:szCs w:val="14"/>
          <w:color w:val="auto"/>
        </w:rPr>
      </w:pPr>
    </w:p>
    <w:p>
      <w:pPr>
        <w:ind w:left="1680" w:hanging="531"/>
        <w:spacing w:after="0"/>
        <w:tabs>
          <w:tab w:leader="none" w:pos="16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Net revenues from Other include revenues from our MLG, Studios, and Distribution businesses.</w:t>
      </w:r>
    </w:p>
    <w:p>
      <w:pPr>
        <w:spacing w:after="0" w:line="122" w:lineRule="exact"/>
        <w:rPr>
          <w:rFonts w:ascii="Arial" w:cs="Arial" w:eastAsia="Arial" w:hAnsi="Arial"/>
          <w:sz w:val="14"/>
          <w:szCs w:val="14"/>
          <w:color w:val="auto"/>
        </w:rPr>
      </w:pPr>
    </w:p>
    <w:p>
      <w:pPr>
        <w:ind w:left="1680" w:hanging="531"/>
        <w:spacing w:after="0"/>
        <w:tabs>
          <w:tab w:leader="none" w:pos="16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percentages of total are presented as calculated. Therefore, the sum of these percentages, as presented, may differ due to the impact of rounding.</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Console 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console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Higher revenues recognized in 2016 from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which was released in the fourth quarter of 2015, as compared to revenues</w:t>
      </w:r>
    </w:p>
    <w:p>
      <w:pPr>
        <w:spacing w:after="0" w:line="38" w:lineRule="exact"/>
        <w:rPr>
          <w:rFonts w:ascii="Arial" w:cs="Arial" w:eastAsia="Arial" w:hAnsi="Arial"/>
          <w:sz w:val="16"/>
          <w:szCs w:val="16"/>
          <w:color w:val="auto"/>
        </w:rPr>
      </w:pPr>
    </w:p>
    <w:p>
      <w:pPr>
        <w:ind w:left="1080"/>
        <w:spacing w:after="0" w:line="261" w:lineRule="auto"/>
        <w:rPr>
          <w:rFonts w:ascii="Arial" w:cs="Arial" w:eastAsia="Arial" w:hAnsi="Arial"/>
          <w:sz w:val="16"/>
          <w:szCs w:val="16"/>
          <w:color w:val="auto"/>
        </w:rPr>
      </w:pPr>
      <w:r>
        <w:rPr>
          <w:rFonts w:ascii="Arial" w:cs="Arial" w:eastAsia="Arial" w:hAnsi="Arial"/>
          <w:sz w:val="18"/>
          <w:szCs w:val="18"/>
          <w:color w:val="auto"/>
        </w:rPr>
        <w:t xml:space="preserve">recognized in 2015 from </w:t>
      </w:r>
      <w:r>
        <w:rPr>
          <w:rFonts w:ascii="Arial" w:cs="Arial" w:eastAsia="Arial" w:hAnsi="Arial"/>
          <w:sz w:val="18"/>
          <w:szCs w:val="18"/>
          <w:i w:val="1"/>
          <w:iCs w:val="1"/>
          <w:color w:val="auto"/>
        </w:rPr>
        <w:t>Call of Duty: Advanced Warfare</w:t>
      </w:r>
      <w:r>
        <w:rPr>
          <w:rFonts w:ascii="Arial" w:cs="Arial" w:eastAsia="Arial" w:hAnsi="Arial"/>
          <w:sz w:val="18"/>
          <w:szCs w:val="18"/>
          <w:color w:val="auto"/>
        </w:rPr>
        <w:t>, which was released in the fourth quarter of 2014, including, in each case, the associated digital content.</w:t>
      </w:r>
    </w:p>
    <w:p>
      <w:pPr>
        <w:spacing w:after="0" w:line="218" w:lineRule="exact"/>
        <w:rPr>
          <w:rFonts w:ascii="Arial" w:cs="Arial" w:eastAsia="Arial" w:hAnsi="Arial"/>
          <w:sz w:val="16"/>
          <w:szCs w:val="16"/>
          <w:color w:val="auto"/>
        </w:rPr>
      </w:pPr>
    </w:p>
    <w:p>
      <w:pPr>
        <w:ind w:left="1080" w:hanging="532"/>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a new team-based first-person shooter released in May 2016.</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 xml:space="preserve">The increase was partially offset by lower revenues recognized from the Destiny franchise, as </w:t>
      </w:r>
      <w:r>
        <w:rPr>
          <w:rFonts w:ascii="Arial" w:cs="Arial" w:eastAsia="Arial" w:hAnsi="Arial"/>
          <w:sz w:val="18"/>
          <w:szCs w:val="18"/>
          <w:i w:val="1"/>
          <w:iCs w:val="1"/>
          <w:color w:val="auto"/>
        </w:rPr>
        <w:t>Destiny</w:t>
      </w:r>
      <w:r>
        <w:rPr>
          <w:rFonts w:ascii="Arial" w:cs="Arial" w:eastAsia="Arial" w:hAnsi="Arial"/>
          <w:sz w:val="18"/>
          <w:szCs w:val="18"/>
          <w:color w:val="auto"/>
        </w:rPr>
        <w:t xml:space="preserve"> debuted in September 2014 but had no comparable full-game release in 2015.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console for 2015, as compared to 2014, was primarily due to:</w:t>
      </w:r>
    </w:p>
    <w:p>
      <w:pPr>
        <w:spacing w:after="0" w:line="239" w:lineRule="exact"/>
        <w:rPr>
          <w:sz w:val="20"/>
          <w:szCs w:val="20"/>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Higher revenues recognize from the Destiny franchise.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Revenues from </w:t>
      </w:r>
      <w:r>
        <w:rPr>
          <w:rFonts w:ascii="Arial" w:cs="Arial" w:eastAsia="Arial" w:hAnsi="Arial"/>
          <w:sz w:val="18"/>
          <w:szCs w:val="18"/>
          <w:i w:val="1"/>
          <w:iCs w:val="1"/>
          <w:color w:val="auto"/>
        </w:rPr>
        <w:t>Guitar Hero Live,</w:t>
      </w:r>
      <w:r>
        <w:rPr>
          <w:rFonts w:ascii="Arial" w:cs="Arial" w:eastAsia="Arial" w:hAnsi="Arial"/>
          <w:sz w:val="18"/>
          <w:szCs w:val="18"/>
          <w:color w:val="auto"/>
        </w:rPr>
        <w:t xml:space="preserve"> which was released in October 2015.</w:t>
      </w:r>
    </w:p>
    <w:p>
      <w:pPr>
        <w:spacing w:after="0" w:line="225"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 xml:space="preserve">The increase was partially offset by lower revenues from </w:t>
      </w:r>
      <w:r>
        <w:rPr>
          <w:rFonts w:ascii="Arial" w:cs="Arial" w:eastAsia="Arial" w:hAnsi="Arial"/>
          <w:sz w:val="18"/>
          <w:szCs w:val="18"/>
          <w:i w:val="1"/>
          <w:iCs w:val="1"/>
          <w:color w:val="auto"/>
        </w:rPr>
        <w:t>Skylanders SuperChargers</w:t>
      </w:r>
      <w:r>
        <w:rPr>
          <w:rFonts w:ascii="Arial" w:cs="Arial" w:eastAsia="Arial" w:hAnsi="Arial"/>
          <w:sz w:val="18"/>
          <w:szCs w:val="18"/>
          <w:color w:val="auto"/>
        </w:rPr>
        <w:t xml:space="preserve">, which was released in 2015, as compared to </w:t>
      </w:r>
      <w:r>
        <w:rPr>
          <w:rFonts w:ascii="Arial" w:cs="Arial" w:eastAsia="Arial" w:hAnsi="Arial"/>
          <w:sz w:val="18"/>
          <w:szCs w:val="18"/>
          <w:i w:val="1"/>
          <w:iCs w:val="1"/>
          <w:color w:val="auto"/>
        </w:rPr>
        <w:t>Skylanders Trap Team</w:t>
      </w:r>
      <w:r>
        <w:rPr>
          <w:rFonts w:ascii="Arial" w:cs="Arial" w:eastAsia="Arial" w:hAnsi="Arial"/>
          <w:sz w:val="18"/>
          <w:szCs w:val="18"/>
          <w:color w:val="auto"/>
        </w:rPr>
        <w:t>, the comparable 2014 title.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 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PC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Overwatch</w:t>
      </w:r>
      <w:r>
        <w:rPr>
          <w:rFonts w:ascii="Arial" w:cs="Arial" w:eastAsia="Arial" w:hAnsi="Arial"/>
          <w:sz w:val="18"/>
          <w:szCs w:val="18"/>
          <w:color w:val="auto"/>
        </w:rPr>
        <w:t>, a new team-based first-person shooter released in May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Revenues from King titles since the King Closing Date.</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PC for 2015, as compared to 2014, was primarily due to:</w:t>
      </w:r>
    </w:p>
    <w:p>
      <w:pPr>
        <w:spacing w:after="0" w:line="239" w:lineRule="exact"/>
        <w:rPr>
          <w:sz w:val="20"/>
          <w:szCs w:val="20"/>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Higher revenues recognized from </w:t>
      </w:r>
      <w:r>
        <w:rPr>
          <w:rFonts w:ascii="Arial" w:cs="Arial" w:eastAsia="Arial" w:hAnsi="Arial"/>
          <w:sz w:val="18"/>
          <w:szCs w:val="18"/>
          <w:i w:val="1"/>
          <w:iCs w:val="1"/>
          <w:color w:val="auto"/>
        </w:rPr>
        <w:t>Hearthstone.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Revenues recognized from </w:t>
      </w:r>
      <w:r>
        <w:rPr>
          <w:rFonts w:ascii="Arial" w:cs="Arial" w:eastAsia="Arial" w:hAnsi="Arial"/>
          <w:sz w:val="18"/>
          <w:szCs w:val="18"/>
          <w:i w:val="1"/>
          <w:iCs w:val="1"/>
          <w:color w:val="auto"/>
        </w:rPr>
        <w:t>Heroes of the Storm</w:t>
      </w:r>
      <w:r>
        <w:rPr>
          <w:rFonts w:ascii="Arial" w:cs="Arial" w:eastAsia="Arial" w:hAnsi="Arial"/>
          <w:sz w:val="18"/>
          <w:szCs w:val="18"/>
          <w:color w:val="auto"/>
        </w:rPr>
        <w:t>, which was released in June 2015.</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 xml:space="preserve">The increase was partially offset by lower revenues recognized in 2015 from </w:t>
      </w:r>
      <w:r>
        <w:rPr>
          <w:rFonts w:ascii="Arial" w:cs="Arial" w:eastAsia="Arial" w:hAnsi="Arial"/>
          <w:sz w:val="18"/>
          <w:szCs w:val="18"/>
          <w:i w:val="1"/>
          <w:iCs w:val="1"/>
          <w:color w:val="auto"/>
        </w:rPr>
        <w:t>Diablo III: Reaper of Souls</w:t>
      </w:r>
      <w:r>
        <w:rPr>
          <w:rFonts w:ascii="Arial" w:cs="Arial" w:eastAsia="Arial" w:hAnsi="Arial"/>
          <w:sz w:val="18"/>
          <w:szCs w:val="18"/>
          <w:color w:val="auto"/>
        </w:rPr>
        <w:t>, due to the title releasing in March 2014 and no comparable 2015 title release.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Mobile and Ancillary Net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net revenues from mobile and ancillary for 2016, as compared to 2015, was primarily due to:</w:t>
      </w:r>
    </w:p>
    <w:p>
      <w:pPr>
        <w:spacing w:after="0" w:line="252" w:lineRule="exact"/>
        <w:rPr>
          <w:sz w:val="20"/>
          <w:szCs w:val="20"/>
          <w:color w:val="auto"/>
        </w:rPr>
      </w:pPr>
    </w:p>
    <w:p>
      <w:pPr>
        <w:ind w:left="1080" w:hanging="532"/>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New revenues from King titles since the King Closing Date, which were primarily driven by the Candy Crush franchise.</w:t>
      </w:r>
    </w:p>
    <w:p>
      <w:pPr>
        <w:spacing w:after="0" w:line="238" w:lineRule="exact"/>
        <w:rPr>
          <w:rFonts w:ascii="Arial" w:cs="Arial" w:eastAsia="Arial" w:hAnsi="Arial"/>
          <w:sz w:val="18"/>
          <w:szCs w:val="18"/>
          <w:color w:val="auto"/>
        </w:rPr>
      </w:pPr>
    </w:p>
    <w:p>
      <w:pPr>
        <w:ind w:left="360" w:right="1720" w:firstLine="188"/>
        <w:spacing w:after="0" w:line="601" w:lineRule="auto"/>
        <w:tabs>
          <w:tab w:leader="none" w:pos="1092" w:val="left"/>
        </w:tabs>
        <w:numPr>
          <w:ilvl w:val="0"/>
          <w:numId w:val="67"/>
        </w:numPr>
        <w:rPr>
          <w:rFonts w:ascii="Arial" w:cs="Arial" w:eastAsia="Arial" w:hAnsi="Arial"/>
          <w:sz w:val="15"/>
          <w:szCs w:val="15"/>
          <w:color w:val="auto"/>
        </w:rPr>
      </w:pPr>
      <w:r>
        <w:rPr>
          <w:rFonts w:ascii="Arial" w:cs="Arial" w:eastAsia="Arial" w:hAnsi="Arial"/>
          <w:sz w:val="15"/>
          <w:szCs w:val="15"/>
          <w:color w:val="auto"/>
        </w:rPr>
        <w:t xml:space="preserve">Higher revenues recognized from </w:t>
      </w:r>
      <w:r>
        <w:rPr>
          <w:rFonts w:ascii="Arial" w:cs="Arial" w:eastAsia="Arial" w:hAnsi="Arial"/>
          <w:sz w:val="15"/>
          <w:szCs w:val="15"/>
          <w:i w:val="1"/>
          <w:iCs w:val="1"/>
          <w:color w:val="auto"/>
        </w:rPr>
        <w:t>Hearthstone</w:t>
      </w:r>
      <w:r>
        <w:rPr>
          <w:rFonts w:ascii="Arial" w:cs="Arial" w:eastAsia="Arial" w:hAnsi="Arial"/>
          <w:sz w:val="15"/>
          <w:szCs w:val="15"/>
          <w:color w:val="auto"/>
        </w:rPr>
        <w:t>, which was released on iPhone and Android smartphones in April 2015. The increase was partially offset by lower revenues from sales of standalone toys and accessories from the Skylanders franchise.</w:t>
      </w:r>
    </w:p>
    <w:p>
      <w:pPr>
        <w:ind w:left="540"/>
        <w:spacing w:after="0"/>
        <w:rPr>
          <w:rFonts w:ascii="Arial" w:cs="Arial" w:eastAsia="Arial" w:hAnsi="Arial"/>
          <w:sz w:val="15"/>
          <w:szCs w:val="15"/>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 xml:space="preserve">The decrease in net revenues from mobile and ancillary for 2015, as compared to 2014, was primarily due to lower revenues from sales of standalone toys and accessories from the Skylanders franchise. The decrease was partially offset by higher revenues from </w:t>
      </w:r>
      <w:r>
        <w:rPr>
          <w:rFonts w:ascii="Arial" w:cs="Arial" w:eastAsia="Arial" w:hAnsi="Arial"/>
          <w:sz w:val="16"/>
          <w:szCs w:val="16"/>
          <w:i w:val="1"/>
          <w:iCs w:val="1"/>
          <w:color w:val="auto"/>
        </w:rPr>
        <w:t>Hearthstone</w:t>
      </w:r>
      <w:r>
        <w:rPr>
          <w:rFonts w:ascii="Arial" w:cs="Arial" w:eastAsia="Arial" w:hAnsi="Arial"/>
          <w:sz w:val="16"/>
          <w:szCs w:val="16"/>
          <w:color w:val="auto"/>
        </w:rPr>
        <w:t xml:space="preserve"> on iOS and Android devices.</w:t>
      </w:r>
    </w:p>
    <w:p>
      <w:pPr>
        <w:spacing w:after="0" w:line="13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The following tables detail the components of cost of revenues in dollars and as a percentage of associated net revenues for the years ended December 31, 2016, 2015, and 2014 (amounts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94"/>
              </w:rPr>
              <w:t>% of</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Increase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associated</w:t>
            </w: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associated</w:t>
            </w:r>
          </w:p>
        </w:tc>
        <w:tc>
          <w:tcPr>
            <w:tcW w:w="16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0"/>
              </w:rPr>
              <w:t>associated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(Decrease)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3"/>
              </w:rPr>
              <w:t>2014</w:t>
            </w:r>
          </w:p>
        </w:tc>
        <w:tc>
          <w:tcPr>
            <w:tcW w:w="180" w:type="dxa"/>
            <w:vAlign w:val="bottom"/>
          </w:tcPr>
          <w:p>
            <w:pPr>
              <w:spacing w:after="0"/>
              <w:rPr>
                <w:sz w:val="14"/>
                <w:szCs w:val="14"/>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5"/>
              </w:rPr>
              <w:t>net revenues</w:t>
            </w:r>
          </w:p>
        </w:tc>
        <w:tc>
          <w:tcPr>
            <w:tcW w:w="160" w:type="dxa"/>
            <w:vAlign w:val="bottom"/>
          </w:tcPr>
          <w:p>
            <w:pPr>
              <w:spacing w:after="0"/>
              <w:rPr>
                <w:sz w:val="14"/>
                <w:szCs w:val="14"/>
                <w:color w:val="auto"/>
              </w:rPr>
            </w:pPr>
          </w:p>
        </w:tc>
        <w:tc>
          <w:tcPr>
            <w:tcW w:w="8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4"/>
              </w:rPr>
              <w:t>2016 v 2015</w:t>
            </w:r>
          </w:p>
        </w:tc>
        <w:tc>
          <w:tcPr>
            <w:tcW w:w="60" w:type="dxa"/>
            <w:vAlign w:val="bottom"/>
          </w:tcPr>
          <w:p>
            <w:pPr>
              <w:spacing w:after="0"/>
              <w:rPr>
                <w:sz w:val="14"/>
                <w:szCs w:val="14"/>
                <w:color w:val="auto"/>
              </w:rPr>
            </w:pPr>
          </w:p>
        </w:tc>
        <w:tc>
          <w:tcPr>
            <w:tcW w:w="9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7"/>
              </w:rPr>
              <w:t>2015 v 2014</w:t>
            </w:r>
          </w:p>
        </w:tc>
      </w:tr>
      <w:tr>
        <w:trPr>
          <w:trHeight w:val="131"/>
        </w:trPr>
        <w:tc>
          <w:tcPr>
            <w:tcW w:w="20" w:type="dxa"/>
            <w:vAlign w:val="bottom"/>
          </w:tcPr>
          <w:p>
            <w:pPr>
              <w:spacing w:after="0"/>
              <w:rPr>
                <w:sz w:val="11"/>
                <w:szCs w:val="11"/>
                <w:color w:val="auto"/>
              </w:rPr>
            </w:pPr>
          </w:p>
        </w:tc>
        <w:tc>
          <w:tcPr>
            <w:tcW w:w="156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2"/>
              </w:rPr>
              <w:t>Cost of revenues—product</w:t>
            </w:r>
          </w:p>
        </w:tc>
        <w:tc>
          <w:tcPr>
            <w:tcW w:w="12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6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sales: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Product costs</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741</w:t>
            </w:r>
          </w:p>
        </w:tc>
        <w:tc>
          <w:tcPr>
            <w:tcW w:w="1160" w:type="dxa"/>
            <w:vAlign w:val="bottom"/>
            <w:gridSpan w:val="4"/>
          </w:tcPr>
          <w:p>
            <w:pPr>
              <w:ind w:left="780"/>
              <w:spacing w:after="0" w:line="149" w:lineRule="exact"/>
              <w:rPr>
                <w:sz w:val="20"/>
                <w:szCs w:val="20"/>
                <w:color w:val="auto"/>
              </w:rPr>
            </w:pPr>
            <w:r>
              <w:rPr>
                <w:rFonts w:ascii="Arial" w:cs="Arial" w:eastAsia="Arial" w:hAnsi="Arial"/>
                <w:sz w:val="14"/>
                <w:szCs w:val="14"/>
                <w:color w:val="auto"/>
                <w:w w:val="90"/>
              </w:rPr>
              <w:t>34% $</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872</w:t>
            </w:r>
          </w:p>
        </w:tc>
        <w:tc>
          <w:tcPr>
            <w:tcW w:w="114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36% $</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981</w:t>
            </w:r>
          </w:p>
        </w:tc>
        <w:tc>
          <w:tcPr>
            <w:tcW w:w="1160" w:type="dxa"/>
            <w:vAlign w:val="bottom"/>
            <w:gridSpan w:val="4"/>
          </w:tcPr>
          <w:p>
            <w:pPr>
              <w:jc w:val="right"/>
              <w:spacing w:after="0" w:line="149" w:lineRule="exact"/>
              <w:rPr>
                <w:sz w:val="20"/>
                <w:szCs w:val="20"/>
                <w:color w:val="auto"/>
              </w:rPr>
            </w:pPr>
            <w:r>
              <w:rPr>
                <w:rFonts w:ascii="Arial" w:cs="Arial" w:eastAsia="Arial" w:hAnsi="Arial"/>
                <w:sz w:val="14"/>
                <w:szCs w:val="14"/>
                <w:color w:val="auto"/>
              </w:rPr>
              <w:t>35% $</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(131)</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(109)</w:t>
            </w:r>
          </w:p>
        </w:tc>
      </w:tr>
      <w:tr>
        <w:trPr>
          <w:trHeight w:val="138"/>
        </w:trPr>
        <w:tc>
          <w:tcPr>
            <w:tcW w:w="20" w:type="dxa"/>
            <w:vAlign w:val="bottom"/>
          </w:tcPr>
          <w:p>
            <w:pPr>
              <w:spacing w:after="0"/>
              <w:rPr>
                <w:sz w:val="11"/>
                <w:szCs w:val="11"/>
                <w:color w:val="auto"/>
              </w:rPr>
            </w:pPr>
          </w:p>
        </w:tc>
        <w:tc>
          <w:tcPr>
            <w:tcW w:w="15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Software royalties,</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amortization,</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intellectual property</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5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licenses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331</w:t>
            </w:r>
          </w:p>
        </w:tc>
        <w:tc>
          <w:tcPr>
            <w:tcW w:w="9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w w:val="76"/>
              </w:rPr>
              <w:t>15</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370</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265</w:t>
            </w:r>
          </w:p>
        </w:tc>
        <w:tc>
          <w:tcPr>
            <w:tcW w:w="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10</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(39)</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105</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560" w:type="dxa"/>
            <w:vAlign w:val="bottom"/>
          </w:tcPr>
          <w:p>
            <w:pPr>
              <w:spacing w:after="0" w:line="138" w:lineRule="exact"/>
              <w:rPr>
                <w:sz w:val="20"/>
                <w:szCs w:val="20"/>
                <w:color w:val="auto"/>
              </w:rPr>
            </w:pPr>
            <w:r>
              <w:rPr>
                <w:rFonts w:ascii="Arial" w:cs="Arial" w:eastAsia="Arial" w:hAnsi="Arial"/>
                <w:sz w:val="14"/>
                <w:szCs w:val="14"/>
                <w:color w:val="auto"/>
              </w:rPr>
              <w:t>Cost of revenues—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120"/>
              <w:spacing w:after="0" w:line="149" w:lineRule="exact"/>
              <w:rPr>
                <w:sz w:val="20"/>
                <w:szCs w:val="20"/>
                <w:color w:val="auto"/>
              </w:rPr>
            </w:pPr>
            <w:r>
              <w:rPr>
                <w:rFonts w:ascii="Arial" w:cs="Arial" w:eastAsia="Arial" w:hAnsi="Arial"/>
                <w:sz w:val="14"/>
                <w:szCs w:val="14"/>
                <w:color w:val="auto"/>
              </w:rPr>
              <w:t>subscription, licensing,</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560" w:type="dxa"/>
            <w:vAlign w:val="bottom"/>
          </w:tcPr>
          <w:p>
            <w:pPr>
              <w:ind w:left="120"/>
              <w:spacing w:after="0" w:line="159" w:lineRule="exact"/>
              <w:rPr>
                <w:sz w:val="20"/>
                <w:szCs w:val="20"/>
                <w:color w:val="auto"/>
              </w:rPr>
            </w:pPr>
            <w:r>
              <w:rPr>
                <w:rFonts w:ascii="Arial" w:cs="Arial" w:eastAsia="Arial" w:hAnsi="Arial"/>
                <w:sz w:val="14"/>
                <w:szCs w:val="14"/>
                <w:color w:val="auto"/>
              </w:rPr>
              <w:t>and other revenues:</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56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Game operations and</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560" w:type="dxa"/>
            <w:vAlign w:val="bottom"/>
            <w:shd w:val="clear" w:color="auto" w:fill="CCEEFF"/>
          </w:tcPr>
          <w:p>
            <w:pPr>
              <w:ind w:left="240"/>
              <w:spacing w:after="0" w:line="159" w:lineRule="exact"/>
              <w:rPr>
                <w:sz w:val="20"/>
                <w:szCs w:val="20"/>
                <w:color w:val="auto"/>
              </w:rPr>
            </w:pPr>
            <w:r>
              <w:rPr>
                <w:rFonts w:ascii="Arial" w:cs="Arial" w:eastAsia="Arial" w:hAnsi="Arial"/>
                <w:sz w:val="14"/>
                <w:szCs w:val="14"/>
                <w:color w:val="auto"/>
              </w:rPr>
              <w:t>distribution costs</w:t>
            </w: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851</w:t>
            </w:r>
          </w:p>
        </w:tc>
        <w:tc>
          <w:tcPr>
            <w:tcW w:w="920" w:type="dxa"/>
            <w:vAlign w:val="bottom"/>
            <w:gridSpan w:val="2"/>
            <w:shd w:val="clear" w:color="auto" w:fill="CCEEFF"/>
          </w:tcPr>
          <w:p>
            <w:pPr>
              <w:ind w:left="780"/>
              <w:spacing w:after="0" w:line="159" w:lineRule="exact"/>
              <w:rPr>
                <w:sz w:val="20"/>
                <w:szCs w:val="20"/>
                <w:color w:val="auto"/>
              </w:rPr>
            </w:pPr>
            <w:r>
              <w:rPr>
                <w:rFonts w:ascii="Arial" w:cs="Arial" w:eastAsia="Arial" w:hAnsi="Arial"/>
                <w:sz w:val="14"/>
                <w:szCs w:val="14"/>
                <w:color w:val="auto"/>
                <w:w w:val="76"/>
              </w:rPr>
              <w:t>19</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274</w:t>
            </w:r>
          </w:p>
        </w:tc>
        <w:tc>
          <w:tcPr>
            <w:tcW w:w="9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12</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250</w:t>
            </w:r>
          </w:p>
        </w:tc>
        <w:tc>
          <w:tcPr>
            <w:tcW w:w="94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15</w:t>
            </w:r>
          </w:p>
        </w:tc>
        <w:tc>
          <w:tcPr>
            <w:tcW w:w="1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w:t>
            </w:r>
          </w:p>
        </w:tc>
        <w:tc>
          <w:tcPr>
            <w:tcW w:w="160" w:type="dxa"/>
            <w:vAlign w:val="bottom"/>
            <w:shd w:val="clear" w:color="auto" w:fill="CCEEFF"/>
          </w:tcPr>
          <w:p>
            <w:pPr>
              <w:spacing w:after="0"/>
              <w:rPr>
                <w:sz w:val="13"/>
                <w:szCs w:val="13"/>
                <w:color w:val="auto"/>
              </w:rPr>
            </w:pPr>
          </w:p>
        </w:tc>
      </w:tr>
      <w:tr>
        <w:trPr>
          <w:trHeight w:val="138"/>
        </w:trPr>
        <w:tc>
          <w:tcPr>
            <w:tcW w:w="20" w:type="dxa"/>
            <w:vAlign w:val="bottom"/>
          </w:tcPr>
          <w:p>
            <w:pPr>
              <w:spacing w:after="0"/>
              <w:rPr>
                <w:sz w:val="11"/>
                <w:szCs w:val="11"/>
                <w:color w:val="auto"/>
              </w:rPr>
            </w:pPr>
          </w:p>
        </w:tc>
        <w:tc>
          <w:tcPr>
            <w:tcW w:w="1560" w:type="dxa"/>
            <w:vAlign w:val="bottom"/>
          </w:tcPr>
          <w:p>
            <w:pPr>
              <w:ind w:left="120"/>
              <w:spacing w:after="0" w:line="138" w:lineRule="exact"/>
              <w:rPr>
                <w:sz w:val="20"/>
                <w:szCs w:val="20"/>
                <w:color w:val="auto"/>
              </w:rPr>
            </w:pPr>
            <w:r>
              <w:rPr>
                <w:rFonts w:ascii="Arial" w:cs="Arial" w:eastAsia="Arial" w:hAnsi="Arial"/>
                <w:sz w:val="14"/>
                <w:szCs w:val="14"/>
                <w:color w:val="auto"/>
              </w:rPr>
              <w:t>Software royalties,</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240"/>
              <w:spacing w:after="0" w:line="149" w:lineRule="exact"/>
              <w:rPr>
                <w:sz w:val="20"/>
                <w:szCs w:val="20"/>
                <w:color w:val="auto"/>
              </w:rPr>
            </w:pPr>
            <w:r>
              <w:rPr>
                <w:rFonts w:ascii="Arial" w:cs="Arial" w:eastAsia="Arial" w:hAnsi="Arial"/>
                <w:sz w:val="14"/>
                <w:szCs w:val="14"/>
                <w:color w:val="auto"/>
              </w:rPr>
              <w:t>amortization,</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560" w:type="dxa"/>
            <w:vAlign w:val="bottom"/>
          </w:tcPr>
          <w:p>
            <w:pPr>
              <w:ind w:left="240"/>
              <w:spacing w:after="0" w:line="149" w:lineRule="exact"/>
              <w:rPr>
                <w:sz w:val="20"/>
                <w:szCs w:val="20"/>
                <w:color w:val="auto"/>
              </w:rPr>
            </w:pPr>
            <w:r>
              <w:rPr>
                <w:rFonts w:ascii="Arial" w:cs="Arial" w:eastAsia="Arial" w:hAnsi="Arial"/>
                <w:sz w:val="14"/>
                <w:szCs w:val="14"/>
                <w:color w:val="auto"/>
              </w:rPr>
              <w:t>intellectual property</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1560" w:type="dxa"/>
            <w:vAlign w:val="bottom"/>
          </w:tcPr>
          <w:p>
            <w:pPr>
              <w:ind w:left="240"/>
              <w:spacing w:after="0" w:line="159" w:lineRule="exact"/>
              <w:rPr>
                <w:sz w:val="20"/>
                <w:szCs w:val="20"/>
                <w:color w:val="auto"/>
              </w:rPr>
            </w:pPr>
            <w:r>
              <w:rPr>
                <w:rFonts w:ascii="Arial" w:cs="Arial" w:eastAsia="Arial" w:hAnsi="Arial"/>
                <w:sz w:val="14"/>
                <w:szCs w:val="14"/>
                <w:color w:val="auto"/>
              </w:rPr>
              <w:t>licenses</w:t>
            </w:r>
          </w:p>
        </w:tc>
        <w:tc>
          <w:tcPr>
            <w:tcW w:w="12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471</w:t>
            </w:r>
          </w:p>
        </w:tc>
        <w:tc>
          <w:tcPr>
            <w:tcW w:w="920" w:type="dxa"/>
            <w:vAlign w:val="bottom"/>
            <w:gridSpan w:val="2"/>
          </w:tcPr>
          <w:p>
            <w:pPr>
              <w:ind w:left="780"/>
              <w:spacing w:after="0" w:line="159" w:lineRule="exact"/>
              <w:rPr>
                <w:sz w:val="20"/>
                <w:szCs w:val="20"/>
                <w:color w:val="auto"/>
              </w:rPr>
            </w:pPr>
            <w:r>
              <w:rPr>
                <w:rFonts w:ascii="Arial" w:cs="Arial" w:eastAsia="Arial" w:hAnsi="Arial"/>
                <w:sz w:val="14"/>
                <w:szCs w:val="14"/>
                <w:color w:val="auto"/>
                <w:w w:val="76"/>
              </w:rPr>
              <w:t>11</w:t>
            </w:r>
          </w:p>
        </w:tc>
        <w:tc>
          <w:tcPr>
            <w:tcW w:w="1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69</w:t>
            </w:r>
          </w:p>
        </w:tc>
        <w:tc>
          <w:tcPr>
            <w:tcW w:w="9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29</w:t>
            </w:r>
          </w:p>
        </w:tc>
        <w:tc>
          <w:tcPr>
            <w:tcW w:w="94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w:t>
            </w:r>
          </w:p>
        </w:tc>
        <w:tc>
          <w:tcPr>
            <w:tcW w:w="1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402</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40</w:t>
            </w:r>
          </w:p>
        </w:tc>
        <w:tc>
          <w:tcPr>
            <w:tcW w:w="16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15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Total cost of revenues</w:t>
            </w:r>
          </w:p>
        </w:tc>
        <w:tc>
          <w:tcPr>
            <w:tcW w:w="18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2,394</w:t>
            </w:r>
          </w:p>
        </w:tc>
        <w:tc>
          <w:tcPr>
            <w:tcW w:w="1160" w:type="dxa"/>
            <w:vAlign w:val="bottom"/>
            <w:gridSpan w:val="4"/>
            <w:shd w:val="clear" w:color="auto" w:fill="CCEEFF"/>
          </w:tcPr>
          <w:p>
            <w:pPr>
              <w:ind w:left="780"/>
              <w:spacing w:after="0" w:line="142" w:lineRule="exact"/>
              <w:rPr>
                <w:sz w:val="20"/>
                <w:szCs w:val="20"/>
                <w:color w:val="auto"/>
              </w:rPr>
            </w:pPr>
            <w:r>
              <w:rPr>
                <w:rFonts w:ascii="Arial" w:cs="Arial" w:eastAsia="Arial" w:hAnsi="Arial"/>
                <w:sz w:val="14"/>
                <w:szCs w:val="14"/>
                <w:color w:val="auto"/>
                <w:w w:val="90"/>
              </w:rPr>
              <w:t>36% $</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1,585</w:t>
            </w:r>
          </w:p>
        </w:tc>
        <w:tc>
          <w:tcPr>
            <w:tcW w:w="11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34% $</w:t>
            </w: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1,525</w:t>
            </w:r>
          </w:p>
        </w:tc>
        <w:tc>
          <w:tcPr>
            <w:tcW w:w="116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35% $</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809</w:t>
            </w:r>
          </w:p>
        </w:tc>
        <w:tc>
          <w:tcPr>
            <w:tcW w:w="100" w:type="dxa"/>
            <w:vAlign w:val="bottom"/>
            <w:shd w:val="clear" w:color="auto" w:fill="CCEEFF"/>
          </w:tcPr>
          <w:p>
            <w:pPr>
              <w:spacing w:after="0"/>
              <w:rPr>
                <w:sz w:val="12"/>
                <w:szCs w:val="12"/>
                <w:color w:val="auto"/>
              </w:rPr>
            </w:pP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60</w:t>
            </w:r>
          </w:p>
        </w:tc>
        <w:tc>
          <w:tcPr>
            <w:tcW w:w="160" w:type="dxa"/>
            <w:vAlign w:val="bottom"/>
            <w:shd w:val="clear" w:color="auto" w:fill="CCEEFF"/>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Revenues—Product Sales: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product costs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Lower product costs associated with the Skylanders franchise.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relative increase in revenues coming from the digital online channel, which typically have relatively lower product costs.</w:t>
      </w:r>
    </w:p>
    <w:p>
      <w:pPr>
        <w:spacing w:after="0" w:line="225" w:lineRule="exact"/>
        <w:rPr>
          <w:sz w:val="20"/>
          <w:szCs w:val="20"/>
          <w:color w:val="auto"/>
        </w:rPr>
      </w:pPr>
    </w:p>
    <w:p>
      <w:pPr>
        <w:jc w:val="both"/>
        <w:ind w:right="60" w:firstLine="348"/>
        <w:spacing w:after="0" w:line="370" w:lineRule="auto"/>
        <w:rPr>
          <w:sz w:val="20"/>
          <w:szCs w:val="20"/>
          <w:color w:val="auto"/>
        </w:rPr>
      </w:pPr>
      <w:r>
        <w:rPr>
          <w:rFonts w:ascii="Arial" w:cs="Arial" w:eastAsia="Arial" w:hAnsi="Arial"/>
          <w:sz w:val="15"/>
          <w:szCs w:val="15"/>
          <w:color w:val="auto"/>
        </w:rPr>
        <w:t xml:space="preserve">The decrease in software royalties, amortization, and intellectual property licenses related to product sales for 2016, as compared to 2015, was primarily due to lower software amortization from the Destiny franchise, as </w:t>
      </w:r>
      <w:r>
        <w:rPr>
          <w:rFonts w:ascii="Arial" w:cs="Arial" w:eastAsia="Arial" w:hAnsi="Arial"/>
          <w:sz w:val="15"/>
          <w:szCs w:val="15"/>
          <w:i w:val="1"/>
          <w:iCs w:val="1"/>
          <w:color w:val="auto"/>
        </w:rPr>
        <w:t>Destiny</w:t>
      </w:r>
      <w:r>
        <w:rPr>
          <w:rFonts w:ascii="Arial" w:cs="Arial" w:eastAsia="Arial" w:hAnsi="Arial"/>
          <w:sz w:val="15"/>
          <w:szCs w:val="15"/>
          <w:color w:val="auto"/>
        </w:rPr>
        <w:t xml:space="preserve"> was released in the third quarter of 2014, but had no comparable full-game release in 2015.</w:t>
      </w:r>
    </w:p>
    <w:p>
      <w:pPr>
        <w:spacing w:after="0" w:line="1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decrease was partially offset by:</w:t>
      </w:r>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 xml:space="preserve">Software amortization from </w:t>
      </w:r>
      <w:r>
        <w:rPr>
          <w:rFonts w:ascii="Arial" w:cs="Arial" w:eastAsia="Arial" w:hAnsi="Arial"/>
          <w:sz w:val="18"/>
          <w:szCs w:val="18"/>
          <w:i w:val="1"/>
          <w:iCs w:val="1"/>
          <w:color w:val="auto"/>
        </w:rPr>
        <w:t>Overwatch</w:t>
      </w:r>
      <w:r>
        <w:rPr>
          <w:rFonts w:ascii="Arial" w:cs="Arial" w:eastAsia="Arial" w:hAnsi="Arial"/>
          <w:sz w:val="18"/>
          <w:szCs w:val="18"/>
          <w:color w:val="auto"/>
        </w:rPr>
        <w:t>, which was released in May 2016 with no comparable 2015 title.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Higher software amortization associated with </w:t>
      </w:r>
      <w:r>
        <w:rPr>
          <w:rFonts w:ascii="Arial" w:cs="Arial" w:eastAsia="Arial" w:hAnsi="Arial"/>
          <w:sz w:val="16"/>
          <w:szCs w:val="16"/>
          <w:i w:val="1"/>
          <w:iCs w:val="1"/>
          <w:color w:val="auto"/>
        </w:rPr>
        <w:t>Call of Duty: Black Ops III</w:t>
      </w:r>
      <w:r>
        <w:rPr>
          <w:rFonts w:ascii="Arial" w:cs="Arial" w:eastAsia="Arial" w:hAnsi="Arial"/>
          <w:sz w:val="16"/>
          <w:szCs w:val="16"/>
          <w:color w:val="auto"/>
        </w:rPr>
        <w:t xml:space="preserve">, which was released in the fourth quarter of 2015, as compared to </w:t>
      </w:r>
      <w:r>
        <w:rPr>
          <w:rFonts w:ascii="Arial" w:cs="Arial" w:eastAsia="Arial" w:hAnsi="Arial"/>
          <w:sz w:val="16"/>
          <w:szCs w:val="16"/>
          <w:i w:val="1"/>
          <w:iCs w:val="1"/>
          <w:color w:val="auto"/>
        </w:rPr>
        <w:t>Call of</w:t>
      </w:r>
    </w:p>
    <w:p>
      <w:pPr>
        <w:spacing w:after="0" w:line="38" w:lineRule="exact"/>
        <w:rPr>
          <w:rFonts w:ascii="Arial" w:cs="Arial" w:eastAsia="Arial" w:hAnsi="Arial"/>
          <w:sz w:val="16"/>
          <w:szCs w:val="16"/>
          <w:color w:val="auto"/>
        </w:rPr>
      </w:pPr>
    </w:p>
    <w:p>
      <w:pPr>
        <w:ind w:left="1080"/>
        <w:spacing w:after="0"/>
        <w:rPr>
          <w:rFonts w:ascii="Arial" w:cs="Arial" w:eastAsia="Arial" w:hAnsi="Arial"/>
          <w:sz w:val="16"/>
          <w:szCs w:val="16"/>
          <w:color w:val="auto"/>
        </w:rPr>
      </w:pPr>
      <w:r>
        <w:rPr>
          <w:rFonts w:ascii="Arial" w:cs="Arial" w:eastAsia="Arial" w:hAnsi="Arial"/>
          <w:sz w:val="18"/>
          <w:szCs w:val="18"/>
          <w:i w:val="1"/>
          <w:iCs w:val="1"/>
          <w:color w:val="auto"/>
        </w:rPr>
        <w:t>Duty: Advanced Warfare</w:t>
      </w:r>
      <w:r>
        <w:rPr>
          <w:rFonts w:ascii="Arial" w:cs="Arial" w:eastAsia="Arial" w:hAnsi="Arial"/>
          <w:sz w:val="18"/>
          <w:szCs w:val="18"/>
          <w:color w:val="auto"/>
        </w:rPr>
        <w:t>, which was released in the fourth quarter of 2014.</w:t>
      </w:r>
    </w:p>
    <w:p>
      <w:pPr>
        <w:spacing w:after="0" w:line="219"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decrease in product costs for 2015, as compared to 2014, was primarily due to:</w:t>
      </w:r>
    </w:p>
    <w:p>
      <w:pPr>
        <w:spacing w:after="0" w:line="252"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relative increase in revenues coming from the digital online channel, which typically have relatively lower product costs.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Decreased product costs as a result of the decrease in revenues from our relatively lower-margin Distribution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348"/>
        <w:spacing w:after="0" w:line="268" w:lineRule="auto"/>
        <w:rPr>
          <w:sz w:val="20"/>
          <w:szCs w:val="20"/>
          <w:color w:val="auto"/>
        </w:rPr>
      </w:pPr>
      <w:r>
        <w:rPr>
          <w:rFonts w:ascii="Arial" w:cs="Arial" w:eastAsia="Arial" w:hAnsi="Arial"/>
          <w:sz w:val="18"/>
          <w:szCs w:val="18"/>
          <w:color w:val="auto"/>
        </w:rPr>
        <w:t>The increase in software royalties, amortization, and intellectual property licenses related to product sales for 2015, as compared to 2014, was primarily due to higher software amortization from the Destiny franchise.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Revenues—Subscription, Licensing, and Other Revenues: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game operations and distribution costs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Increased online costs and platform provider fees associated with revenues from King titles included since the King Closing 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Increased expenditures to support our growing online activity across our existing and new titles.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 xml:space="preserve">The increase in software royalties, amortization, and intellectual property licenses related to subscription, licensing, and other revenues for 2016, as compared to 2015, was primarily due to the amortization of internally-developed franchise intangible assets acquired in the King Acquisition. This increase was partially offset by lower software amortization from </w:t>
      </w:r>
      <w:r>
        <w:rPr>
          <w:rFonts w:ascii="Arial" w:cs="Arial" w:eastAsia="Arial" w:hAnsi="Arial"/>
          <w:sz w:val="18"/>
          <w:szCs w:val="18"/>
          <w:i w:val="1"/>
          <w:iCs w:val="1"/>
          <w:color w:val="auto"/>
        </w:rPr>
        <w:t>Heroes of the Storm</w:t>
      </w:r>
      <w:r>
        <w:rPr>
          <w:rFonts w:ascii="Arial" w:cs="Arial" w:eastAsia="Arial" w:hAnsi="Arial"/>
          <w:sz w:val="18"/>
          <w:szCs w:val="18"/>
          <w:color w:val="auto"/>
        </w:rPr>
        <w:t>, as it was released in June 2015.</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 xml:space="preserve">The increase in game operations and distribution costs for 2015, as compared to 2014, was primarily due to increased online costs and platform provider fees associated with revenues from </w:t>
      </w:r>
      <w:r>
        <w:rPr>
          <w:rFonts w:ascii="Arial" w:cs="Arial" w:eastAsia="Arial" w:hAnsi="Arial"/>
          <w:sz w:val="18"/>
          <w:szCs w:val="18"/>
          <w:i w:val="1"/>
          <w:iCs w:val="1"/>
          <w:color w:val="auto"/>
        </w:rPr>
        <w:t>Hearthstone</w:t>
      </w:r>
      <w:r>
        <w:rPr>
          <w:rFonts w:ascii="Arial" w:cs="Arial" w:eastAsia="Arial" w:hAnsi="Arial"/>
          <w:sz w:val="18"/>
          <w:szCs w:val="18"/>
          <w:color w:val="auto"/>
        </w:rPr>
        <w:t>, which was released on iPhone and Android smartphones in April 2015.</w:t>
      </w:r>
    </w:p>
    <w:p>
      <w:pPr>
        <w:spacing w:after="0" w:line="186" w:lineRule="exact"/>
        <w:rPr>
          <w:sz w:val="20"/>
          <w:szCs w:val="20"/>
          <w:color w:val="auto"/>
        </w:rPr>
      </w:pPr>
    </w:p>
    <w:p>
      <w:pPr>
        <w:ind w:right="680" w:firstLine="348"/>
        <w:spacing w:after="0" w:line="332" w:lineRule="auto"/>
        <w:rPr>
          <w:sz w:val="20"/>
          <w:szCs w:val="20"/>
          <w:color w:val="auto"/>
        </w:rPr>
      </w:pPr>
      <w:r>
        <w:rPr>
          <w:rFonts w:ascii="Arial" w:cs="Arial" w:eastAsia="Arial" w:hAnsi="Arial"/>
          <w:sz w:val="16"/>
          <w:szCs w:val="16"/>
          <w:color w:val="auto"/>
        </w:rPr>
        <w:t xml:space="preserve">The increase in software royalties, amortization, and intellectual property licenses related to subscription, licensing, and other revenues for 2015, as compared to 2014, was primarily due to software amortization from </w:t>
      </w:r>
      <w:r>
        <w:rPr>
          <w:rFonts w:ascii="Arial" w:cs="Arial" w:eastAsia="Arial" w:hAnsi="Arial"/>
          <w:sz w:val="16"/>
          <w:szCs w:val="16"/>
          <w:i w:val="1"/>
          <w:iCs w:val="1"/>
          <w:color w:val="auto"/>
        </w:rPr>
        <w:t>Heroes of the Storm</w:t>
      </w:r>
      <w:r>
        <w:rPr>
          <w:rFonts w:ascii="Arial" w:cs="Arial" w:eastAsia="Arial" w:hAnsi="Arial"/>
          <w:sz w:val="16"/>
          <w:szCs w:val="16"/>
          <w:color w:val="auto"/>
        </w:rPr>
        <w:t>, as it was released in June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Development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 of</w:t>
            </w: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760" w:type="dxa"/>
            <w:vAlign w:val="bottom"/>
          </w:tcPr>
          <w:p>
            <w:pPr>
              <w:jc w:val="center"/>
              <w:ind w:right="12"/>
              <w:spacing w:after="0"/>
              <w:rPr>
                <w:sz w:val="20"/>
                <w:szCs w:val="20"/>
                <w:color w:val="auto"/>
              </w:rPr>
            </w:pPr>
            <w:r>
              <w:rPr>
                <w:rFonts w:ascii="Arial" w:cs="Arial" w:eastAsia="Arial" w:hAnsi="Arial"/>
                <w:sz w:val="14"/>
                <w:szCs w:val="14"/>
                <w:b w:val="1"/>
                <w:bCs w:val="1"/>
                <w:color w:val="auto"/>
                <w:w w:val="84"/>
              </w:rPr>
              <w:t>Increase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7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2015</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7"/>
              </w:rPr>
              <w:t>2015 v 2014</w:t>
            </w:r>
          </w:p>
        </w:tc>
        <w:tc>
          <w:tcPr>
            <w:tcW w:w="1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102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Product</w:t>
            </w: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02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89"/>
              </w:rPr>
              <w:t>development  $</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958</w:t>
            </w:r>
          </w:p>
        </w:tc>
        <w:tc>
          <w:tcPr>
            <w:tcW w:w="124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14% $</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646</w:t>
            </w:r>
          </w:p>
        </w:tc>
        <w:tc>
          <w:tcPr>
            <w:tcW w:w="12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14% $</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571</w:t>
            </w:r>
          </w:p>
        </w:tc>
        <w:tc>
          <w:tcPr>
            <w:tcW w:w="12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13% $</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312</w:t>
            </w:r>
          </w:p>
        </w:tc>
        <w:tc>
          <w:tcPr>
            <w:tcW w:w="24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75</w:t>
            </w:r>
          </w:p>
        </w:tc>
        <w:tc>
          <w:tcPr>
            <w:tcW w:w="160" w:type="dxa"/>
            <w:vAlign w:val="bottom"/>
            <w:shd w:val="clear" w:color="auto" w:fill="CCEEFF"/>
          </w:tcPr>
          <w:p>
            <w:pPr>
              <w:spacing w:after="0"/>
              <w:rPr>
                <w:sz w:val="13"/>
                <w:szCs w:val="13"/>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product development costs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Product development costs associated with King's titles.</w:t>
      </w:r>
    </w:p>
    <w:p>
      <w:pPr>
        <w:spacing w:after="0" w:line="238" w:lineRule="exact"/>
        <w:rPr>
          <w:rFonts w:ascii="Arial" w:cs="Arial" w:eastAsia="Arial" w:hAnsi="Arial"/>
          <w:sz w:val="18"/>
          <w:szCs w:val="18"/>
          <w:color w:val="auto"/>
        </w:rPr>
      </w:pPr>
    </w:p>
    <w:p>
      <w:pPr>
        <w:ind w:left="540" w:right="3420" w:firstLine="8"/>
        <w:spacing w:after="0" w:line="501"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Increased product development costs for Activision and Blizzard's current and upcoming releases. </w:t>
      </w:r>
      <w:r>
        <w:rPr>
          <w:rFonts w:ascii="Arial" w:cs="Arial" w:eastAsia="Arial" w:hAnsi="Arial"/>
          <w:sz w:val="18"/>
          <w:szCs w:val="18"/>
          <w:u w:val="single" w:color="auto"/>
          <w:color w:val="auto"/>
        </w:rPr>
        <w:t>2015 vs 2014</w:t>
      </w:r>
    </w:p>
    <w:p>
      <w:pPr>
        <w:ind w:right="520" w:firstLine="348"/>
        <w:spacing w:after="0" w:line="332" w:lineRule="auto"/>
        <w:rPr>
          <w:sz w:val="20"/>
          <w:szCs w:val="20"/>
          <w:color w:val="auto"/>
        </w:rPr>
      </w:pPr>
      <w:r>
        <w:rPr>
          <w:rFonts w:ascii="Arial" w:cs="Arial" w:eastAsia="Arial" w:hAnsi="Arial"/>
          <w:sz w:val="16"/>
          <w:szCs w:val="16"/>
          <w:color w:val="auto"/>
        </w:rPr>
        <w:t>The increase in product development costs for 2015, as compared to 2014, was primarily due to increased costs to support our future title releases and increased Blizzard product development costs, primarily associated with higher payroll costs and bonuses to studio personnel.</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and Marketing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 of</w:t>
            </w:r>
          </w:p>
        </w:tc>
        <w:tc>
          <w:tcPr>
            <w:tcW w:w="780" w:type="dxa"/>
            <w:vAlign w:val="bottom"/>
          </w:tcPr>
          <w:p>
            <w:pPr>
              <w:jc w:val="center"/>
              <w:ind w:right="32"/>
              <w:spacing w:after="0"/>
              <w:rPr>
                <w:sz w:val="20"/>
                <w:szCs w:val="20"/>
                <w:color w:val="auto"/>
              </w:rPr>
            </w:pPr>
            <w:r>
              <w:rPr>
                <w:rFonts w:ascii="Arial" w:cs="Arial" w:eastAsia="Arial" w:hAnsi="Arial"/>
                <w:sz w:val="14"/>
                <w:szCs w:val="14"/>
                <w:b w:val="1"/>
                <w:bCs w:val="1"/>
                <w:color w:val="auto"/>
                <w:w w:val="84"/>
              </w:rPr>
              <w:t>Increase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8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7"/>
              </w:rPr>
              <w:t>2015 v 2014</w:t>
            </w:r>
          </w:p>
        </w:tc>
        <w:tc>
          <w:tcPr>
            <w:tcW w:w="1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9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Sales and</w:t>
            </w: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9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96"/>
              </w:rPr>
              <w:t>marketing  $</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1,210</w:t>
            </w:r>
          </w:p>
        </w:tc>
        <w:tc>
          <w:tcPr>
            <w:tcW w:w="12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18% $</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734</w:t>
            </w:r>
          </w:p>
        </w:tc>
        <w:tc>
          <w:tcPr>
            <w:tcW w:w="128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16% $</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712</w:t>
            </w:r>
          </w:p>
        </w:tc>
        <w:tc>
          <w:tcPr>
            <w:tcW w:w="12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16% $</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476</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22</w:t>
            </w:r>
          </w:p>
        </w:tc>
        <w:tc>
          <w:tcPr>
            <w:tcW w:w="160" w:type="dxa"/>
            <w:vAlign w:val="bottom"/>
            <w:shd w:val="clear" w:color="auto" w:fill="CCEEFF"/>
          </w:tcPr>
          <w:p>
            <w:pPr>
              <w:spacing w:after="0"/>
              <w:rPr>
                <w:sz w:val="13"/>
                <w:szCs w:val="13"/>
                <w:color w:val="auto"/>
              </w:rPr>
            </w:pP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sales and marketing expenses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Amortization of the customer base intangible assets acquired in the King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Sales and marketing spending to support King's titles and new launches, including </w:t>
      </w:r>
      <w:r>
        <w:rPr>
          <w:rFonts w:ascii="Arial" w:cs="Arial" w:eastAsia="Arial" w:hAnsi="Arial"/>
          <w:sz w:val="16"/>
          <w:szCs w:val="16"/>
          <w:i w:val="1"/>
          <w:iCs w:val="1"/>
          <w:color w:val="auto"/>
        </w:rPr>
        <w:t>Candy Crush Jelly Saga</w:t>
      </w:r>
      <w:r>
        <w:rPr>
          <w:rFonts w:ascii="Arial" w:cs="Arial" w:eastAsia="Arial" w:hAnsi="Arial"/>
          <w:sz w:val="16"/>
          <w:szCs w:val="16"/>
          <w:color w:val="auto"/>
        </w:rPr>
        <w:t xml:space="preserve"> and </w:t>
      </w:r>
      <w:r>
        <w:rPr>
          <w:rFonts w:ascii="Arial" w:cs="Arial" w:eastAsia="Arial" w:hAnsi="Arial"/>
          <w:sz w:val="16"/>
          <w:szCs w:val="16"/>
          <w:i w:val="1"/>
          <w:iCs w:val="1"/>
          <w:color w:val="auto"/>
        </w:rPr>
        <w:t>Farm Heroes Super Saga</w:t>
      </w:r>
      <w:r>
        <w:rPr>
          <w:rFonts w:ascii="Arial" w:cs="Arial" w:eastAsia="Arial" w:hAnsi="Arial"/>
          <w:sz w:val="16"/>
          <w:szCs w:val="16"/>
          <w:color w:val="auto"/>
        </w:rPr>
        <w: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Sales and marketing spending to support Blizzard's new title, </w:t>
      </w:r>
      <w:r>
        <w:rPr>
          <w:rFonts w:ascii="Arial" w:cs="Arial" w:eastAsia="Arial" w:hAnsi="Arial"/>
          <w:sz w:val="18"/>
          <w:szCs w:val="18"/>
          <w:i w:val="1"/>
          <w:iCs w:val="1"/>
          <w:color w:val="auto"/>
        </w:rPr>
        <w:t>Overwatch.</w:t>
      </w:r>
    </w:p>
    <w:p>
      <w:pPr>
        <w:spacing w:after="0" w:line="225" w:lineRule="exact"/>
        <w:rPr>
          <w:sz w:val="20"/>
          <w:szCs w:val="20"/>
          <w:color w:val="auto"/>
        </w:rPr>
      </w:pPr>
    </w:p>
    <w:p>
      <w:pPr>
        <w:ind w:right="380" w:firstLine="348"/>
        <w:spacing w:after="0" w:line="268" w:lineRule="auto"/>
        <w:rPr>
          <w:sz w:val="20"/>
          <w:szCs w:val="20"/>
          <w:color w:val="auto"/>
        </w:rPr>
      </w:pPr>
      <w:r>
        <w:rPr>
          <w:rFonts w:ascii="Arial" w:cs="Arial" w:eastAsia="Arial" w:hAnsi="Arial"/>
          <w:sz w:val="18"/>
          <w:szCs w:val="18"/>
          <w:color w:val="auto"/>
        </w:rPr>
        <w:t xml:space="preserve">The increase was partially offset by lower sales and marketing expenditures on </w:t>
      </w:r>
      <w:r>
        <w:rPr>
          <w:rFonts w:ascii="Arial" w:cs="Arial" w:eastAsia="Arial" w:hAnsi="Arial"/>
          <w:sz w:val="18"/>
          <w:szCs w:val="18"/>
          <w:i w:val="1"/>
          <w:iCs w:val="1"/>
          <w:color w:val="auto"/>
        </w:rPr>
        <w:t>Guitar Hero Live</w:t>
      </w:r>
      <w:r>
        <w:rPr>
          <w:rFonts w:ascii="Arial" w:cs="Arial" w:eastAsia="Arial" w:hAnsi="Arial"/>
          <w:sz w:val="18"/>
          <w:szCs w:val="18"/>
          <w:color w:val="auto"/>
        </w:rPr>
        <w:t xml:space="preserve"> and the Destiny franchise given the timing of game launches.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 xml:space="preserve">The increase in sales and marketing expenses for 2015, as compared to 2014, was primarily due to increased spending on sales and marketing activities to support the launches of </w:t>
      </w:r>
      <w:r>
        <w:rPr>
          <w:rFonts w:ascii="Arial" w:cs="Arial" w:eastAsia="Arial" w:hAnsi="Arial"/>
          <w:sz w:val="18"/>
          <w:szCs w:val="18"/>
          <w:i w:val="1"/>
          <w:iCs w:val="1"/>
          <w:color w:val="auto"/>
        </w:rPr>
        <w:t>Guitar Hero Live</w:t>
      </w:r>
      <w:r>
        <w:rPr>
          <w:rFonts w:ascii="Arial" w:cs="Arial" w:eastAsia="Arial" w:hAnsi="Arial"/>
          <w:sz w:val="18"/>
          <w:szCs w:val="18"/>
          <w:color w:val="auto"/>
        </w:rPr>
        <w:t xml:space="preserve"> and </w:t>
      </w:r>
      <w:r>
        <w:rPr>
          <w:rFonts w:ascii="Arial" w:cs="Arial" w:eastAsia="Arial" w:hAnsi="Arial"/>
          <w:sz w:val="18"/>
          <w:szCs w:val="18"/>
          <w:i w:val="1"/>
          <w:iCs w:val="1"/>
          <w:color w:val="auto"/>
        </w:rPr>
        <w:t>Heroes of the Storm</w:t>
      </w:r>
      <w:r>
        <w:rPr>
          <w:rFonts w:ascii="Arial" w:cs="Arial" w:eastAsia="Arial" w:hAnsi="Arial"/>
          <w:sz w:val="18"/>
          <w:szCs w:val="18"/>
          <w:color w:val="auto"/>
        </w:rPr>
        <w:t xml:space="preserve"> during the year. The increase was partially offset by lower media spending on the World of Warcraft, Destiny, and Diablo franchises due to the timing of title releases.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Year Ended</w:t>
            </w:r>
          </w:p>
        </w:tc>
        <w:tc>
          <w:tcPr>
            <w:tcW w:w="120" w:type="dxa"/>
            <w:vAlign w:val="bottom"/>
          </w:tcPr>
          <w:p>
            <w:pPr>
              <w:spacing w:after="0"/>
              <w:rPr>
                <w:sz w:val="13"/>
                <w:szCs w:val="13"/>
                <w:color w:val="auto"/>
              </w:rPr>
            </w:pPr>
          </w:p>
        </w:tc>
        <w:tc>
          <w:tcPr>
            <w:tcW w:w="108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3"/>
                <w:szCs w:val="13"/>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 of</w:t>
            </w: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Year Ended</w:t>
            </w:r>
          </w:p>
        </w:tc>
        <w:tc>
          <w:tcPr>
            <w:tcW w:w="140" w:type="dxa"/>
            <w:vAlign w:val="bottom"/>
          </w:tcPr>
          <w:p>
            <w:pPr>
              <w:spacing w:after="0"/>
              <w:rPr>
                <w:sz w:val="13"/>
                <w:szCs w:val="13"/>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4"/>
              </w:rPr>
              <w:t>Increase</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20" w:type="dxa"/>
            <w:vAlign w:val="bottom"/>
          </w:tcPr>
          <w:p>
            <w:pPr>
              <w:spacing w:after="0"/>
              <w:rPr>
                <w:sz w:val="12"/>
                <w:szCs w:val="12"/>
                <w:color w:val="auto"/>
              </w:rPr>
            </w:pPr>
          </w:p>
        </w:tc>
        <w:tc>
          <w:tcPr>
            <w:tcW w:w="10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4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4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3"/>
              </w:rPr>
              <w:t>2014</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net revenues</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2015 v 2014</w:t>
            </w:r>
          </w:p>
        </w:tc>
        <w:tc>
          <w:tcPr>
            <w:tcW w:w="160" w:type="dxa"/>
            <w:vAlign w:val="bottom"/>
          </w:tcPr>
          <w:p>
            <w:pPr>
              <w:spacing w:after="0"/>
              <w:rPr>
                <w:sz w:val="14"/>
                <w:szCs w:val="14"/>
                <w:color w:val="auto"/>
              </w:rPr>
            </w:pPr>
          </w:p>
        </w:tc>
      </w:tr>
      <w:tr>
        <w:trPr>
          <w:trHeight w:val="131"/>
        </w:trPr>
        <w:tc>
          <w:tcPr>
            <w:tcW w:w="20" w:type="dxa"/>
            <w:vAlign w:val="bottom"/>
          </w:tcPr>
          <w:p>
            <w:pPr>
              <w:spacing w:after="0"/>
              <w:rPr>
                <w:sz w:val="11"/>
                <w:szCs w:val="11"/>
                <w:color w:val="auto"/>
              </w:rPr>
            </w:pPr>
          </w:p>
        </w:tc>
        <w:tc>
          <w:tcPr>
            <w:tcW w:w="1100" w:type="dxa"/>
            <w:vAlign w:val="bottom"/>
            <w:gridSpan w:val="2"/>
            <w:shd w:val="clear" w:color="auto" w:fill="CCEEFF"/>
          </w:tcPr>
          <w:p>
            <w:pPr>
              <w:spacing w:after="0" w:line="131" w:lineRule="exact"/>
              <w:rPr>
                <w:sz w:val="20"/>
                <w:szCs w:val="20"/>
                <w:color w:val="auto"/>
              </w:rPr>
            </w:pPr>
            <w:r>
              <w:rPr>
                <w:rFonts w:ascii="Arial" w:cs="Arial" w:eastAsia="Arial" w:hAnsi="Arial"/>
                <w:sz w:val="14"/>
                <w:szCs w:val="14"/>
                <w:color w:val="auto"/>
              </w:rPr>
              <w:t>General and</w:t>
            </w: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59"/>
        </w:trPr>
        <w:tc>
          <w:tcPr>
            <w:tcW w:w="20" w:type="dxa"/>
            <w:vAlign w:val="bottom"/>
          </w:tcPr>
          <w:p>
            <w:pPr>
              <w:spacing w:after="0"/>
              <w:rPr>
                <w:sz w:val="13"/>
                <w:szCs w:val="13"/>
                <w:color w:val="auto"/>
              </w:rPr>
            </w:pPr>
          </w:p>
        </w:tc>
        <w:tc>
          <w:tcPr>
            <w:tcW w:w="110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w w:val="92"/>
              </w:rPr>
              <w:t>administrative  $</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634</w:t>
            </w:r>
          </w:p>
        </w:tc>
        <w:tc>
          <w:tcPr>
            <w:tcW w:w="120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10% $</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380</w:t>
            </w:r>
          </w:p>
        </w:tc>
        <w:tc>
          <w:tcPr>
            <w:tcW w:w="124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8% $</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417</w:t>
            </w:r>
          </w:p>
        </w:tc>
        <w:tc>
          <w:tcPr>
            <w:tcW w:w="124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9% $</w:t>
            </w:r>
          </w:p>
        </w:tc>
        <w:tc>
          <w:tcPr>
            <w:tcW w:w="7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254</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(37)</w:t>
            </w: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increase in general and administrative expenses for 2016, as compared to 2015, was primarily due to:</w:t>
      </w:r>
    </w:p>
    <w:p>
      <w:pPr>
        <w:spacing w:after="0" w:line="23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King's general and administrative costs, which are included from the King Closing Date.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5"/>
          <w:szCs w:val="15"/>
          <w:color w:val="auto"/>
        </w:rPr>
      </w:pPr>
      <w:r>
        <w:rPr>
          <w:rFonts w:ascii="Arial" w:cs="Arial" w:eastAsia="Arial" w:hAnsi="Arial"/>
          <w:sz w:val="15"/>
          <w:szCs w:val="15"/>
          <w:color w:val="auto"/>
        </w:rPr>
        <w:t>Higher Blizzard personnel costs due to segment performance bonuses and increased headcount to support the growth of the Blizzard business.</w:t>
      </w:r>
    </w:p>
    <w:p>
      <w:pPr>
        <w:spacing w:after="0" w:line="273" w:lineRule="exact"/>
        <w:rPr>
          <w:rFonts w:ascii="Arial" w:cs="Arial" w:eastAsia="Arial" w:hAnsi="Arial"/>
          <w:sz w:val="15"/>
          <w:szCs w:val="15"/>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Higher professional and transaction-related fees due to the King Acquisition, which closed on February 23, 2016.</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Lower foreign currency transaction and derivative contract gains.</w:t>
      </w:r>
    </w:p>
    <w:p>
      <w:pPr>
        <w:spacing w:after="0" w:line="225"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decrease in general and administrative expenses for 2015, as compared to 2014, was primarily due to realized and unrealized gains from our foreign currency derivative contracts and lower share-based compensation expense. This decrease was partially offset by increased professional service fees incurred, primarily in connection with the King Acquisition.</w:t>
      </w:r>
    </w:p>
    <w:p>
      <w:pPr>
        <w:spacing w:after="0" w:line="19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and Other Expense (Income), Net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3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 of</w:t>
            </w:r>
          </w:p>
        </w:tc>
        <w:tc>
          <w:tcPr>
            <w:tcW w:w="780" w:type="dxa"/>
            <w:vAlign w:val="bottom"/>
          </w:tcPr>
          <w:p>
            <w:pPr>
              <w:jc w:val="center"/>
              <w:ind w:right="32"/>
              <w:spacing w:after="0"/>
              <w:rPr>
                <w:sz w:val="20"/>
                <w:szCs w:val="20"/>
                <w:color w:val="auto"/>
              </w:rPr>
            </w:pPr>
            <w:r>
              <w:rPr>
                <w:rFonts w:ascii="Arial" w:cs="Arial" w:eastAsia="Arial" w:hAnsi="Arial"/>
                <w:sz w:val="14"/>
                <w:szCs w:val="14"/>
                <w:b w:val="1"/>
                <w:bCs w:val="1"/>
                <w:color w:val="auto"/>
                <w:w w:val="84"/>
              </w:rPr>
              <w:t>Increase</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100" w:type="dxa"/>
            <w:vAlign w:val="bottom"/>
            <w:gridSpan w:val="3"/>
          </w:tcPr>
          <w:p>
            <w:pPr>
              <w:jc w:val="center"/>
              <w:ind w:right="22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8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10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consolidated</w:t>
            </w:r>
          </w:p>
        </w:tc>
        <w:tc>
          <w:tcPr>
            <w:tcW w:w="7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3"/>
              </w:rPr>
              <w:t>(Decrease)</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center"/>
              <w:ind w:right="12"/>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3"/>
              </w:rPr>
              <w:t>net revenues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112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3"/>
              </w:rPr>
              <w:t>net revenues</w:t>
            </w:r>
          </w:p>
        </w:tc>
        <w:tc>
          <w:tcPr>
            <w:tcW w:w="8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4"/>
                <w:szCs w:val="14"/>
                <w:color w:val="auto"/>
              </w:rPr>
            </w:pPr>
          </w:p>
        </w:tc>
        <w:tc>
          <w:tcPr>
            <w:tcW w:w="110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83"/>
              </w:rPr>
              <w:t>net revenues</w:t>
            </w:r>
          </w:p>
        </w:tc>
        <w:tc>
          <w:tcPr>
            <w:tcW w:w="780" w:type="dxa"/>
            <w:vAlign w:val="bottom"/>
          </w:tcPr>
          <w:p>
            <w:pPr>
              <w:jc w:val="center"/>
              <w:ind w:right="32"/>
              <w:spacing w:after="0"/>
              <w:rPr>
                <w:sz w:val="20"/>
                <w:szCs w:val="20"/>
                <w:color w:val="auto"/>
              </w:rPr>
            </w:pPr>
            <w:r>
              <w:rPr>
                <w:rFonts w:ascii="Arial" w:cs="Arial" w:eastAsia="Arial" w:hAnsi="Arial"/>
                <w:sz w:val="14"/>
                <w:szCs w:val="14"/>
                <w:b w:val="1"/>
                <w:bCs w:val="1"/>
                <w:color w:val="auto"/>
                <w:w w:val="87"/>
              </w:rPr>
              <w:t>2016 v 2015</w:t>
            </w: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2015 v 2014</w:t>
            </w:r>
          </w:p>
        </w:tc>
      </w:tr>
      <w:tr>
        <w:trPr>
          <w:trHeight w:val="131"/>
        </w:trPr>
        <w:tc>
          <w:tcPr>
            <w:tcW w:w="20" w:type="dxa"/>
            <w:vAlign w:val="bottom"/>
          </w:tcPr>
          <w:p>
            <w:pPr>
              <w:spacing w:after="0"/>
              <w:rPr>
                <w:sz w:val="11"/>
                <w:szCs w:val="11"/>
                <w:color w:val="auto"/>
              </w:rPr>
            </w:pPr>
          </w:p>
        </w:tc>
        <w:tc>
          <w:tcPr>
            <w:tcW w:w="720" w:type="dxa"/>
            <w:vAlign w:val="bottom"/>
            <w:shd w:val="clear" w:color="auto" w:fill="CCEEFF"/>
          </w:tcPr>
          <w:p>
            <w:pPr>
              <w:spacing w:after="0" w:line="131" w:lineRule="exact"/>
              <w:rPr>
                <w:sz w:val="20"/>
                <w:szCs w:val="20"/>
                <w:color w:val="auto"/>
              </w:rPr>
            </w:pPr>
            <w:r>
              <w:rPr>
                <w:rFonts w:ascii="Arial" w:cs="Arial" w:eastAsia="Arial" w:hAnsi="Arial"/>
                <w:sz w:val="14"/>
                <w:szCs w:val="14"/>
                <w:color w:val="auto"/>
                <w:w w:val="94"/>
              </w:rPr>
              <w:t>Interest and</w:t>
            </w:r>
          </w:p>
        </w:tc>
        <w:tc>
          <w:tcPr>
            <w:tcW w:w="8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other</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expense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7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w w:val="95"/>
              </w:rPr>
              <w:t>(income),</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59"/>
        </w:trPr>
        <w:tc>
          <w:tcPr>
            <w:tcW w:w="20" w:type="dxa"/>
            <w:vAlign w:val="bottom"/>
          </w:tcPr>
          <w:p>
            <w:pPr>
              <w:spacing w:after="0"/>
              <w:rPr>
                <w:sz w:val="13"/>
                <w:szCs w:val="13"/>
                <w:color w:val="auto"/>
              </w:rPr>
            </w:pPr>
          </w:p>
        </w:tc>
        <w:tc>
          <w:tcPr>
            <w:tcW w:w="7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net</w:t>
            </w:r>
          </w:p>
        </w:tc>
        <w:tc>
          <w:tcPr>
            <w:tcW w:w="16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214</w:t>
            </w:r>
          </w:p>
        </w:tc>
        <w:tc>
          <w:tcPr>
            <w:tcW w:w="12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3% $</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198</w:t>
            </w:r>
          </w:p>
        </w:tc>
        <w:tc>
          <w:tcPr>
            <w:tcW w:w="1280" w:type="dxa"/>
            <w:vAlign w:val="bottom"/>
            <w:gridSpan w:val="4"/>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4% $</w:t>
            </w:r>
          </w:p>
        </w:tc>
        <w:tc>
          <w:tcPr>
            <w:tcW w:w="8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202</w:t>
            </w:r>
          </w:p>
        </w:tc>
        <w:tc>
          <w:tcPr>
            <w:tcW w:w="1260" w:type="dxa"/>
            <w:vAlign w:val="bottom"/>
            <w:gridSpan w:val="4"/>
            <w:shd w:val="clear" w:color="auto" w:fill="CCEEFF"/>
          </w:tcPr>
          <w:p>
            <w:pPr>
              <w:jc w:val="right"/>
              <w:spacing w:after="0" w:line="159" w:lineRule="exact"/>
              <w:rPr>
                <w:sz w:val="20"/>
                <w:szCs w:val="20"/>
                <w:color w:val="auto"/>
              </w:rPr>
            </w:pPr>
            <w:r>
              <w:rPr>
                <w:rFonts w:ascii="Arial" w:cs="Arial" w:eastAsia="Arial" w:hAnsi="Arial"/>
                <w:sz w:val="14"/>
                <w:szCs w:val="14"/>
                <w:color w:val="auto"/>
              </w:rPr>
              <w:t>5% $</w:t>
            </w:r>
          </w:p>
        </w:tc>
        <w:tc>
          <w:tcPr>
            <w:tcW w:w="7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w:t>
            </w:r>
          </w:p>
        </w:tc>
        <w:tc>
          <w:tcPr>
            <w:tcW w:w="2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(4)</w:t>
            </w:r>
          </w:p>
        </w:tc>
      </w:tr>
    </w:tbl>
    <w:p>
      <w:pPr>
        <w:spacing w:after="0" w:line="208"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right="200" w:firstLine="348"/>
        <w:spacing w:after="0" w:line="255" w:lineRule="auto"/>
        <w:rPr>
          <w:sz w:val="20"/>
          <w:szCs w:val="20"/>
          <w:color w:val="auto"/>
        </w:rPr>
      </w:pPr>
      <w:r>
        <w:rPr>
          <w:rFonts w:ascii="Arial" w:cs="Arial" w:eastAsia="Arial" w:hAnsi="Arial"/>
          <w:sz w:val="18"/>
          <w:szCs w:val="18"/>
          <w:color w:val="auto"/>
        </w:rPr>
        <w:t>The increase in interest and other expense, net, for 2016, as compared to 2015, was primarily due to interest expense associated with the new $2.3 billion tranche of term loans "A" that were incurred in connection with the King Acquisition. This increase was partially offset by lower interest expense related to our prior term loan because of voluntary prepayments on the principal we made throughout 2016, with the prior term loan being fully extinguished in September 2016. Refer to "Liquidity and Capital Resources" below as included in Item 7 of this Annual Report on Form 10-K for additional discussion regarding our debt activities.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Interest and other expense, net, for 2015 was comparable to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 Expense (Benefit)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 of</w:t>
            </w:r>
          </w:p>
        </w:tc>
        <w:tc>
          <w:tcPr>
            <w:tcW w:w="880" w:type="dxa"/>
            <w:vAlign w:val="bottom"/>
          </w:tcPr>
          <w:p>
            <w:pPr>
              <w:jc w:val="center"/>
              <w:ind w:right="12"/>
              <w:spacing w:after="0"/>
              <w:rPr>
                <w:sz w:val="20"/>
                <w:szCs w:val="20"/>
                <w:color w:val="auto"/>
              </w:rPr>
            </w:pPr>
            <w:r>
              <w:rPr>
                <w:rFonts w:ascii="Arial" w:cs="Arial" w:eastAsia="Arial" w:hAnsi="Arial"/>
                <w:sz w:val="14"/>
                <w:szCs w:val="14"/>
                <w:b w:val="1"/>
                <w:bCs w:val="1"/>
                <w:color w:val="auto"/>
                <w:w w:val="88"/>
              </w:rPr>
              <w:t>Year Ended</w:t>
            </w:r>
          </w:p>
        </w:tc>
        <w:tc>
          <w:tcPr>
            <w:tcW w:w="160" w:type="dxa"/>
            <w:vAlign w:val="bottom"/>
          </w:tcPr>
          <w:p>
            <w:pPr>
              <w:spacing w:after="0"/>
              <w:rPr>
                <w:sz w:val="14"/>
                <w:szCs w:val="14"/>
                <w:color w:val="auto"/>
              </w:rPr>
            </w:pPr>
          </w:p>
        </w:tc>
        <w:tc>
          <w:tcPr>
            <w:tcW w:w="78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4"/>
              </w:rPr>
              <w:t>% of</w:t>
            </w: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4"/>
              </w:rPr>
              <w:t>Increase</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4"/>
              </w:rPr>
              <w:t>Increase</w:t>
            </w:r>
          </w:p>
        </w:tc>
      </w:tr>
      <w:tr>
        <w:trPr>
          <w:trHeight w:val="149"/>
        </w:trPr>
        <w:tc>
          <w:tcPr>
            <w:tcW w:w="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Pretax</w:t>
            </w:r>
          </w:p>
        </w:tc>
        <w:tc>
          <w:tcPr>
            <w:tcW w:w="88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Pretax</w:t>
            </w:r>
          </w:p>
        </w:tc>
        <w:tc>
          <w:tcPr>
            <w:tcW w:w="880" w:type="dxa"/>
            <w:vAlign w:val="bottom"/>
          </w:tcPr>
          <w:p>
            <w:pPr>
              <w:jc w:val="center"/>
              <w:ind w:right="12"/>
              <w:spacing w:after="0" w:line="149" w:lineRule="exact"/>
              <w:rPr>
                <w:sz w:val="20"/>
                <w:szCs w:val="20"/>
                <w:color w:val="auto"/>
              </w:rPr>
            </w:pPr>
            <w:r>
              <w:rPr>
                <w:rFonts w:ascii="Arial" w:cs="Arial" w:eastAsia="Arial" w:hAnsi="Arial"/>
                <w:sz w:val="14"/>
                <w:szCs w:val="14"/>
                <w:b w:val="1"/>
                <w:bCs w:val="1"/>
                <w:color w:val="auto"/>
                <w:w w:val="87"/>
              </w:rPr>
              <w:t>December 31,</w:t>
            </w:r>
          </w:p>
        </w:tc>
        <w:tc>
          <w:tcPr>
            <w:tcW w:w="160" w:type="dxa"/>
            <w:vAlign w:val="bottom"/>
          </w:tcPr>
          <w:p>
            <w:pPr>
              <w:spacing w:after="0"/>
              <w:rPr>
                <w:sz w:val="12"/>
                <w:szCs w:val="12"/>
                <w:color w:val="auto"/>
              </w:rPr>
            </w:pPr>
          </w:p>
        </w:tc>
        <w:tc>
          <w:tcPr>
            <w:tcW w:w="78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Pretax</w:t>
            </w: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(Decrease)</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(Decrease)</w:t>
            </w:r>
          </w:p>
        </w:tc>
      </w:tr>
      <w:tr>
        <w:trPr>
          <w:trHeight w:val="161"/>
        </w:trPr>
        <w:tc>
          <w:tcPr>
            <w:tcW w:w="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1"/>
              </w:rPr>
              <w:t>income</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2"/>
              <w:spacing w:after="0"/>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income</w:t>
            </w:r>
          </w:p>
        </w:tc>
        <w:tc>
          <w:tcPr>
            <w:tcW w:w="16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7"/>
              </w:rPr>
              <w:t>2016 v 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87"/>
              </w:rPr>
              <w:t>2015 v 2014</w:t>
            </w: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142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Income tax expense</w:t>
            </w:r>
          </w:p>
        </w:tc>
        <w:tc>
          <w:tcPr>
            <w:tcW w:w="420" w:type="dxa"/>
            <w:vAlign w:val="bottom"/>
            <w:gridSpan w:val="2"/>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140</w:t>
            </w:r>
          </w:p>
        </w:tc>
        <w:tc>
          <w:tcPr>
            <w:tcW w:w="940" w:type="dxa"/>
            <w:vAlign w:val="bottom"/>
            <w:gridSpan w:val="4"/>
            <w:shd w:val="clear" w:color="auto" w:fill="CCEEFF"/>
          </w:tcPr>
          <w:p>
            <w:pPr>
              <w:jc w:val="right"/>
              <w:ind w:right="20"/>
              <w:spacing w:after="0" w:line="142" w:lineRule="exact"/>
              <w:rPr>
                <w:sz w:val="20"/>
                <w:szCs w:val="20"/>
                <w:color w:val="auto"/>
              </w:rPr>
            </w:pPr>
            <w:r>
              <w:rPr>
                <w:rFonts w:ascii="Arial" w:cs="Arial" w:eastAsia="Arial" w:hAnsi="Arial"/>
                <w:sz w:val="14"/>
                <w:szCs w:val="14"/>
                <w:color w:val="auto"/>
              </w:rPr>
              <w:t>13% $</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229</w:t>
            </w:r>
          </w:p>
        </w:tc>
        <w:tc>
          <w:tcPr>
            <w:tcW w:w="9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20% $</w:t>
            </w:r>
          </w:p>
        </w:tc>
        <w:tc>
          <w:tcPr>
            <w:tcW w:w="8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146</w:t>
            </w:r>
          </w:p>
        </w:tc>
        <w:tc>
          <w:tcPr>
            <w:tcW w:w="940" w:type="dxa"/>
            <w:vAlign w:val="bottom"/>
            <w:gridSpan w:val="4"/>
            <w:shd w:val="clear" w:color="auto" w:fill="CCEEFF"/>
          </w:tcPr>
          <w:p>
            <w:pPr>
              <w:jc w:val="right"/>
              <w:spacing w:after="0" w:line="142" w:lineRule="exact"/>
              <w:rPr>
                <w:sz w:val="20"/>
                <w:szCs w:val="20"/>
                <w:color w:val="auto"/>
              </w:rPr>
            </w:pPr>
            <w:r>
              <w:rPr>
                <w:rFonts w:ascii="Arial" w:cs="Arial" w:eastAsia="Arial" w:hAnsi="Arial"/>
                <w:sz w:val="14"/>
                <w:szCs w:val="14"/>
                <w:color w:val="auto"/>
              </w:rPr>
              <w:t>15% $</w:t>
            </w:r>
          </w:p>
        </w:tc>
        <w:tc>
          <w:tcPr>
            <w:tcW w:w="860" w:type="dxa"/>
            <w:vAlign w:val="bottom"/>
            <w:gridSpan w:val="2"/>
            <w:shd w:val="clear" w:color="auto" w:fill="CCEEFF"/>
          </w:tcPr>
          <w:p>
            <w:pPr>
              <w:jc w:val="right"/>
              <w:ind w:right="40"/>
              <w:spacing w:after="0" w:line="142" w:lineRule="exact"/>
              <w:rPr>
                <w:sz w:val="20"/>
                <w:szCs w:val="20"/>
                <w:color w:val="auto"/>
              </w:rPr>
            </w:pPr>
            <w:r>
              <w:rPr>
                <w:rFonts w:ascii="Arial" w:cs="Arial" w:eastAsia="Arial" w:hAnsi="Arial"/>
                <w:sz w:val="14"/>
                <w:szCs w:val="14"/>
                <w:color w:val="auto"/>
              </w:rPr>
              <w:t>(89)</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83</w:t>
            </w:r>
          </w:p>
        </w:tc>
        <w:tc>
          <w:tcPr>
            <w:tcW w:w="160" w:type="dxa"/>
            <w:vAlign w:val="bottom"/>
            <w:shd w:val="clear" w:color="auto" w:fill="CCEEFF"/>
          </w:tcPr>
          <w:p>
            <w:pPr>
              <w:spacing w:after="0"/>
              <w:rPr>
                <w:sz w:val="12"/>
                <w:szCs w:val="12"/>
                <w:color w:val="auto"/>
              </w:rPr>
            </w:pPr>
          </w:p>
        </w:tc>
      </w:tr>
    </w:tbl>
    <w:p>
      <w:pPr>
        <w:spacing w:after="0" w:line="208" w:lineRule="exact"/>
        <w:rPr>
          <w:sz w:val="20"/>
          <w:szCs w:val="20"/>
          <w:color w:val="auto"/>
        </w:rPr>
      </w:pPr>
    </w:p>
    <w:p>
      <w:pPr>
        <w:ind w:right="660" w:firstLine="351"/>
        <w:spacing w:after="0" w:line="286" w:lineRule="auto"/>
        <w:rPr>
          <w:sz w:val="20"/>
          <w:szCs w:val="20"/>
          <w:color w:val="auto"/>
        </w:rPr>
      </w:pPr>
      <w:r>
        <w:rPr>
          <w:rFonts w:ascii="Arial" w:cs="Arial" w:eastAsia="Arial" w:hAnsi="Arial"/>
          <w:sz w:val="16"/>
          <w:szCs w:val="16"/>
          <w:color w:val="auto"/>
        </w:rPr>
        <w:t>For the years ended December 31, 2016, 2015 and 2014, the Company's income before income tax expense was $1,106 million, $1,121 million, and $981 million, respectively, and our income tax expense was $140 million (or a 13% effective tax rate), $229 million (or a 20% effective tax rate), and</w:t>
      </w:r>
    </w:p>
    <w:p>
      <w:pPr>
        <w:ind w:right="100"/>
        <w:spacing w:after="0" w:line="302" w:lineRule="auto"/>
        <w:rPr>
          <w:sz w:val="20"/>
          <w:szCs w:val="20"/>
          <w:color w:val="auto"/>
        </w:rPr>
      </w:pPr>
      <w:r>
        <w:rPr>
          <w:rFonts w:ascii="Arial" w:cs="Arial" w:eastAsia="Arial" w:hAnsi="Arial"/>
          <w:sz w:val="16"/>
          <w:szCs w:val="16"/>
          <w:color w:val="auto"/>
        </w:rPr>
        <w:t>$146 million (or a 15% effective tax rate), respectively. Overall, our effective tax rate differs from the U.S. statutory tax rate of 35%, primarily due to earnings taxed at relatively lower rates in foreign jurisdictions, recognition of excess tax benefits from shared-based payments (as discussed further below), recognition of the research and development ("R&amp;D") credits, partially offset by changes in the Company's liability for uncertain tax positions.</w:t>
      </w:r>
    </w:p>
    <w:p>
      <w:pPr>
        <w:spacing w:after="0" w:line="163"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In 2016 and 2015, our U.S. income before income tax expense was $228 million and $355 million, respectively, and comprised 21% and 32%, respectively, of our consolidated income before income tax expense. In 2016 and 2015, our foreign income before income tax expense was $878 million and $766 million, respectively, and comprised 79% and 68%, respectively, of our consolidated income before income tax expense.</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2016 and 2015, earnings taxed at lower rates in foreign jurisdictions, as compared to domestic earnings taxed at the U.S. federal statutory tax rate, lowered our effective tax rate by 22 percentage points and 20 percentage points, respectively. The increase in the foreign rate differential is due to the overall increase in foreign income, which is taxed at relatively lower rates in proportion to U.S. income.</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2015 and 2014, earnings taxed at lower rates in foreign jurisdictions, as compared to domestic earnings taxed at the U.S. federal statutory tax rate, lowered our effective tax rate by 20 percentage points and 25 percentage points, respectively. The decrease in the foreign rate differential is due to overall increase in foreign income in higher statutory rate jurisdictions, as compared to the prior year.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firstLine="348"/>
        <w:spacing w:after="0" w:line="318" w:lineRule="auto"/>
        <w:rPr>
          <w:sz w:val="20"/>
          <w:szCs w:val="20"/>
          <w:color w:val="auto"/>
        </w:rPr>
      </w:pPr>
      <w:r>
        <w:rPr>
          <w:rFonts w:ascii="Arial" w:cs="Arial" w:eastAsia="Arial" w:hAnsi="Arial"/>
          <w:sz w:val="15"/>
          <w:szCs w:val="15"/>
          <w:color w:val="auto"/>
        </w:rPr>
        <w:t>The overall effective income tax rate in future periods will depend on a variety of factors, such as changes in the mix of income by tax jurisdiction, applicable accounting rules, applicable tax laws and regulations, and rulings and interpretations thereof, developments in tax audits and other matters, and variations in the estimated and actual level of annual pre-tax income or loss. Further, the effective tax rate could fluctuate significantly on a quarterly basis and could be adversely affected by the extent that income (loss) before income tax expenses (benefit) is lower than anticipated in foreign regions, where taxes are levied at relatively lower statutory rates, and/or higher than anticipated in the United States, where taxes are levied at relatively higher statutory rates.</w:t>
      </w:r>
    </w:p>
    <w:p>
      <w:pPr>
        <w:spacing w:after="0" w:line="154" w:lineRule="exact"/>
        <w:rPr>
          <w:sz w:val="20"/>
          <w:szCs w:val="20"/>
          <w:color w:val="auto"/>
        </w:rPr>
      </w:pPr>
    </w:p>
    <w:p>
      <w:pPr>
        <w:ind w:right="200" w:firstLine="351"/>
        <w:spacing w:after="0" w:line="254" w:lineRule="auto"/>
        <w:rPr>
          <w:sz w:val="20"/>
          <w:szCs w:val="20"/>
          <w:color w:val="auto"/>
        </w:rPr>
      </w:pPr>
      <w:r>
        <w:rPr>
          <w:rFonts w:ascii="Arial" w:cs="Arial" w:eastAsia="Arial" w:hAnsi="Arial"/>
          <w:sz w:val="18"/>
          <w:szCs w:val="18"/>
          <w:color w:val="auto"/>
        </w:rPr>
        <w:t>Further analysis of the differences between the U.S. federal statutory rate and the consolidated effective tax rate, as well as other information about our income taxes, is provided in Note 15 of the notes to consolidated financial statements included in Item 8 of this Annual Report on Form 10-K. Additionally, see "Recently Issued Accounting Pronouncements" for discussion on our early adoption of a new accounting standard related to share-based payments that requires that all excess tax benefits and tax deficiencies to be recorded as an income tax expense or benefit in the consolidated statement of operations. As a result, we recognized $81 million as a reduction to income tax expense in 2016. Conversely, in 2015 and 2014, $65 million and $30 million, respectively, were credited to shareholders' equity.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Exchange Impact</w:t>
      </w:r>
    </w:p>
    <w:p>
      <w:pPr>
        <w:spacing w:after="0" w:line="225"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Changes in foreign exchange rates had a positive impact of $10 million, a negative impact of $242 million, and a negative impact of $8 million on Activision Blizzard's consolidated operating income in 2016, 2015 and 2014, respectively. The changes are primarily due to changes in the value of the U.S. dollar relative to the euro and British pound and its impact on our foreign operating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ind w:right="40" w:firstLine="348"/>
        <w:spacing w:after="0" w:line="290" w:lineRule="auto"/>
        <w:rPr>
          <w:sz w:val="20"/>
          <w:szCs w:val="20"/>
          <w:color w:val="auto"/>
        </w:rPr>
      </w:pPr>
      <w:r>
        <w:rPr>
          <w:rFonts w:ascii="Arial" w:cs="Arial" w:eastAsia="Arial" w:hAnsi="Arial"/>
          <w:sz w:val="16"/>
          <w:szCs w:val="16"/>
          <w:color w:val="auto"/>
        </w:rPr>
        <w:t>We believe our ability to generate cash flows from operating activities is one of our fundamental financial strengths. In the near term, we expect our business to remain strong and to continue to generate significant operating cash flows. Our primary sources of liquidity, which are available to us to fund cash outflows such as our anticipated dividend payments, share repurchases and scheduled debt maturities, include our cash and cash equivalents, short- and long-term investments, and cash flows provided by operating activities. With our cash and cash equivalents and short-term investments of $3.3 billion at December 31, 2016, and the expected cash flows provided by our operating activities, we believe that we have sufficient liquidity to meet daily operations for the foreseeable future. We also believe that we have sufficient working capital ($2.2 billion at December 31, 2016) to finance our operational and financing requirements for at least the next twelve months. Additionally, we have the availability of a $250 million revolving credit facility.</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the amount of cash and cash equivalents held outside of the U.S. by our foreign subsidiaries was $1.9 billion, as compared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$0.5 billion as of December 31, 2015. If the cash and cash equivalents held outside of the U.S. are needed in the future for our operations in the U.S., we would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accrue and pay the required U.S. taxes to repatriate these funds. However, our intent is to permanently reinvest these funds outside of the U.S. and our current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plans do not demonstrate a need to repatriate them to fund our U.S. operations.</w:t>
      </w:r>
    </w:p>
    <w:p>
      <w:pPr>
        <w:spacing w:after="0" w:line="219"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Furthermore, our cash provided from operating activities is somewhat impacted by seasonality. Working capital needs are impacted by weekly sales, which are generally highest in the fourth quarter due to seasonal and holiday-related sales patterns. On a continuing basis, we consider various transactions to increase shareholder value and enhance our business results, including acquisitions, divestitures, joint ventures, share repurchases, and other structural changes. These transactions may result in future cash proceeds or payments.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 (amounts in millions)</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40" w:type="dxa"/>
            <w:vAlign w:val="bottom"/>
            <w:gridSpan w:val="8"/>
          </w:tcPr>
          <w:p>
            <w:pPr>
              <w:jc w:val="right"/>
              <w:ind w:right="780"/>
              <w:spacing w:after="0"/>
              <w:rPr>
                <w:sz w:val="20"/>
                <w:szCs w:val="20"/>
                <w:color w:val="auto"/>
              </w:rPr>
            </w:pPr>
            <w:r>
              <w:rPr>
                <w:rFonts w:ascii="Arial" w:cs="Arial" w:eastAsia="Arial" w:hAnsi="Arial"/>
                <w:sz w:val="14"/>
                <w:szCs w:val="14"/>
                <w:b w:val="1"/>
                <w:bCs w:val="1"/>
                <w:color w:val="auto"/>
                <w:w w:val="83"/>
              </w:rPr>
              <w:t>For the 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7"/>
              </w:rPr>
              <w:t>December 31,</w:t>
            </w: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2016</w:t>
            </w:r>
          </w:p>
        </w:tc>
        <w:tc>
          <w:tcPr>
            <w:tcW w:w="1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4"/>
              </w:rPr>
              <w:t>2016 v 2015</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Short-term investments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3,258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Percentage of total assets</w:t>
            </w: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180" w:type="dxa"/>
            <w:vAlign w:val="bottom"/>
            <w:gridSpan w:val="2"/>
            <w:vMerge w:val="continue"/>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4"/>
          </w:tcPr>
          <w:p>
            <w:pPr>
              <w:jc w:val="right"/>
              <w:spacing w:after="0" w:line="203" w:lineRule="exact"/>
              <w:rPr>
                <w:sz w:val="20"/>
                <w:szCs w:val="20"/>
                <w:color w:val="auto"/>
              </w:rPr>
            </w:pPr>
            <w:r>
              <w:rPr>
                <w:rFonts w:ascii="Arial" w:cs="Arial" w:eastAsia="Arial" w:hAnsi="Arial"/>
                <w:sz w:val="18"/>
                <w:szCs w:val="18"/>
                <w:color w:val="auto"/>
              </w:rPr>
              <w:t>19%</w:t>
            </w:r>
          </w:p>
        </w:tc>
        <w:tc>
          <w:tcPr>
            <w:tcW w:w="140" w:type="dxa"/>
            <w:vAlign w:val="bottom"/>
          </w:tcPr>
          <w:p>
            <w:pPr>
              <w:spacing w:after="0"/>
              <w:rPr>
                <w:sz w:val="17"/>
                <w:szCs w:val="17"/>
                <w:color w:val="auto"/>
              </w:rPr>
            </w:pPr>
          </w:p>
        </w:tc>
        <w:tc>
          <w:tcPr>
            <w:tcW w:w="64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44"/>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13"/>
          </w:tcPr>
          <w:p>
            <w:pPr>
              <w:jc w:val="right"/>
              <w:ind w:right="320"/>
              <w:spacing w:after="0"/>
              <w:rPr>
                <w:sz w:val="20"/>
                <w:szCs w:val="20"/>
                <w:color w:val="auto"/>
              </w:rPr>
            </w:pPr>
            <w:r>
              <w:rPr>
                <w:rFonts w:ascii="Arial" w:cs="Arial" w:eastAsia="Arial" w:hAnsi="Arial"/>
                <w:sz w:val="14"/>
                <w:szCs w:val="14"/>
                <w:b w:val="1"/>
                <w:bCs w:val="1"/>
                <w:color w:val="auto"/>
                <w:w w:val="93"/>
              </w:rPr>
              <w:t>For the Years Ended December 31,</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4"/>
          </w:tcPr>
          <w:p>
            <w:pPr>
              <w:jc w:val="center"/>
              <w:ind w:right="240"/>
              <w:spacing w:after="0" w:line="129" w:lineRule="exact"/>
              <w:rPr>
                <w:sz w:val="20"/>
                <w:szCs w:val="20"/>
                <w:color w:val="auto"/>
              </w:rPr>
            </w:pPr>
            <w:r>
              <w:rPr>
                <w:rFonts w:ascii="Arial" w:cs="Arial" w:eastAsia="Arial" w:hAnsi="Arial"/>
                <w:sz w:val="14"/>
                <w:szCs w:val="14"/>
                <w:b w:val="1"/>
                <w:bCs w:val="1"/>
                <w:color w:val="auto"/>
                <w:w w:val="84"/>
              </w:rPr>
              <w:t>Increase</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jc w:val="center"/>
              <w:ind w:right="21"/>
              <w:spacing w:after="0" w:line="129" w:lineRule="exact"/>
              <w:rPr>
                <w:sz w:val="20"/>
                <w:szCs w:val="20"/>
                <w:color w:val="auto"/>
              </w:rPr>
            </w:pPr>
            <w:r>
              <w:rPr>
                <w:rFonts w:ascii="Arial" w:cs="Arial" w:eastAsia="Arial" w:hAnsi="Arial"/>
                <w:sz w:val="14"/>
                <w:szCs w:val="14"/>
                <w:b w:val="1"/>
                <w:bCs w:val="1"/>
                <w:color w:val="auto"/>
                <w:w w:val="87"/>
              </w:rPr>
              <w:t>Increase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3"/>
              </w:rPr>
              <w:t>(Decrease)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(Decrease)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3"/>
          </w:tcPr>
          <w:p>
            <w:pPr>
              <w:jc w:val="right"/>
              <w:ind w:right="95"/>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Borders>
              <w:bottom w:val="single" w:sz="8" w:color="auto"/>
            </w:tcBorders>
            <w:gridSpan w:val="3"/>
          </w:tcPr>
          <w:p>
            <w:pPr>
              <w:jc w:val="center"/>
              <w:ind w:right="14"/>
              <w:spacing w:after="0"/>
              <w:rPr>
                <w:sz w:val="20"/>
                <w:szCs w:val="20"/>
                <w:color w:val="auto"/>
              </w:rPr>
            </w:pPr>
            <w:r>
              <w:rPr>
                <w:rFonts w:ascii="Arial" w:cs="Arial" w:eastAsia="Arial" w:hAnsi="Arial"/>
                <w:sz w:val="14"/>
                <w:szCs w:val="14"/>
                <w:b w:val="1"/>
                <w:bCs w:val="1"/>
                <w:color w:val="auto"/>
                <w:w w:val="87"/>
              </w:rPr>
              <w:t>2016 v 2015</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4"/>
              </w:rPr>
              <w:t>2015 v 2014</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operating activities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1,331</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Cash flows used in investing activities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(1,177)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(3,716)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2,539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financing activities</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(413)</w:t>
            </w:r>
          </w:p>
        </w:tc>
        <w:tc>
          <w:tcPr>
            <w:tcW w:w="14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Arial" w:cs="Arial" w:eastAsia="Arial" w:hAnsi="Arial"/>
                <w:sz w:val="18"/>
                <w:szCs w:val="18"/>
                <w:color w:val="auto"/>
              </w:rPr>
              <w:t>Effect of foreign exchange rate changes</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(366)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4"/>
          </w:tcPr>
          <w:p>
            <w:pPr>
              <w:jc w:val="right"/>
              <w:ind w:right="60"/>
              <w:spacing w:after="0"/>
              <w:rPr>
                <w:sz w:val="20"/>
                <w:szCs w:val="20"/>
                <w:color w:val="auto"/>
              </w:rPr>
            </w:pPr>
            <w:r>
              <w:rPr>
                <w:rFonts w:ascii="Arial" w:cs="Arial" w:eastAsia="Arial" w:hAnsi="Arial"/>
                <w:sz w:val="18"/>
                <w:szCs w:val="18"/>
                <w:color w:val="auto"/>
              </w:rPr>
              <w:t>(396)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increase (decrease) in cash and cash equivalents</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(3,025)</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438</w:t>
            </w:r>
          </w:p>
        </w:tc>
        <w:tc>
          <w:tcPr>
            <w:tcW w:w="100" w:type="dxa"/>
            <w:vAlign w:val="bottom"/>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4,447</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Operating Activities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primary drivers of cash flows associated with our operating activities include the collection of customer receivables generated from the sale of our products and services. These collections are typically partially offset by: payments to vendors for the manufacturing, distribution, and marketing of our products; payments for customer service support for our consumers; payments to third-party developers and intellectual property holders; payments for interest on our debt; payments for software development; payments for tax liabilities; and payments to our workforce.</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Cash flows provided by operating activities for 2016 were $2.16 billion, as compared $1.26 billion for 2015. The increase was primarily due to:</w:t>
      </w:r>
    </w:p>
    <w:p>
      <w:pPr>
        <w:spacing w:after="0" w:line="262" w:lineRule="exact"/>
        <w:rPr>
          <w:sz w:val="20"/>
          <w:szCs w:val="20"/>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New operating cash flows contributed by King.</w:t>
      </w:r>
    </w:p>
    <w:p>
      <w:pPr>
        <w:spacing w:after="0" w:line="252" w:lineRule="exact"/>
        <w:rPr>
          <w:rFonts w:ascii="Arial" w:cs="Arial" w:eastAsia="Arial" w:hAnsi="Arial"/>
          <w:sz w:val="18"/>
          <w:szCs w:val="18"/>
          <w:color w:val="auto"/>
        </w:rPr>
      </w:pPr>
    </w:p>
    <w:p>
      <w:pPr>
        <w:jc w:val="both"/>
        <w:ind w:left="1080" w:right="120" w:hanging="532"/>
        <w:spacing w:after="0" w:line="306" w:lineRule="auto"/>
        <w:tabs>
          <w:tab w:leader="none" w:pos="1080" w:val="left"/>
        </w:tabs>
        <w:numPr>
          <w:ilvl w:val="0"/>
          <w:numId w:val="75"/>
        </w:numPr>
        <w:rPr>
          <w:rFonts w:ascii="Arial" w:cs="Arial" w:eastAsia="Arial" w:hAnsi="Arial"/>
          <w:sz w:val="16"/>
          <w:szCs w:val="16"/>
          <w:color w:val="auto"/>
        </w:rPr>
      </w:pPr>
      <w:r>
        <w:rPr>
          <w:rFonts w:ascii="Arial" w:cs="Arial" w:eastAsia="Arial" w:hAnsi="Arial"/>
          <w:sz w:val="16"/>
          <w:szCs w:val="16"/>
          <w:color w:val="auto"/>
        </w:rPr>
        <w:t>Higher net income in 2016, as compared to 2015, along with larger adjustments to net income for non-cash charges, primarily associated with the amortization of the acquired intangibles in the King Acquisition, higher stock compensation expense due to converted awards for King personnel in the acquisition, and other non-cash or non-operating costs associated with our debt-related activities during the year.</w:t>
      </w:r>
    </w:p>
    <w:p>
      <w:pPr>
        <w:spacing w:after="0" w:line="161" w:lineRule="exact"/>
        <w:rPr>
          <w:sz w:val="20"/>
          <w:szCs w:val="20"/>
          <w:color w:val="auto"/>
        </w:rPr>
      </w:pPr>
    </w:p>
    <w:p>
      <w:pPr>
        <w:ind w:right="640" w:firstLine="351"/>
        <w:spacing w:after="0" w:line="268" w:lineRule="auto"/>
        <w:rPr>
          <w:sz w:val="20"/>
          <w:szCs w:val="20"/>
          <w:color w:val="auto"/>
        </w:rPr>
      </w:pPr>
      <w:r>
        <w:rPr>
          <w:rFonts w:ascii="Arial" w:cs="Arial" w:eastAsia="Arial" w:hAnsi="Arial"/>
          <w:sz w:val="18"/>
          <w:szCs w:val="18"/>
          <w:color w:val="auto"/>
        </w:rPr>
        <w:t>Cash flows provided by operating activities for the year ended December 31, 2016 included $209 million of interest paid on our outstanding debt, as compared to $193 million paid in 2015.</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Cash flows provided by operating activities for 2015 were $1.26 billion, as compared to $1.33 billion for 2014. The decrease was primarily due to changes in operating assets and liabilities, driven by the 2014 cash flows benefiting from a substantial increase in revenues that were deferred. The decrease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was partially offset by higher net income in 2015, as compared to 2014, along with larger adjustments to net income for non-cash charges, including amortization of capitalized software development costs.</w:t>
      </w:r>
    </w:p>
    <w:p>
      <w:pPr>
        <w:spacing w:after="0" w:line="186" w:lineRule="exact"/>
        <w:rPr>
          <w:sz w:val="20"/>
          <w:szCs w:val="20"/>
          <w:color w:val="auto"/>
        </w:rPr>
      </w:pPr>
    </w:p>
    <w:p>
      <w:pPr>
        <w:ind w:right="620" w:firstLine="351"/>
        <w:spacing w:after="0" w:line="268" w:lineRule="auto"/>
        <w:rPr>
          <w:sz w:val="20"/>
          <w:szCs w:val="20"/>
          <w:color w:val="auto"/>
        </w:rPr>
      </w:pPr>
      <w:r>
        <w:rPr>
          <w:rFonts w:ascii="Arial" w:cs="Arial" w:eastAsia="Arial" w:hAnsi="Arial"/>
          <w:sz w:val="18"/>
          <w:szCs w:val="18"/>
          <w:color w:val="auto"/>
        </w:rPr>
        <w:t>Cash flows provided by operating activities for the year ended December 31, 2015 included $193 million of interest paid on our outstanding debt, as compared to $201 million paid in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Used in Investing Activities</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The primary drivers of cash flows associated with investing activities typically include capital expenditures, changes in restricted cash balances, and cash used for acquisitions.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Cash flows used in investing activities for 2016 were $1.18 billion, as compared to $3.72 billion for 2015. The lower amount of cash used in investing activities in 2016 was primarily due to a 2015 cash outflow of $3.6 billion for cash placed into escrow to facilitate the King Acquisition. In 2016, when we acquired King, the cash in escrow became a cash inflow. As a result, in 2016 we had a $2.2 billion cash outflow for the King Acquisition in excess of the cash already in escrow, net of $1.15 billion of cash acquired from King.</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jc w:val="both"/>
        <w:ind w:right="220" w:firstLine="351"/>
        <w:spacing w:after="0" w:line="259" w:lineRule="auto"/>
        <w:rPr>
          <w:sz w:val="20"/>
          <w:szCs w:val="20"/>
          <w:color w:val="auto"/>
        </w:rPr>
      </w:pPr>
      <w:r>
        <w:rPr>
          <w:rFonts w:ascii="Arial" w:cs="Arial" w:eastAsia="Arial" w:hAnsi="Arial"/>
          <w:sz w:val="18"/>
          <w:szCs w:val="18"/>
          <w:color w:val="auto"/>
        </w:rPr>
        <w:t>Cash flows used in investing activities for 2015 were $3.72 billion, as compared to $82 million used in 2014. The higher amount of cash used in investing activities in 2015 was primarily due to the $3.6 billion of cash deposited in escrow to facilitate the King Acquisition, as well as the cash used to acquire Major League Gaming in the fourth quarter of 2015.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Provided by (Used in) Financing Activities</w:t>
      </w:r>
    </w:p>
    <w:p>
      <w:pPr>
        <w:spacing w:after="0" w:line="225" w:lineRule="exact"/>
        <w:rPr>
          <w:sz w:val="20"/>
          <w:szCs w:val="20"/>
          <w:color w:val="auto"/>
        </w:rPr>
      </w:pPr>
    </w:p>
    <w:p>
      <w:pPr>
        <w:ind w:right="140" w:firstLine="348"/>
        <w:spacing w:after="0" w:line="370" w:lineRule="auto"/>
        <w:rPr>
          <w:sz w:val="20"/>
          <w:szCs w:val="20"/>
          <w:color w:val="auto"/>
        </w:rPr>
      </w:pPr>
      <w:r>
        <w:rPr>
          <w:rFonts w:ascii="Arial" w:cs="Arial" w:eastAsia="Arial" w:hAnsi="Arial"/>
          <w:sz w:val="15"/>
          <w:szCs w:val="15"/>
          <w:color w:val="auto"/>
        </w:rPr>
        <w:t>The primary drivers of cash flows used in financing activities typically include the proceeds from, and repayments of, our long-term debt and transactions involving our common stock, including the issuance of shares of common stock to employees upon the exercise of options, as well as the payment of dividends.</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2016 vs 2015</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flows provided by financing activities for 2016 were $500 million, as compared to cash flows used in financing activities of $202 million for 2015. The difference was primarily due to $6.9 billion of proceeds received from the following debt issuances in 2016:</w:t>
      </w:r>
    </w:p>
    <w:p>
      <w:pPr>
        <w:spacing w:after="0" w:line="199"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Issuance of a $2.3 billion tranche of term loans "A" on February 23, 2016 to fund the King Acquisition.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Issuance of an additional $250 million tranche of term loans "A" on March 31, 2016.</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Issuance of a new unsecured $2.9 billion tranche of term loans "A" in connection with the fifth amendment to our credit agreement on August 23, 2016.</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Issuance of $650 million of 2.3% unsecured senior notes due September 2021 on September 19, 2016.</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Issuance of $850 million of 3.4% unsecured senior notes due September 2026 on September 19, 2016.</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issuances were partially offset by:</w:t>
      </w:r>
    </w:p>
    <w:p>
      <w:pPr>
        <w:spacing w:after="0" w:line="239" w:lineRule="exact"/>
        <w:rPr>
          <w:sz w:val="20"/>
          <w:szCs w:val="20"/>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Repayments of $1.9 billion to extinguish our term loan outstanding at December 31, 2015 (the "Original Term Loan").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Repayments of $2.5 billion in connection with the refinancing of our tranche of term loans "A" that were provided in the first quarter of 2016.</w:t>
      </w:r>
    </w:p>
    <w:p>
      <w:pPr>
        <w:spacing w:after="0" w:line="261" w:lineRule="exact"/>
        <w:rPr>
          <w:rFonts w:ascii="Arial" w:cs="Arial" w:eastAsia="Arial" w:hAnsi="Arial"/>
          <w:sz w:val="16"/>
          <w:szCs w:val="16"/>
          <w:color w:val="auto"/>
        </w:rPr>
      </w:pPr>
    </w:p>
    <w:p>
      <w:pPr>
        <w:ind w:left="1080" w:right="540" w:hanging="532"/>
        <w:spacing w:after="0" w:line="332"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Repayments of $185 million on our new tranche of term loans "A" that were provided on August 23, 2016, which included $167 million of voluntary prepayments, as compared to the $250 million partial repayment of our Original Term Loan in 2015.</w:t>
      </w:r>
    </w:p>
    <w:p>
      <w:pPr>
        <w:spacing w:after="0" w:line="152" w:lineRule="exact"/>
        <w:rPr>
          <w:rFonts w:ascii="Arial" w:cs="Arial" w:eastAsia="Arial" w:hAnsi="Arial"/>
          <w:sz w:val="16"/>
          <w:szCs w:val="16"/>
          <w:color w:val="auto"/>
        </w:rPr>
      </w:pPr>
    </w:p>
    <w:p>
      <w:pPr>
        <w:ind w:left="1080" w:right="500" w:hanging="532"/>
        <w:spacing w:after="0" w:line="268" w:lineRule="auto"/>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Cash payment to redeem our 5.625% unsecured senior notes due September 2021 (the "Original 2021 Notes") of $1.5 billion, as well as the associated $63 million premium.</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Higher cash dividend payments made during 2016, as compared to 2015.</w:t>
      </w:r>
    </w:p>
    <w:p>
      <w:pPr>
        <w:spacing w:after="0" w:line="225"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color w:val="auto"/>
        </w:rPr>
        <w:t>Cash flows used in financing activities for 2015 also included proceeds of $202 million received in the settlement of the litigation related to the Purchase Transaction. There were no such proceeds received in 2016.</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2015 vs 2014</w:t>
      </w:r>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Cash flows used in financing activities for 2015 were $202 million, as compared to $413 million for 2014. The lower amount of cash flows used in financing activities was primarily due to:</w:t>
      </w:r>
    </w:p>
    <w:p>
      <w:pPr>
        <w:spacing w:after="0" w:line="199" w:lineRule="exact"/>
        <w:rPr>
          <w:sz w:val="20"/>
          <w:szCs w:val="20"/>
          <w:color w:val="auto"/>
        </w:rPr>
      </w:pPr>
    </w:p>
    <w:p>
      <w:pPr>
        <w:ind w:left="1080" w:hanging="532"/>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Proceeds of $202 million received in the settlement of the litigation related to the Purchase Transaction.</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 lower partial repayment of our Original Term Loan during 2015 of $250 million, as compared to the $375 million partial repayment of our Original Term Loan during 2014.</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decreases were partially offset by:</w:t>
      </w:r>
    </w:p>
    <w:p>
      <w:pPr>
        <w:spacing w:after="0" w:line="252" w:lineRule="exact"/>
        <w:rPr>
          <w:sz w:val="20"/>
          <w:szCs w:val="20"/>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Lower proceeds from stock options exercised by our employees during 2015 than during 2014.</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Higher cash dividend payments made during 2015, as compared to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 of Foreign Exchange Rate Changes</w:t>
      </w:r>
    </w:p>
    <w:p>
      <w:pPr>
        <w:spacing w:after="0" w:line="225" w:lineRule="exact"/>
        <w:rPr>
          <w:sz w:val="20"/>
          <w:szCs w:val="20"/>
          <w:color w:val="auto"/>
        </w:rPr>
      </w:pPr>
    </w:p>
    <w:p>
      <w:pPr>
        <w:ind w:right="40" w:firstLine="351"/>
        <w:spacing w:after="0" w:line="370" w:lineRule="auto"/>
        <w:rPr>
          <w:sz w:val="20"/>
          <w:szCs w:val="20"/>
          <w:color w:val="auto"/>
        </w:rPr>
      </w:pPr>
      <w:r>
        <w:rPr>
          <w:rFonts w:ascii="Arial" w:cs="Arial" w:eastAsia="Arial" w:hAnsi="Arial"/>
          <w:sz w:val="15"/>
          <w:szCs w:val="15"/>
          <w:color w:val="auto"/>
        </w:rPr>
        <w:t>Changes in foreign exchange rates had negative impacts of $56 million, $366 million, and $396 million on our cash and cash equivalents for the years ended December 31, 2016, 2015, and 2014, respectively. The change is primarily due to changes in the value of the U.S. dollar relative to the Euro and British pound.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2016, our total outstanding debt was $4.9 billion, bearing interest at a weighted average rate of 2.92%, as compared to $4.1 billion at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bearing interest at a weighted average rate of 4.63%. During 2016, we had the following significant debt activities:</w:t>
      </w:r>
    </w:p>
    <w:p>
      <w:pPr>
        <w:spacing w:after="0" w:line="232" w:lineRule="exact"/>
        <w:rPr>
          <w:sz w:val="20"/>
          <w:szCs w:val="20"/>
          <w:color w:val="auto"/>
        </w:rPr>
      </w:pPr>
    </w:p>
    <w:p>
      <w:pPr>
        <w:ind w:left="1080" w:right="22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Entered into three amendments to our credit agreement to provide for a $2.3 billion tranche of term loans "A" on February 23, 2016, to fund the King Acquisition.</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Entered into a fourth amendment to our credit agreement on March 31, 2016, to provide for an additional tranche of term loans "A" in the amount of $250 million (together with the $2.3 billion tranche of term loans "A", the "Original TLA").</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33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Made voluntary principal prepayments on the remaining balance of our Original Term Loan of $500 million, $250 million, and $800 million on February 25, March 31, and May 26, 2016, respectively, to reduce the remaining outstanding principal balance to $319 million.</w:t>
      </w:r>
    </w:p>
    <w:p>
      <w:pPr>
        <w:spacing w:after="0" w:line="166" w:lineRule="exact"/>
        <w:rPr>
          <w:rFonts w:ascii="Arial" w:cs="Arial" w:eastAsia="Arial" w:hAnsi="Arial"/>
          <w:sz w:val="16"/>
          <w:szCs w:val="16"/>
          <w:color w:val="auto"/>
        </w:rPr>
      </w:pPr>
    </w:p>
    <w:p>
      <w:pPr>
        <w:ind w:left="1080" w:right="260" w:hanging="532"/>
        <w:spacing w:after="0" w:line="298"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 August 23, 2016, entered into a fifth amendment to our credit agreement to provide for (1) a new unsecured tranche of term loans "A" of approximately $2.9 billion (the "2016 TLA"), the proceeds of which were primarily used to extinguish the remaining outstanding principal balances of $319 million on the Original Term Loan and $2.5 billion on the Original TLA, resulting in a write-off of unamortized discount and deferred financing costs of $10 million, and (2) a new unsecured revolving credit facility of $250 million.</w:t>
      </w:r>
    </w:p>
    <w:p>
      <w:pPr>
        <w:spacing w:after="0" w:line="180" w:lineRule="exact"/>
        <w:rPr>
          <w:rFonts w:ascii="Arial" w:cs="Arial" w:eastAsia="Arial" w:hAnsi="Arial"/>
          <w:sz w:val="16"/>
          <w:szCs w:val="16"/>
          <w:color w:val="auto"/>
        </w:rPr>
      </w:pPr>
    </w:p>
    <w:p>
      <w:pPr>
        <w:ind w:left="1080" w:right="240" w:hanging="532"/>
        <w:spacing w:after="0" w:line="33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 September 19, 2016, issued $650 million of 2.3% unsecured senior notes due September 2021 (the "New 2021 Notes") and $850 million of 3.4% unsecured senior notes due September 2026 (the "2026 Notes" and, together with the New 2021 Notes, the "New Notes").</w:t>
      </w:r>
    </w:p>
    <w:p>
      <w:pPr>
        <w:spacing w:after="0" w:line="152" w:lineRule="exact"/>
        <w:rPr>
          <w:rFonts w:ascii="Arial" w:cs="Arial" w:eastAsia="Arial" w:hAnsi="Arial"/>
          <w:sz w:val="16"/>
          <w:szCs w:val="16"/>
          <w:color w:val="auto"/>
        </w:rPr>
      </w:pPr>
    </w:p>
    <w:p>
      <w:pPr>
        <w:ind w:left="1080" w:right="120" w:hanging="532"/>
        <w:spacing w:after="0" w:line="259" w:lineRule="auto"/>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On October 19, 2016, using the proceeds from the New Notes, redeemed the Original 2021 Notes in full for $1.6 billion, which resulted in a loss on extinguishment of approximately $82 million, comprised of a premium payment of $63 million and a write-off of unamortized discount and deferred financing costs of $19 million.</w:t>
      </w:r>
    </w:p>
    <w:p>
      <w:pPr>
        <w:spacing w:after="0" w:line="221" w:lineRule="exact"/>
        <w:rPr>
          <w:rFonts w:ascii="Arial" w:cs="Arial" w:eastAsia="Arial" w:hAnsi="Arial"/>
          <w:sz w:val="18"/>
          <w:szCs w:val="18"/>
          <w:color w:val="auto"/>
        </w:rPr>
      </w:pPr>
    </w:p>
    <w:p>
      <w:pPr>
        <w:ind w:left="1080" w:right="560" w:hanging="532"/>
        <w:spacing w:after="0" w:line="332"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On September 30, 2016, in addition to the required quarterly repayment of $18 million, made a voluntary prepayment on our 2016 TLA of $167 million. These payments satisfied the required quarterly principal repayments through December 31, 2018.</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a result of the above activities, a summary of our debt as of December 31, 2016, is as follows (amounts in millions):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2016</w:t>
            </w: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Unamortized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Discount and Deferred</w:t>
            </w:r>
          </w:p>
        </w:tc>
        <w:tc>
          <w:tcPr>
            <w:tcW w:w="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6"/>
              </w:rPr>
              <w:t>Financing 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2016</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TLA</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New 2021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645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2023</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84"/>
              </w:rPr>
              <w:t>2026</w:t>
            </w:r>
          </w:p>
        </w:tc>
        <w:tc>
          <w:tcPr>
            <w:tcW w:w="5420" w:type="dxa"/>
            <w:vAlign w:val="bottom"/>
          </w:tcPr>
          <w:p>
            <w:pPr>
              <w:ind w:left="20"/>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vMerge w:val="restart"/>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20" w:type="dxa"/>
            <w:vAlign w:val="bottom"/>
            <w:vMerge w:val="continue"/>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debt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600" w:type="dxa"/>
            <w:vAlign w:val="bottom"/>
            <w:gridSpan w:val="3"/>
            <w:vMerge w:val="restart"/>
          </w:tcPr>
          <w:p>
            <w:pPr>
              <w:spacing w:after="0"/>
              <w:rPr>
                <w:sz w:val="20"/>
                <w:szCs w:val="20"/>
                <w:color w:val="auto"/>
              </w:rPr>
            </w:pPr>
            <w:r>
              <w:rPr>
                <w:rFonts w:ascii="Arial" w:cs="Arial" w:eastAsia="Arial" w:hAnsi="Arial"/>
                <w:sz w:val="18"/>
                <w:szCs w:val="18"/>
                <w:color w:val="auto"/>
                <w:w w:val="98"/>
              </w:rPr>
              <w:t>A summary of our debt as of December 31, 2015, is as follows (amounts in millions):</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600" w:type="dxa"/>
            <w:vAlign w:val="bottom"/>
            <w:gridSpan w:val="3"/>
            <w:vMerge w:val="continue"/>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2015</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8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54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Unamortized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8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Discount and Deferred</w:t>
            </w:r>
          </w:p>
        </w:tc>
        <w:tc>
          <w:tcPr>
            <w:tcW w:w="60" w:type="dxa"/>
            <w:vAlign w:val="bottom"/>
          </w:tcPr>
          <w:p>
            <w:pPr>
              <w:spacing w:after="0"/>
              <w:rPr>
                <w:sz w:val="12"/>
                <w:szCs w:val="12"/>
                <w:color w:val="auto"/>
              </w:rPr>
            </w:pPr>
          </w:p>
        </w:tc>
        <w:tc>
          <w:tcPr>
            <w:tcW w:w="8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3"/>
              </w:rPr>
              <w:t>Carrying</w:t>
            </w:r>
          </w:p>
        </w:tc>
        <w:tc>
          <w:tcPr>
            <w:tcW w:w="0" w:type="dxa"/>
            <w:vAlign w:val="bottom"/>
          </w:tcPr>
          <w:p>
            <w:pPr>
              <w:spacing w:after="0"/>
              <w:rPr>
                <w:sz w:val="1"/>
                <w:szCs w:val="1"/>
                <w:color w:val="auto"/>
              </w:rPr>
            </w:pPr>
          </w:p>
        </w:tc>
      </w:tr>
      <w:tr>
        <w:trPr>
          <w:trHeight w:val="161"/>
        </w:trPr>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6"/>
              </w:rPr>
              <w:t>Financing Costs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20" w:type="dxa"/>
            <w:vAlign w:val="bottom"/>
          </w:tcPr>
          <w:p>
            <w:pPr>
              <w:spacing w:after="0"/>
              <w:rPr>
                <w:sz w:val="18"/>
                <w:szCs w:val="18"/>
                <w:color w:val="auto"/>
              </w:rPr>
            </w:pPr>
          </w:p>
        </w:tc>
        <w:tc>
          <w:tcPr>
            <w:tcW w:w="5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Original Term Loan</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5780" w:type="dxa"/>
            <w:vAlign w:val="bottom"/>
            <w:gridSpan w:val="2"/>
          </w:tcPr>
          <w:p>
            <w:pPr>
              <w:spacing w:after="0"/>
              <w:rPr>
                <w:sz w:val="20"/>
                <w:szCs w:val="20"/>
                <w:color w:val="auto"/>
              </w:rPr>
            </w:pPr>
            <w:r>
              <w:rPr>
                <w:rFonts w:ascii="Arial" w:cs="Arial" w:eastAsia="Arial" w:hAnsi="Arial"/>
                <w:sz w:val="18"/>
                <w:szCs w:val="18"/>
                <w:color w:val="auto"/>
              </w:rPr>
              <w:t>Original 2021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1,478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0" w:type="dxa"/>
            <w:vAlign w:val="bottom"/>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84"/>
              </w:rPr>
              <w:t>2023</w:t>
            </w: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00" w:type="dxa"/>
            <w:vAlign w:val="bottom"/>
            <w:gridSpan w:val="3"/>
          </w:tcPr>
          <w:p>
            <w:pPr>
              <w:ind w:left="800"/>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On February 3, 2017, we entered into a sixth amendment to our credit agreement which (i) provided for a new tranche of term loans "A" in an aggregate principal amount of $2.55 billion (the "2017 TLA") and (ii) released each of our subsidiary guarantors from their respective guarantee provided under the credit agreement. All proceeds of the 2017 TLA, together with additional cash funds on hand, were used to fully prepay the 2016 TLA outstanding under the credit agreement immediately prior to the effectiveness of the sixth amendment, together with all accrued and unpaid interest thereon. The terms of the 2017 TLA, other than the absence of guarantees, are generally the same as the terms of the 2016 TLA.</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On February 2, 2017, our Board of Directors authorized repayments of up to $500 million of our outstanding debt during 2017. During February 2017, we made voluntary prepayments on our term loans of $500 million, inclusive of $139 million used to fully prepay the 2016 TLA. The voluntary prepayment satisfied the remaining required quarterly principal repayments for the entire term of the Credit Agreement.</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Refer to Note 11 of the notes to consolidated financial statements included in Item 8 of this Annual Report on Form 10-K for disclosures regarding terms and activities associated with our debt obligations.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In February 2, 2017, our Board of Directors approved a cash dividend of $0.30 per common share, payable on May 10, 2017, to shareholders of record at the close of business on March 30, 2017.</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225" w:lineRule="exact"/>
        <w:rPr>
          <w:sz w:val="20"/>
          <w:szCs w:val="20"/>
          <w:color w:val="auto"/>
        </w:rPr>
      </w:pPr>
    </w:p>
    <w:p>
      <w:pPr>
        <w:ind w:right="940" w:firstLine="348"/>
        <w:spacing w:after="0" w:line="268" w:lineRule="auto"/>
        <w:rPr>
          <w:sz w:val="20"/>
          <w:szCs w:val="20"/>
          <w:color w:val="auto"/>
        </w:rPr>
      </w:pPr>
      <w:r>
        <w:rPr>
          <w:rFonts w:ascii="Arial" w:cs="Arial" w:eastAsia="Arial" w:hAnsi="Arial"/>
          <w:sz w:val="18"/>
          <w:szCs w:val="18"/>
          <w:color w:val="auto"/>
        </w:rPr>
        <w:t>We made capital expenditures of $136 million in 2016, as compared to $111 million in 2015. In 2017, we anticipate total capital expenditures of approximately $130 million, primarily for leasehold improvements, computer hardware, and software purchases.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color w:val="auto"/>
        </w:rPr>
        <w:t>Refer to Note 19 of the notes to consolidated financial statements included in Item 8 of this Annual Report on Form 10-K for disclosures regarding our commitments.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120" w:firstLine="341"/>
        <w:spacing w:after="0" w:line="256" w:lineRule="auto"/>
        <w:rPr>
          <w:sz w:val="20"/>
          <w:szCs w:val="20"/>
          <w:color w:val="auto"/>
        </w:rPr>
      </w:pPr>
      <w:r>
        <w:rPr>
          <w:rFonts w:ascii="Arial" w:cs="Arial" w:eastAsia="Arial" w:hAnsi="Arial"/>
          <w:sz w:val="18"/>
          <w:szCs w:val="18"/>
          <w:color w:val="auto"/>
        </w:rPr>
        <w:t>At December 31, 2016 and 2015, Activision Blizzard had no significant relationships with unconsolidated entities or financial parties, often referred to as "structured finance" or "special purpose" entities, established for the purpose of facilitating off-balance sheet arrangements or other contractually narrow or limited purposes, that have or are reasonably likely to have a material current or future effect on our financial condition, changes in financial condition, revenues or expenses, results of operations, liquidity, capital expenditures, or capital resources.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at the date of the financial statements and the reported amounts of revenues and expenses during the reporting period. Actual results could differ from those estimates and assumptions. The impact and any associated risks related to these policies on our business operations are discussed throughout Management's Discussion and Analysis of Financial Condition and Results of Operations where such policies affect our reported and expected financial results. The policies, estimates, and assumptions discussed below are considered by management to be critical because they are both important to the portrayal of our financial condition and results of operations and because their application places the most significant demands on management's judgment, with financial reporting results relying on estimates and assumptions about the effect of matters that are inherently uncertain. Specific risks for these critical accounting policies, estimates, and assumptions are described in the following paragraphs.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20" w:firstLine="348"/>
        <w:spacing w:after="0" w:line="268" w:lineRule="auto"/>
        <w:rPr>
          <w:sz w:val="20"/>
          <w:szCs w:val="20"/>
          <w:color w:val="auto"/>
        </w:rPr>
      </w:pPr>
      <w:r>
        <w:rPr>
          <w:rFonts w:ascii="Arial" w:cs="Arial" w:eastAsia="Arial" w:hAnsi="Arial"/>
          <w:sz w:val="18"/>
          <w:szCs w:val="18"/>
          <w:color w:val="auto"/>
        </w:rPr>
        <w:t>We recognize revenues when there is persuasive evidence of an arrangement, the product or service has been provided to the customer, the collection of our fees is reasonably assured, and the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color w:val="auto"/>
        </w:rPr>
        <w:t>amount of fees to be paid by the customer is fixed or determinable. Certain products are sold to customers with a "street date" (which is the earliest date these products may be sold by retailers). For these products, we recognize revenues on the later of the street date or the date the product is sold to the customer.</w:t>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Arrangements with Multiple Deliverables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Certain of our revenue arrangements have multiple deliverables, which we account for in accordance with Accounting Standards Codification ("ASC") Topic</w:t>
      </w:r>
    </w:p>
    <w:p>
      <w:pPr>
        <w:spacing w:after="0" w:line="38" w:lineRule="exact"/>
        <w:rPr>
          <w:sz w:val="20"/>
          <w:szCs w:val="20"/>
          <w:color w:val="auto"/>
        </w:rPr>
      </w:pPr>
    </w:p>
    <w:p>
      <w:pPr>
        <w:ind w:right="220" w:firstLine="8"/>
        <w:spacing w:after="0" w:line="323" w:lineRule="auto"/>
        <w:tabs>
          <w:tab w:leader="none" w:pos="351" w:val="left"/>
        </w:tabs>
        <w:numPr>
          <w:ilvl w:val="0"/>
          <w:numId w:val="82"/>
        </w:numPr>
        <w:rPr>
          <w:rFonts w:ascii="Arial" w:cs="Arial" w:eastAsia="Arial" w:hAnsi="Arial"/>
          <w:sz w:val="16"/>
          <w:szCs w:val="16"/>
          <w:color w:val="auto"/>
        </w:rPr>
      </w:pPr>
      <w:r>
        <w:rPr>
          <w:rFonts w:ascii="Arial" w:cs="Arial" w:eastAsia="Arial" w:hAnsi="Arial"/>
          <w:sz w:val="16"/>
          <w:szCs w:val="16"/>
          <w:color w:val="auto"/>
        </w:rPr>
        <w:t>These revenue arrangements include product sales consisting of both software, service (such as ongoing hosting arrangements), and hardware deliverables (such as peripherals or other ancillary collectors' items sold together with physical "boxed" software).</w:t>
      </w:r>
    </w:p>
    <w:p>
      <w:pPr>
        <w:spacing w:after="0" w:line="14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When a revenue arrangement contains multiple elements, such as hardware and software products, licenses and/or services, we allocate revenue to each element based on a selling price hierarchy. The selling price for a deliverable is based on its vendor-specific objective evidence ("VSOE") if it is available, third-party evidence ("TPE") if VSOE is not available, or best estimated selling price ("BESP") if neither VSOE nor TPE is available. In multiple element arrangements where more-than-incidental software deliverables are included, revenue is allocated to each separate unit of accounting for each of the non-software deliverables and to the software deliverables as a group using the relative selling prices of each of the deliverables in the arrangement based on the aforementioned selling price hierarchy. Further, if the arrangement contains more than one software deliverable, the arrangement consideration allocated to the software deliverables as a group is then allocated to each software deliverable using the guidance for recognizing software revenue.</w:t>
      </w:r>
    </w:p>
    <w:p>
      <w:pPr>
        <w:spacing w:after="0" w:line="172" w:lineRule="exact"/>
        <w:rPr>
          <w:sz w:val="20"/>
          <w:szCs w:val="20"/>
          <w:color w:val="auto"/>
        </w:rPr>
      </w:pPr>
    </w:p>
    <w:p>
      <w:pPr>
        <w:ind w:right="60" w:firstLine="341"/>
        <w:spacing w:after="0" w:line="256" w:lineRule="auto"/>
        <w:rPr>
          <w:sz w:val="20"/>
          <w:szCs w:val="20"/>
          <w:color w:val="auto"/>
        </w:rPr>
      </w:pPr>
      <w:r>
        <w:rPr>
          <w:rFonts w:ascii="Arial" w:cs="Arial" w:eastAsia="Arial" w:hAnsi="Arial"/>
          <w:sz w:val="18"/>
          <w:szCs w:val="18"/>
          <w:color w:val="auto"/>
        </w:rPr>
        <w:t>As noted above, when neither VSOE nor TPE is available for a deliverable, we use BESP. We did not have significant revenue arrangements that required using BESP for the years ended December 31, 2016, 2015, and 2014. The inputs we use to determine the selling price of our significant deliverables include the actual price charged by the Company for deliverables that the Company sells separately (which represents VSOE) and the wholesale prices of the same or similar products for deliverables not sold separately (which represents TPE).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ind w:right="300" w:firstLine="351"/>
        <w:spacing w:after="0" w:line="256" w:lineRule="auto"/>
        <w:rPr>
          <w:sz w:val="20"/>
          <w:szCs w:val="20"/>
          <w:color w:val="auto"/>
        </w:rPr>
      </w:pPr>
      <w:r>
        <w:rPr>
          <w:rFonts w:ascii="Arial" w:cs="Arial" w:eastAsia="Arial" w:hAnsi="Arial"/>
          <w:sz w:val="18"/>
          <w:szCs w:val="18"/>
          <w:color w:val="auto"/>
        </w:rPr>
        <w:t>Product sales consists of sales of our games, including physical products and digital full-game downloads. We recognize revenues from the sale of our products after both (1) title and risk of loss have been transferred to our customers and (2) all performance obligations have been completed. With respect to digital full-game downloads, this is when the product is available for download or is activated for gameplay. Revenues from product sales are recognized after deducting the estimated allowance for returns and price protection.</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 with Online Functionality or Hosted Service Arrangements</w:t>
      </w:r>
    </w:p>
    <w:p>
      <w:pPr>
        <w:spacing w:after="0" w:line="225" w:lineRule="exact"/>
        <w:rPr>
          <w:sz w:val="20"/>
          <w:szCs w:val="20"/>
          <w:color w:val="auto"/>
        </w:rPr>
      </w:pPr>
    </w:p>
    <w:p>
      <w:pPr>
        <w:ind w:right="40" w:firstLine="351"/>
        <w:spacing w:after="0" w:line="290" w:lineRule="auto"/>
        <w:rPr>
          <w:sz w:val="20"/>
          <w:szCs w:val="20"/>
          <w:color w:val="auto"/>
        </w:rPr>
      </w:pPr>
      <w:r>
        <w:rPr>
          <w:rFonts w:ascii="Arial" w:cs="Arial" w:eastAsia="Arial" w:hAnsi="Arial"/>
          <w:sz w:val="16"/>
          <w:szCs w:val="16"/>
          <w:color w:val="auto"/>
        </w:rPr>
        <w:t>For our software products with online functionality or that are part of a hosted service arrangement, we evaluate whether that online functionality constitutes a more-than-inconsequential separate deliverable in addition to the software product. This evaluation is performed for each software product or product add-on (including downloadable content), when it is released. Determining whether the online functionality for a particular product constitutes a more-than-inconsequential deliverable is subjective and requires management's judgment. When we determine that the online functionality constitutes a more-than-inconsequential separate service deliverable in addition to the product, which is principally because of the online functionality's importance to gameplay, we consider our performance obligation for this title to extend beyond the sale of the game. In addition, VSOE of fair value does not exist for the online functionality of some products, as we do not separately charge for this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component. As a result, we initially defer all of the software-related revenues from the sale of any such title (including downloadable content) and recognize the revenues ratably over the estimated service period of the title. In addition, we initially defer the cost of revenues for the title and recognize the cost of revenues as the related revenues are recognized. The cost of revenues that are initially deferred include manufacturing costs, software royalties and amortization, and intellectual property licenses and exclude intangible asset amortization.</w:t>
      </w:r>
    </w:p>
    <w:p>
      <w:pPr>
        <w:spacing w:after="0" w:line="19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For our software products with online functionality that are considered to be incidental to the overall product offering and are inconsequential deliverables, we recognize the related revenues when the revenue recognition criteria described above have been met.</w:t>
      </w:r>
    </w:p>
    <w:p>
      <w:pPr>
        <w:spacing w:after="0" w:line="186" w:lineRule="exact"/>
        <w:rPr>
          <w:sz w:val="20"/>
          <w:szCs w:val="20"/>
          <w:color w:val="auto"/>
        </w:rPr>
      </w:pPr>
    </w:p>
    <w:p>
      <w:pPr>
        <w:ind w:right="220" w:firstLine="351"/>
        <w:spacing w:after="0" w:line="318" w:lineRule="auto"/>
        <w:rPr>
          <w:sz w:val="20"/>
          <w:szCs w:val="20"/>
          <w:color w:val="auto"/>
        </w:rPr>
      </w:pPr>
      <w:r>
        <w:rPr>
          <w:rFonts w:ascii="Arial" w:cs="Arial" w:eastAsia="Arial" w:hAnsi="Arial"/>
          <w:sz w:val="15"/>
          <w:szCs w:val="15"/>
          <w:color w:val="auto"/>
        </w:rPr>
        <w:t xml:space="preserve">For our </w:t>
      </w:r>
      <w:r>
        <w:rPr>
          <w:rFonts w:ascii="Arial" w:cs="Arial" w:eastAsia="Arial" w:hAnsi="Arial"/>
          <w:sz w:val="15"/>
          <w:szCs w:val="15"/>
          <w:i w:val="1"/>
          <w:iCs w:val="1"/>
          <w:color w:val="auto"/>
        </w:rPr>
        <w:t>World of Warcraft</w:t>
      </w:r>
      <w:r>
        <w:rPr>
          <w:rFonts w:ascii="Arial" w:cs="Arial" w:eastAsia="Arial" w:hAnsi="Arial"/>
          <w:sz w:val="15"/>
          <w:szCs w:val="15"/>
          <w:color w:val="auto"/>
        </w:rPr>
        <w:t xml:space="preserve"> boxed products, expansion packs and value-added services, we recognize revenues in each case with the related subscription service revenues ratably over the estimated service period, beginning upon the activation of the software and delivery of the related services. For revenues associated with the sales of subscriptions, the revenues are deferred until the subscription service is activated by the consumer and are then recognized ratably over the subscription period. Revenues attributed to the sale of </w:t>
      </w:r>
      <w:r>
        <w:rPr>
          <w:rFonts w:ascii="Arial" w:cs="Arial" w:eastAsia="Arial" w:hAnsi="Arial"/>
          <w:sz w:val="15"/>
          <w:szCs w:val="15"/>
          <w:i w:val="1"/>
          <w:iCs w:val="1"/>
          <w:color w:val="auto"/>
        </w:rPr>
        <w:t>World of Warcraft</w:t>
      </w:r>
      <w:r>
        <w:rPr>
          <w:rFonts w:ascii="Arial" w:cs="Arial" w:eastAsia="Arial" w:hAnsi="Arial"/>
          <w:sz w:val="15"/>
          <w:szCs w:val="15"/>
          <w:color w:val="auto"/>
        </w:rPr>
        <w:t xml:space="preserve"> boxed software and related expansion packs are classified as "Product sales," whereas revenues attributable to subscriptions and other value-added services are classified as "Subscription, licensing, and other revenues."</w:t>
      </w:r>
    </w:p>
    <w:p>
      <w:pPr>
        <w:spacing w:after="0" w:line="154"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Microtransaction Revenues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Microtransaction revenues are derived from the sale of virtual goods and currencies to our players to enhance their gameplay experience. Proceeds from the sales of virtual goods and currencies are initially recorded in deferred revenues. Proceeds from the sales of virtual currencies are recognized as revenues when a player uses the virtual goods purchased with the virtual currency. Proceeds from the sales of virtual goods directly are also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Durable virtual goods represent goods that are accessible to the player over an extended period of time; accordingly, we recognize revenues from the sale of durable virtual goods ratably over the period of time the goods are available to the player, which is generally the estimated service period of the game.</w:t>
      </w:r>
    </w:p>
    <w:p>
      <w:pPr>
        <w:spacing w:after="0" w:line="172"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Estimated Service Period</w:t>
      </w:r>
    </w:p>
    <w:p>
      <w:pPr>
        <w:spacing w:after="0" w:line="225" w:lineRule="exact"/>
        <w:rPr>
          <w:sz w:val="20"/>
          <w:szCs w:val="20"/>
          <w:color w:val="auto"/>
        </w:rPr>
      </w:pPr>
    </w:p>
    <w:p>
      <w:pPr>
        <w:ind w:right="120" w:firstLine="348"/>
        <w:spacing w:after="0" w:line="253" w:lineRule="auto"/>
        <w:rPr>
          <w:sz w:val="20"/>
          <w:szCs w:val="20"/>
          <w:color w:val="auto"/>
        </w:rPr>
      </w:pPr>
      <w:r>
        <w:rPr>
          <w:rFonts w:ascii="Arial" w:cs="Arial" w:eastAsia="Arial" w:hAnsi="Arial"/>
          <w:sz w:val="18"/>
          <w:szCs w:val="18"/>
          <w:color w:val="auto"/>
        </w:rPr>
        <w:t>We determine the estimated service period for players of our games with consideration of various data points, including the weighted-average number of days between players' first and last date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the service periods of our competitors' games that are similar in nature to ours, to the extent they are publicly available.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generally less than twelve months.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Returns and Price Protection</w:t>
      </w:r>
    </w:p>
    <w:p>
      <w:pPr>
        <w:spacing w:after="0" w:line="225"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closely monitor and analyze the historical performance of our various titles, the performance of products released by other publishers, market conditions, and the anticipated timing of other releases to assess future demand of current and upcoming titles. Initial volumes shipped upon title launch and subsequent reorders are evaluated with the goal of ensuring that quantities are sufficient to</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meet the demand from the retail markets, but at the same time are controlled to prevent excess inventory in the channel. We benchmark units to be shipped to our customers using historical and industry data.</w:t>
      </w:r>
    </w:p>
    <w:p>
      <w:pPr>
        <w:spacing w:after="0" w:line="186" w:lineRule="exact"/>
        <w:rPr>
          <w:sz w:val="20"/>
          <w:szCs w:val="20"/>
          <w:color w:val="auto"/>
        </w:rPr>
      </w:pPr>
    </w:p>
    <w:p>
      <w:pPr>
        <w:ind w:right="260" w:firstLine="348"/>
        <w:spacing w:after="0" w:line="291" w:lineRule="auto"/>
        <w:rPr>
          <w:sz w:val="20"/>
          <w:szCs w:val="20"/>
          <w:color w:val="auto"/>
        </w:rPr>
      </w:pPr>
      <w:r>
        <w:rPr>
          <w:rFonts w:ascii="Arial" w:cs="Arial" w:eastAsia="Arial" w:hAnsi="Arial"/>
          <w:sz w:val="16"/>
          <w:szCs w:val="16"/>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consistent return of inventory and delivery of sell-through reports to us. We may also consider other factors, including achievement of sell-through performance targets in certain instances, the facilitation of slow-moving inventory, and other market factors.</w:t>
      </w:r>
    </w:p>
    <w:p>
      <w:pPr>
        <w:spacing w:after="0" w:line="174" w:lineRule="exact"/>
        <w:rPr>
          <w:sz w:val="20"/>
          <w:szCs w:val="20"/>
          <w:color w:val="auto"/>
        </w:rPr>
      </w:pPr>
    </w:p>
    <w:p>
      <w:pPr>
        <w:ind w:right="60" w:firstLine="351"/>
        <w:spacing w:after="0" w:line="288" w:lineRule="auto"/>
        <w:rPr>
          <w:sz w:val="20"/>
          <w:szCs w:val="20"/>
          <w:color w:val="auto"/>
        </w:rPr>
      </w:pPr>
      <w:r>
        <w:rPr>
          <w:rFonts w:ascii="Arial" w:cs="Arial" w:eastAsia="Arial" w:hAnsi="Arial"/>
          <w:sz w:val="16"/>
          <w:szCs w:val="16"/>
          <w:color w:val="auto"/>
        </w:rPr>
        <w:t>Significant management judgments and estimates with respect to potential future product returns and price protection related to current period product revenues must be made and used when establishing the allowance for returns and price protection in any accounting period. We estimate the amount of future returns and price protection for current period product revenues utilizing historical experience and information regarding inventory levels and the demand and acceptance of our products by the end consumer. The following factors are used to estimate the amount of future returns and price protection for a particular title: historical performance of titles in similar genres; historical performance of the hardware platform; historical performance of the franchise; console hardware life cycle; sales force and retail customer feedback; industry pricing; future pricing assumptions; weeks of on-hand retail channel inventory; absolute quantity of on-hand retail channel inventory; our warehouse on-hand inventory levels; the title's recent sell-through history (if available); marketing trade programs; and the performance of competing titles. The relative importance of these factors varies among titles depending upon, among other things, genre, platform, seasonality, and sales strategy.</w:t>
      </w:r>
    </w:p>
    <w:p>
      <w:pPr>
        <w:spacing w:after="0" w:line="174" w:lineRule="exact"/>
        <w:rPr>
          <w:sz w:val="20"/>
          <w:szCs w:val="20"/>
          <w:color w:val="auto"/>
        </w:rPr>
      </w:pPr>
    </w:p>
    <w:p>
      <w:pPr>
        <w:ind w:right="120" w:firstLine="351"/>
        <w:spacing w:after="0" w:line="291" w:lineRule="auto"/>
        <w:rPr>
          <w:sz w:val="20"/>
          <w:szCs w:val="20"/>
          <w:color w:val="auto"/>
        </w:rPr>
      </w:pPr>
      <w:r>
        <w:rPr>
          <w:rFonts w:ascii="Arial" w:cs="Arial" w:eastAsia="Arial" w:hAnsi="Arial"/>
          <w:sz w:val="16"/>
          <w:szCs w:val="16"/>
          <w:color w:val="auto"/>
        </w:rPr>
        <w:t>Based upon historical experience, we believe that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There may be material differences in the amount and timing of our revenues for any period if factors or market conditions change or if matters resolve in a manner that is inconsistent with management's assumptions utilized in determining the allowances for returns and price protection. For example, a 1% change in our December 31, 2016 allowance for sales returns, price protection, and other allowances would have impacted net revenues by approximately $3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Inventory Obsolescence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regularly review inventory quantities on-hand and in the retail channels. We write down inventory based on excess or obsolete inventories determined primarily by future anticipated demand for our products. Inventory write-downs are measured as the difference between the cost of the inventory and net realizable value, based upon assumptions about future demand, which are inherently difficult to assess and dependent on market conditions. At the point of loss recognition, a new, lower cost basis for that inventory is established, and subsequent changes in facts and circumstances do not result in the restoration or increase in that newly established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25"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Software development costs include payments made to independent software developers under development agreements, as well as direct costs incurred for internally developed products. Software development costs are capitalized once the technological feasibility of a product is established and such</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costs are determined to be recoverable. Technological feasibility of a product requires both technical design documentation and game design documentation, or the completed and tested product design and a working model. Significant management judgments and estimates are utilized in the assessment of when technological feasibility is established and the evaluation is performed on a product-by-product basis. For products where proven technology exists, this may occur early in the development cycle. Software development costs related to hosted service revenue arrangements are capitalized after the preliminary project phase is complete and it is probable that the project will be completed and the software will be used to perform the function intended. Prior to a product's release, if and when we believe capitalized costs are not recoverable, we expense the amounts as part of "Cost of revenues—software royalties, amortization, and intellectual property licenses." Capitalized costs for products that are cancelled or are expected to be abandoned are charged to "Product development" in the period of cancellation. Amounts related to software development which are not capitalized are charged immediately to "Product development."</w:t>
      </w:r>
    </w:p>
    <w:p>
      <w:pPr>
        <w:spacing w:after="0" w:line="172" w:lineRule="exact"/>
        <w:rPr>
          <w:sz w:val="20"/>
          <w:szCs w:val="20"/>
          <w:color w:val="auto"/>
        </w:rPr>
      </w:pPr>
    </w:p>
    <w:p>
      <w:pPr>
        <w:jc w:val="both"/>
        <w:ind w:right="280" w:firstLine="351"/>
        <w:spacing w:after="0" w:line="259" w:lineRule="auto"/>
        <w:rPr>
          <w:sz w:val="20"/>
          <w:szCs w:val="20"/>
          <w:color w:val="auto"/>
        </w:rPr>
      </w:pPr>
      <w:r>
        <w:rPr>
          <w:rFonts w:ascii="Arial" w:cs="Arial" w:eastAsia="Arial" w:hAnsi="Arial"/>
          <w:sz w:val="18"/>
          <w:szCs w:val="18"/>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194" w:lineRule="exact"/>
        <w:rPr>
          <w:sz w:val="20"/>
          <w:szCs w:val="20"/>
          <w:color w:val="auto"/>
        </w:rPr>
      </w:pPr>
    </w:p>
    <w:p>
      <w:pPr>
        <w:ind w:firstLine="348"/>
        <w:spacing w:after="0" w:line="254" w:lineRule="auto"/>
        <w:rPr>
          <w:sz w:val="20"/>
          <w:szCs w:val="20"/>
          <w:color w:val="auto"/>
        </w:rPr>
      </w:pPr>
      <w:r>
        <w:rPr>
          <w:rFonts w:ascii="Arial" w:cs="Arial" w:eastAsia="Arial" w:hAnsi="Arial"/>
          <w:sz w:val="18"/>
          <w:szCs w:val="18"/>
          <w:color w:val="auto"/>
        </w:rPr>
        <w:t>We evaluate the future recoverability of capitalized software development costs on a quarterly basis. For products that have been released in prior periods, the primary evaluation criterion is the actual performance of the title to which the costs relate. For products that are scheduled to be released in future periods, recoverability is evaluated based on the expected performance of the specific products to which the costs relate. Criteria used to evaluate expected product performance include: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w:t>
      </w:r>
    </w:p>
    <w:p>
      <w:pPr>
        <w:spacing w:after="0" w:line="198" w:lineRule="exact"/>
        <w:rPr>
          <w:sz w:val="20"/>
          <w:szCs w:val="20"/>
          <w:color w:val="auto"/>
        </w:rPr>
      </w:pPr>
    </w:p>
    <w:p>
      <w:pPr>
        <w:ind w:right="280" w:firstLine="351"/>
        <w:spacing w:after="0" w:line="294" w:lineRule="auto"/>
        <w:rPr>
          <w:sz w:val="20"/>
          <w:szCs w:val="20"/>
          <w:color w:val="auto"/>
        </w:rPr>
      </w:pPr>
      <w:r>
        <w:rPr>
          <w:rFonts w:ascii="Arial" w:cs="Arial" w:eastAsia="Arial" w:hAnsi="Arial"/>
          <w:sz w:val="16"/>
          <w:szCs w:val="16"/>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40" w:firstLine="348"/>
        <w:spacing w:after="0" w:line="290" w:lineRule="auto"/>
        <w:rPr>
          <w:sz w:val="20"/>
          <w:szCs w:val="20"/>
          <w:color w:val="auto"/>
        </w:rPr>
      </w:pPr>
      <w:r>
        <w:rPr>
          <w:rFonts w:ascii="Arial" w:cs="Arial" w:eastAsia="Arial" w:hAnsi="Arial"/>
          <w:sz w:val="16"/>
          <w:szCs w:val="16"/>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due to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color w:val="auto"/>
        </w:rPr>
        <w:t>Management believes it is more likely than not that forecasted income, including income that may be generated as a result of certain tax planning strategies, together with the tax effects of the deferred tax liabilities, will be sufficient to fully recover the remaining deferred tax assets. In the event that all or part of the net deferred tax assets are determined not to be realizable in the future, an adjustment to the valuation allowance would be charged to tax expenses in the period such determination is made. The calculation of tax liabilities involves significant judgment in estimating the impact of uncertainties in the application of ASC Topic 740 and complex tax laws. Resolution of these uncertainties in a manner inconsistent with management's expectations could have a material impact on our business and results of operations in an interim period in which the uncertainties are ultimately resolved.</w:t>
      </w:r>
    </w:p>
    <w:p>
      <w:pPr>
        <w:spacing w:after="0" w:line="174" w:lineRule="exact"/>
        <w:rPr>
          <w:sz w:val="20"/>
          <w:szCs w:val="20"/>
          <w:color w:val="auto"/>
        </w:rPr>
      </w:pPr>
    </w:p>
    <w:p>
      <w:pPr>
        <w:jc w:val="both"/>
        <w:ind w:right="60" w:firstLine="351"/>
        <w:spacing w:after="0" w:line="291" w:lineRule="auto"/>
        <w:rPr>
          <w:sz w:val="20"/>
          <w:szCs w:val="20"/>
          <w:color w:val="auto"/>
        </w:rPr>
      </w:pPr>
      <w:r>
        <w:rPr>
          <w:rFonts w:ascii="Arial" w:cs="Arial" w:eastAsia="Arial" w:hAnsi="Arial"/>
          <w:sz w:val="16"/>
          <w:szCs w:val="16"/>
          <w:color w:val="auto"/>
        </w:rPr>
        <w:t>Significant judgment is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will impact the provision for income taxes in the period in which such determination is made. The provision for income taxes includes the impact of reserve provisions and changes to reserves that are considered appropriate, as well as the related net interest and penalties.</w:t>
      </w:r>
    </w:p>
    <w:p>
      <w:pPr>
        <w:spacing w:after="0" w:line="174"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Our provision for income taxes is subject to volatility and could be adversely impacted by: (1) earnings being lower than anticipated in foreign regions where taxes are levied at relatively lower statutory rates and/or higher than anticipated in the United States where taxes are levied at relatively higher statutory rates;</w:t>
      </w:r>
    </w:p>
    <w:p>
      <w:pPr>
        <w:ind w:firstLine="8"/>
        <w:spacing w:after="0" w:line="286" w:lineRule="auto"/>
        <w:tabs>
          <w:tab w:leader="none" w:pos="249" w:val="left"/>
        </w:tabs>
        <w:numPr>
          <w:ilvl w:val="0"/>
          <w:numId w:val="83"/>
        </w:numPr>
        <w:rPr>
          <w:rFonts w:ascii="Arial" w:cs="Arial" w:eastAsia="Arial" w:hAnsi="Arial"/>
          <w:sz w:val="16"/>
          <w:szCs w:val="16"/>
          <w:color w:val="auto"/>
        </w:rPr>
      </w:pPr>
      <w:r>
        <w:rPr>
          <w:rFonts w:ascii="Arial" w:cs="Arial" w:eastAsia="Arial" w:hAnsi="Arial"/>
          <w:sz w:val="16"/>
          <w:szCs w:val="16"/>
          <w:color w:val="auto"/>
        </w:rPr>
        <w:t>changes in the valuation of our deferred tax assets and liabilities; (3) tax effects of nondeductible compensation; (4) tax costs related to intercompany realignments; (5) differences between amounts included in our tax filings and the estimate of such amounts included in our tax expenses; (6) changes in accounting principles; or (7) changes in tax laws, regulations, administrative practices, principles or interpretations, including fundamental changes to the tax laws applicable to multinational corporations, such as changes currently being considered in the U.S., the European Union and its member states, and other countries. Significant judgment is required to determine the recognition and measurement attributes prescribed in the accounting guidance for uncertainty in income taxes. The accounting guidance for uncertainty in income taxes applies to all income tax positions, including the potential recovery of previously paid taxes, which if settled unfavorably could adversely impact our provision for income taxes. In addition, we are subject to the continuous examination of our income tax returns by the IRS and are regularly subject to audit by other tax authorities. We regularly assess the likelihood of adverse outcomes resulting from these examinations to determine the adequacy of our provision for income taxes. There can be no assurance that the outcomes from these continuous examinations will not have an adverse impact on our operating results and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Estimates</w:t>
      </w:r>
    </w:p>
    <w:p>
      <w:pPr>
        <w:spacing w:after="0" w:line="225" w:lineRule="exact"/>
        <w:rPr>
          <w:sz w:val="20"/>
          <w:szCs w:val="20"/>
          <w:color w:val="auto"/>
        </w:rPr>
      </w:pPr>
    </w:p>
    <w:p>
      <w:pPr>
        <w:jc w:val="both"/>
        <w:ind w:right="80" w:firstLine="348"/>
        <w:spacing w:after="0" w:line="306" w:lineRule="auto"/>
        <w:rPr>
          <w:sz w:val="20"/>
          <w:szCs w:val="20"/>
          <w:color w:val="auto"/>
        </w:rPr>
      </w:pPr>
      <w:r>
        <w:rPr>
          <w:rFonts w:ascii="Arial" w:cs="Arial" w:eastAsia="Arial" w:hAnsi="Arial"/>
          <w:sz w:val="16"/>
          <w:szCs w:val="16"/>
          <w:color w:val="auto"/>
        </w:rPr>
        <w:t>The preparation of financial statements in conformity with U.S. GAAP often requires us to determine the fair value of a particular item to fairly present our consolidated financial statements. Without an independent market or another representative transaction, determining the fair value of a particular item requires us to make several assumptions that are inherently difficult to predict and can have a material impact on the conclusion of the appropriate accounting.</w:t>
      </w:r>
    </w:p>
    <w:p>
      <w:pPr>
        <w:spacing w:after="0" w:line="161" w:lineRule="exact"/>
        <w:rPr>
          <w:sz w:val="20"/>
          <w:szCs w:val="20"/>
          <w:color w:val="auto"/>
        </w:rPr>
      </w:pPr>
    </w:p>
    <w:p>
      <w:pPr>
        <w:ind w:right="420" w:firstLine="348"/>
        <w:spacing w:after="0" w:line="256" w:lineRule="auto"/>
        <w:rPr>
          <w:sz w:val="20"/>
          <w:szCs w:val="20"/>
          <w:color w:val="auto"/>
        </w:rPr>
      </w:pPr>
      <w:r>
        <w:rPr>
          <w:rFonts w:ascii="Arial" w:cs="Arial" w:eastAsia="Arial" w:hAnsi="Arial"/>
          <w:sz w:val="18"/>
          <w:szCs w:val="18"/>
          <w:color w:val="auto"/>
        </w:rPr>
        <w:t>There are various valuation techniques used to estimate fair value. These include: (1) the market approach, where market transactions for identical or comparable assets or liabilities are used to determine the fair value; (2) the income approach, which uses valuation techniques to convert future amounts (for example, future cash flows or future earnings) to a single present amount; and (3) the cost approach, which is based on the amount that would be required to replace an asset. For many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our fair value estimates, including our estimates of the fair value of acquired intangible assets, we use the income approach. Using the income approach requires the use of financial models, which require us to make various estimates including, but not limited to: (1) the potential future cash flows for the asset, liability or equity instrument being measured; (2) the timing of receipt or payment of those future cash flows; (3) the time value of money associated with the delayed receipt or payment of such cash flows; and (4) the inherent risk associated with the cash flows (that is, the risk premium). Determining these cash flow estimates is inherently difficult and subjective, and, if any of the estimates used to determine the fair value using the income approach turns out to be inaccurate, our financial results may be negatively impacted. Furthermore, relatively small changes in many of these estimates can have a significant impact on the estimated fair value resulting from the financial models or the related accounting conclusion reached. For example, a relatively small change in the estimated fair value of an asset may change a conclusion as to whether an asset is impaired. While we are required to make certain fair value assessments associated with the accounting for several types of transactions, the following areas are the most sensitive to the assessments:</w:t>
      </w:r>
    </w:p>
    <w:p>
      <w:pPr>
        <w:spacing w:after="0" w:line="174" w:lineRule="exact"/>
        <w:rPr>
          <w:sz w:val="20"/>
          <w:szCs w:val="20"/>
          <w:color w:val="auto"/>
        </w:rPr>
      </w:pPr>
    </w:p>
    <w:p>
      <w:pPr>
        <w:ind w:right="40" w:firstLine="351"/>
        <w:spacing w:after="0" w:line="291" w:lineRule="auto"/>
        <w:rPr>
          <w:sz w:val="20"/>
          <w:szCs w:val="20"/>
          <w:color w:val="auto"/>
        </w:rPr>
      </w:pPr>
      <w:r>
        <w:rPr>
          <w:rFonts w:ascii="Arial" w:cs="Arial" w:eastAsia="Arial" w:hAnsi="Arial"/>
          <w:sz w:val="16"/>
          <w:szCs w:val="16"/>
          <w:i w:val="1"/>
          <w:iCs w:val="1"/>
          <w:color w:val="auto"/>
        </w:rPr>
        <w:t xml:space="preserve">Business Combinations. </w:t>
      </w:r>
      <w:r>
        <w:rPr>
          <w:rFonts w:ascii="Arial" w:cs="Arial" w:eastAsia="Arial" w:hAnsi="Arial"/>
          <w:sz w:val="16"/>
          <w:szCs w:val="16"/>
          <w:color w:val="auto"/>
        </w:rPr>
        <w:t>We must estimate the fair value of assets acquired and liabilities assumed in a business combination. Our assessment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fair value of each of these can have a material effect on our reported results as intangible assets are amortized over various estimated useful lives. Furthermore, a change in the estimated fair value of an asset or liability often has a direct impact on the amount to recognize as goodwill, which is an asset that is not amortized. Often determining the fair value of these assets and liabilities assumed requires an assessment of the expected use of the asset, the expected cost to extinguish the liability or our expectations related to the timing and the successful completion of development of an acquired in-process technology. Such estimates are inherently difficult and subjective and can have a material impact on our financial statements.</w:t>
      </w:r>
    </w:p>
    <w:p>
      <w:pPr>
        <w:spacing w:after="0" w:line="174"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i w:val="1"/>
          <w:iCs w:val="1"/>
          <w:color w:val="auto"/>
        </w:rPr>
        <w:t xml:space="preserve">Assessment of Impairment of Assets. </w:t>
      </w:r>
      <w:r>
        <w:rPr>
          <w:rFonts w:ascii="Arial" w:cs="Arial" w:eastAsia="Arial" w:hAnsi="Arial"/>
          <w:sz w:val="16"/>
          <w:szCs w:val="16"/>
          <w:color w:val="auto"/>
        </w:rPr>
        <w:t>We evaluate the recoverability of our identifiable amortizable intangible assets and other long-lived assets in</w:t>
      </w:r>
      <w:r>
        <w:rPr>
          <w:rFonts w:ascii="Arial" w:cs="Arial" w:eastAsia="Arial" w:hAnsi="Arial"/>
          <w:sz w:val="16"/>
          <w:szCs w:val="16"/>
          <w:i w:val="1"/>
          <w:iCs w:val="1"/>
          <w:color w:val="auto"/>
        </w:rPr>
        <w:t xml:space="preserve"> </w:t>
      </w:r>
      <w:r>
        <w:rPr>
          <w:rFonts w:ascii="Arial" w:cs="Arial" w:eastAsia="Arial" w:hAnsi="Arial"/>
          <w:sz w:val="16"/>
          <w:szCs w:val="16"/>
          <w:color w:val="auto"/>
        </w:rPr>
        <w:t>accordance with ASC Subtopic 360-10, which generally requires the assessment of these assets for recoverability when events or circumstances indicate a potential impairment exists. We consider certain events and circumstances in determining whether the carrying value of identifiable intangible assets and other long-lived assets, other than indefinite-lived intangible assets, may not be recoverable, including, but not limited to: (1) significant changes in performance relative to expected operating results; (2) significant changes in the use of the assets; (3) significant negative industry or economic trends; (4) a significant decline in our stock price for a sustained period of time; and (5) changes in our business strategy. In determining whether an impairment exists, we estimate the undiscounted cash flows to be generated from the use and ultimate disposition of these assets. If an impairment is indicated based on a comparison of the assets' carrying values and the undiscounted cash flows, the impairment loss is measured as the amount by which the carrying amount of the assets exceeds the fair value of the assets. We did not record an impairment charge to our definite-lived intangible assets as of December 31, 2016, 2015 or 2014.</w:t>
      </w:r>
    </w:p>
    <w:p>
      <w:pPr>
        <w:spacing w:after="0" w:line="174"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Financial Accounting Standards Board ("FASB") literature related to the accounting for goodwill and other indefinite lived intangibles provides companies an option to first perform a qualitative assessment to determine whether it is more likely than not that the fair value of a reporting unit is less than its carrying value before performing a two-step approach to testing goodwill for impairment for each reporting unit as part of our annual impairment test performed as of December 31. Our reporting units are determined by the components of our operating segments that constitute a business for which both (1) discrete financial information is available and (2) segment management regularly reviews the operating results of that component. ASC Topic 350 requires that the impairment test be performed at least annually by applying a fair value-based test. The first step measures for impairment by applying fair value-based tests at the reporting unit level. The second step (if necessary) measures the amount of impairment by applying fair value-based tests to the individual assets and liabilities within each reporting unit.</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40" w:firstLine="348"/>
        <w:spacing w:after="0" w:line="303" w:lineRule="auto"/>
        <w:rPr>
          <w:sz w:val="20"/>
          <w:szCs w:val="20"/>
          <w:color w:val="auto"/>
        </w:rPr>
      </w:pPr>
      <w:r>
        <w:rPr>
          <w:rFonts w:ascii="Arial" w:cs="Arial" w:eastAsia="Arial" w:hAnsi="Arial"/>
          <w:sz w:val="15"/>
          <w:szCs w:val="15"/>
          <w:color w:val="auto"/>
        </w:rPr>
        <w:t>To determine the fair values of the reporting units used in the first step, we use a discounted cash flow approach. Each step requires us to make judgments and involves the use of significant estimates and assumptions. These estimates and assumptions include long-term growth rates and operating margins used to calculate projected future cash flows, risk-adjusted discount rates based on our weighted average cost of capital, and future economic and market conditions.</w:t>
      </w:r>
    </w:p>
    <w:p>
      <w:pPr>
        <w:spacing w:after="0" w:line="1" w:lineRule="exact"/>
        <w:rPr>
          <w:sz w:val="20"/>
          <w:szCs w:val="20"/>
          <w:color w:val="auto"/>
        </w:rPr>
      </w:pPr>
    </w:p>
    <w:p>
      <w:pPr>
        <w:ind w:right="20"/>
        <w:spacing w:after="0" w:line="320" w:lineRule="auto"/>
        <w:rPr>
          <w:sz w:val="20"/>
          <w:szCs w:val="20"/>
          <w:color w:val="auto"/>
        </w:rPr>
      </w:pPr>
      <w:r>
        <w:rPr>
          <w:rFonts w:ascii="Arial" w:cs="Arial" w:eastAsia="Arial" w:hAnsi="Arial"/>
          <w:sz w:val="15"/>
          <w:szCs w:val="15"/>
          <w:color w:val="auto"/>
        </w:rPr>
        <w:t>These estimates and assumptions must be made for each reporting unit evaluated for impairment. Our estimates for market growth, our market share and costs are based on historical data, various internal estimates and certain external sources, and are based on assumptions that are consistent with the plans and estimates we are using to manage the underlying business. If future forecasts are revised, they may indicate or require future impairment charges. We base our fair value estimates on assumptions we believe to be reasonable but that are unpredictable and inherently uncertain. Actual future results may differ from those estimates.</w:t>
      </w:r>
    </w:p>
    <w:p>
      <w:pPr>
        <w:spacing w:after="0" w:line="154" w:lineRule="exact"/>
        <w:rPr>
          <w:sz w:val="20"/>
          <w:szCs w:val="20"/>
          <w:color w:val="auto"/>
        </w:rPr>
      </w:pPr>
    </w:p>
    <w:p>
      <w:pPr>
        <w:ind w:right="220" w:firstLine="351"/>
        <w:spacing w:after="0" w:line="288" w:lineRule="auto"/>
        <w:rPr>
          <w:sz w:val="20"/>
          <w:szCs w:val="20"/>
          <w:color w:val="auto"/>
        </w:rPr>
      </w:pPr>
      <w:r>
        <w:rPr>
          <w:rFonts w:ascii="Arial" w:cs="Arial" w:eastAsia="Arial" w:hAnsi="Arial"/>
          <w:sz w:val="16"/>
          <w:szCs w:val="16"/>
          <w:color w:val="auto"/>
        </w:rPr>
        <w:t>In determining the fair value of our significant reporting units—namely Activision, Blizzard, and King—we assumed discount rates ranging from 8.5% to 11.5% and terminal growth rates of 0.0% to 4.0%, depending on the reporting unit and its specific characteristics and risk profiles. Based on our quantitative evaluation, we determined the estimated fair value of all of the reporting units exceeded their carrying values as of December 31, 2016. For our King reporting unit, which includes $2.7 billion of goodwill, the estimated fair value exceeded the book value by approximately 18%, while the remaining reporting units had excesses of at least 100%. However, changes in our assumptions underlying our estimates of fair value, which will be a function of our future financial performance, our ability to successfully release new products and maintain our existing franchises, monetization of our user network, and changes in economic conditions, including those which may change our discount rates and are outside of our control, could result in future impairment charges. For example, as of December 31, 2016, a 100 basis point increase in the discount rate for our King reporting unit would reduce the percentage by which the fair value of the reporting unit exceeded its carrying value to 10%.</w:t>
      </w:r>
    </w:p>
    <w:p>
      <w:pPr>
        <w:spacing w:after="0" w:line="174"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test our acquired trade names for possible impairment by using a discounted cash flow model to estimate fair value. At December 31, 2016 and 2015, we concluded that no impairment had occurred and that no impairment was reasonably likely to occur. In determining the fair value of these trade names, we assumed a discount rate of 8.5%, and royalty saving rates of approximately 1.5%-2.0%. Changes in our assumptions underlying our estimates of fair value, which will be a function of our future financial performance and changes in economic conditions, could result in future impairment charges.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account for share-based payments in accordance with ASC Subtopic 718-10 and ASC Subtopic 505-50. Share-based compensation expense for a given grant is recognized over the requisite service period (that is, the period for which the employee is being compensated) and is based on the value of share-based payment awards after a reduction for estimated forfeitures. Forfeitures are estimated at the time of grant and are revised, if necessary, in subsequent periods if actual forfeitures differ from those estimates.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generally estimate the value of stock options using a binomial-lattice model. This estimate is affected by our stock price, as well as assumptions regarding a number of highly complex and subjective variables, including our expected stock price volatility over the term of the awards, and actual and projected employee stock option exercise behaviors.</w:t>
      </w:r>
    </w:p>
    <w:p>
      <w:pPr>
        <w:spacing w:after="0" w:line="194" w:lineRule="exact"/>
        <w:rPr>
          <w:sz w:val="20"/>
          <w:szCs w:val="20"/>
          <w:color w:val="auto"/>
        </w:rPr>
      </w:pPr>
    </w:p>
    <w:p>
      <w:pPr>
        <w:ind w:right="280" w:firstLine="348"/>
        <w:spacing w:after="0" w:line="259" w:lineRule="auto"/>
        <w:rPr>
          <w:sz w:val="20"/>
          <w:szCs w:val="20"/>
          <w:color w:val="auto"/>
        </w:rPr>
      </w:pPr>
      <w:r>
        <w:rPr>
          <w:rFonts w:ascii="Arial" w:cs="Arial" w:eastAsia="Arial" w:hAnsi="Arial"/>
          <w:sz w:val="18"/>
          <w:szCs w:val="18"/>
          <w:color w:val="auto"/>
        </w:rPr>
        <w:t>We generally determine the fair value of restricted stock rights based on the closing market price of the Company's common stock on the date of grant, reduced by the present value of the estimated future dividends during the vesting period in which the restricted stock rights holder will not participate. Certain restricted stock rights granted to our employees and senior management vest based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0" w:lineRule="auto"/>
        <w:rPr>
          <w:sz w:val="20"/>
          <w:szCs w:val="20"/>
          <w:color w:val="auto"/>
        </w:rPr>
      </w:pPr>
      <w:r>
        <w:rPr>
          <w:rFonts w:ascii="Arial" w:cs="Arial" w:eastAsia="Arial" w:hAnsi="Arial"/>
          <w:sz w:val="15"/>
          <w:szCs w:val="15"/>
          <w:color w:val="auto"/>
        </w:rPr>
        <w:t>on the achievement of pre-established performance or market conditions. For performance-based restricted stock rights, each quarter we update our assessment of the probability that the specified performance criteria will be achieved. We amortize the fair values of performance-based restricted stock rights over the requisite service period, adjusting for estimated forfeitures for each separately vesting tranche of the award. For market-based restricted stock rights,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rights at the date of grant incorporates into the valuation the possibility that the market condition may not be satisfied. Provided that the requisite service is rendered, the total fair value of the market-based restricted stock rights at the date of grant must be recognized as compensation expense even if the market condition is not achieved. However, the number of shares that ultimately vest can vary significantly with the performance of the specified market criteria.</w:t>
      </w:r>
    </w:p>
    <w:p>
      <w:pPr>
        <w:spacing w:after="0" w:line="162" w:lineRule="exact"/>
        <w:rPr>
          <w:sz w:val="20"/>
          <w:szCs w:val="20"/>
          <w:color w:val="auto"/>
        </w:rPr>
      </w:pPr>
    </w:p>
    <w:p>
      <w:pPr>
        <w:ind w:right="380" w:firstLine="351"/>
        <w:spacing w:after="0" w:line="268" w:lineRule="auto"/>
        <w:rPr>
          <w:sz w:val="20"/>
          <w:szCs w:val="20"/>
          <w:color w:val="auto"/>
        </w:rPr>
      </w:pPr>
      <w:r>
        <w:rPr>
          <w:rFonts w:ascii="Arial" w:cs="Arial" w:eastAsia="Arial" w:hAnsi="Arial"/>
          <w:sz w:val="18"/>
          <w:szCs w:val="18"/>
          <w:color w:val="auto"/>
        </w:rPr>
        <w:t>For share-based compensation grants that are liability classified, we update our grant date valuation at each reporting period and recognize a cumulative catch-up adjustment for changes in the value related to the requisite service already rendered.</w:t>
      </w:r>
    </w:p>
    <w:p>
      <w:pPr>
        <w:spacing w:after="0" w:line="186"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For a detailed discussion of the application of these and other accounting policies, see Note 2 of the notes to consolidated financial statements included in Item 8 of this Annual Report on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31" w:lineRule="exact"/>
        <w:rPr>
          <w:sz w:val="20"/>
          <w:szCs w:val="20"/>
          <w:color w:val="auto"/>
        </w:rPr>
      </w:pPr>
    </w:p>
    <w:p>
      <w:pPr>
        <w:jc w:val="both"/>
        <w:ind w:firstLine="351"/>
        <w:spacing w:after="0" w:line="259" w:lineRule="auto"/>
        <w:rPr>
          <w:sz w:val="20"/>
          <w:szCs w:val="20"/>
          <w:color w:val="auto"/>
        </w:rPr>
      </w:pPr>
      <w:r>
        <w:rPr>
          <w:rFonts w:ascii="Arial" w:cs="Arial" w:eastAsia="Arial" w:hAnsi="Arial"/>
          <w:sz w:val="18"/>
          <w:szCs w:val="18"/>
          <w:color w:val="auto"/>
        </w:rPr>
        <w:t>Below are recently issued accounting pronouncements that were most significant to our accounting policy activities for fiscal 2016. For a detailed discussion of recently issued accounting pronouncements, see Note 22 of the notes to consolidated financial statements included in Item 8 of this Annual Report on Form 10-K.</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March 2016, the FASB issued new guidance to simplify accounting for share-based payments. The new standard, amongst other things:</w:t>
      </w:r>
    </w:p>
    <w:p>
      <w:pPr>
        <w:spacing w:after="0" w:line="239" w:lineRule="exact"/>
        <w:rPr>
          <w:sz w:val="20"/>
          <w:szCs w:val="20"/>
          <w:color w:val="auto"/>
        </w:rPr>
      </w:pPr>
    </w:p>
    <w:p>
      <w:pPr>
        <w:ind w:left="1080" w:right="740" w:hanging="532"/>
        <w:spacing w:after="0" w:line="370" w:lineRule="auto"/>
        <w:tabs>
          <w:tab w:leader="none" w:pos="1080" w:val="left"/>
        </w:tabs>
        <w:numPr>
          <w:ilvl w:val="0"/>
          <w:numId w:val="84"/>
        </w:numPr>
        <w:rPr>
          <w:rFonts w:ascii="Arial" w:cs="Arial" w:eastAsia="Arial" w:hAnsi="Arial"/>
          <w:sz w:val="15"/>
          <w:szCs w:val="15"/>
          <w:color w:val="auto"/>
        </w:rPr>
      </w:pPr>
      <w:r>
        <w:rPr>
          <w:rFonts w:ascii="Arial" w:cs="Arial" w:eastAsia="Arial" w:hAnsi="Arial"/>
          <w:sz w:val="15"/>
          <w:szCs w:val="15"/>
          <w:color w:val="auto"/>
        </w:rPr>
        <w:t>requires that all excess tax benefits and tax deficiencies be recorded as an income tax expense or benefit in the consolidated statement of operations and that the tax effects of exercised or vested awards be treated as discrete items in the reporting period in which they occur;</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requires excess tax benefits from share-based payments to be reported as operating activities on the statement of cash flows; and</w:t>
      </w:r>
    </w:p>
    <w:p>
      <w:pPr>
        <w:spacing w:after="0" w:line="261" w:lineRule="exact"/>
        <w:rPr>
          <w:rFonts w:ascii="Arial" w:cs="Arial" w:eastAsia="Arial" w:hAnsi="Arial"/>
          <w:sz w:val="16"/>
          <w:szCs w:val="16"/>
          <w:color w:val="auto"/>
        </w:rPr>
      </w:pPr>
    </w:p>
    <w:p>
      <w:pPr>
        <w:ind w:left="1080" w:right="540" w:hanging="532"/>
        <w:spacing w:after="0" w:line="268"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permits an accounting policy election to either estimate the number of awards that are expected to vest using an estimated forfeiture rate, as currently required, or account for forfeitures when they occur.</w:t>
      </w:r>
    </w:p>
    <w:p>
      <w:pPr>
        <w:spacing w:after="0" w:line="186"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We elected to early adopt this new standard in the third quarter of 2016, which requires us to reflect any adjustments as of January 1, 2016. As part of the adoption, we made certain elections, including the following:</w:t>
      </w:r>
    </w:p>
    <w:p>
      <w:pPr>
        <w:spacing w:after="0" w:line="199" w:lineRule="exact"/>
        <w:rPr>
          <w:sz w:val="20"/>
          <w:szCs w:val="20"/>
          <w:color w:val="auto"/>
        </w:rPr>
      </w:pPr>
    </w:p>
    <w:p>
      <w:pPr>
        <w:ind w:left="1080" w:right="380" w:hanging="532"/>
        <w:spacing w:after="0" w:line="268"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apply the presentation requirements for our consolidated statement of cash flows related to excess tax benefits retrospectively to all periods presented;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continue to estimate the number of awards that are expected to vest using an estimated forfeiture rate.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 adoption, we recognized excess tax benefits of $81 million as a reduction to income tax expense in our consolidated statement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operations for the year ended December 31, 2016. Further, given our retrospective application of the presentation requirements for our consolidated statement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cash flows related to excess tax benefits, our net cash provided by operating activities and net cash used in financing activities increased by $67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$39 million for the years ended December 31, 2015, and December 31, 2014, respectively. The other provisions of the standard did not have a material impact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right="160" w:firstLine="351"/>
        <w:spacing w:after="0" w:line="302" w:lineRule="auto"/>
        <w:rPr>
          <w:sz w:val="20"/>
          <w:szCs w:val="20"/>
          <w:color w:val="auto"/>
        </w:rPr>
      </w:pPr>
      <w:r>
        <w:rPr>
          <w:rFonts w:ascii="Arial" w:cs="Arial" w:eastAsia="Arial" w:hAnsi="Arial"/>
          <w:sz w:val="15"/>
          <w:szCs w:val="15"/>
          <w:color w:val="auto"/>
        </w:rPr>
        <w:t>In August 2016, the FASB issued new guidance related to the classification of certain cash items in the statement of cash flows. The new standard requires, among other things, that cash payments for debt prepayment or debt extinguishment costs should be classified as cash outflows for financing activities, as opposed to operating activities as is required under existing guidance. We elected to early adopt this standard in the third quarter of 2016 and applied it retrospectively. As a result of the adoption of this standard, our cash flows from financing activities for the year ended December 31, 2016 included the</w:t>
      </w:r>
    </w:p>
    <w:p>
      <w:pPr>
        <w:spacing w:after="0" w:line="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$63 million premium payment from the October 19, 2016 redemption of our Original 2021 Notes. The adoption of this standard did not have a material impact on our consolidated statements of cash flows upon adoption for the years ended December 31, 2015 and 2014.</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May 2014, the FASB issued new accounting guidance related to revenue recognition. The new standard will replace all current U.S. GAAP guidance on this topic and eliminate all industry-specific guidance, providing a unified model to determine when and how revenue is recognized. The core principle is that a company should recognize revenue upon the transfer of promised goods or services to customers in an amount that reflects the consideration the company expects to be entitled to in exchange for those goods or services. This guidance will be effective for fiscal years and interim periods within those years beginning after December 15, 2017, and can be applied either retrospectively to each period presented or as a cumulative-effect adjustment as of the date of adoption. We are evaluating the adoption method, as well as the impact of this new accounting guidance on our financial statements and related disclosures. As previously disclosed, we believe the adoption of the new revenue recognition standard may have a significant impact on the accounting for our sales of our games with significant online functionality for which we do not have VSOE for unspecified future updates and ongoing online services provided. Under the current accounting standards, VSOE for undelivered elements is required. This requirement will be eliminated under the new standard. Accordingly, we may be required to recognize as revenue a portion of the sales price upon delivery of the software, as compared to the current requirement of recognizing the entire sales price ratably over an estimated offering period. This potential difference may have a material impact on our consolidated financial statements upon adoption of this new guidance. As accounting implementation guidance and clarifications regarding this matter are still evolving, we continue to evaluate the impact this guidance will have on our consolidated financial statements and related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In February 2016, the FASB issued new guidance related to the accounting for leases. The new standard will replace all current U.S. GAAP guidance on this topic. The new standard, among other things, requires a lessee to classify a lease as either an operating or financing lease and lessees will need to recognize a lease liability and a right-of-use asset for their leases. The liability will be equal to the present value of lease payments. The asset will be based on the liability, subject to adjustment for initial direct costs, lease incentives received and any prepaid lease payments. Operating leases will</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result in straight-line expense, while finance leases will result in a front-loaded expense pattern. Classification will be based on criteria that are largely similar to those applied in current lease accounting. The standard is effective for fiscal years, and interim periods within those fiscal years, beginning after December 15, 2018. Early adoption is permitted. The new standard must be adopted using a modified retrospective transition and will require application of the new guidance at the beginning of the earliest comparative period presented. We are evaluating the impact of this new accounting guidance on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Flows—Restricted Cash</w:t>
      </w:r>
    </w:p>
    <w:p>
      <w:pPr>
        <w:spacing w:after="0" w:line="225" w:lineRule="exact"/>
        <w:rPr>
          <w:sz w:val="20"/>
          <w:szCs w:val="20"/>
          <w:color w:val="auto"/>
        </w:rPr>
      </w:pPr>
    </w:p>
    <w:p>
      <w:pPr>
        <w:ind w:right="140" w:firstLine="351"/>
        <w:spacing w:after="0" w:line="298" w:lineRule="auto"/>
        <w:rPr>
          <w:sz w:val="20"/>
          <w:szCs w:val="20"/>
          <w:color w:val="auto"/>
        </w:rPr>
      </w:pPr>
      <w:r>
        <w:rPr>
          <w:rFonts w:ascii="Arial" w:cs="Arial" w:eastAsia="Arial" w:hAnsi="Arial"/>
          <w:sz w:val="16"/>
          <w:szCs w:val="16"/>
          <w:color w:val="auto"/>
        </w:rPr>
        <w:t>In November 2016, the FASB issued new guidance related to the classification of restricted cash in the statement of cash flows. The new standard requires that a statement of cash flows explain the change during the period in total cash, cash equivalents, and restricted cash. Therefore, restricted cash will be included with cash and cash equivalents when reconciling the beginning-of-period and end-of-period total amounts shown on the statement of cash flows. The new standard is effective for fiscal years beginning after December 15, 2018 and should be applied retrospectively. Early adoption is permitted.</w:t>
      </w:r>
    </w:p>
    <w:p>
      <w:pPr>
        <w:spacing w:after="0" w:line="167"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are evaluating the impact, if any, of adopting this new accounting guidance on our financial statements. We expect there would be a significant impact to the consolidated statements of cash flows for the years ended December 31, 2015 and 2016, as those years include, as an investing activity, the $3.6 billion movement in restricted cash as a result of transferring cash into escrow at December 31, 2015 to facilitate the King Acquisition and the subsequent release of that cash in 2016 in connection with the King Acquisition. Under this new standard, the restricted cash balance would be included in the beginning and ending total cash, cash equivalents, and restricted cash balances and hence would not be included as an investing activity in the statement of cash flows.</w:t>
      </w:r>
    </w:p>
    <w:p>
      <w:pPr>
        <w:spacing w:after="0" w:line="164"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31"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Market risk is the potential loss arising from fluctuations in market rates and prices. Our market risk exposures primarily include fluctuations in foreign currency exchange rates and interest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transact business in many different foreign currencies and may be exposed to financial market risk resulting from fluctuations in foreign currency exchange rates. Revenues and related expenses generated from our international operations are generally denominated in their respective local currencies. Primary currencies include euros, British pounds, Australian dollars, South Korean won, Chinese yuan, and Swedish krona. To the extent the U.S. dollar strengthens against foreign currencies, the translation of these foreign currency-denominated transactions results in reduced revenues, operating expenses, net income and cash flows from our international operations. Similarly, our revenues, operating expenses, net income and cash flows will increase for our international operations if the U.S. dollar weakens against foreign currencies. Since we have significant international sales, but incur the majority of our costs in the United States, the impact of foreign currency fluctuations, particularly the strengthening of the U.S. dollar, may have an asymmetric and disproportional impact on our business. We monitor currency volatility throughout the year.</w:t>
      </w:r>
    </w:p>
    <w:p>
      <w:pPr>
        <w:spacing w:after="0" w:line="172"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fair value of foreign currency contracts are estimated based on the prevailing exchange rates of the various hedged currencies as of the end of the period.</w:t>
      </w:r>
    </w:p>
    <w:p>
      <w:pPr>
        <w:spacing w:after="0" w:line="26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hold or purchase any foreign currency forward contracts for trading or speculative purposes.</w:t>
      </w:r>
    </w:p>
    <w:p>
      <w:pPr>
        <w:spacing w:after="0" w:line="225"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For a detailed discussion of our accounting policies for our foreign currency forward contracts, see Note 2 of the notes to consolidated financial statements included in Item 8 of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Not Designated as Hedges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we did not have any outstanding foreign currency forward contracts not designated as hedges.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2015, the gross notional amount of outstanding foreign currency forward contracts not designated as hedges was approximately</w:t>
      </w:r>
    </w:p>
    <w:p>
      <w:pPr>
        <w:spacing w:after="0" w:line="38" w:lineRule="exact"/>
        <w:rPr>
          <w:sz w:val="20"/>
          <w:szCs w:val="20"/>
          <w:color w:val="auto"/>
        </w:rPr>
      </w:pPr>
    </w:p>
    <w:p>
      <w:pPr>
        <w:ind w:right="100"/>
        <w:spacing w:after="0" w:line="295" w:lineRule="auto"/>
        <w:rPr>
          <w:sz w:val="20"/>
          <w:szCs w:val="20"/>
          <w:color w:val="auto"/>
        </w:rPr>
      </w:pPr>
      <w:r>
        <w:rPr>
          <w:rFonts w:ascii="Arial" w:cs="Arial" w:eastAsia="Arial" w:hAnsi="Arial"/>
          <w:sz w:val="16"/>
          <w:szCs w:val="16"/>
          <w:color w:val="auto"/>
        </w:rPr>
        <w:t>$489 million. During the year ended December 31, 2015, we reclassified $8 million of unrealized gains out of "Accumulated other comprehensive loss" and into earnings due to dedesignating $250 million notional euro to U.S. dollar cash flow hedges when it was determined the hedged transaction would not occur. As a result of the dedesignation, we entered into offsetting foreign currency forward contracts. The dedesignated and offsetting foreign currency forward contracts remained outstanding as of December 31, 2015. The fair value of these foreign currency forward contracts was $11 million as of December 31, 2015.</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the years ended December 31, 2016, 2015, and 2014, pre-tax net gains associated with these forward contracts were not material.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Designated as Hedges ("Cash Flow Hedges")</w:t>
      </w:r>
    </w:p>
    <w:p>
      <w:pPr>
        <w:spacing w:after="0" w:line="225" w:lineRule="exact"/>
        <w:rPr>
          <w:sz w:val="20"/>
          <w:szCs w:val="20"/>
          <w:color w:val="auto"/>
        </w:rPr>
      </w:pPr>
    </w:p>
    <w:p>
      <w:pPr>
        <w:ind w:right="140" w:firstLine="341"/>
        <w:spacing w:after="0" w:line="323" w:lineRule="auto"/>
        <w:rPr>
          <w:sz w:val="20"/>
          <w:szCs w:val="20"/>
          <w:color w:val="auto"/>
        </w:rPr>
      </w:pPr>
      <w:r>
        <w:rPr>
          <w:rFonts w:ascii="Arial" w:cs="Arial" w:eastAsia="Arial" w:hAnsi="Arial"/>
          <w:sz w:val="15"/>
          <w:szCs w:val="15"/>
          <w:color w:val="auto"/>
        </w:rPr>
        <w:t>At December 31, 2016, the gross notional amount of outstanding Cash Flow Hedges was approximately $346 million. The fair value of these contracts was $22 million of net unrealized gains with remaining maturities of 12 months or less. Additionally, at December 31, 2016, we had $7 million of net realized but unrecognized gains recorded within "Accumulated other comprehensive income (loss)" associated with contracts that settled during the year but were deferred and will be amortized into earnings along with the associated hedged revenues. Such amounts will be reclassified into earnings within the next twelve months.</w:t>
      </w:r>
    </w:p>
    <w:p>
      <w:pPr>
        <w:spacing w:after="0" w:line="15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At December 31, 2015, the gross notional amount of all outstanding Cash Flow Hedges was approximately $381 million. The fair value of these contracts was $4 million of net unrealized losses as of December 31, 2015.</w:t>
      </w:r>
    </w:p>
    <w:p>
      <w:pPr>
        <w:spacing w:after="0" w:line="186" w:lineRule="exact"/>
        <w:rPr>
          <w:sz w:val="20"/>
          <w:szCs w:val="20"/>
          <w:color w:val="auto"/>
        </w:rPr>
      </w:pPr>
    </w:p>
    <w:p>
      <w:pPr>
        <w:jc w:val="both"/>
        <w:ind w:right="20" w:firstLine="351"/>
        <w:spacing w:after="0" w:line="259" w:lineRule="auto"/>
        <w:rPr>
          <w:sz w:val="20"/>
          <w:szCs w:val="20"/>
          <w:color w:val="auto"/>
        </w:rPr>
      </w:pPr>
      <w:r>
        <w:rPr>
          <w:rFonts w:ascii="Arial" w:cs="Arial" w:eastAsia="Arial" w:hAnsi="Arial"/>
          <w:sz w:val="18"/>
          <w:szCs w:val="18"/>
          <w:color w:val="auto"/>
        </w:rPr>
        <w:t>During the years ended December 31, 2016 and 2015, there was no ineffectiveness relating to our Cash Flow Hedges. During the years ended December 31, 2016 and 2015, the amount of pre-tax net realized gains associated with these contracts that were reclassified out of "Accumulated other comprehensive loss" and into earnings was not material.</w:t>
      </w:r>
    </w:p>
    <w:p>
      <w:pPr>
        <w:spacing w:after="0" w:line="194" w:lineRule="exact"/>
        <w:rPr>
          <w:sz w:val="20"/>
          <w:szCs w:val="20"/>
          <w:color w:val="auto"/>
        </w:rPr>
      </w:pPr>
    </w:p>
    <w:p>
      <w:pPr>
        <w:ind w:right="120" w:firstLine="351"/>
        <w:spacing w:after="0" w:line="256" w:lineRule="auto"/>
        <w:rPr>
          <w:sz w:val="20"/>
          <w:szCs w:val="20"/>
          <w:color w:val="auto"/>
        </w:rPr>
      </w:pPr>
      <w:r>
        <w:rPr>
          <w:rFonts w:ascii="Arial" w:cs="Arial" w:eastAsia="Arial" w:hAnsi="Arial"/>
          <w:sz w:val="18"/>
          <w:szCs w:val="18"/>
          <w:color w:val="auto"/>
        </w:rPr>
        <w:t>In the absence of hedging activities for the year ended December 31, 2016, a hypothetical adverse foreign currency exchange rate movement of 10% would have resulted in potential declines of our net income of approximately $105 million. This sensitivity analysis assumes a parallel adverse shift of all foreign currency exchange rates against the U.S. dollar; however, all foreign currency exchange rates do not always move in such manner and actual results may differ materially.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120" w:firstLine="351"/>
        <w:spacing w:after="0" w:line="268" w:lineRule="auto"/>
        <w:rPr>
          <w:sz w:val="20"/>
          <w:szCs w:val="20"/>
          <w:color w:val="auto"/>
        </w:rPr>
      </w:pPr>
      <w:r>
        <w:rPr>
          <w:rFonts w:ascii="Arial" w:cs="Arial" w:eastAsia="Arial" w:hAnsi="Arial"/>
          <w:sz w:val="18"/>
          <w:szCs w:val="18"/>
          <w:color w:val="auto"/>
        </w:rPr>
        <w:t>Our exposure to market rate risk for changes in interest rates relates primarily to our investment portfolio and variable rate debt under our credit agreement. We do not currently use derivative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18" w:lineRule="auto"/>
        <w:rPr>
          <w:sz w:val="20"/>
          <w:szCs w:val="20"/>
          <w:color w:val="auto"/>
        </w:rPr>
      </w:pPr>
      <w:r>
        <w:rPr>
          <w:rFonts w:ascii="Arial" w:cs="Arial" w:eastAsia="Arial" w:hAnsi="Arial"/>
          <w:sz w:val="15"/>
          <w:szCs w:val="15"/>
          <w:color w:val="auto"/>
        </w:rPr>
        <w:t>financial instruments to manage interest rate risk. As of December 31, 2016 and 2015, a hypothetical interest rate change on our variable rate debt of one percent (100 basis points) would have changed interest expense on an annual basis by approximately $27 million and $19 million, respectively. This estimate does not include a change in interest income from our investment portfolio that may result from such a hypothetical interest rate change nor does it include the effects of other actions that we may take in the future to mitigate this risk or any changes in our financial structure. Refer to Note 11 of the notes to consolidated financial statements included in Item 8 of this Annual Report on Form 10-K for disclosures regarding terms and interest rates associated with our debt obligations.</w:t>
      </w:r>
    </w:p>
    <w:p>
      <w:pPr>
        <w:spacing w:after="0" w:line="154"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Our investment portfolio consists primarily of money market funds and government securities with high credit quality and short average maturities. Because short-term securities mature relatively quickly and must be reinvested at the then-current market rates, interest income on a portfolio consisting of cash, cash equivalents, or short-term securities is more subject to market fluctuations than a portfolio of longer-term securities. Conversely, the fair value of such a portfolio is less sensitive to market fluctuations than a portfolio of longer-term securities. At December 31, 2016, our $3.25 billion of cash and cash equivalents was comprised primarily of money market funds.</w:t>
      </w:r>
    </w:p>
    <w:p>
      <w:pPr>
        <w:spacing w:after="0" w:line="197" w:lineRule="exact"/>
        <w:rPr>
          <w:sz w:val="20"/>
          <w:szCs w:val="20"/>
          <w:color w:val="auto"/>
        </w:rPr>
      </w:pPr>
    </w:p>
    <w:p>
      <w:pPr>
        <w:ind w:right="200" w:firstLine="348"/>
        <w:spacing w:after="0" w:line="268" w:lineRule="auto"/>
        <w:rPr>
          <w:sz w:val="20"/>
          <w:szCs w:val="20"/>
          <w:color w:val="auto"/>
        </w:rPr>
      </w:pPr>
      <w:r>
        <w:rPr>
          <w:rFonts w:ascii="Arial" w:cs="Arial" w:eastAsia="Arial" w:hAnsi="Arial"/>
          <w:sz w:val="18"/>
          <w:szCs w:val="18"/>
          <w:color w:val="auto"/>
        </w:rPr>
        <w:t>The Company has determined that, based on the composition of our investment portfolio as of December 31, 2016, there was no material interest rate risk exposure to the Company's consolidated financial condition, results of operations, or liquidity as of that date.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844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51"/>
        </w:trPr>
        <w:tc>
          <w:tcPr>
            <w:tcW w:w="9700" w:type="dxa"/>
            <w:vAlign w:val="bottom"/>
            <w:gridSpan w:val="11"/>
          </w:tcPr>
          <w:p>
            <w:pPr>
              <w:spacing w:after="0"/>
              <w:rPr>
                <w:sz w:val="20"/>
                <w:szCs w:val="20"/>
                <w:color w:val="auto"/>
              </w:rPr>
            </w:pPr>
            <w:r>
              <w:rPr>
                <w:rFonts w:ascii="Arial" w:cs="Arial" w:eastAsia="Arial" w:hAnsi="Arial"/>
                <w:sz w:val="18"/>
                <w:szCs w:val="18"/>
                <w:b w:val="1"/>
                <w:bCs w:val="1"/>
                <w:color w:val="auto"/>
              </w:rPr>
              <w:t>Item 8.  FINANCIAL STATEMENTS AND SUPPLEMENTARY DATA</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560" w:type="dxa"/>
            <w:vAlign w:val="bottom"/>
            <w:gridSpan w:val="10"/>
          </w:tcPr>
          <w:p>
            <w:pPr>
              <w:spacing w:after="0"/>
              <w:rPr>
                <w:rFonts w:ascii="Arial" w:cs="Arial" w:eastAsia="Arial" w:hAnsi="Arial"/>
                <w:sz w:val="18"/>
                <w:szCs w:val="18"/>
                <w:color w:val="0000EE"/>
              </w:rPr>
            </w:pPr>
            <w:hyperlink w:anchor="page85">
              <w:r>
                <w:rPr>
                  <w:rFonts w:ascii="Arial" w:cs="Arial" w:eastAsia="Arial" w:hAnsi="Arial"/>
                  <w:sz w:val="18"/>
                  <w:szCs w:val="18"/>
                  <w:color w:val="0000EE"/>
                </w:rPr>
                <w:t>Report of Independent Registered Public Accounting Firm</w:t>
              </w:r>
            </w:hyperlink>
          </w:p>
        </w:tc>
        <w:tc>
          <w:tcPr>
            <w:tcW w:w="2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8"/>
                <w:szCs w:val="18"/>
                <w:color w:val="0000EE"/>
              </w:rPr>
            </w:pPr>
            <w:hyperlink w:anchor="page85">
              <w:r>
                <w:rPr>
                  <w:rFonts w:ascii="Arial" w:cs="Arial" w:eastAsia="Arial" w:hAnsi="Arial"/>
                  <w:sz w:val="18"/>
                  <w:szCs w:val="18"/>
                  <w:color w:val="0000EE"/>
                </w:rPr>
                <w:t>F-1</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4340" w:type="dxa"/>
            <w:vAlign w:val="bottom"/>
            <w:gridSpan w:val="4"/>
          </w:tcPr>
          <w:p>
            <w:pPr>
              <w:spacing w:after="0"/>
              <w:rPr>
                <w:rFonts w:ascii="Arial" w:cs="Arial" w:eastAsia="Arial" w:hAnsi="Arial"/>
                <w:sz w:val="18"/>
                <w:szCs w:val="18"/>
                <w:color w:val="0000EE"/>
                <w:w w:val="86"/>
              </w:rPr>
            </w:pPr>
            <w:hyperlink w:anchor="page87">
              <w:r>
                <w:rPr>
                  <w:rFonts w:ascii="Arial" w:cs="Arial" w:eastAsia="Arial" w:hAnsi="Arial"/>
                  <w:sz w:val="18"/>
                  <w:szCs w:val="18"/>
                  <w:color w:val="0000EE"/>
                  <w:w w:val="86"/>
                </w:rPr>
                <w:t>Consolidated Balance Sheets at December 31, 2016 and 2015</w:t>
              </w:r>
            </w:hyperlink>
          </w:p>
        </w:tc>
        <w:tc>
          <w:tcPr>
            <w:tcW w:w="4220" w:type="dxa"/>
            <w:vAlign w:val="bottom"/>
            <w:gridSpan w:val="6"/>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8"/>
                <w:szCs w:val="18"/>
                <w:color w:val="0000EE"/>
              </w:rPr>
            </w:pPr>
            <w:hyperlink w:anchor="page87">
              <w:r>
                <w:rPr>
                  <w:rFonts w:ascii="Arial" w:cs="Arial" w:eastAsia="Arial" w:hAnsi="Arial"/>
                  <w:sz w:val="18"/>
                  <w:szCs w:val="18"/>
                  <w:color w:val="0000EE"/>
                </w:rPr>
                <w:t>F-3</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8560" w:type="dxa"/>
            <w:vAlign w:val="bottom"/>
            <w:gridSpan w:val="10"/>
          </w:tcPr>
          <w:p>
            <w:pPr>
              <w:spacing w:after="0"/>
              <w:rPr>
                <w:rFonts w:ascii="Arial" w:cs="Arial" w:eastAsia="Arial" w:hAnsi="Arial"/>
                <w:sz w:val="18"/>
                <w:szCs w:val="18"/>
                <w:color w:val="0000EE"/>
              </w:rPr>
            </w:pPr>
            <w:hyperlink w:anchor="page88">
              <w:r>
                <w:rPr>
                  <w:rFonts w:ascii="Arial" w:cs="Arial" w:eastAsia="Arial" w:hAnsi="Arial"/>
                  <w:sz w:val="18"/>
                  <w:szCs w:val="18"/>
                  <w:color w:val="0000EE"/>
                </w:rPr>
                <w:t>Consolidated Statements of Operations for the Years Ended December 31, 2016, 2015, and 2014</w:t>
              </w:r>
            </w:hyperlink>
          </w:p>
        </w:tc>
        <w:tc>
          <w:tcPr>
            <w:tcW w:w="2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8"/>
                <w:szCs w:val="18"/>
                <w:color w:val="0000EE"/>
              </w:rPr>
            </w:pPr>
            <w:hyperlink w:anchor="page88">
              <w:r>
                <w:rPr>
                  <w:rFonts w:ascii="Arial" w:cs="Arial" w:eastAsia="Arial" w:hAnsi="Arial"/>
                  <w:sz w:val="18"/>
                  <w:szCs w:val="18"/>
                  <w:color w:val="0000EE"/>
                </w:rPr>
                <w:t>F-4</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7700" w:type="dxa"/>
            <w:vAlign w:val="bottom"/>
            <w:gridSpan w:val="8"/>
          </w:tcPr>
          <w:p>
            <w:pPr>
              <w:spacing w:after="0"/>
              <w:rPr>
                <w:rFonts w:ascii="Arial" w:cs="Arial" w:eastAsia="Arial" w:hAnsi="Arial"/>
                <w:sz w:val="18"/>
                <w:szCs w:val="18"/>
                <w:color w:val="0000EE"/>
                <w:w w:val="87"/>
              </w:rPr>
            </w:pPr>
            <w:hyperlink w:anchor="page89">
              <w:r>
                <w:rPr>
                  <w:rFonts w:ascii="Arial" w:cs="Arial" w:eastAsia="Arial" w:hAnsi="Arial"/>
                  <w:sz w:val="18"/>
                  <w:szCs w:val="18"/>
                  <w:color w:val="0000EE"/>
                  <w:w w:val="87"/>
                </w:rPr>
                <w:t>Consolidated Statements of Comprehensive Income for the Years Ended December 31, 2016, 2015, and 2014</w:t>
              </w:r>
            </w:hyperlink>
          </w:p>
        </w:tc>
        <w:tc>
          <w:tcPr>
            <w:tcW w:w="860" w:type="dxa"/>
            <w:vAlign w:val="bottom"/>
            <w:gridSpan w:val="2"/>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8"/>
                <w:szCs w:val="18"/>
                <w:color w:val="0000EE"/>
              </w:rPr>
            </w:pPr>
            <w:hyperlink w:anchor="page89">
              <w:r>
                <w:rPr>
                  <w:rFonts w:ascii="Arial" w:cs="Arial" w:eastAsia="Arial" w:hAnsi="Arial"/>
                  <w:sz w:val="18"/>
                  <w:szCs w:val="18"/>
                  <w:color w:val="0000EE"/>
                </w:rPr>
                <w:t>F-5</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8560" w:type="dxa"/>
            <w:vAlign w:val="bottom"/>
            <w:gridSpan w:val="10"/>
          </w:tcPr>
          <w:p>
            <w:pP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Consolidated Statements of Changes in Shareholders' Equity for the Years Ended December 31, 2016, 2015, and 2014</w:t>
              </w:r>
            </w:hyperlink>
          </w:p>
        </w:tc>
        <w:tc>
          <w:tcPr>
            <w:tcW w:w="2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8"/>
                <w:szCs w:val="18"/>
                <w:color w:val="0000EE"/>
              </w:rPr>
            </w:pPr>
            <w:hyperlink w:anchor="page90">
              <w:r>
                <w:rPr>
                  <w:rFonts w:ascii="Arial" w:cs="Arial" w:eastAsia="Arial" w:hAnsi="Arial"/>
                  <w:sz w:val="18"/>
                  <w:szCs w:val="18"/>
                  <w:color w:val="0000EE"/>
                </w:rPr>
                <w:t>F-6</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8300" w:type="dxa"/>
            <w:vAlign w:val="bottom"/>
            <w:gridSpan w:val="9"/>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Consolidated Statements of Cash Flows for the Years Ended December 31, 2016, 2015, and 2014</w:t>
              </w:r>
            </w:hyperlink>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8"/>
                <w:szCs w:val="18"/>
                <w:color w:val="0000EE"/>
              </w:rPr>
            </w:pPr>
            <w:hyperlink w:anchor="page91">
              <w:r>
                <w:rPr>
                  <w:rFonts w:ascii="Arial" w:cs="Arial" w:eastAsia="Arial" w:hAnsi="Arial"/>
                  <w:sz w:val="18"/>
                  <w:szCs w:val="18"/>
                  <w:color w:val="0000EE"/>
                </w:rPr>
                <w:t>F-7</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60" w:type="dxa"/>
            <w:vAlign w:val="bottom"/>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7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6840" w:type="dxa"/>
            <w:vAlign w:val="bottom"/>
            <w:gridSpan w:val="7"/>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Notes to Consolidated Financial Statements</w:t>
              </w:r>
            </w:hyperlink>
          </w:p>
        </w:tc>
        <w:tc>
          <w:tcPr>
            <w:tcW w:w="1720" w:type="dxa"/>
            <w:vAlign w:val="bottom"/>
            <w:gridSpan w:val="3"/>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gridSpan w:val="2"/>
          </w:tcPr>
          <w:p>
            <w:pPr>
              <w:jc w:val="right"/>
              <w:spacing w:after="0"/>
              <w:rPr>
                <w:rFonts w:ascii="Arial" w:cs="Arial" w:eastAsia="Arial" w:hAnsi="Arial"/>
                <w:sz w:val="18"/>
                <w:szCs w:val="18"/>
                <w:color w:val="0000EE"/>
              </w:rPr>
            </w:pPr>
            <w:hyperlink w:anchor="page92">
              <w:r>
                <w:rPr>
                  <w:rFonts w:ascii="Arial" w:cs="Arial" w:eastAsia="Arial" w:hAnsi="Arial"/>
                  <w:sz w:val="18"/>
                  <w:szCs w:val="18"/>
                  <w:color w:val="0000EE"/>
                </w:rPr>
                <w:t>F-8</w:t>
              </w:r>
            </w:hyperlink>
          </w:p>
        </w:tc>
      </w:tr>
      <w:tr>
        <w:trPr>
          <w:trHeight w:val="20"/>
        </w:trPr>
        <w:tc>
          <w:tcPr>
            <w:tcW w:w="114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160" w:type="dxa"/>
            <w:vAlign w:val="bottom"/>
            <w:gridSpan w:val="3"/>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439"/>
        </w:trPr>
        <w:tc>
          <w:tcPr>
            <w:tcW w:w="1140" w:type="dxa"/>
            <w:vAlign w:val="bottom"/>
          </w:tcPr>
          <w:p>
            <w:pPr>
              <w:spacing w:after="0"/>
              <w:rPr>
                <w:sz w:val="24"/>
                <w:szCs w:val="24"/>
                <w:color w:val="auto"/>
              </w:rPr>
            </w:pPr>
          </w:p>
        </w:tc>
        <w:tc>
          <w:tcPr>
            <w:tcW w:w="8560" w:type="dxa"/>
            <w:vAlign w:val="bottom"/>
            <w:gridSpan w:val="10"/>
          </w:tcPr>
          <w:p>
            <w:pPr>
              <w:spacing w:after="0"/>
              <w:rPr>
                <w:rFonts w:ascii="Arial" w:cs="Arial" w:eastAsia="Arial" w:hAnsi="Arial"/>
                <w:sz w:val="18"/>
                <w:szCs w:val="18"/>
                <w:color w:val="0000EE"/>
              </w:rPr>
            </w:pPr>
            <w:hyperlink w:anchor="page144">
              <w:r>
                <w:rPr>
                  <w:rFonts w:ascii="Arial" w:cs="Arial" w:eastAsia="Arial" w:hAnsi="Arial"/>
                  <w:sz w:val="18"/>
                  <w:szCs w:val="18"/>
                  <w:color w:val="0000EE"/>
                </w:rPr>
                <w:t>Schedule II—Valuation and Qualifying Accounts at December 31, 2016, 2015, and 2014</w:t>
              </w:r>
            </w:hyperlink>
          </w:p>
        </w:tc>
        <w:tc>
          <w:tcPr>
            <w:tcW w:w="580" w:type="dxa"/>
            <w:vAlign w:val="bottom"/>
            <w:gridSpan w:val="3"/>
          </w:tcPr>
          <w:p>
            <w:pPr>
              <w:jc w:val="right"/>
              <w:spacing w:after="0"/>
              <w:rPr>
                <w:rFonts w:ascii="Arial" w:cs="Arial" w:eastAsia="Arial" w:hAnsi="Arial"/>
                <w:sz w:val="18"/>
                <w:szCs w:val="18"/>
                <w:color w:val="0000EE"/>
              </w:rPr>
            </w:pPr>
            <w:hyperlink w:anchor="page144">
              <w:r>
                <w:rPr>
                  <w:rFonts w:ascii="Arial" w:cs="Arial" w:eastAsia="Arial" w:hAnsi="Arial"/>
                  <w:sz w:val="18"/>
                  <w:szCs w:val="18"/>
                  <w:color w:val="0000EE"/>
                </w:rPr>
                <w:t>F-60</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9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90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35" w:lineRule="exact"/>
        <w:rPr>
          <w:sz w:val="20"/>
          <w:szCs w:val="20"/>
          <w:color w:val="auto"/>
        </w:rPr>
      </w:pPr>
    </w:p>
    <w:p>
      <w:pPr>
        <w:ind w:right="680" w:firstLine="351"/>
        <w:spacing w:after="0" w:line="268" w:lineRule="auto"/>
        <w:rPr>
          <w:sz w:val="20"/>
          <w:szCs w:val="20"/>
          <w:color w:val="auto"/>
        </w:rPr>
      </w:pPr>
      <w:r>
        <w:rPr>
          <w:rFonts w:ascii="Arial" w:cs="Arial" w:eastAsia="Arial" w:hAnsi="Arial"/>
          <w:sz w:val="18"/>
          <w:szCs w:val="18"/>
          <w:color w:val="auto"/>
        </w:rPr>
        <w:t>Other financial statement schedules are omitted because the information called for is not applicable or is shown either in the Consolidated Financial Statements or the Notes thereto.</w:t>
      </w:r>
    </w:p>
    <w:p>
      <w:pPr>
        <w:spacing w:after="0" w:line="180"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Disclosure Controls and Procedures.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Our disclosure controls and procedures (as such term is defined in Rules 13a-15(e) and 15d-15(e) under the Exchange Act) are designed to reasonably ensure that information required to be disclosed in our reports filed under the Exchange Act is: (1) recorded, processed, summarized, and reported within the time periods specified in the SEC's rules and forms, and (2) accumulated and communicated to management, including our principal executive officer and principal financial officer, as appropriate, to allow timely decisions regarding required disclosures. A control system, no matter how well designed and operated, can provide only reasonable assurance that it will detect or uncover failures within the Company to disclose material information otherwise required to be set forth in our periodic reports. Inherent limitations to any system of disclosure controls and procedures include, but are not limited to, the possibility of human error and the circumvention or overriding of such controls by one or more persons. In addition, we have designed our system of controls based on certain assumptions, which we believe are reasonable, about the likelihood of future events, and our system of controls may therefore not achieve its desired objectives under all possible future events.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right="60" w:firstLine="351"/>
        <w:spacing w:after="0" w:line="294" w:lineRule="auto"/>
        <w:rPr>
          <w:sz w:val="20"/>
          <w:szCs w:val="20"/>
          <w:color w:val="auto"/>
        </w:rPr>
      </w:pPr>
      <w:r>
        <w:rPr>
          <w:rFonts w:ascii="Arial" w:cs="Arial" w:eastAsia="Arial" w:hAnsi="Arial"/>
          <w:sz w:val="16"/>
          <w:szCs w:val="16"/>
          <w:color w:val="auto"/>
        </w:rPr>
        <w:t>Our management, with the participation of our principal executive officer and principal financial officer, has evaluated the effectiveness of our disclosure controls and procedures at December 31, 2016, the end of the period covered by this report. Based on this evaluation, the principal executive officer and principal financial officer concluded that, at December 31, 2016, our disclosure controls and procedures were effective to provide reasonable assurance that information required to be disclosed by the Company in the reports that it files or submits under the Exchange Act is (i) recorded, processed, summarized, and reported on a timely basis, and (ii) accumulated and communicated to management,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including our principal executive officer and principal financial officer, as appropriate to allow timely decisions regarding required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Report on Internal Control Over Financial Reporting.</w:t>
      </w:r>
    </w:p>
    <w:p>
      <w:pPr>
        <w:spacing w:after="0" w:line="225"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Rules 13a-15(f) and 15d-15(f) under the Exchange Act). Our management, with the participation of our principal executive officer and principal financial officer, conducted an evaluation of the effectiveness, as of December 31, 2016, of our internal control over financial reporting using the criteria set forth by the Committee of Sponsoring Organizations of the Treadway Commission in Internal Control—Integrated Framework (2013). Based on this evaluation, our management concluded that our internal control over financial reporting was effective as of December 31, 2016.</w:t>
      </w:r>
    </w:p>
    <w:p>
      <w:pPr>
        <w:spacing w:after="0" w:line="170"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risks that controls may become inadequate because of changes in conditions, or that the degree of compliance with the policies and procedures may deteriorate.</w:t>
      </w:r>
    </w:p>
    <w:p>
      <w:pPr>
        <w:spacing w:after="0" w:line="194"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On February 23, 2016, we completed our acquisition of King. The acquired business constituted approximately 7% of total assets and 23% of net revenues of the consolidated financial statement amounts as of and for the year ended December 31, 2016. In accordance with SEC staff guidance permitting a company to exclude an acquired business from management's assessment of the effectiveness of internal control over financial reporting for the year in which the acquisition is completed, we excluded King from our assessment of the effectiveness of internal control over financial reporting as of December 31, 2016.</w:t>
      </w:r>
    </w:p>
    <w:p>
      <w:pPr>
        <w:spacing w:after="0" w:line="16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effectiveness of our internal control over financial reporting as of December 31, 2016 has been audited by PricewaterhouseCoopers LLP, an independent registered public accounting firm, as stated in their report included in this Annual Report on Form 10-K.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300" w:firstLine="348"/>
        <w:spacing w:after="0" w:line="268" w:lineRule="auto"/>
        <w:rPr>
          <w:sz w:val="20"/>
          <w:szCs w:val="20"/>
          <w:color w:val="auto"/>
        </w:rPr>
      </w:pPr>
      <w:r>
        <w:rPr>
          <w:rFonts w:ascii="Arial" w:cs="Arial" w:eastAsia="Arial" w:hAnsi="Arial"/>
          <w:sz w:val="18"/>
          <w:szCs w:val="18"/>
          <w:color w:val="auto"/>
        </w:rPr>
        <w:t>There have not been any changes in our internal control over financial reporting during the most recent fiscal quarter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9B.</w:t>
        <w:tab/>
        <w:t>OTHER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31"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information required by this Item, other than the information regarding executive officers, which is included in Item 1 of this report, is incorporated by reference to the sections of our definitive Proxy Statement for our 2017 Annual Meeting of Shareholders entitled "Proposal 1—Election of Directors," "Beneficial Ownership Matters—Section 16(a) Beneficial Ownership Reporting Compliance," "Corporate Governance Matters—Code of Conduct," and "Corporate Governance Matters—Board of Directors and Committees—Board Committees" to be filed with the SEC.</w:t>
      </w:r>
    </w:p>
    <w:p>
      <w:pPr>
        <w:spacing w:after="0" w:line="161"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2017 Annual Meeting of Shareholders entitled "Executive Compensation" and "Proposal 2—Director Compensation" to be filed with the SEC.</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6"/>
          <w:szCs w:val="16"/>
          <w:b w:val="1"/>
          <w:bCs w:val="1"/>
          <w:color w:val="auto"/>
        </w:rPr>
        <w:t>SECURITY OWNERSHIP OF CERTAIN BENEFICIAL OWNERS AND MANAGEMENT AND RELATED SHAREHOLDER MATTERS</w:t>
      </w:r>
    </w:p>
    <w:p>
      <w:pPr>
        <w:spacing w:after="0" w:line="231" w:lineRule="exact"/>
        <w:rPr>
          <w:sz w:val="20"/>
          <w:szCs w:val="20"/>
          <w:color w:val="auto"/>
        </w:rPr>
      </w:pPr>
    </w:p>
    <w:p>
      <w:pPr>
        <w:ind w:right="640" w:firstLine="348"/>
        <w:spacing w:after="0" w:line="332" w:lineRule="auto"/>
        <w:rPr>
          <w:sz w:val="20"/>
          <w:szCs w:val="20"/>
          <w:color w:val="auto"/>
        </w:rPr>
      </w:pPr>
      <w:r>
        <w:rPr>
          <w:rFonts w:ascii="Arial" w:cs="Arial" w:eastAsia="Arial" w:hAnsi="Arial"/>
          <w:sz w:val="16"/>
          <w:szCs w:val="16"/>
          <w:color w:val="auto"/>
        </w:rPr>
        <w:t>The information required by this Item is incorporated by reference to the sections of our definitive Proxy Statement for our 2017 Annual Meeting of Shareholders entitled "Equity Compensation Plan Information" and "Beneficial Ownership Matters" to be filed with the SEC.</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2017 Annual Meeting of Shareholders entitled "Certain Relationships and Related Transactions" and "Corporate Governance Matters—Board of Directors and Committees" to be filed with the SEC.</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ACCOUNTING FEES AND SERVICES</w:t>
      </w:r>
    </w:p>
    <w:p>
      <w:pPr>
        <w:spacing w:after="0" w:line="231" w:lineRule="exact"/>
        <w:rPr>
          <w:sz w:val="20"/>
          <w:szCs w:val="20"/>
          <w:color w:val="auto"/>
        </w:rPr>
      </w:pPr>
    </w:p>
    <w:p>
      <w:pPr>
        <w:ind w:right="640" w:firstLine="348"/>
        <w:spacing w:after="0" w:line="268" w:lineRule="auto"/>
        <w:rPr>
          <w:sz w:val="20"/>
          <w:szCs w:val="20"/>
          <w:color w:val="auto"/>
        </w:rPr>
      </w:pPr>
      <w:r>
        <w:rPr>
          <w:rFonts w:ascii="Arial" w:cs="Arial" w:eastAsia="Arial" w:hAnsi="Arial"/>
          <w:sz w:val="18"/>
          <w:szCs w:val="18"/>
          <w:color w:val="auto"/>
        </w:rPr>
        <w:t>The information required by this Item is incorporated by reference to the sections of our definitive Proxy Statement for our 2017 Annual Meeting of Shareholders entitled "Audit-Related Matters" to be filed with the SEC.</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FINANCIAL STATEMENT SCHEDULE</w:t>
      </w:r>
    </w:p>
    <w:p>
      <w:pPr>
        <w:spacing w:after="0" w:line="231" w:lineRule="exact"/>
        <w:rPr>
          <w:sz w:val="20"/>
          <w:szCs w:val="20"/>
          <w:color w:val="auto"/>
        </w:rPr>
      </w:pPr>
    </w:p>
    <w:p>
      <w:pPr>
        <w:ind w:left="2260" w:right="379" w:hanging="1111"/>
        <w:spacing w:after="0" w:line="268" w:lineRule="auto"/>
        <w:tabs>
          <w:tab w:leader="none" w:pos="1747" w:val="left"/>
        </w:tabs>
        <w:numPr>
          <w:ilvl w:val="0"/>
          <w:numId w:val="86"/>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See Item 8.—Consolidated Financial Statements and Supplementary Data for index to</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Statements and Financial Statement Schedule on page 78 herein.</w:t>
      </w:r>
    </w:p>
    <w:p>
      <w:pPr>
        <w:spacing w:after="0" w:line="213" w:lineRule="exact"/>
        <w:rPr>
          <w:sz w:val="20"/>
          <w:szCs w:val="20"/>
          <w:color w:val="auto"/>
        </w:rPr>
      </w:pPr>
    </w:p>
    <w:p>
      <w:pPr>
        <w:ind w:left="2260" w:right="179" w:hanging="517"/>
        <w:spacing w:after="0" w:line="259" w:lineRule="auto"/>
        <w:tabs>
          <w:tab w:leader="none" w:pos="2260" w:val="left"/>
        </w:tabs>
        <w:numPr>
          <w:ilvl w:val="0"/>
          <w:numId w:val="87"/>
        </w:numPr>
        <w:rPr>
          <w:rFonts w:ascii="Arial" w:cs="Arial" w:eastAsia="Arial" w:hAnsi="Arial"/>
          <w:sz w:val="18"/>
          <w:szCs w:val="18"/>
          <w:color w:val="auto"/>
        </w:rPr>
      </w:pPr>
      <w:r>
        <w:rPr>
          <w:rFonts w:ascii="Arial" w:cs="Arial" w:eastAsia="Arial" w:hAnsi="Arial"/>
          <w:sz w:val="18"/>
          <w:szCs w:val="18"/>
          <w:i w:val="1"/>
          <w:iCs w:val="1"/>
          <w:color w:val="auto"/>
        </w:rPr>
        <w:t xml:space="preserve">Financial Statement Schedule </w:t>
      </w:r>
      <w:r>
        <w:rPr>
          <w:rFonts w:ascii="Arial" w:cs="Arial" w:eastAsia="Arial" w:hAnsi="Arial"/>
          <w:sz w:val="18"/>
          <w:szCs w:val="18"/>
          <w:color w:val="auto"/>
        </w:rPr>
        <w:t>The following financial statement schedule of Activision Blizzard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2016, 2015, and 2014 is filed as part of this report and should be read in conjunction with the consolidated financial statements of Activision Blizzard:</w:t>
      </w:r>
    </w:p>
    <w:p>
      <w:pPr>
        <w:spacing w:after="0" w:line="194"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Schedule II—Valuation and Qualifying Accounts</w:t>
      </w:r>
    </w:p>
    <w:p>
      <w:pPr>
        <w:spacing w:after="0" w:line="252" w:lineRule="exact"/>
        <w:rPr>
          <w:sz w:val="20"/>
          <w:szCs w:val="20"/>
          <w:color w:val="auto"/>
        </w:rPr>
      </w:pPr>
    </w:p>
    <w:p>
      <w:pPr>
        <w:ind w:left="2260" w:right="139"/>
        <w:spacing w:after="0" w:line="268" w:lineRule="auto"/>
        <w:rPr>
          <w:sz w:val="20"/>
          <w:szCs w:val="20"/>
          <w:color w:val="auto"/>
        </w:rPr>
      </w:pPr>
      <w:r>
        <w:rPr>
          <w:rFonts w:ascii="Arial" w:cs="Arial" w:eastAsia="Arial" w:hAnsi="Arial"/>
          <w:sz w:val="18"/>
          <w:szCs w:val="18"/>
          <w:color w:val="auto"/>
        </w:rPr>
        <w:t>Other financial statement schedules are omitted because the information called for is not applicable or is shown either in the Consolidated Financial Statements or the Notes thereto.</w:t>
      </w:r>
    </w:p>
    <w:p>
      <w:pPr>
        <w:spacing w:after="0" w:line="213" w:lineRule="exact"/>
        <w:rPr>
          <w:sz w:val="20"/>
          <w:szCs w:val="20"/>
          <w:color w:val="auto"/>
        </w:rPr>
      </w:pPr>
    </w:p>
    <w:p>
      <w:pPr>
        <w:ind w:left="2260" w:right="299" w:hanging="517"/>
        <w:spacing w:after="0" w:line="332" w:lineRule="auto"/>
        <w:tabs>
          <w:tab w:leader="none" w:pos="22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exhibits listed on the accompanying index to exhibits immediately following the financial statements are filed as part of, or hereby incorporated by reference into, this Annual Report on Form 10-K.</w:t>
      </w:r>
    </w:p>
    <w:p>
      <w:pPr>
        <w:spacing w:after="0" w:line="133"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FORM 10-K SUMMARY</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31"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Activision Blizzard, Inc. has duly caused this report to be signed on its behalf by the undersigned, thereunto duly authorized.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22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ACTIVISION BLIZZARD, INC.</w:t>
      </w:r>
    </w:p>
    <w:p>
      <w:pPr>
        <w:spacing w:after="0" w:line="252" w:lineRule="exact"/>
        <w:rPr>
          <w:sz w:val="20"/>
          <w:szCs w:val="20"/>
          <w:color w:val="auto"/>
        </w:rPr>
      </w:pPr>
    </w:p>
    <w:p>
      <w:pPr>
        <w:ind w:left="1140"/>
        <w:spacing w:after="0"/>
        <w:tabs>
          <w:tab w:leader="none" w:pos="27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1000125</wp:posOffset>
            </wp:positionH>
            <wp:positionV relativeFrom="paragraph">
              <wp:posOffset>71120</wp:posOffset>
            </wp:positionV>
            <wp:extent cx="2735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35580" cy="8890"/>
                    </a:xfrm>
                    <a:prstGeom prst="rect">
                      <a:avLst/>
                    </a:prstGeom>
                    <a:noFill/>
                  </pic:spPr>
                </pic:pic>
              </a:graphicData>
            </a:graphic>
          </wp:anchor>
        </w:drawing>
      </w:r>
    </w:p>
    <w:p>
      <w:pPr>
        <w:spacing w:after="0" w:line="178" w:lineRule="exact"/>
        <w:rPr>
          <w:sz w:val="20"/>
          <w:szCs w:val="20"/>
          <w:color w:val="auto"/>
        </w:rPr>
      </w:pPr>
    </w:p>
    <w:p>
      <w:pPr>
        <w:jc w:val="center"/>
        <w:ind w:right="4000"/>
        <w:spacing w:after="0"/>
        <w:rPr>
          <w:sz w:val="20"/>
          <w:szCs w:val="20"/>
          <w:color w:val="auto"/>
        </w:rPr>
      </w:pPr>
      <w:r>
        <w:rPr>
          <w:rFonts w:ascii="Arial" w:cs="Arial" w:eastAsia="Arial" w:hAnsi="Arial"/>
          <w:sz w:val="18"/>
          <w:szCs w:val="18"/>
          <w:color w:val="auto"/>
        </w:rPr>
        <w:t>Robert A. Kotick</w:t>
      </w:r>
    </w:p>
    <w:p>
      <w:pPr>
        <w:spacing w:after="0" w:line="15" w:lineRule="exact"/>
        <w:rPr>
          <w:sz w:val="20"/>
          <w:szCs w:val="20"/>
          <w:color w:val="auto"/>
        </w:rPr>
      </w:pPr>
    </w:p>
    <w:p>
      <w:pPr>
        <w:jc w:val="center"/>
        <w:ind w:right="4000"/>
        <w:spacing w:after="0"/>
        <w:rPr>
          <w:sz w:val="20"/>
          <w:szCs w:val="20"/>
          <w:color w:val="auto"/>
        </w:rPr>
      </w:pPr>
      <w:r>
        <w:rPr>
          <w:rFonts w:ascii="Arial" w:cs="Arial" w:eastAsia="Arial" w:hAnsi="Arial"/>
          <w:sz w:val="18"/>
          <w:szCs w:val="18"/>
          <w:i w:val="1"/>
          <w:iCs w:val="1"/>
          <w:color w:val="auto"/>
        </w:rPr>
        <w:t>Director, President and Chief Executive Officer of Activision</w:t>
      </w:r>
    </w:p>
    <w:p>
      <w:pPr>
        <w:spacing w:after="0" w:line="9" w:lineRule="exact"/>
        <w:rPr>
          <w:sz w:val="20"/>
          <w:szCs w:val="20"/>
          <w:color w:val="auto"/>
        </w:rPr>
      </w:pPr>
    </w:p>
    <w:p>
      <w:pPr>
        <w:jc w:val="center"/>
        <w:ind w:right="4000"/>
        <w:spacing w:after="0"/>
        <w:rPr>
          <w:sz w:val="20"/>
          <w:szCs w:val="20"/>
          <w:color w:val="auto"/>
        </w:rPr>
      </w:pPr>
      <w:r>
        <w:rPr>
          <w:rFonts w:ascii="Arial" w:cs="Arial" w:eastAsia="Arial" w:hAnsi="Arial"/>
          <w:sz w:val="18"/>
          <w:szCs w:val="18"/>
          <w:i w:val="1"/>
          <w:iCs w:val="1"/>
          <w:color w:val="auto"/>
        </w:rPr>
        <w:t>Blizzard, Inc.</w:t>
      </w:r>
    </w:p>
    <w:p>
      <w:pPr>
        <w:spacing w:after="0" w:line="9" w:lineRule="exact"/>
        <w:rPr>
          <w:sz w:val="20"/>
          <w:szCs w:val="20"/>
          <w:color w:val="auto"/>
        </w:rPr>
      </w:pPr>
    </w:p>
    <w:p>
      <w:pPr>
        <w:jc w:val="center"/>
        <w:ind w:right="400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right="100" w:firstLine="351"/>
        <w:spacing w:after="0" w:line="253" w:lineRule="auto"/>
        <w:rPr>
          <w:sz w:val="20"/>
          <w:szCs w:val="20"/>
          <w:color w:val="auto"/>
        </w:rPr>
      </w:pPr>
      <w:r>
        <w:rPr>
          <w:rFonts w:ascii="Arial" w:cs="Arial" w:eastAsia="Arial" w:hAnsi="Arial"/>
          <w:sz w:val="18"/>
          <w:szCs w:val="18"/>
          <w:color w:val="auto"/>
        </w:rPr>
        <w:t>Each individual whose signature appears below constitutes and appoints Robert A. Kotick, and Dennis Durkin and each of them, his or her true and lawful attorneys-in-fact and agents with full power of substitution, for him or her and in his or her name, place and stead, in any and all capacities, to sign any and all amendments to this Annual Report on Form 10-K, and to file the same, with all exhibits thereto and all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his, her or their substitute or substitutes, may lawfully do or cause to be done or by virtue hereof.</w:t>
      </w:r>
    </w:p>
    <w:p>
      <w:pPr>
        <w:spacing w:after="0" w:line="201"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tcPr>
          <w:p>
            <w:pPr>
              <w:ind w:left="1140"/>
              <w:spacing w:after="0"/>
              <w:rPr>
                <w:sz w:val="20"/>
                <w:szCs w:val="20"/>
                <w:color w:val="auto"/>
              </w:rPr>
            </w:pPr>
            <w:r>
              <w:rPr>
                <w:rFonts w:ascii="Arial" w:cs="Arial" w:eastAsia="Arial" w:hAnsi="Arial"/>
                <w:sz w:val="18"/>
                <w:szCs w:val="18"/>
                <w:color w:val="auto"/>
              </w:rPr>
              <w:t>By:</w:t>
            </w:r>
          </w:p>
        </w:tc>
        <w:tc>
          <w:tcPr>
            <w:tcW w:w="3780" w:type="dxa"/>
            <w:vAlign w:val="bottom"/>
          </w:tcPr>
          <w:p>
            <w:pPr>
              <w:jc w:val="center"/>
              <w:spacing w:after="0"/>
              <w:rPr>
                <w:sz w:val="20"/>
                <w:szCs w:val="20"/>
                <w:color w:val="auto"/>
              </w:rPr>
            </w:pPr>
            <w:r>
              <w:rPr>
                <w:rFonts w:ascii="Arial" w:cs="Arial" w:eastAsia="Arial" w:hAnsi="Arial"/>
                <w:sz w:val="18"/>
                <w:szCs w:val="18"/>
                <w:color w:val="auto"/>
                <w:w w:val="94"/>
              </w:rPr>
              <w:t>/s/ ROBERT A. KOTICK</w:t>
            </w:r>
          </w:p>
        </w:tc>
        <w:tc>
          <w:tcPr>
            <w:tcW w:w="334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3"/>
        </w:trPr>
        <w:tc>
          <w:tcPr>
            <w:tcW w:w="1620" w:type="dxa"/>
            <w:vAlign w:val="bottom"/>
          </w:tcPr>
          <w:p>
            <w:pPr>
              <w:spacing w:after="0"/>
              <w:rPr>
                <w:sz w:val="8"/>
                <w:szCs w:val="8"/>
                <w:color w:val="auto"/>
              </w:rPr>
            </w:pPr>
          </w:p>
        </w:tc>
        <w:tc>
          <w:tcPr>
            <w:tcW w:w="3780" w:type="dxa"/>
            <w:vAlign w:val="bottom"/>
            <w:tcBorders>
              <w:bottom w:val="single" w:sz="8" w:color="auto"/>
            </w:tcBorders>
          </w:tcPr>
          <w:p>
            <w:pPr>
              <w:spacing w:after="0"/>
              <w:rPr>
                <w:sz w:val="8"/>
                <w:szCs w:val="8"/>
                <w:color w:val="auto"/>
              </w:rPr>
            </w:pP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w w:val="94"/>
              </w:rPr>
              <w:t>President and Chief Executive Officer, and</w:t>
            </w:r>
          </w:p>
        </w:tc>
        <w:tc>
          <w:tcPr>
            <w:tcW w:w="2680" w:type="dxa"/>
            <w:vAlign w:val="bottom"/>
            <w:vMerge w:val="restart"/>
          </w:tcPr>
          <w:p>
            <w:pPr>
              <w:ind w:left="220"/>
              <w:spacing w:after="0"/>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93"/>
        </w:trPr>
        <w:tc>
          <w:tcPr>
            <w:tcW w:w="1620" w:type="dxa"/>
            <w:vAlign w:val="bottom"/>
          </w:tcPr>
          <w:p>
            <w:pPr>
              <w:spacing w:after="0"/>
              <w:rPr>
                <w:sz w:val="8"/>
                <w:szCs w:val="8"/>
                <w:color w:val="auto"/>
              </w:rPr>
            </w:pP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4"/>
              </w:rPr>
              <w:t>(Robert A. Kotick)</w:t>
            </w:r>
          </w:p>
        </w:tc>
        <w:tc>
          <w:tcPr>
            <w:tcW w:w="3340" w:type="dxa"/>
            <w:vAlign w:val="bottom"/>
            <w:vMerge w:val="continue"/>
          </w:tcPr>
          <w:p>
            <w:pPr>
              <w:spacing w:after="0"/>
              <w:rPr>
                <w:sz w:val="8"/>
                <w:szCs w:val="8"/>
                <w:color w:val="auto"/>
              </w:rPr>
            </w:pPr>
          </w:p>
        </w:tc>
        <w:tc>
          <w:tcPr>
            <w:tcW w:w="26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1620" w:type="dxa"/>
            <w:vAlign w:val="bottom"/>
          </w:tcPr>
          <w:p>
            <w:pPr>
              <w:spacing w:after="0"/>
              <w:rPr>
                <w:sz w:val="19"/>
                <w:szCs w:val="19"/>
                <w:color w:val="auto"/>
              </w:rPr>
            </w:pPr>
          </w:p>
        </w:tc>
        <w:tc>
          <w:tcPr>
            <w:tcW w:w="3780" w:type="dxa"/>
            <w:vAlign w:val="bottom"/>
            <w:vMerge w:val="continue"/>
          </w:tcPr>
          <w:p>
            <w:pPr>
              <w:spacing w:after="0"/>
              <w:rPr>
                <w:sz w:val="19"/>
                <w:szCs w:val="19"/>
                <w:color w:val="auto"/>
              </w:rPr>
            </w:pPr>
          </w:p>
        </w:tc>
        <w:tc>
          <w:tcPr>
            <w:tcW w:w="3340" w:type="dxa"/>
            <w:vAlign w:val="bottom"/>
          </w:tcPr>
          <w:p>
            <w:pPr>
              <w:ind w:left="120"/>
              <w:spacing w:after="0"/>
              <w:rPr>
                <w:sz w:val="20"/>
                <w:szCs w:val="20"/>
                <w:color w:val="auto"/>
              </w:rPr>
            </w:pPr>
            <w:r>
              <w:rPr>
                <w:rFonts w:ascii="Arial" w:cs="Arial" w:eastAsia="Arial" w:hAnsi="Arial"/>
                <w:sz w:val="18"/>
                <w:szCs w:val="18"/>
                <w:color w:val="auto"/>
              </w:rPr>
              <w:t>Principal Executive Officer</w:t>
            </w:r>
          </w:p>
        </w:tc>
        <w:tc>
          <w:tcPr>
            <w:tcW w:w="2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620" w:type="dxa"/>
            <w:vAlign w:val="bottom"/>
          </w:tcPr>
          <w:p>
            <w:pPr>
              <w:ind w:left="1140"/>
              <w:spacing w:after="0"/>
              <w:rPr>
                <w:sz w:val="20"/>
                <w:szCs w:val="20"/>
                <w:color w:val="auto"/>
              </w:rPr>
            </w:pPr>
            <w:r>
              <w:rPr>
                <w:rFonts w:ascii="Arial" w:cs="Arial" w:eastAsia="Arial" w:hAnsi="Arial"/>
                <w:sz w:val="18"/>
                <w:szCs w:val="18"/>
                <w:color w:val="auto"/>
              </w:rPr>
              <w:t>By:</w:t>
            </w: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5"/>
              </w:rPr>
              <w:t>/s/ DENNIS DURKIN</w:t>
            </w:r>
          </w:p>
        </w:tc>
        <w:tc>
          <w:tcPr>
            <w:tcW w:w="3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Chief Financial Officer and</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2680" w:type="dxa"/>
            <w:vAlign w:val="bottom"/>
            <w:vMerge w:val="restart"/>
          </w:tcPr>
          <w:p>
            <w:pPr>
              <w:ind w:left="2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62"/>
        </w:trPr>
        <w:tc>
          <w:tcPr>
            <w:tcW w:w="1620" w:type="dxa"/>
            <w:vAlign w:val="bottom"/>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Principal Financial Officer</w:t>
            </w: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2"/>
              </w:rPr>
              <w:t>(Dennis Durkin)</w:t>
            </w:r>
          </w:p>
        </w:tc>
        <w:tc>
          <w:tcPr>
            <w:tcW w:w="334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3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620" w:type="dxa"/>
            <w:vAlign w:val="bottom"/>
          </w:tcPr>
          <w:p>
            <w:pPr>
              <w:ind w:left="1140"/>
              <w:spacing w:after="0"/>
              <w:rPr>
                <w:sz w:val="20"/>
                <w:szCs w:val="20"/>
                <w:color w:val="auto"/>
              </w:rPr>
            </w:pPr>
            <w:r>
              <w:rPr>
                <w:rFonts w:ascii="Arial" w:cs="Arial" w:eastAsia="Arial" w:hAnsi="Arial"/>
                <w:sz w:val="18"/>
                <w:szCs w:val="18"/>
                <w:color w:val="auto"/>
              </w:rPr>
              <w:t>By:</w:t>
            </w: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91"/>
              </w:rPr>
              <w:t>/s/ STEPHEN WEREB</w:t>
            </w:r>
          </w:p>
        </w:tc>
        <w:tc>
          <w:tcPr>
            <w:tcW w:w="3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Chief Accounting Officer and</w:t>
            </w: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3340" w:type="dxa"/>
            <w:vAlign w:val="bottom"/>
            <w:vMerge w:val="continue"/>
          </w:tcPr>
          <w:p>
            <w:pPr>
              <w:spacing w:after="0"/>
              <w:rPr>
                <w:sz w:val="13"/>
                <w:szCs w:val="13"/>
                <w:color w:val="auto"/>
              </w:rPr>
            </w:pPr>
          </w:p>
        </w:tc>
        <w:tc>
          <w:tcPr>
            <w:tcW w:w="2680" w:type="dxa"/>
            <w:vAlign w:val="bottom"/>
            <w:vMerge w:val="restart"/>
          </w:tcPr>
          <w:p>
            <w:pPr>
              <w:ind w:left="2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62"/>
        </w:trPr>
        <w:tc>
          <w:tcPr>
            <w:tcW w:w="1620" w:type="dxa"/>
            <w:vAlign w:val="bottom"/>
          </w:tcPr>
          <w:p>
            <w:pPr>
              <w:spacing w:after="0"/>
              <w:rPr>
                <w:sz w:val="5"/>
                <w:szCs w:val="5"/>
                <w:color w:val="auto"/>
              </w:rPr>
            </w:pPr>
          </w:p>
        </w:tc>
        <w:tc>
          <w:tcPr>
            <w:tcW w:w="3780" w:type="dxa"/>
            <w:vAlign w:val="bottom"/>
            <w:tcBorders>
              <w:bottom w:val="single" w:sz="8" w:color="auto"/>
            </w:tcBorders>
          </w:tcPr>
          <w:p>
            <w:pPr>
              <w:spacing w:after="0"/>
              <w:rPr>
                <w:sz w:val="5"/>
                <w:szCs w:val="5"/>
                <w:color w:val="auto"/>
              </w:rPr>
            </w:pPr>
          </w:p>
        </w:tc>
        <w:tc>
          <w:tcPr>
            <w:tcW w:w="3340" w:type="dxa"/>
            <w:vAlign w:val="bottom"/>
            <w:vMerge w:val="restart"/>
          </w:tcPr>
          <w:p>
            <w:pPr>
              <w:ind w:left="120"/>
              <w:spacing w:after="0"/>
              <w:rPr>
                <w:sz w:val="20"/>
                <w:szCs w:val="20"/>
                <w:color w:val="auto"/>
              </w:rPr>
            </w:pPr>
            <w:r>
              <w:rPr>
                <w:rFonts w:ascii="Arial" w:cs="Arial" w:eastAsia="Arial" w:hAnsi="Arial"/>
                <w:sz w:val="18"/>
                <w:szCs w:val="18"/>
                <w:color w:val="auto"/>
              </w:rPr>
              <w:t>Principal Accounting Officer</w:t>
            </w: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620" w:type="dxa"/>
            <w:vAlign w:val="bottom"/>
          </w:tcPr>
          <w:p>
            <w:pPr>
              <w:spacing w:after="0"/>
              <w:rPr>
                <w:sz w:val="12"/>
                <w:szCs w:val="12"/>
                <w:color w:val="auto"/>
              </w:rPr>
            </w:pP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6"/>
              </w:rPr>
              <w:t>(Stephen Wereb)</w:t>
            </w:r>
          </w:p>
        </w:tc>
        <w:tc>
          <w:tcPr>
            <w:tcW w:w="3340" w:type="dxa"/>
            <w:vAlign w:val="bottom"/>
            <w:vMerge w:val="continue"/>
          </w:tcPr>
          <w:p>
            <w:pPr>
              <w:spacing w:after="0"/>
              <w:rPr>
                <w:sz w:val="12"/>
                <w:szCs w:val="12"/>
                <w:color w:val="auto"/>
              </w:rPr>
            </w:pPr>
          </w:p>
        </w:tc>
        <w:tc>
          <w:tcPr>
            <w:tcW w:w="2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1620" w:type="dxa"/>
            <w:vAlign w:val="bottom"/>
          </w:tcPr>
          <w:p>
            <w:pPr>
              <w:spacing w:after="0"/>
              <w:rPr>
                <w:sz w:val="15"/>
                <w:szCs w:val="15"/>
                <w:color w:val="auto"/>
              </w:rPr>
            </w:pPr>
          </w:p>
        </w:tc>
        <w:tc>
          <w:tcPr>
            <w:tcW w:w="3780" w:type="dxa"/>
            <w:vAlign w:val="bottom"/>
            <w:vMerge w:val="continue"/>
          </w:tcPr>
          <w:p>
            <w:pPr>
              <w:spacing w:after="0"/>
              <w:rPr>
                <w:sz w:val="15"/>
                <w:szCs w:val="15"/>
                <w:color w:val="auto"/>
              </w:rPr>
            </w:pPr>
          </w:p>
        </w:tc>
        <w:tc>
          <w:tcPr>
            <w:tcW w:w="334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9"/>
        </w:trPr>
        <w:tc>
          <w:tcPr>
            <w:tcW w:w="1620" w:type="dxa"/>
            <w:vAlign w:val="bottom"/>
          </w:tcPr>
          <w:p>
            <w:pPr>
              <w:ind w:left="1140"/>
              <w:spacing w:after="0"/>
              <w:rPr>
                <w:sz w:val="20"/>
                <w:szCs w:val="20"/>
                <w:color w:val="auto"/>
              </w:rPr>
            </w:pPr>
            <w:r>
              <w:rPr>
                <w:rFonts w:ascii="Arial" w:cs="Arial" w:eastAsia="Arial" w:hAnsi="Arial"/>
                <w:sz w:val="18"/>
                <w:szCs w:val="18"/>
                <w:color w:val="auto"/>
              </w:rPr>
              <w:t>By:</w:t>
            </w:r>
          </w:p>
        </w:tc>
        <w:tc>
          <w:tcPr>
            <w:tcW w:w="3780" w:type="dxa"/>
            <w:vAlign w:val="bottom"/>
            <w:vMerge w:val="restart"/>
          </w:tcPr>
          <w:p>
            <w:pPr>
              <w:jc w:val="center"/>
              <w:spacing w:after="0"/>
              <w:rPr>
                <w:sz w:val="20"/>
                <w:szCs w:val="20"/>
                <w:color w:val="auto"/>
              </w:rPr>
            </w:pPr>
            <w:r>
              <w:rPr>
                <w:rFonts w:ascii="Arial" w:cs="Arial" w:eastAsia="Arial" w:hAnsi="Arial"/>
                <w:sz w:val="18"/>
                <w:szCs w:val="18"/>
                <w:color w:val="auto"/>
                <w:w w:val="89"/>
              </w:rPr>
              <w:t>/s/ ROBERT J. CORTI</w:t>
            </w:r>
          </w:p>
        </w:tc>
        <w:tc>
          <w:tcPr>
            <w:tcW w:w="3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620" w:type="dxa"/>
            <w:vAlign w:val="bottom"/>
          </w:tcPr>
          <w:p>
            <w:pPr>
              <w:spacing w:after="0"/>
              <w:rPr>
                <w:sz w:val="16"/>
                <w:szCs w:val="16"/>
                <w:color w:val="auto"/>
              </w:rPr>
            </w:pPr>
          </w:p>
        </w:tc>
        <w:tc>
          <w:tcPr>
            <w:tcW w:w="3780" w:type="dxa"/>
            <w:vAlign w:val="bottom"/>
            <w:vMerge w:val="continue"/>
          </w:tcPr>
          <w:p>
            <w:pPr>
              <w:spacing w:after="0"/>
              <w:rPr>
                <w:sz w:val="16"/>
                <w:szCs w:val="16"/>
                <w:color w:val="auto"/>
              </w:rPr>
            </w:pPr>
          </w:p>
        </w:tc>
        <w:tc>
          <w:tcPr>
            <w:tcW w:w="33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62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33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2680" w:type="dxa"/>
            <w:vAlign w:val="bottom"/>
          </w:tcPr>
          <w:p>
            <w:pPr>
              <w:ind w:left="2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316"/>
        </w:trPr>
        <w:tc>
          <w:tcPr>
            <w:tcW w:w="1620" w:type="dxa"/>
            <w:vAlign w:val="bottom"/>
          </w:tcPr>
          <w:p>
            <w:pPr>
              <w:spacing w:after="0"/>
              <w:rPr>
                <w:sz w:val="24"/>
                <w:szCs w:val="24"/>
                <w:color w:val="auto"/>
              </w:rPr>
            </w:pPr>
          </w:p>
        </w:tc>
        <w:tc>
          <w:tcPr>
            <w:tcW w:w="3780" w:type="dxa"/>
            <w:vAlign w:val="bottom"/>
          </w:tcPr>
          <w:p>
            <w:pPr>
              <w:jc w:val="center"/>
              <w:spacing w:after="0"/>
              <w:rPr>
                <w:sz w:val="20"/>
                <w:szCs w:val="20"/>
                <w:color w:val="auto"/>
              </w:rPr>
            </w:pPr>
            <w:r>
              <w:rPr>
                <w:rFonts w:ascii="Arial" w:cs="Arial" w:eastAsia="Arial" w:hAnsi="Arial"/>
                <w:sz w:val="18"/>
                <w:szCs w:val="18"/>
                <w:color w:val="auto"/>
                <w:w w:val="90"/>
              </w:rPr>
              <w:t>(Robert J. Corti)</w:t>
            </w:r>
          </w:p>
        </w:tc>
        <w:tc>
          <w:tcPr>
            <w:tcW w:w="33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6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340" w:type="dxa"/>
            <w:vAlign w:val="bottom"/>
          </w:tcPr>
          <w:p>
            <w:pPr>
              <w:ind w:left="220"/>
              <w:spacing w:after="0"/>
              <w:rPr>
                <w:sz w:val="20"/>
                <w:szCs w:val="20"/>
                <w:color w:val="auto"/>
              </w:rPr>
            </w:pPr>
            <w:r>
              <w:rPr>
                <w:rFonts w:ascii="Arial" w:cs="Arial" w:eastAsia="Arial" w:hAnsi="Arial"/>
                <w:sz w:val="18"/>
                <w:szCs w:val="18"/>
                <w:color w:val="auto"/>
              </w:rPr>
              <w:t>82</w:t>
            </w:r>
          </w:p>
        </w:tc>
        <w:tc>
          <w:tcPr>
            <w:tcW w:w="2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62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3340" w:type="dxa"/>
            <w:vAlign w:val="bottom"/>
            <w:tcBorders>
              <w:bottom w:val="single" w:sz="8" w:color="808080"/>
            </w:tcBorders>
          </w:tcPr>
          <w:p>
            <w:pPr>
              <w:spacing w:after="0"/>
              <w:rPr>
                <w:sz w:val="19"/>
                <w:szCs w:val="19"/>
                <w:color w:val="auto"/>
              </w:rPr>
            </w:pPr>
          </w:p>
        </w:tc>
        <w:tc>
          <w:tcPr>
            <w:tcW w:w="26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07"/>
        </w:trPr>
        <w:tc>
          <w:tcPr>
            <w:tcW w:w="1260" w:type="dxa"/>
            <w:vAlign w:val="bottom"/>
            <w:tcBorders>
              <w:bottom w:val="single" w:sz="8" w:color="0000EE"/>
            </w:tcBorders>
          </w:tcPr>
          <w:p>
            <w:pPr>
              <w:spacing w:after="0"/>
              <w:rPr>
                <w:rFonts w:ascii="Arial" w:cs="Arial" w:eastAsia="Arial" w:hAnsi="Arial"/>
                <w:sz w:val="18"/>
                <w:szCs w:val="18"/>
                <w:color w:val="0000EE"/>
                <w:w w:val="87"/>
              </w:rPr>
            </w:pPr>
            <w:hyperlink w:anchor="page3">
              <w:r>
                <w:rPr>
                  <w:rFonts w:ascii="Arial" w:cs="Arial" w:eastAsia="Arial" w:hAnsi="Arial"/>
                  <w:sz w:val="18"/>
                  <w:szCs w:val="18"/>
                  <w:color w:val="0000EE"/>
                  <w:w w:val="87"/>
                </w:rPr>
                <w:t>Table of Contents</w:t>
              </w:r>
            </w:hyperlink>
          </w:p>
        </w:tc>
        <w:tc>
          <w:tcPr>
            <w:tcW w:w="3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1"/>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tcPr>
          <w:p>
            <w:pPr>
              <w:jc w:val="center"/>
              <w:ind w:right="2592"/>
              <w:spacing w:after="0"/>
              <w:rPr>
                <w:sz w:val="20"/>
                <w:szCs w:val="20"/>
                <w:color w:val="auto"/>
              </w:rPr>
            </w:pPr>
            <w:r>
              <w:rPr>
                <w:rFonts w:ascii="Arial" w:cs="Arial" w:eastAsia="Arial" w:hAnsi="Arial"/>
                <w:sz w:val="18"/>
                <w:szCs w:val="18"/>
                <w:color w:val="auto"/>
                <w:w w:val="96"/>
              </w:rPr>
              <w:t>/s/ BRIAN G. KELLY</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Chairman and 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95"/>
              </w:rPr>
              <w:t>(Brian G. Kelly)</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592"/>
              <w:spacing w:after="0"/>
              <w:rPr>
                <w:sz w:val="20"/>
                <w:szCs w:val="20"/>
                <w:color w:val="auto"/>
              </w:rPr>
            </w:pPr>
            <w:r>
              <w:rPr>
                <w:rFonts w:ascii="Arial" w:cs="Arial" w:eastAsia="Arial" w:hAnsi="Arial"/>
                <w:sz w:val="18"/>
                <w:szCs w:val="18"/>
                <w:color w:val="auto"/>
                <w:w w:val="94"/>
              </w:rPr>
              <w:t>/s/ HENDRIK J. HARTONG III</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92"/>
              </w:rPr>
              <w:t>(Hendrik J. Hartong III)</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592"/>
              <w:spacing w:after="0"/>
              <w:rPr>
                <w:sz w:val="20"/>
                <w:szCs w:val="20"/>
                <w:color w:val="auto"/>
              </w:rPr>
            </w:pPr>
            <w:r>
              <w:rPr>
                <w:rFonts w:ascii="Arial" w:cs="Arial" w:eastAsia="Arial" w:hAnsi="Arial"/>
                <w:sz w:val="18"/>
                <w:szCs w:val="18"/>
                <w:color w:val="auto"/>
                <w:w w:val="94"/>
              </w:rPr>
              <w:t>/s/ BARRY MEYER</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592"/>
              <w:spacing w:after="0"/>
              <w:rPr>
                <w:sz w:val="20"/>
                <w:szCs w:val="20"/>
                <w:color w:val="auto"/>
              </w:rPr>
            </w:pPr>
            <w:r>
              <w:rPr>
                <w:rFonts w:ascii="Arial" w:cs="Arial" w:eastAsia="Arial" w:hAnsi="Arial"/>
                <w:sz w:val="18"/>
                <w:szCs w:val="18"/>
                <w:color w:val="auto"/>
                <w:w w:val="92"/>
              </w:rPr>
              <w:t>(Barry Meyer)</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612"/>
              <w:spacing w:after="0"/>
              <w:rPr>
                <w:sz w:val="20"/>
                <w:szCs w:val="20"/>
                <w:color w:val="auto"/>
              </w:rPr>
            </w:pPr>
            <w:r>
              <w:rPr>
                <w:rFonts w:ascii="Arial" w:cs="Arial" w:eastAsia="Arial" w:hAnsi="Arial"/>
                <w:sz w:val="18"/>
                <w:szCs w:val="18"/>
                <w:color w:val="auto"/>
                <w:w w:val="91"/>
              </w:rPr>
              <w:t>/s/ ROBERT J. MORGADO</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89"/>
              </w:rPr>
              <w:t>(Robert J. Morgado)</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612"/>
              <w:spacing w:after="0"/>
              <w:rPr>
                <w:sz w:val="20"/>
                <w:szCs w:val="20"/>
                <w:color w:val="auto"/>
              </w:rPr>
            </w:pPr>
            <w:r>
              <w:rPr>
                <w:rFonts w:ascii="Arial" w:cs="Arial" w:eastAsia="Arial" w:hAnsi="Arial"/>
                <w:sz w:val="18"/>
                <w:szCs w:val="18"/>
                <w:color w:val="auto"/>
                <w:w w:val="92"/>
              </w:rPr>
              <w:t>/s/ PETER NOLAN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592"/>
              <w:spacing w:after="0"/>
              <w:rPr>
                <w:sz w:val="20"/>
                <w:szCs w:val="20"/>
                <w:color w:val="auto"/>
              </w:rPr>
            </w:pPr>
            <w:r>
              <w:rPr>
                <w:rFonts w:ascii="Arial" w:cs="Arial" w:eastAsia="Arial" w:hAnsi="Arial"/>
                <w:sz w:val="18"/>
                <w:szCs w:val="18"/>
                <w:color w:val="auto"/>
                <w:w w:val="87"/>
              </w:rPr>
              <w:t>(Peter Nolan)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592"/>
              <w:spacing w:after="0"/>
              <w:rPr>
                <w:sz w:val="20"/>
                <w:szCs w:val="20"/>
                <w:color w:val="auto"/>
              </w:rPr>
            </w:pPr>
            <w:r>
              <w:rPr>
                <w:rFonts w:ascii="Arial" w:cs="Arial" w:eastAsia="Arial" w:hAnsi="Arial"/>
                <w:sz w:val="18"/>
                <w:szCs w:val="18"/>
                <w:color w:val="auto"/>
                <w:w w:val="93"/>
              </w:rPr>
              <w:t>/s/ CASEY WASSERMAN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85"/>
              </w:rPr>
              <w:t>(Casey Wasserman)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620" w:type="dxa"/>
            <w:vAlign w:val="bottom"/>
            <w:gridSpan w:val="2"/>
          </w:tcPr>
          <w:p>
            <w:pPr>
              <w:ind w:left="1140"/>
              <w:spacing w:after="0"/>
              <w:rPr>
                <w:sz w:val="20"/>
                <w:szCs w:val="20"/>
                <w:color w:val="auto"/>
              </w:rPr>
            </w:pPr>
            <w:r>
              <w:rPr>
                <w:rFonts w:ascii="Arial" w:cs="Arial" w:eastAsia="Arial" w:hAnsi="Arial"/>
                <w:sz w:val="18"/>
                <w:szCs w:val="18"/>
                <w:color w:val="auto"/>
              </w:rPr>
              <w:t>By:</w:t>
            </w:r>
          </w:p>
        </w:tc>
        <w:tc>
          <w:tcPr>
            <w:tcW w:w="6420" w:type="dxa"/>
            <w:vAlign w:val="bottom"/>
            <w:gridSpan w:val="2"/>
            <w:vMerge w:val="restart"/>
          </w:tcPr>
          <w:p>
            <w:pPr>
              <w:jc w:val="center"/>
              <w:ind w:right="2612"/>
              <w:spacing w:after="0"/>
              <w:rPr>
                <w:sz w:val="20"/>
                <w:szCs w:val="20"/>
                <w:color w:val="auto"/>
              </w:rPr>
            </w:pPr>
            <w:r>
              <w:rPr>
                <w:rFonts w:ascii="Arial" w:cs="Arial" w:eastAsia="Arial" w:hAnsi="Arial"/>
                <w:sz w:val="18"/>
                <w:szCs w:val="18"/>
                <w:color w:val="auto"/>
                <w:w w:val="94"/>
              </w:rPr>
              <w:t>/s/ ELAINE P. WYNN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420" w:type="dxa"/>
            <w:vAlign w:val="bottom"/>
            <w:gridSpan w:val="2"/>
            <w:vMerge w:val="continue"/>
          </w:tcPr>
          <w:p>
            <w:pPr>
              <w:spacing w:after="0"/>
              <w:rPr>
                <w:sz w:val="16"/>
                <w:szCs w:val="16"/>
                <w:color w:val="auto"/>
              </w:rPr>
            </w:pPr>
          </w:p>
        </w:tc>
        <w:tc>
          <w:tcPr>
            <w:tcW w:w="3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1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780" w:type="dxa"/>
            <w:vAlign w:val="bottom"/>
            <w:tcBorders>
              <w:bottom w:val="single" w:sz="8" w:color="auto"/>
            </w:tcBorders>
          </w:tcPr>
          <w:p>
            <w:pPr>
              <w:spacing w:after="0"/>
              <w:rPr>
                <w:sz w:val="18"/>
                <w:szCs w:val="18"/>
                <w:color w:val="auto"/>
              </w:rPr>
            </w:pPr>
          </w:p>
        </w:tc>
        <w:tc>
          <w:tcPr>
            <w:tcW w:w="2640" w:type="dxa"/>
            <w:vAlign w:val="bottom"/>
          </w:tcPr>
          <w:p>
            <w:pPr>
              <w:ind w:left="120"/>
              <w:spacing w:after="0" w:line="198" w:lineRule="exact"/>
              <w:rPr>
                <w:sz w:val="20"/>
                <w:szCs w:val="20"/>
                <w:color w:val="auto"/>
              </w:rPr>
            </w:pPr>
            <w:r>
              <w:rPr>
                <w:rFonts w:ascii="Arial" w:cs="Arial" w:eastAsia="Arial" w:hAnsi="Arial"/>
                <w:sz w:val="18"/>
                <w:szCs w:val="18"/>
                <w:color w:val="auto"/>
              </w:rPr>
              <w:t>Director</w:t>
            </w:r>
          </w:p>
        </w:tc>
        <w:tc>
          <w:tcPr>
            <w:tcW w:w="3380" w:type="dxa"/>
            <w:vAlign w:val="bottom"/>
          </w:tcPr>
          <w:p>
            <w:pPr>
              <w:ind w:left="920"/>
              <w:spacing w:after="0" w:line="198" w:lineRule="exact"/>
              <w:rPr>
                <w:sz w:val="20"/>
                <w:szCs w:val="20"/>
                <w:color w:val="auto"/>
              </w:rPr>
            </w:pPr>
            <w:r>
              <w:rPr>
                <w:rFonts w:ascii="Arial" w:cs="Arial" w:eastAsia="Arial" w:hAnsi="Arial"/>
                <w:sz w:val="18"/>
                <w:szCs w:val="18"/>
                <w:color w:val="auto"/>
              </w:rPr>
              <w:t>February 28, 2017</w:t>
            </w:r>
          </w:p>
        </w:tc>
        <w:tc>
          <w:tcPr>
            <w:tcW w:w="0" w:type="dxa"/>
            <w:vAlign w:val="bottom"/>
          </w:tcPr>
          <w:p>
            <w:pPr>
              <w:spacing w:after="0"/>
              <w:rPr>
                <w:sz w:val="1"/>
                <w:szCs w:val="1"/>
                <w:color w:val="auto"/>
              </w:rPr>
            </w:pPr>
          </w:p>
        </w:tc>
      </w:tr>
      <w:tr>
        <w:trPr>
          <w:trHeight w:val="316"/>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center"/>
              <w:ind w:right="2612"/>
              <w:spacing w:after="0"/>
              <w:rPr>
                <w:sz w:val="20"/>
                <w:szCs w:val="20"/>
                <w:color w:val="auto"/>
              </w:rPr>
            </w:pPr>
            <w:r>
              <w:rPr>
                <w:rFonts w:ascii="Arial" w:cs="Arial" w:eastAsia="Arial" w:hAnsi="Arial"/>
                <w:sz w:val="18"/>
                <w:szCs w:val="18"/>
                <w:color w:val="auto"/>
                <w:w w:val="88"/>
              </w:rPr>
              <w:t>(Elaine P. Wynn)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420" w:type="dxa"/>
            <w:vAlign w:val="bottom"/>
            <w:gridSpan w:val="2"/>
          </w:tcPr>
          <w:p>
            <w:pPr>
              <w:jc w:val="right"/>
              <w:ind w:right="2152"/>
              <w:spacing w:after="0"/>
              <w:rPr>
                <w:sz w:val="20"/>
                <w:szCs w:val="20"/>
                <w:color w:val="auto"/>
              </w:rPr>
            </w:pPr>
            <w:r>
              <w:rPr>
                <w:rFonts w:ascii="Arial" w:cs="Arial" w:eastAsia="Arial" w:hAnsi="Arial"/>
                <w:sz w:val="18"/>
                <w:szCs w:val="18"/>
                <w:color w:val="auto"/>
              </w:rPr>
              <w:t>83</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2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780" w:type="dxa"/>
            <w:vAlign w:val="bottom"/>
            <w:tcBorders>
              <w:bottom w:val="single" w:sz="8" w:color="808080"/>
            </w:tcBorders>
          </w:tcPr>
          <w:p>
            <w:pPr>
              <w:spacing w:after="0"/>
              <w:rPr>
                <w:sz w:val="19"/>
                <w:szCs w:val="19"/>
                <w:color w:val="auto"/>
              </w:rPr>
            </w:pPr>
          </w:p>
        </w:tc>
        <w:tc>
          <w:tcPr>
            <w:tcW w:w="2640" w:type="dxa"/>
            <w:vAlign w:val="bottom"/>
            <w:tcBorders>
              <w:bottom w:val="single" w:sz="8" w:color="808080"/>
            </w:tcBorders>
          </w:tcPr>
          <w:p>
            <w:pPr>
              <w:spacing w:after="0"/>
              <w:rPr>
                <w:sz w:val="19"/>
                <w:szCs w:val="19"/>
                <w:color w:val="auto"/>
              </w:rPr>
            </w:pPr>
          </w:p>
        </w:tc>
        <w:tc>
          <w:tcPr>
            <w:tcW w:w="33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left="35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To the Board of Directors and Shareholders of Activision Blizzard, Inc.:</w:t>
      </w:r>
    </w:p>
    <w:p>
      <w:pPr>
        <w:spacing w:after="0" w:line="225" w:lineRule="exact"/>
        <w:rPr>
          <w:sz w:val="20"/>
          <w:szCs w:val="20"/>
          <w:color w:val="auto"/>
        </w:rPr>
      </w:pPr>
    </w:p>
    <w:p>
      <w:pPr>
        <w:ind w:firstLine="351"/>
        <w:spacing w:after="0" w:line="284" w:lineRule="auto"/>
        <w:rPr>
          <w:sz w:val="20"/>
          <w:szCs w:val="20"/>
          <w:color w:val="auto"/>
        </w:rPr>
      </w:pPr>
      <w:r>
        <w:rPr>
          <w:rFonts w:ascii="Arial" w:cs="Arial" w:eastAsia="Arial" w:hAnsi="Arial"/>
          <w:sz w:val="16"/>
          <w:szCs w:val="16"/>
          <w:color w:val="auto"/>
        </w:rPr>
        <w:t xml:space="preserve">In our opinion, the accompanying consolidated balance sheets and the related consolidated statements of operations, of comprehensive income, of changes in shareholders' equity and of cash flows, present fairly, in all material respects, the financial position of Activision Blizzard, Inc. and its subsidiaries at December 31, 2016 and 2015, and the results of their operations and their cash flows for each of the three years in the period ended December 31, 2016 in conformity with accounting principles generally accepted in the United States of America. In addition, in our opinion, the financial statement schedule listed in the accompanying index appearing under Item 15(a)(2) presents fairly, in all material respects, the information set forth therein when read in conjunction with the related consolidated financial statements. Also in our opinion, the Company maintained, in all material respects, effective internal control over financial reporting as of December 31, 2016, based on criteria established in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The Company's management is responsible for these financial statements and financial statement schedule,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on the financial statement schedule,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ind w:right="220" w:firstLine="341"/>
        <w:spacing w:after="0" w:line="268" w:lineRule="auto"/>
        <w:rPr>
          <w:sz w:val="20"/>
          <w:szCs w:val="20"/>
          <w:color w:val="auto"/>
        </w:rPr>
      </w:pPr>
      <w:r>
        <w:rPr>
          <w:rFonts w:ascii="Arial" w:cs="Arial" w:eastAsia="Arial" w:hAnsi="Arial"/>
          <w:sz w:val="18"/>
          <w:szCs w:val="18"/>
          <w:color w:val="auto"/>
        </w:rPr>
        <w:t>As discussed in Note 22 to the consolidated financial statements, the Company changed the manner in which it accounts for income taxes related to share-based payments and the manner in which it classifies certain items in the statement of cash flows in 2016.</w:t>
      </w:r>
    </w:p>
    <w:p>
      <w:pPr>
        <w:spacing w:after="0" w:line="186" w:lineRule="exact"/>
        <w:rPr>
          <w:sz w:val="20"/>
          <w:szCs w:val="20"/>
          <w:color w:val="auto"/>
        </w:rPr>
      </w:pPr>
    </w:p>
    <w:p>
      <w:pPr>
        <w:ind w:right="120" w:firstLine="341"/>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to the risk that controls may become inadequate because of changes in conditions, or that the degree of compliance with the policies or procedures may deteriorate.</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described in Management's Report on Internal Control over Financial Reporting appearing under Item 9A, management has excluded King Digital Entertainment ("King") from its assessment of internal control over financial reporting as of December 31, 2016 because it was acquired by the Company in a purchase business combination during 2016. We have also excluded King from our audit of internal control over financial reporting. King is a wholly-owned subsidiary of Activision Blizzard, Inc. whose total assets and total net revenues represent 7% and 23%, respectively, of the related consolidated financial statement amounts as of and for the year ended December 31,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1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(Amounts in millions,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At December 31,</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7"/>
              </w:rPr>
              <w:t>At December 31,</w:t>
            </w:r>
          </w:p>
        </w:tc>
      </w:t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3,245</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1,823</w:t>
            </w:r>
          </w:p>
        </w:tc>
        <w:tc>
          <w:tcPr>
            <w:tcW w:w="160" w:type="dxa"/>
            <w:vAlign w:val="bottom"/>
            <w:shd w:val="clear" w:color="auto" w:fill="CCEEFF"/>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w w:val="89"/>
              </w:rPr>
              <w:t>Accounts receivable, net of allowances of $261 and $343, at December 31, 2016 and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420" w:type="dxa"/>
            <w:vAlign w:val="bottom"/>
          </w:tcPr>
          <w:p>
            <w:pPr>
              <w:ind w:left="520"/>
              <w:spacing w:after="0"/>
              <w:rPr>
                <w:sz w:val="20"/>
                <w:szCs w:val="20"/>
                <w:color w:val="auto"/>
              </w:rPr>
            </w:pPr>
            <w:r>
              <w:rPr>
                <w:rFonts w:ascii="Arial" w:cs="Arial" w:eastAsia="Arial" w:hAnsi="Arial"/>
                <w:sz w:val="18"/>
                <w:szCs w:val="18"/>
                <w:color w:val="auto"/>
              </w:rPr>
              <w:t>December 31, 2015, respectively</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679</w:t>
            </w:r>
          </w:p>
        </w:tc>
        <w:tc>
          <w:tcPr>
            <w:tcW w:w="1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Software development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52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4,830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3,387</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 escrow</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Software development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assets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7,095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520"/>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17,452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15,246</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Deferred revenues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1,702</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expenses and other liabilities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52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2,611</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Long-term debt, net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Deferred income taxes, net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20" w:type="dxa"/>
            <w:vAlign w:val="bottom"/>
          </w:tcPr>
          <w:p>
            <w:pPr>
              <w:ind w:left="52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8,333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Commitments and contingencies (Note 19)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431"/>
        </w:trPr>
        <w:tc>
          <w:tcPr>
            <w:tcW w:w="20" w:type="dxa"/>
            <w:vAlign w:val="bottom"/>
          </w:tcPr>
          <w:p>
            <w:pPr>
              <w:spacing w:after="0"/>
              <w:rPr>
                <w:sz w:val="24"/>
                <w:szCs w:val="24"/>
                <w:color w:val="auto"/>
              </w:rPr>
            </w:pPr>
          </w:p>
        </w:tc>
        <w:tc>
          <w:tcPr>
            <w:tcW w:w="6420" w:type="dxa"/>
            <w:vAlign w:val="bottom"/>
          </w:tcPr>
          <w:p>
            <w:pPr>
              <w:ind w:left="160"/>
              <w:spacing w:after="0"/>
              <w:rPr>
                <w:sz w:val="20"/>
                <w:szCs w:val="20"/>
                <w:color w:val="auto"/>
              </w:rPr>
            </w:pPr>
            <w:r>
              <w:rPr>
                <w:rFonts w:ascii="Arial" w:cs="Arial" w:eastAsia="Arial" w:hAnsi="Arial"/>
                <w:sz w:val="18"/>
                <w:szCs w:val="18"/>
                <w:color w:val="auto"/>
              </w:rPr>
              <w:t>Shareholders' equity:</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09"/>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stock, $0.000001 par value, 2,400,000,000 shares authorized,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7"/>
              </w:rPr>
              <w:t>1,174,163,069 and 1,163,179,140 shares issued at December 31, 2016 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2015, respectively</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10,442</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10,242</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8"/>
              </w:rPr>
              <w:t>Less: Treasury stock, at cost, 428,676,471 shares at December 31, 2016 and</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December 31, 2015</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(5,563)</w:t>
            </w:r>
          </w:p>
        </w:tc>
        <w:tc>
          <w:tcPr>
            <w:tcW w:w="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(5,637)</w:t>
            </w:r>
          </w:p>
        </w:tc>
      </w:tr>
      <w:tr>
        <w:trPr>
          <w:trHeight w:val="216"/>
        </w:trPr>
        <w:tc>
          <w:tcPr>
            <w:tcW w:w="20" w:type="dxa"/>
            <w:vAlign w:val="bottom"/>
          </w:tcPr>
          <w:p>
            <w:pPr>
              <w:spacing w:after="0"/>
              <w:rPr>
                <w:sz w:val="18"/>
                <w:szCs w:val="18"/>
                <w:color w:val="auto"/>
              </w:rPr>
            </w:pPr>
          </w:p>
        </w:tc>
        <w:tc>
          <w:tcPr>
            <w:tcW w:w="6420" w:type="dxa"/>
            <w:vAlign w:val="bottom"/>
          </w:tcPr>
          <w:p>
            <w:pPr>
              <w:ind w:left="340"/>
              <w:spacing w:after="0"/>
              <w:rPr>
                <w:sz w:val="20"/>
                <w:szCs w:val="20"/>
                <w:color w:val="auto"/>
              </w:rPr>
            </w:pPr>
            <w:r>
              <w:rPr>
                <w:rFonts w:ascii="Arial" w:cs="Arial" w:eastAsia="Arial" w:hAnsi="Arial"/>
                <w:sz w:val="18"/>
                <w:szCs w:val="18"/>
                <w:color w:val="auto"/>
              </w:rPr>
              <w:t>Retained earnings</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4,869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4,096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w:t>
            </w:r>
          </w:p>
        </w:tc>
      </w:tr>
      <w:tr>
        <w:trPr>
          <w:trHeight w:val="210"/>
        </w:trPr>
        <w:tc>
          <w:tcPr>
            <w:tcW w:w="20" w:type="dxa"/>
            <w:vAlign w:val="bottom"/>
          </w:tcPr>
          <w:p>
            <w:pPr>
              <w:spacing w:after="0"/>
              <w:rPr>
                <w:sz w:val="18"/>
                <w:szCs w:val="18"/>
                <w:color w:val="auto"/>
              </w:rPr>
            </w:pPr>
          </w:p>
        </w:tc>
        <w:tc>
          <w:tcPr>
            <w:tcW w:w="6420" w:type="dxa"/>
            <w:vAlign w:val="bottom"/>
          </w:tcPr>
          <w:p>
            <w:pPr>
              <w:ind w:left="520"/>
              <w:spacing w:after="0"/>
              <w:rPr>
                <w:sz w:val="20"/>
                <w:szCs w:val="20"/>
                <w:color w:val="auto"/>
              </w:rPr>
            </w:pPr>
            <w:r>
              <w:rPr>
                <w:rFonts w:ascii="Arial" w:cs="Arial" w:eastAsia="Arial" w:hAnsi="Arial"/>
                <w:sz w:val="18"/>
                <w:szCs w:val="18"/>
                <w:color w:val="auto"/>
              </w:rPr>
              <w:t>Total shareholders' equity</w:t>
            </w:r>
          </w:p>
        </w:tc>
        <w:tc>
          <w:tcPr>
            <w:tcW w:w="12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9,119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8,068</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liabilities and shareholders' equity</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17,452</w:t>
            </w:r>
          </w:p>
        </w:tc>
        <w:tc>
          <w:tcPr>
            <w:tcW w:w="12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15,246</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(Amounts in millions, except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7"/>
          </w:tcPr>
          <w:p>
            <w:pPr>
              <w:jc w:val="center"/>
              <w:ind w:left="254"/>
              <w:spacing w:after="0"/>
              <w:rPr>
                <w:sz w:val="20"/>
                <w:szCs w:val="20"/>
                <w:color w:val="auto"/>
              </w:rPr>
            </w:pPr>
            <w:r>
              <w:rPr>
                <w:rFonts w:ascii="Arial" w:cs="Arial" w:eastAsia="Arial" w:hAnsi="Arial"/>
                <w:sz w:val="14"/>
                <w:szCs w:val="14"/>
                <w:b w:val="1"/>
                <w:bCs w:val="1"/>
                <w:color w:val="auto"/>
                <w:w w:val="88"/>
              </w:rPr>
              <w:t>For the Years Ended</w:t>
            </w: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3"/>
              <w:spacing w:after="0" w:line="142"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Product sales</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2,196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2,447</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2,786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Subscription, licensing, and other revenues</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2,217</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00" w:type="dxa"/>
            <w:vAlign w:val="bottom"/>
            <w:gridSpan w:val="2"/>
          </w:tcPr>
          <w:p>
            <w:pPr>
              <w:spacing w:after="0"/>
              <w:rPr>
                <w:sz w:val="20"/>
                <w:szCs w:val="20"/>
                <w:color w:val="auto"/>
              </w:rPr>
            </w:pPr>
            <w:r>
              <w:rPr>
                <w:rFonts w:ascii="Arial" w:cs="Arial" w:eastAsia="Arial" w:hAnsi="Arial"/>
                <w:sz w:val="18"/>
                <w:szCs w:val="18"/>
                <w:color w:val="auto"/>
              </w:rPr>
              <w:t>Total net revenues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6,608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4,408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Cost of revenues—product sales: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 costs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Software royalties, amortization, and intellectual property licenses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revenues—subscription, licensing, and other revenues: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340"/>
              <w:spacing w:after="0"/>
              <w:rPr>
                <w:sz w:val="20"/>
                <w:szCs w:val="20"/>
                <w:color w:val="auto"/>
              </w:rPr>
            </w:pPr>
            <w:r>
              <w:rPr>
                <w:rFonts w:ascii="Arial" w:cs="Arial" w:eastAsia="Arial" w:hAnsi="Arial"/>
                <w:sz w:val="18"/>
                <w:szCs w:val="18"/>
                <w:color w:val="auto"/>
              </w:rPr>
              <w:t>Game operations and distribution costs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Software royalties, amortization, and intellectual property licenses</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Product development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958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Sales and marketing</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9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Total costs and expenses</w:t>
            </w:r>
          </w:p>
        </w:tc>
        <w:tc>
          <w:tcPr>
            <w:tcW w:w="9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3,345</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9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1,412</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1,319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1,183</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expense (income), net</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spacing w:after="0"/>
              <w:rPr>
                <w:sz w:val="20"/>
                <w:szCs w:val="20"/>
                <w:color w:val="auto"/>
              </w:rPr>
            </w:pPr>
            <w:r>
              <w:rPr>
                <w:rFonts w:ascii="Arial" w:cs="Arial" w:eastAsia="Arial" w:hAnsi="Arial"/>
                <w:sz w:val="18"/>
                <w:szCs w:val="18"/>
                <w:color w:val="auto"/>
              </w:rPr>
              <w:t>Loss on extinguishment of debt</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90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1,106</w:t>
            </w:r>
          </w:p>
        </w:tc>
        <w:tc>
          <w:tcPr>
            <w:tcW w:w="160" w:type="dxa"/>
            <w:vAlign w:val="bottom"/>
            <w:shd w:val="clear" w:color="auto" w:fill="CCEEFF"/>
          </w:tcPr>
          <w:p>
            <w:pPr>
              <w:spacing w:after="0"/>
              <w:rPr>
                <w:sz w:val="24"/>
                <w:szCs w:val="24"/>
                <w:color w:val="auto"/>
              </w:rPr>
            </w:pPr>
          </w:p>
        </w:tc>
        <w:tc>
          <w:tcPr>
            <w:tcW w:w="120" w:type="dxa"/>
            <w:vAlign w:val="bottom"/>
            <w:tcBorders>
              <w:top w:val="single" w:sz="8" w:color="auto"/>
            </w:tcBorders>
            <w:shd w:val="clear" w:color="auto" w:fill="CCEEFF"/>
          </w:tcPr>
          <w:p>
            <w:pPr>
              <w:spacing w:after="0"/>
              <w:rPr>
                <w:sz w:val="24"/>
                <w:szCs w:val="2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1,121</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tcBorders>
              <w:top w:val="single" w:sz="8" w:color="auto"/>
            </w:tcBorders>
            <w:shd w:val="clear" w:color="auto" w:fill="CCEEFF"/>
          </w:tcPr>
          <w:p>
            <w:pPr>
              <w:spacing w:after="0"/>
              <w:rPr>
                <w:sz w:val="24"/>
                <w:szCs w:val="24"/>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5900" w:type="dxa"/>
            <w:vAlign w:val="bottom"/>
            <w:gridSpan w:val="2"/>
          </w:tcPr>
          <w:p>
            <w:pPr>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Earnings per common share</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900" w:type="dxa"/>
            <w:vAlign w:val="bottom"/>
            <w:gridSpan w:val="2"/>
            <w:vMerge w:val="continue"/>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21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vMerge w:val="restart"/>
          </w:tcPr>
          <w:p>
            <w:pPr>
              <w:ind w:left="160"/>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19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5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Weighted-average number of shares outstanding</w:t>
            </w: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tcPr>
          <w:p>
            <w:pPr>
              <w:ind w:left="160"/>
              <w:spacing w:after="0"/>
              <w:rPr>
                <w:sz w:val="20"/>
                <w:szCs w:val="20"/>
                <w:color w:val="auto"/>
              </w:rPr>
            </w:pPr>
            <w:r>
              <w:rPr>
                <w:rFonts w:ascii="Arial" w:cs="Arial" w:eastAsia="Arial" w:hAnsi="Arial"/>
                <w:sz w:val="18"/>
                <w:szCs w:val="18"/>
                <w:color w:val="auto"/>
              </w:rPr>
              <w:t>Basic</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728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900" w:type="dxa"/>
            <w:vAlign w:val="bottom"/>
            <w:gridSpan w:val="2"/>
          </w:tcPr>
          <w:p>
            <w:pPr>
              <w:spacing w:after="0"/>
              <w:rPr>
                <w:sz w:val="20"/>
                <w:szCs w:val="20"/>
                <w:color w:val="auto"/>
              </w:rPr>
            </w:pPr>
            <w:r>
              <w:rPr>
                <w:rFonts w:ascii="Arial" w:cs="Arial" w:eastAsia="Arial" w:hAnsi="Arial"/>
                <w:sz w:val="18"/>
                <w:szCs w:val="18"/>
                <w:color w:val="auto"/>
              </w:rPr>
              <w:t>Dividends per common share</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0.23</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3"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25"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(Amounts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For the 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83"/>
              </w:rPr>
              <w:t>December 31,</w:t>
            </w: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8"/>
              <w:spacing w:after="0" w:line="142" w:lineRule="exact"/>
              <w:rPr>
                <w:sz w:val="20"/>
                <w:szCs w:val="20"/>
                <w:color w:val="auto"/>
              </w:rPr>
            </w:pPr>
            <w:r>
              <w:rPr>
                <w:rFonts w:ascii="Arial" w:cs="Arial" w:eastAsia="Arial" w:hAnsi="Arial"/>
                <w:sz w:val="14"/>
                <w:szCs w:val="14"/>
                <w:b w:val="1"/>
                <w:bCs w:val="1"/>
                <w:color w:val="auto"/>
                <w:w w:val="89"/>
              </w:rPr>
              <w:t>2016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7040" w:type="dxa"/>
            <w:vAlign w:val="bottom"/>
            <w:gridSpan w:val="2"/>
          </w:tcPr>
          <w:p>
            <w:pPr>
              <w:spacing w:after="0"/>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translation adjustments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(326)</w:t>
            </w: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Unrealized gains (losses) on forward contracts designated as hedges, net of tax</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other comprehensive income (loss)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w:t>
            </w:r>
          </w:p>
        </w:tc>
        <w:tc>
          <w:tcPr>
            <w:tcW w:w="0" w:type="dxa"/>
            <w:vAlign w:val="bottom"/>
          </w:tcPr>
          <w:p>
            <w:pPr>
              <w:spacing w:after="0"/>
              <w:rPr>
                <w:sz w:val="1"/>
                <w:szCs w:val="1"/>
                <w:color w:val="auto"/>
              </w:rPr>
            </w:pPr>
          </w:p>
        </w:tc>
      </w:tr>
      <w:tr>
        <w:trPr>
          <w:trHeight w:val="210"/>
        </w:trPr>
        <w:tc>
          <w:tcPr>
            <w:tcW w:w="7040" w:type="dxa"/>
            <w:vAlign w:val="bottom"/>
            <w:gridSpan w:val="2"/>
          </w:tcPr>
          <w:p>
            <w:pPr>
              <w:spacing w:after="0"/>
              <w:rPr>
                <w:sz w:val="20"/>
                <w:szCs w:val="20"/>
                <w:color w:val="auto"/>
              </w:rPr>
            </w:pPr>
            <w:r>
              <w:rPr>
                <w:rFonts w:ascii="Arial" w:cs="Arial" w:eastAsia="Arial" w:hAnsi="Arial"/>
                <w:sz w:val="18"/>
                <w:szCs w:val="18"/>
                <w:color w:val="auto"/>
              </w:rPr>
              <w:t>Comprehensive income</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019"/>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For the Years Ended December 31, 2016, 2015, and 2014</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(Amounts and shares in millions, except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020" w:type="dxa"/>
            <w:vAlign w:val="bottom"/>
            <w:gridSpan w:val="4"/>
            <w:vMerge w:val="restart"/>
          </w:tcPr>
          <w:p>
            <w:pPr>
              <w:jc w:val="right"/>
              <w:spacing w:after="0"/>
              <w:rPr>
                <w:sz w:val="20"/>
                <w:szCs w:val="20"/>
                <w:color w:val="auto"/>
              </w:rPr>
            </w:pPr>
            <w:r>
              <w:rPr>
                <w:rFonts w:ascii="Arial" w:cs="Arial" w:eastAsia="Arial" w:hAnsi="Arial"/>
                <w:sz w:val="14"/>
                <w:szCs w:val="14"/>
                <w:b w:val="1"/>
                <w:bCs w:val="1"/>
                <w:color w:val="auto"/>
                <w:w w:val="97"/>
              </w:rPr>
              <w:t>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6"/>
            <w:vMerge w:val="restart"/>
          </w:tcPr>
          <w:p>
            <w:pPr>
              <w:jc w:val="right"/>
              <w:ind w:right="260"/>
              <w:spacing w:after="0"/>
              <w:rPr>
                <w:sz w:val="20"/>
                <w:szCs w:val="20"/>
                <w:color w:val="auto"/>
              </w:rPr>
            </w:pPr>
            <w:r>
              <w:rPr>
                <w:rFonts w:ascii="Arial" w:cs="Arial" w:eastAsia="Arial" w:hAnsi="Arial"/>
                <w:sz w:val="14"/>
                <w:szCs w:val="14"/>
                <w:b w:val="1"/>
                <w:bCs w:val="1"/>
                <w:color w:val="auto"/>
                <w:w w:val="96"/>
              </w:rPr>
              <w:t>Treasury Stock</w:t>
            </w:r>
          </w:p>
        </w:tc>
        <w:tc>
          <w:tcPr>
            <w:tcW w:w="60" w:type="dxa"/>
            <w:vAlign w:val="bottom"/>
          </w:tcPr>
          <w:p>
            <w:pPr>
              <w:spacing w:after="0"/>
              <w:rPr>
                <w:sz w:val="12"/>
                <w:szCs w:val="12"/>
                <w:color w:val="auto"/>
              </w:rPr>
            </w:pPr>
          </w:p>
        </w:tc>
        <w:tc>
          <w:tcPr>
            <w:tcW w:w="76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w w:val="90"/>
              </w:rPr>
              <w:t>Additional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Total</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1020" w:type="dxa"/>
            <w:vAlign w:val="bottom"/>
            <w:gridSpan w:val="4"/>
            <w:vMerge w:val="continue"/>
          </w:tcPr>
          <w:p>
            <w:pPr>
              <w:spacing w:after="0"/>
              <w:rPr>
                <w:sz w:val="5"/>
                <w:szCs w:val="5"/>
                <w:color w:val="auto"/>
              </w:rPr>
            </w:pPr>
          </w:p>
        </w:tc>
        <w:tc>
          <w:tcPr>
            <w:tcW w:w="1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60" w:type="dxa"/>
            <w:vAlign w:val="bottom"/>
            <w:gridSpan w:val="6"/>
            <w:vMerge w:val="continue"/>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4"/>
              </w:rPr>
              <w:t>Paid-In</w:t>
            </w:r>
          </w:p>
        </w:tc>
        <w:tc>
          <w:tcPr>
            <w:tcW w:w="60" w:type="dxa"/>
            <w:vAlign w:val="bottom"/>
          </w:tcPr>
          <w:p>
            <w:pPr>
              <w:spacing w:after="0"/>
              <w:rPr>
                <w:sz w:val="5"/>
                <w:szCs w:val="5"/>
                <w:color w:val="auto"/>
              </w:rPr>
            </w:pPr>
          </w:p>
        </w:tc>
        <w:tc>
          <w:tcPr>
            <w:tcW w:w="700" w:type="dxa"/>
            <w:vAlign w:val="bottom"/>
            <w:gridSpan w:val="3"/>
            <w:vMerge w:val="restart"/>
          </w:tcPr>
          <w:p>
            <w:pPr>
              <w:jc w:val="right"/>
              <w:ind w:right="140"/>
              <w:spacing w:after="0" w:line="149" w:lineRule="exact"/>
              <w:rPr>
                <w:sz w:val="20"/>
                <w:szCs w:val="20"/>
                <w:color w:val="auto"/>
              </w:rPr>
            </w:pPr>
            <w:r>
              <w:rPr>
                <w:rFonts w:ascii="Arial" w:cs="Arial" w:eastAsia="Arial" w:hAnsi="Arial"/>
                <w:sz w:val="14"/>
                <w:szCs w:val="14"/>
                <w:b w:val="1"/>
                <w:bCs w:val="1"/>
                <w:color w:val="auto"/>
                <w:w w:val="91"/>
              </w:rPr>
              <w:t>Retained</w:t>
            </w:r>
          </w:p>
        </w:tc>
        <w:tc>
          <w:tcPr>
            <w:tcW w:w="60" w:type="dxa"/>
            <w:vAlign w:val="bottom"/>
          </w:tcPr>
          <w:p>
            <w:pPr>
              <w:spacing w:after="0"/>
              <w:rPr>
                <w:sz w:val="5"/>
                <w:szCs w:val="5"/>
                <w:color w:val="auto"/>
              </w:rPr>
            </w:pPr>
          </w:p>
        </w:tc>
        <w:tc>
          <w:tcPr>
            <w:tcW w:w="102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5"/>
              </w:rPr>
              <w:t>Comprehensive</w:t>
            </w:r>
          </w:p>
        </w:tc>
        <w:tc>
          <w:tcPr>
            <w:tcW w:w="60" w:type="dxa"/>
            <w:vAlign w:val="bottom"/>
          </w:tcPr>
          <w:p>
            <w:pPr>
              <w:spacing w:after="0"/>
              <w:rPr>
                <w:sz w:val="5"/>
                <w:szCs w:val="5"/>
                <w:color w:val="auto"/>
              </w:rPr>
            </w:pPr>
          </w:p>
        </w:tc>
        <w:tc>
          <w:tcPr>
            <w:tcW w:w="1020" w:type="dxa"/>
            <w:vAlign w:val="bottom"/>
            <w:gridSpan w:val="3"/>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Shareholders'</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400" w:type="dxa"/>
            <w:vAlign w:val="bottom"/>
            <w:tcBorders>
              <w:top w:val="single" w:sz="8" w:color="auto"/>
            </w:tcBorders>
          </w:tcPr>
          <w:p>
            <w:pPr>
              <w:spacing w:after="0"/>
              <w:rPr>
                <w:sz w:val="5"/>
                <w:szCs w:val="5"/>
                <w:color w:val="auto"/>
              </w:rPr>
            </w:pPr>
          </w:p>
        </w:tc>
        <w:tc>
          <w:tcPr>
            <w:tcW w:w="14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120" w:type="dxa"/>
            <w:vAlign w:val="bottom"/>
            <w:tcBorders>
              <w:top w:val="single" w:sz="8" w:color="auto"/>
            </w:tcBorders>
          </w:tcPr>
          <w:p>
            <w:pPr>
              <w:spacing w:after="0"/>
              <w:rPr>
                <w:sz w:val="5"/>
                <w:szCs w:val="5"/>
                <w:color w:val="auto"/>
              </w:rPr>
            </w:pPr>
          </w:p>
        </w:tc>
        <w:tc>
          <w:tcPr>
            <w:tcW w:w="42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60" w:type="dxa"/>
            <w:vAlign w:val="bottom"/>
          </w:tcPr>
          <w:p>
            <w:pPr>
              <w:spacing w:after="0"/>
              <w:rPr>
                <w:sz w:val="5"/>
                <w:szCs w:val="5"/>
                <w:color w:val="auto"/>
              </w:rPr>
            </w:pPr>
          </w:p>
        </w:tc>
        <w:tc>
          <w:tcPr>
            <w:tcW w:w="1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Capital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Earnings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3"/>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Balance at December 31, 2013</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1,132</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5"/>
              </w:rPr>
              <w:t>—</w:t>
            </w:r>
          </w:p>
        </w:tc>
        <w:tc>
          <w:tcPr>
            <w:tcW w:w="7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(429)</w:t>
            </w:r>
          </w:p>
        </w:tc>
        <w:tc>
          <w:tcPr>
            <w:tcW w:w="180" w:type="dxa"/>
            <w:vAlign w:val="bottom"/>
            <w:gridSpan w:val="2"/>
            <w:shd w:val="clear" w:color="auto" w:fill="CCEEFF"/>
          </w:tcPr>
          <w:p>
            <w:pPr>
              <w:jc w:val="right"/>
              <w:ind w:right="4"/>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(5,814)</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9,682</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2,686</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68</w:t>
            </w:r>
          </w:p>
        </w:tc>
        <w:tc>
          <w:tcPr>
            <w:tcW w:w="10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24"/>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6,622</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Components of comprehensive income:</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120"/>
              <w:spacing w:after="0" w:line="149" w:lineRule="exact"/>
              <w:rPr>
                <w:sz w:val="20"/>
                <w:szCs w:val="20"/>
                <w:color w:val="auto"/>
              </w:rPr>
            </w:pPr>
            <w:r>
              <w:rPr>
                <w:rFonts w:ascii="Arial" w:cs="Arial" w:eastAsia="Arial" w:hAnsi="Arial"/>
                <w:sz w:val="14"/>
                <w:szCs w:val="14"/>
                <w:color w:val="auto"/>
              </w:rPr>
              <w:t>Other comprehensive income (loss)</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(371)</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(371)</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Issuance of common stock pursuant to employee</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stock options</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w w:val="96"/>
              </w:rPr>
              <w:t>Issuance of common stock pursuant to restricted</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stock rights</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7"/>
              </w:rPr>
              <w:t>Restricted stock surrendered for employees' tax</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liability</w:t>
            </w:r>
          </w:p>
        </w:tc>
        <w:tc>
          <w:tcPr>
            <w:tcW w:w="540" w:type="dxa"/>
            <w:vAlign w:val="bottom"/>
            <w:gridSpan w:val="2"/>
            <w:shd w:val="clear" w:color="auto" w:fill="CCEEFF"/>
          </w:tcPr>
          <w:p>
            <w:pPr>
              <w:jc w:val="right"/>
              <w:ind w:right="40"/>
              <w:spacing w:after="0" w:line="159" w:lineRule="exact"/>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60"/>
              <w:spacing w:after="0" w:line="159" w:lineRule="exact"/>
              <w:rPr>
                <w:sz w:val="20"/>
                <w:szCs w:val="20"/>
                <w:color w:val="auto"/>
              </w:rPr>
            </w:pPr>
            <w:r>
              <w:rPr>
                <w:rFonts w:ascii="Arial" w:cs="Arial" w:eastAsia="Arial" w:hAnsi="Arial"/>
                <w:sz w:val="14"/>
                <w:szCs w:val="14"/>
                <w:color w:val="auto"/>
              </w:rPr>
              <w:t>(66)</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rPr>
              <w:t>Tax benefit associated with employee stock</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awards</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30</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Share-based compensation expense related to</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employee stock options and restricted stock</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rights</w:t>
            </w: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106</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106</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Arial" w:cs="Arial" w:eastAsia="Arial" w:hAnsi="Arial"/>
                <w:sz w:val="14"/>
                <w:szCs w:val="14"/>
                <w:color w:val="auto"/>
              </w:rPr>
              <w:t>Dividends ($0.20 per common share)</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(147)</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3"/>
              </w:rPr>
              <w:t>Indemnity on tax attributes assumed in connection</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with the Purchase Transaction (see Note 15)</w:t>
            </w: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Balance at December 31, 2014</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ind w:right="284"/>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(5,762)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9,924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jc w:val="right"/>
              <w:ind w:right="61"/>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3,374</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(303)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4"/>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7,233</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Components of comprehensive income:</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comprehensive income (loss)</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(330)</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w w:val="95"/>
              </w:rPr>
              <w:t>Issuance of common stock pursuant to employee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stock options</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common stock pursuant to restricted</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stock rights</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w w:val="97"/>
              </w:rPr>
              <w:t>Restricted stock surrendered for employees' tax</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liability</w:t>
            </w:r>
          </w:p>
        </w:tc>
        <w:tc>
          <w:tcPr>
            <w:tcW w:w="5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(83)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(83)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Tax benefit associated with employee stock</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awards</w:t>
            </w: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w w:val="99"/>
              </w:rPr>
              <w:t>Share-based compensation expense related to</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120"/>
              <w:spacing w:after="0" w:line="149" w:lineRule="exact"/>
              <w:rPr>
                <w:sz w:val="20"/>
                <w:szCs w:val="20"/>
                <w:color w:val="auto"/>
              </w:rPr>
            </w:pPr>
            <w:r>
              <w:rPr>
                <w:rFonts w:ascii="Arial" w:cs="Arial" w:eastAsia="Arial" w:hAnsi="Arial"/>
                <w:sz w:val="14"/>
                <w:szCs w:val="14"/>
                <w:color w:val="auto"/>
              </w:rPr>
              <w:t>employee stock options and restricted stock</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rights</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95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95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($0.23 per common share)</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(170)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w w:val="93"/>
              </w:rPr>
              <w:t>Indemnity on tax attributes assumed in connection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with the Purchase Transaction (see Note 15)</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jc w:val="right"/>
              <w:spacing w:after="0" w:line="159" w:lineRule="exact"/>
              <w:rPr>
                <w:sz w:val="20"/>
                <w:szCs w:val="20"/>
                <w:color w:val="auto"/>
              </w:rPr>
            </w:pPr>
            <w:r>
              <w:rPr>
                <w:rFonts w:ascii="Arial" w:cs="Arial" w:eastAsia="Arial" w:hAnsi="Arial"/>
                <w:sz w:val="14"/>
                <w:szCs w:val="14"/>
                <w:color w:val="auto"/>
              </w:rPr>
              <w:t>58</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Shareholder settlement in connection with the</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Purchase Transaction (see Note 19)</w:t>
            </w: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67</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202</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ind w:left="120"/>
              <w:spacing w:after="0" w:line="142" w:lineRule="exact"/>
              <w:rPr>
                <w:sz w:val="20"/>
                <w:szCs w:val="20"/>
                <w:color w:val="auto"/>
              </w:rPr>
            </w:pPr>
            <w:r>
              <w:rPr>
                <w:rFonts w:ascii="Arial" w:cs="Arial" w:eastAsia="Arial" w:hAnsi="Arial"/>
                <w:sz w:val="14"/>
                <w:szCs w:val="14"/>
                <w:b w:val="1"/>
                <w:bCs w:val="1"/>
                <w:color w:val="auto"/>
              </w:rPr>
              <w:t>Balance at December 31, 2015</w:t>
            </w: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1,163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Borders>
              <w:top w:val="single" w:sz="8" w:color="auto"/>
            </w:tcBorders>
          </w:tcPr>
          <w:p>
            <w:pPr>
              <w:jc w:val="right"/>
              <w:ind w:right="284"/>
              <w:spacing w:after="0"/>
              <w:rPr>
                <w:sz w:val="20"/>
                <w:szCs w:val="20"/>
                <w:color w:val="auto"/>
              </w:rPr>
            </w:pPr>
            <w:r>
              <w:rPr>
                <w:rFonts w:ascii="Arial" w:cs="Arial" w:eastAsia="Arial" w:hAnsi="Arial"/>
                <w:sz w:val="10"/>
                <w:szCs w:val="10"/>
                <w:b w:val="1"/>
                <w:bCs w:val="1"/>
                <w:color w:val="auto"/>
                <w:w w:val="71"/>
              </w:rPr>
              <w:t>$</w:t>
            </w:r>
          </w:p>
        </w:tc>
        <w:tc>
          <w:tcPr>
            <w:tcW w:w="140" w:type="dxa"/>
            <w:vAlign w:val="bottom"/>
            <w:tcBorders>
              <w:top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5"/>
              </w:rPr>
              <w:t>—</w:t>
            </w:r>
          </w:p>
        </w:tc>
        <w:tc>
          <w:tcPr>
            <w:tcW w:w="16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jc w:val="right"/>
              <w:ind w:right="4"/>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0"/>
              </w:rPr>
              <w:t>(5,637)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5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10,242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Borders>
              <w:top w:val="single" w:sz="8" w:color="auto"/>
            </w:tcBorders>
          </w:tcPr>
          <w:p>
            <w:pPr>
              <w:jc w:val="right"/>
              <w:ind w:right="61"/>
              <w:spacing w:after="0"/>
              <w:rPr>
                <w:sz w:val="20"/>
                <w:szCs w:val="20"/>
                <w:color w:val="auto"/>
              </w:rPr>
            </w:pPr>
            <w:r>
              <w:rPr>
                <w:rFonts w:ascii="Arial" w:cs="Arial" w:eastAsia="Arial" w:hAnsi="Arial"/>
                <w:sz w:val="10"/>
                <w:szCs w:val="10"/>
                <w:b w:val="1"/>
                <w:bCs w:val="1"/>
                <w:color w:val="auto"/>
                <w:w w:val="71"/>
              </w:rPr>
              <w:t>$</w:t>
            </w:r>
          </w:p>
        </w:tc>
        <w:tc>
          <w:tcPr>
            <w:tcW w:w="4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4,096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Borders>
              <w:top w:val="single" w:sz="8" w:color="auto"/>
            </w:tcBorders>
          </w:tcPr>
          <w:p>
            <w:pPr>
              <w:spacing w:after="0"/>
              <w:rPr>
                <w:sz w:val="20"/>
                <w:szCs w:val="20"/>
                <w:color w:val="auto"/>
              </w:rPr>
            </w:pPr>
            <w:r>
              <w:rPr>
                <w:rFonts w:ascii="Arial" w:cs="Arial" w:eastAsia="Arial" w:hAnsi="Arial"/>
                <w:sz w:val="10"/>
                <w:szCs w:val="10"/>
                <w:b w:val="1"/>
                <w:bCs w:val="1"/>
                <w:color w:val="auto"/>
                <w:w w:val="71"/>
              </w:rPr>
              <w:t>$</w:t>
            </w:r>
          </w:p>
        </w:tc>
        <w:tc>
          <w:tcPr>
            <w:tcW w:w="8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(633)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tcBorders>
          </w:tcPr>
          <w:p>
            <w:pPr>
              <w:jc w:val="right"/>
              <w:ind w:right="24"/>
              <w:spacing w:after="0"/>
              <w:rPr>
                <w:sz w:val="20"/>
                <w:szCs w:val="20"/>
                <w:color w:val="auto"/>
              </w:rPr>
            </w:pPr>
            <w:r>
              <w:rPr>
                <w:rFonts w:ascii="Arial" w:cs="Arial" w:eastAsia="Arial" w:hAnsi="Arial"/>
                <w:sz w:val="10"/>
                <w:szCs w:val="10"/>
                <w:b w:val="1"/>
                <w:bCs w:val="1"/>
                <w:color w:val="auto"/>
                <w:w w:val="71"/>
              </w:rPr>
              <w:t>$</w:t>
            </w:r>
          </w:p>
        </w:tc>
        <w:tc>
          <w:tcPr>
            <w:tcW w:w="7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8,068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Components of comprehensive income:</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ind w:left="120"/>
              <w:spacing w:after="0" w:line="149" w:lineRule="exact"/>
              <w:rPr>
                <w:sz w:val="20"/>
                <w:szCs w:val="20"/>
                <w:color w:val="auto"/>
              </w:rPr>
            </w:pPr>
            <w:r>
              <w:rPr>
                <w:rFonts w:ascii="Arial" w:cs="Arial" w:eastAsia="Arial" w:hAnsi="Arial"/>
                <w:sz w:val="14"/>
                <w:szCs w:val="14"/>
                <w:color w:val="auto"/>
              </w:rPr>
              <w:t>Net income</w:t>
            </w:r>
          </w:p>
        </w:tc>
        <w:tc>
          <w:tcPr>
            <w:tcW w:w="5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966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966</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Other comprehensive income (loss)</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w w:val="95"/>
              </w:rPr>
              <w:t>Issuance of common stock pursuant to employee</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stock options</w:t>
            </w:r>
          </w:p>
        </w:tc>
        <w:tc>
          <w:tcPr>
            <w:tcW w:w="460" w:type="dxa"/>
            <w:vAlign w:val="bottom"/>
          </w:tcPr>
          <w:p>
            <w:pPr>
              <w:jc w:val="right"/>
              <w:spacing w:after="0" w:line="159" w:lineRule="exact"/>
              <w:rPr>
                <w:sz w:val="20"/>
                <w:szCs w:val="20"/>
                <w:color w:val="auto"/>
              </w:rPr>
            </w:pPr>
            <w:r>
              <w:rPr>
                <w:rFonts w:ascii="Arial" w:cs="Arial" w:eastAsia="Arial" w:hAnsi="Arial"/>
                <w:sz w:val="14"/>
                <w:szCs w:val="14"/>
                <w:color w:val="auto"/>
              </w:rPr>
              <w:t>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105</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105</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common stock pursuant to restricted</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stock rights</w:t>
            </w:r>
          </w:p>
        </w:tc>
        <w:tc>
          <w:tcPr>
            <w:tcW w:w="4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w w:val="97"/>
              </w:rPr>
              <w:t>Restricted stock surrendered for employees' tax</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liability</w:t>
            </w:r>
          </w:p>
        </w:tc>
        <w:tc>
          <w:tcPr>
            <w:tcW w:w="540" w:type="dxa"/>
            <w:vAlign w:val="bottom"/>
            <w:gridSpan w:val="2"/>
          </w:tcPr>
          <w:p>
            <w:pPr>
              <w:jc w:val="right"/>
              <w:ind w:right="40"/>
              <w:spacing w:after="0" w:line="159" w:lineRule="exact"/>
              <w:rPr>
                <w:sz w:val="20"/>
                <w:szCs w:val="20"/>
                <w:color w:val="auto"/>
              </w:rPr>
            </w:pPr>
            <w:r>
              <w:rPr>
                <w:rFonts w:ascii="Arial" w:cs="Arial" w:eastAsia="Arial" w:hAnsi="Arial"/>
                <w:sz w:val="14"/>
                <w:szCs w:val="14"/>
                <w:color w:val="auto"/>
              </w:rPr>
              <w:t>(3)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gridSpan w:val="2"/>
          </w:tcPr>
          <w:p>
            <w:pPr>
              <w:jc w:val="right"/>
              <w:ind w:right="60"/>
              <w:spacing w:after="0" w:line="159" w:lineRule="exact"/>
              <w:rPr>
                <w:sz w:val="20"/>
                <w:szCs w:val="20"/>
                <w:color w:val="auto"/>
              </w:rPr>
            </w:pPr>
            <w:r>
              <w:rPr>
                <w:rFonts w:ascii="Arial" w:cs="Arial" w:eastAsia="Arial" w:hAnsi="Arial"/>
                <w:sz w:val="14"/>
                <w:szCs w:val="14"/>
                <w:color w:val="auto"/>
              </w:rPr>
              <w:t>(116)</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Share-based compensation expense related to</w:t>
            </w: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employee stock options and restricted stock</w:t>
            </w: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rights</w:t>
            </w:r>
          </w:p>
        </w:tc>
        <w:tc>
          <w:tcPr>
            <w:tcW w:w="54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135</w:t>
            </w:r>
          </w:p>
        </w:tc>
        <w:tc>
          <w:tcPr>
            <w:tcW w:w="1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w w:val="91"/>
              </w:rPr>
              <w:t>Share-based compensation assumed in acquisition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(see Note 21)</w:t>
            </w:r>
          </w:p>
        </w:tc>
        <w:tc>
          <w:tcPr>
            <w:tcW w:w="54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56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jc w:val="right"/>
              <w:spacing w:after="0" w:line="159" w:lineRule="exact"/>
              <w:rPr>
                <w:sz w:val="20"/>
                <w:szCs w:val="20"/>
                <w:color w:val="auto"/>
              </w:rPr>
            </w:pPr>
            <w:r>
              <w:rPr>
                <w:rFonts w:ascii="Arial" w:cs="Arial" w:eastAsia="Arial" w:hAnsi="Arial"/>
                <w:sz w:val="14"/>
                <w:szCs w:val="14"/>
                <w:color w:val="auto"/>
              </w:rPr>
              <w:t>76</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gridSpan w:val="2"/>
          </w:tcPr>
          <w:p>
            <w:pPr>
              <w:jc w:val="right"/>
              <w:ind w:right="100"/>
              <w:spacing w:after="0" w:line="15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76</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Dividends ($0.26 per common share)</w:t>
            </w:r>
          </w:p>
        </w:tc>
        <w:tc>
          <w:tcPr>
            <w:tcW w:w="5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5"/>
              </w:rPr>
              <w:t>—</w:t>
            </w:r>
          </w:p>
        </w:tc>
        <w:tc>
          <w:tcPr>
            <w:tcW w:w="16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(193)</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920" w:type="dxa"/>
            <w:vAlign w:val="bottom"/>
          </w:tcPr>
          <w:p>
            <w:pPr>
              <w:spacing w:after="0" w:line="138" w:lineRule="exact"/>
              <w:rPr>
                <w:sz w:val="20"/>
                <w:szCs w:val="20"/>
                <w:color w:val="auto"/>
              </w:rPr>
            </w:pPr>
            <w:r>
              <w:rPr>
                <w:rFonts w:ascii="Arial" w:cs="Arial" w:eastAsia="Arial" w:hAnsi="Arial"/>
                <w:sz w:val="14"/>
                <w:szCs w:val="14"/>
                <w:color w:val="auto"/>
                <w:w w:val="93"/>
              </w:rPr>
              <w:t>Indemnity on tax attributes assumed in connection</w:t>
            </w: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920" w:type="dxa"/>
            <w:vAlign w:val="bottom"/>
          </w:tcPr>
          <w:p>
            <w:pPr>
              <w:ind w:left="120"/>
              <w:spacing w:after="0" w:line="159" w:lineRule="exact"/>
              <w:rPr>
                <w:sz w:val="20"/>
                <w:szCs w:val="20"/>
                <w:color w:val="auto"/>
              </w:rPr>
            </w:pPr>
            <w:r>
              <w:rPr>
                <w:rFonts w:ascii="Arial" w:cs="Arial" w:eastAsia="Arial" w:hAnsi="Arial"/>
                <w:sz w:val="14"/>
                <w:szCs w:val="14"/>
                <w:color w:val="auto"/>
              </w:rPr>
              <w:t>with the Purchase Transaction (see Note 15)</w:t>
            </w: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line="159" w:lineRule="exact"/>
              <w:rPr>
                <w:sz w:val="20"/>
                <w:szCs w:val="20"/>
                <w:color w:val="auto"/>
              </w:rPr>
            </w:pPr>
            <w:r>
              <w:rPr>
                <w:rFonts w:ascii="Arial" w:cs="Arial" w:eastAsia="Arial" w:hAnsi="Arial"/>
                <w:sz w:val="14"/>
                <w:szCs w:val="14"/>
                <w:color w:val="auto"/>
                <w:w w:val="85"/>
              </w:rPr>
              <w:t>—</w:t>
            </w:r>
          </w:p>
        </w:tc>
        <w:tc>
          <w:tcPr>
            <w:tcW w:w="160" w:type="dxa"/>
            <w:vAlign w:val="bottom"/>
          </w:tcPr>
          <w:p>
            <w:pPr>
              <w:spacing w:after="0"/>
              <w:rPr>
                <w:sz w:val="13"/>
                <w:szCs w:val="13"/>
                <w:color w:val="auto"/>
              </w:rPr>
            </w:pPr>
          </w:p>
        </w:tc>
        <w:tc>
          <w:tcPr>
            <w:tcW w:w="4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74</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line="159" w:lineRule="exact"/>
              <w:rPr>
                <w:sz w:val="20"/>
                <w:szCs w:val="20"/>
                <w:color w:val="auto"/>
              </w:rPr>
            </w:pPr>
            <w:r>
              <w:rPr>
                <w:rFonts w:ascii="Arial" w:cs="Arial" w:eastAsia="Arial" w:hAnsi="Arial"/>
                <w:sz w:val="14"/>
                <w:szCs w:val="14"/>
                <w:color w:val="auto"/>
              </w:rPr>
              <w:t>74</w:t>
            </w: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ind w:left="120"/>
              <w:spacing w:after="0" w:line="142" w:lineRule="exact"/>
              <w:rPr>
                <w:sz w:val="20"/>
                <w:szCs w:val="20"/>
                <w:color w:val="auto"/>
              </w:rPr>
            </w:pPr>
            <w:r>
              <w:rPr>
                <w:rFonts w:ascii="Arial" w:cs="Arial" w:eastAsia="Arial" w:hAnsi="Arial"/>
                <w:sz w:val="14"/>
                <w:szCs w:val="14"/>
                <w:b w:val="1"/>
                <w:bCs w:val="1"/>
                <w:color w:val="auto"/>
              </w:rPr>
              <w:t>Balance at December 31, 2016</w:t>
            </w:r>
          </w:p>
        </w:tc>
        <w:tc>
          <w:tcPr>
            <w:tcW w:w="4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1,174</w:t>
            </w:r>
          </w:p>
        </w:tc>
        <w:tc>
          <w:tcPr>
            <w:tcW w:w="80" w:type="dxa"/>
            <w:vAlign w:val="bottom"/>
            <w:shd w:val="clear" w:color="auto" w:fill="CCEEFF"/>
          </w:tcPr>
          <w:p>
            <w:pPr>
              <w:spacing w:after="0"/>
              <w:rPr>
                <w:sz w:val="12"/>
                <w:szCs w:val="12"/>
                <w:color w:val="auto"/>
              </w:rPr>
            </w:pPr>
          </w:p>
        </w:tc>
        <w:tc>
          <w:tcPr>
            <w:tcW w:w="480" w:type="dxa"/>
            <w:vAlign w:val="bottom"/>
            <w:gridSpan w:val="2"/>
            <w:shd w:val="clear" w:color="auto" w:fill="CCEEFF"/>
          </w:tcPr>
          <w:p>
            <w:pPr>
              <w:jc w:val="right"/>
              <w:ind w:right="284"/>
              <w:spacing w:after="0" w:line="142"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85"/>
              </w:rPr>
              <w:t>—</w:t>
            </w:r>
          </w:p>
        </w:tc>
        <w:tc>
          <w:tcPr>
            <w:tcW w:w="720" w:type="dxa"/>
            <w:vAlign w:val="bottom"/>
            <w:gridSpan w:val="3"/>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(429)</w:t>
            </w:r>
          </w:p>
        </w:tc>
        <w:tc>
          <w:tcPr>
            <w:tcW w:w="180" w:type="dxa"/>
            <w:vAlign w:val="bottom"/>
            <w:gridSpan w:val="2"/>
            <w:shd w:val="clear" w:color="auto" w:fill="CCEEFF"/>
          </w:tcPr>
          <w:p>
            <w:pPr>
              <w:jc w:val="right"/>
              <w:ind w:right="4"/>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w w:val="99"/>
              </w:rPr>
              <w:t>(5,563)</w:t>
            </w:r>
          </w:p>
        </w:tc>
        <w:tc>
          <w:tcPr>
            <w:tcW w:w="14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10,442</w:t>
            </w:r>
          </w:p>
        </w:tc>
        <w:tc>
          <w:tcPr>
            <w:tcW w:w="10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61"/>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4,869</w:t>
            </w:r>
          </w:p>
        </w:tc>
        <w:tc>
          <w:tcPr>
            <w:tcW w:w="100" w:type="dxa"/>
            <w:vAlign w:val="bottom"/>
            <w:shd w:val="clear" w:color="auto" w:fill="CCEEFF"/>
          </w:tcPr>
          <w:p>
            <w:pPr>
              <w:spacing w:after="0"/>
              <w:rPr>
                <w:sz w:val="12"/>
                <w:szCs w:val="12"/>
                <w:color w:val="auto"/>
              </w:rPr>
            </w:pPr>
          </w:p>
        </w:tc>
        <w:tc>
          <w:tcPr>
            <w:tcW w:w="120" w:type="dxa"/>
            <w:vAlign w:val="bottom"/>
            <w:gridSpan w:val="2"/>
            <w:shd w:val="clear" w:color="auto" w:fill="CCEEFF"/>
          </w:tcPr>
          <w:p>
            <w:pPr>
              <w:ind w:left="60"/>
              <w:spacing w:after="0"/>
              <w:rPr>
                <w:sz w:val="20"/>
                <w:szCs w:val="20"/>
                <w:color w:val="auto"/>
              </w:rPr>
            </w:pPr>
            <w:r>
              <w:rPr>
                <w:rFonts w:ascii="Arial" w:cs="Arial" w:eastAsia="Arial" w:hAnsi="Arial"/>
                <w:sz w:val="10"/>
                <w:szCs w:val="10"/>
                <w:b w:val="1"/>
                <w:bCs w:val="1"/>
                <w:color w:val="auto"/>
                <w:w w:val="71"/>
              </w:rPr>
              <w:t>$</w:t>
            </w:r>
          </w:p>
        </w:tc>
        <w:tc>
          <w:tcPr>
            <w:tcW w:w="960" w:type="dxa"/>
            <w:vAlign w:val="bottom"/>
            <w:gridSpan w:val="2"/>
            <w:shd w:val="clear" w:color="auto" w:fill="CCEEFF"/>
          </w:tcPr>
          <w:p>
            <w:pPr>
              <w:jc w:val="right"/>
              <w:ind w:right="60"/>
              <w:spacing w:after="0" w:line="142" w:lineRule="exact"/>
              <w:rPr>
                <w:sz w:val="20"/>
                <w:szCs w:val="20"/>
                <w:color w:val="auto"/>
              </w:rPr>
            </w:pPr>
            <w:r>
              <w:rPr>
                <w:rFonts w:ascii="Arial" w:cs="Arial" w:eastAsia="Arial" w:hAnsi="Arial"/>
                <w:sz w:val="14"/>
                <w:szCs w:val="14"/>
                <w:b w:val="1"/>
                <w:bCs w:val="1"/>
                <w:color w:val="auto"/>
              </w:rPr>
              <w:t>(629)</w:t>
            </w:r>
          </w:p>
        </w:tc>
        <w:tc>
          <w:tcPr>
            <w:tcW w:w="200" w:type="dxa"/>
            <w:vAlign w:val="bottom"/>
            <w:gridSpan w:val="2"/>
            <w:shd w:val="clear" w:color="auto" w:fill="CCEEFF"/>
          </w:tcPr>
          <w:p>
            <w:pPr>
              <w:jc w:val="right"/>
              <w:ind w:right="24"/>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9,119</w:t>
            </w:r>
          </w:p>
        </w:tc>
        <w:tc>
          <w:tcPr>
            <w:tcW w:w="1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(Amounts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8"/>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4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Cash flows from operating activities: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Net income</w:t>
            </w:r>
          </w:p>
        </w:tc>
        <w:tc>
          <w:tcPr>
            <w:tcW w:w="4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966</w:t>
            </w:r>
          </w:p>
        </w:tc>
        <w:tc>
          <w:tcPr>
            <w:tcW w:w="10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892</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835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Adjustments to reconcile net income to net cash provided by operating activities: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Deferred income taxes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(44)</w:t>
            </w: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Provision for inventories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Depreciation and amortization</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829</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90</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Amortization of capitalized software development costs and intellectual property licenses(1)</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256</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Premium payment for early redemption of note (see Note 11)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63</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Amortization of debt discount, financing costs, and non-cash write-off due to extinguishment of debts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Share-based compensation expense(2)</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92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Other</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Changes in operating assets and liabilities, net of effect from business acquisitions: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Accounts receivable, net</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(177)</w:t>
            </w: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Software development and intellectual property licenses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(362)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(349)</w:t>
            </w: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Other assets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Deferred revenues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w:t>
            </w: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400" w:type="dxa"/>
            <w:vAlign w:val="bottom"/>
            <w:gridSpan w:val="2"/>
          </w:tcPr>
          <w:p>
            <w:pPr>
              <w:ind w:left="60"/>
              <w:spacing w:after="0" w:line="149" w:lineRule="exact"/>
              <w:rPr>
                <w:sz w:val="20"/>
                <w:szCs w:val="20"/>
                <w:color w:val="auto"/>
              </w:rPr>
            </w:pPr>
            <w:r>
              <w:rPr>
                <w:rFonts w:ascii="Arial" w:cs="Arial" w:eastAsia="Arial" w:hAnsi="Arial"/>
                <w:sz w:val="14"/>
                <w:szCs w:val="14"/>
                <w:color w:val="auto"/>
              </w:rPr>
              <w:t>Accounts payable</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(12)</w:t>
            </w:r>
          </w:p>
        </w:tc>
      </w:tr>
      <w:tr>
        <w:trPr>
          <w:trHeight w:val="149"/>
        </w:trPr>
        <w:tc>
          <w:tcPr>
            <w:tcW w:w="20" w:type="dxa"/>
            <w:vAlign w:val="bottom"/>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400" w:type="dxa"/>
            <w:vAlign w:val="bottom"/>
            <w:gridSpan w:val="2"/>
            <w:shd w:val="clear" w:color="auto" w:fill="CCEEFF"/>
          </w:tcPr>
          <w:p>
            <w:pPr>
              <w:ind w:left="60"/>
              <w:spacing w:after="0" w:line="149" w:lineRule="exact"/>
              <w:rPr>
                <w:sz w:val="20"/>
                <w:szCs w:val="20"/>
                <w:color w:val="auto"/>
              </w:rPr>
            </w:pPr>
            <w:r>
              <w:rPr>
                <w:rFonts w:ascii="Arial" w:cs="Arial" w:eastAsia="Arial" w:hAnsi="Arial"/>
                <w:sz w:val="14"/>
                <w:szCs w:val="14"/>
                <w:color w:val="auto"/>
              </w:rPr>
              <w:t>Accrued expenses and other liabilities</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233</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w:t>
            </w:r>
          </w:p>
        </w:tc>
        <w:tc>
          <w:tcPr>
            <w:tcW w:w="1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gridSpan w:val="3"/>
          </w:tcPr>
          <w:p>
            <w:pPr>
              <w:ind w:left="14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3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2,155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1,259</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1,331</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Cash flows from investing activities: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Proceeds from maturities of available-for-sale investments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21</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Purchases of available-for-sale investments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(145)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6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Acquisition of business, net of cash acquired (see Note 21)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(4,588)</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6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Release (deposit) of cash in escrow</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3,561</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(3,561)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6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Capital expenditures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(107)</w:t>
            </w:r>
          </w:p>
        </w:tc>
      </w:tr>
      <w:tr>
        <w:trPr>
          <w:trHeight w:val="149"/>
        </w:trPr>
        <w:tc>
          <w:tcPr>
            <w:tcW w:w="20" w:type="dxa"/>
            <w:vAlign w:val="bottom"/>
          </w:tcPr>
          <w:p>
            <w:pPr>
              <w:spacing w:after="0"/>
              <w:rPr>
                <w:sz w:val="12"/>
                <w:szCs w:val="12"/>
                <w:color w:val="auto"/>
              </w:rPr>
            </w:pPr>
          </w:p>
        </w:tc>
        <w:tc>
          <w:tcPr>
            <w:tcW w:w="66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Other investing activities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60" w:type="dxa"/>
            <w:vAlign w:val="bottom"/>
            <w:shd w:val="clear" w:color="auto" w:fill="CCEEFF"/>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gridSpan w:val="3"/>
          </w:tcPr>
          <w:p>
            <w:pPr>
              <w:ind w:left="140"/>
              <w:spacing w:after="0" w:line="142" w:lineRule="exact"/>
              <w:rPr>
                <w:sz w:val="20"/>
                <w:szCs w:val="20"/>
                <w:color w:val="auto"/>
              </w:rPr>
            </w:pPr>
            <w:r>
              <w:rPr>
                <w:rFonts w:ascii="Arial" w:cs="Arial" w:eastAsia="Arial" w:hAnsi="Arial"/>
                <w:sz w:val="14"/>
                <w:szCs w:val="14"/>
                <w:color w:val="auto"/>
              </w:rPr>
              <w:t>Net cash used in investing activities</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(1,177)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(3,716)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(84)</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Cash flows from financing activities: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Proceeds from issuance of common stock to employees</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106</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175</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Tax payment related to net share settlements on restricted stock rights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(66)</w:t>
            </w:r>
          </w:p>
        </w:tc>
      </w:tr>
      <w:tr>
        <w:trPr>
          <w:trHeight w:val="149"/>
        </w:trPr>
        <w:tc>
          <w:tcPr>
            <w:tcW w:w="20" w:type="dxa"/>
            <w:vAlign w:val="bottom"/>
          </w:tcPr>
          <w:p>
            <w:pPr>
              <w:spacing w:after="0"/>
              <w:rPr>
                <w:sz w:val="12"/>
                <w:szCs w:val="12"/>
                <w:color w:val="auto"/>
              </w:rPr>
            </w:pPr>
          </w:p>
        </w:tc>
        <w:tc>
          <w:tcPr>
            <w:tcW w:w="66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Dividends paid</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(147)</w:t>
            </w:r>
          </w:p>
        </w:tc>
      </w:tr>
      <w:tr>
        <w:trPr>
          <w:trHeight w:val="149"/>
        </w:trPr>
        <w:tc>
          <w:tcPr>
            <w:tcW w:w="20" w:type="dxa"/>
            <w:vAlign w:val="bottom"/>
          </w:tcPr>
          <w:p>
            <w:pPr>
              <w:spacing w:after="0"/>
              <w:rPr>
                <w:sz w:val="12"/>
                <w:szCs w:val="12"/>
                <w:color w:val="auto"/>
              </w:rPr>
            </w:pPr>
          </w:p>
        </w:tc>
        <w:tc>
          <w:tcPr>
            <w:tcW w:w="66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from debt issuances, net of discounts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6,878</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6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Repayment of long-term debt</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(6,104)</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(250)</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(375)</w:t>
            </w:r>
          </w:p>
        </w:tc>
      </w:tr>
      <w:tr>
        <w:trPr>
          <w:trHeight w:val="149"/>
        </w:trPr>
        <w:tc>
          <w:tcPr>
            <w:tcW w:w="20" w:type="dxa"/>
            <w:vAlign w:val="bottom"/>
          </w:tcPr>
          <w:p>
            <w:pPr>
              <w:spacing w:after="0"/>
              <w:rPr>
                <w:sz w:val="12"/>
                <w:szCs w:val="12"/>
                <w:color w:val="auto"/>
              </w:rPr>
            </w:pPr>
          </w:p>
        </w:tc>
        <w:tc>
          <w:tcPr>
            <w:tcW w:w="66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Debt financing costs related to debt issuances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620" w:type="dxa"/>
            <w:vAlign w:val="bottom"/>
            <w:gridSpan w:val="3"/>
          </w:tcPr>
          <w:p>
            <w:pPr>
              <w:ind w:left="140"/>
              <w:spacing w:after="0" w:line="149" w:lineRule="exact"/>
              <w:rPr>
                <w:sz w:val="20"/>
                <w:szCs w:val="20"/>
                <w:color w:val="auto"/>
              </w:rPr>
            </w:pPr>
            <w:r>
              <w:rPr>
                <w:rFonts w:ascii="Arial" w:cs="Arial" w:eastAsia="Arial" w:hAnsi="Arial"/>
                <w:sz w:val="14"/>
                <w:szCs w:val="14"/>
                <w:color w:val="auto"/>
              </w:rPr>
              <w:t>Premium payment for early redemption of note (see Note 11)</w:t>
            </w:r>
          </w:p>
        </w:tc>
        <w:tc>
          <w:tcPr>
            <w:tcW w:w="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(63)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6620" w:type="dxa"/>
            <w:vAlign w:val="bottom"/>
            <w:gridSpan w:val="3"/>
            <w:shd w:val="clear" w:color="auto" w:fill="CCEEFF"/>
          </w:tcPr>
          <w:p>
            <w:pPr>
              <w:ind w:left="140"/>
              <w:spacing w:after="0" w:line="149" w:lineRule="exact"/>
              <w:rPr>
                <w:sz w:val="20"/>
                <w:szCs w:val="20"/>
                <w:color w:val="auto"/>
              </w:rPr>
            </w:pPr>
            <w:r>
              <w:rPr>
                <w:rFonts w:ascii="Arial" w:cs="Arial" w:eastAsia="Arial" w:hAnsi="Arial"/>
                <w:sz w:val="14"/>
                <w:szCs w:val="14"/>
                <w:color w:val="auto"/>
              </w:rPr>
              <w:t>Proceeds received from shareholder settlement (see Note 19)</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6620" w:type="dxa"/>
            <w:vAlign w:val="bottom"/>
            <w:gridSpan w:val="3"/>
          </w:tcPr>
          <w:p>
            <w:pPr>
              <w:ind w:left="14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3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500</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(202)</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(413)</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6620" w:type="dxa"/>
            <w:vAlign w:val="bottom"/>
            <w:gridSpan w:val="3"/>
            <w:shd w:val="clear" w:color="auto" w:fill="CCEEFF"/>
          </w:tcPr>
          <w:p>
            <w:pPr>
              <w:spacing w:after="0" w:line="142" w:lineRule="exact"/>
              <w:rPr>
                <w:sz w:val="20"/>
                <w:szCs w:val="20"/>
                <w:color w:val="auto"/>
              </w:rPr>
            </w:pPr>
            <w:r>
              <w:rPr>
                <w:rFonts w:ascii="Arial" w:cs="Arial" w:eastAsia="Arial" w:hAnsi="Arial"/>
                <w:sz w:val="14"/>
                <w:szCs w:val="14"/>
                <w:color w:val="auto"/>
              </w:rPr>
              <w:t>Effect of foreign exchange rate changes on cash and cash equivalents</w:t>
            </w:r>
          </w:p>
        </w:tc>
        <w:tc>
          <w:tcPr>
            <w:tcW w:w="3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spacing w:after="0" w:line="142" w:lineRule="exact"/>
              <w:rPr>
                <w:sz w:val="20"/>
                <w:szCs w:val="20"/>
                <w:color w:val="auto"/>
              </w:rPr>
            </w:pPr>
            <w:r>
              <w:rPr>
                <w:rFonts w:ascii="Arial" w:cs="Arial" w:eastAsia="Arial" w:hAnsi="Arial"/>
                <w:sz w:val="14"/>
                <w:szCs w:val="14"/>
                <w:color w:val="auto"/>
              </w:rPr>
              <w:t>(56)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gridSpan w:val="2"/>
            <w:shd w:val="clear" w:color="auto" w:fill="CCEEFF"/>
          </w:tcPr>
          <w:p>
            <w:pPr>
              <w:jc w:val="right"/>
              <w:ind w:right="80"/>
              <w:spacing w:after="0" w:line="142" w:lineRule="exact"/>
              <w:rPr>
                <w:sz w:val="20"/>
                <w:szCs w:val="20"/>
                <w:color w:val="auto"/>
              </w:rPr>
            </w:pPr>
            <w:r>
              <w:rPr>
                <w:rFonts w:ascii="Arial" w:cs="Arial" w:eastAsia="Arial" w:hAnsi="Arial"/>
                <w:sz w:val="14"/>
                <w:szCs w:val="14"/>
                <w:color w:val="auto"/>
              </w:rPr>
              <w:t>(366)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color w:val="auto"/>
              </w:rPr>
              <w:t>(396)</w:t>
            </w:r>
          </w:p>
        </w:tc>
      </w:tr>
      <w:tr>
        <w:trPr>
          <w:trHeight w:val="142"/>
        </w:trPr>
        <w:tc>
          <w:tcPr>
            <w:tcW w:w="6640" w:type="dxa"/>
            <w:vAlign w:val="bottom"/>
            <w:gridSpan w:val="4"/>
          </w:tcPr>
          <w:p>
            <w:pPr>
              <w:spacing w:after="0" w:line="142" w:lineRule="exact"/>
              <w:rPr>
                <w:sz w:val="20"/>
                <w:szCs w:val="20"/>
                <w:color w:val="auto"/>
              </w:rPr>
            </w:pPr>
            <w:r>
              <w:rPr>
                <w:rFonts w:ascii="Arial" w:cs="Arial" w:eastAsia="Arial" w:hAnsi="Arial"/>
                <w:sz w:val="14"/>
                <w:szCs w:val="14"/>
                <w:color w:val="auto"/>
              </w:rPr>
              <w:t>Net increase (decrease) in cash and cash equivalents</w:t>
            </w:r>
          </w:p>
        </w:tc>
        <w:tc>
          <w:tcPr>
            <w:tcW w:w="3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1,422</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w w:val="99"/>
              </w:rPr>
              <w:t>(3,025)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438</w:t>
            </w:r>
          </w:p>
        </w:tc>
        <w:tc>
          <w:tcPr>
            <w:tcW w:w="1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62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3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1,823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4,848</w:t>
            </w:r>
          </w:p>
        </w:tc>
        <w:tc>
          <w:tcPr>
            <w:tcW w:w="1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4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4,410</w:t>
            </w:r>
          </w:p>
        </w:tc>
        <w:tc>
          <w:tcPr>
            <w:tcW w:w="160" w:type="dxa"/>
            <w:vAlign w:val="bottom"/>
            <w:shd w:val="clear" w:color="auto" w:fill="CCEEFF"/>
          </w:tcPr>
          <w:p>
            <w:pPr>
              <w:spacing w:after="0"/>
              <w:rPr>
                <w:sz w:val="12"/>
                <w:szCs w:val="12"/>
                <w:color w:val="auto"/>
              </w:rPr>
            </w:pPr>
          </w:p>
        </w:tc>
      </w:tr>
      <w:tr>
        <w:trPr>
          <w:trHeight w:val="142"/>
        </w:trPr>
        <w:tc>
          <w:tcPr>
            <w:tcW w:w="6640" w:type="dxa"/>
            <w:vAlign w:val="bottom"/>
            <w:gridSpan w:val="4"/>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38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3,245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1,823</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4,848</w:t>
            </w:r>
          </w:p>
        </w:tc>
        <w:tc>
          <w:tcPr>
            <w:tcW w:w="160" w:type="dxa"/>
            <w:vAlign w:val="bottom"/>
          </w:tcPr>
          <w:p>
            <w:pPr>
              <w:spacing w:after="0"/>
              <w:rPr>
                <w:sz w:val="12"/>
                <w:szCs w:val="12"/>
                <w:color w:val="auto"/>
              </w:rPr>
            </w:pPr>
          </w:p>
        </w:tc>
      </w:tr>
      <w:tr>
        <w:trPr>
          <w:trHeight w:val="20"/>
        </w:trPr>
        <w:tc>
          <w:tcPr>
            <w:tcW w:w="240" w:type="dxa"/>
            <w:vAlign w:val="bottom"/>
            <w:gridSpan w:val="2"/>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160" w:type="dxa"/>
            <w:vAlign w:val="bottom"/>
            <w:tcBorders>
              <w:bottom w:val="single" w:sz="8" w:color="auto"/>
            </w:tcBorders>
          </w:tcPr>
          <w:p>
            <w:pPr>
              <w:spacing w:after="0"/>
              <w:rPr>
                <w:sz w:val="7"/>
                <w:szCs w:val="7"/>
                <w:color w:val="auto"/>
              </w:rPr>
            </w:pPr>
          </w:p>
        </w:tc>
        <w:tc>
          <w:tcPr>
            <w:tcW w:w="424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r>
        <w:trPr>
          <w:trHeight w:val="371"/>
        </w:trPr>
        <w:tc>
          <w:tcPr>
            <w:tcW w:w="240" w:type="dxa"/>
            <w:vAlign w:val="bottom"/>
            <w:gridSpan w:val="2"/>
          </w:tcPr>
          <w:p>
            <w:pPr>
              <w:spacing w:after="0"/>
              <w:rPr>
                <w:sz w:val="20"/>
                <w:szCs w:val="20"/>
                <w:color w:val="auto"/>
              </w:rPr>
            </w:pPr>
            <w:r>
              <w:rPr>
                <w:rFonts w:ascii="Arial" w:cs="Arial" w:eastAsia="Arial" w:hAnsi="Arial"/>
                <w:sz w:val="14"/>
                <w:szCs w:val="14"/>
                <w:color w:val="auto"/>
              </w:rPr>
              <w:t>(1)</w:t>
            </w:r>
          </w:p>
        </w:tc>
        <w:tc>
          <w:tcPr>
            <w:tcW w:w="6400" w:type="dxa"/>
            <w:vAlign w:val="bottom"/>
            <w:gridSpan w:val="2"/>
          </w:tcPr>
          <w:p>
            <w:pPr>
              <w:ind w:left="300"/>
              <w:spacing w:after="0"/>
              <w:rPr>
                <w:sz w:val="20"/>
                <w:szCs w:val="20"/>
                <w:color w:val="auto"/>
              </w:rPr>
            </w:pPr>
            <w:r>
              <w:rPr>
                <w:rFonts w:ascii="Arial" w:cs="Arial" w:eastAsia="Arial" w:hAnsi="Arial"/>
                <w:sz w:val="14"/>
                <w:szCs w:val="14"/>
                <w:color w:val="auto"/>
              </w:rPr>
              <w:t>Excludes deferral and amortization of share-based compensation expense.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84"/>
        </w:trPr>
        <w:tc>
          <w:tcPr>
            <w:tcW w:w="240" w:type="dxa"/>
            <w:vAlign w:val="bottom"/>
            <w:gridSpan w:val="2"/>
          </w:tcPr>
          <w:p>
            <w:pPr>
              <w:spacing w:after="0"/>
              <w:rPr>
                <w:sz w:val="20"/>
                <w:szCs w:val="20"/>
                <w:color w:val="auto"/>
              </w:rPr>
            </w:pPr>
            <w:r>
              <w:rPr>
                <w:rFonts w:ascii="Arial" w:cs="Arial" w:eastAsia="Arial" w:hAnsi="Arial"/>
                <w:sz w:val="14"/>
                <w:szCs w:val="14"/>
                <w:color w:val="auto"/>
              </w:rPr>
              <w:t>(2)</w:t>
            </w:r>
          </w:p>
        </w:tc>
        <w:tc>
          <w:tcPr>
            <w:tcW w:w="6400" w:type="dxa"/>
            <w:vAlign w:val="bottom"/>
            <w:gridSpan w:val="2"/>
          </w:tcPr>
          <w:p>
            <w:pPr>
              <w:ind w:left="300"/>
              <w:spacing w:after="0"/>
              <w:rPr>
                <w:sz w:val="20"/>
                <w:szCs w:val="20"/>
                <w:color w:val="auto"/>
              </w:rPr>
            </w:pPr>
            <w:r>
              <w:rPr>
                <w:rFonts w:ascii="Arial" w:cs="Arial" w:eastAsia="Arial" w:hAnsi="Arial"/>
                <w:sz w:val="14"/>
                <w:szCs w:val="14"/>
                <w:color w:val="auto"/>
                <w:w w:val="92"/>
              </w:rPr>
              <w:t>Includes the net effects of capitalization, deferral, and amortization of share-based compensation expense.</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w:t>
      </w:r>
    </w:p>
    <w:p>
      <w:pPr>
        <w:spacing w:after="0" w:line="231" w:lineRule="exact"/>
        <w:rPr>
          <w:sz w:val="20"/>
          <w:szCs w:val="20"/>
          <w:color w:val="auto"/>
        </w:rPr>
      </w:pPr>
    </w:p>
    <w:p>
      <w:pPr>
        <w:ind w:right="40" w:firstLine="341"/>
        <w:spacing w:after="0" w:line="306" w:lineRule="auto"/>
        <w:rPr>
          <w:sz w:val="20"/>
          <w:szCs w:val="20"/>
          <w:color w:val="auto"/>
        </w:rPr>
      </w:pPr>
      <w:r>
        <w:rPr>
          <w:rFonts w:ascii="Arial" w:cs="Arial" w:eastAsia="Arial" w:hAnsi="Arial"/>
          <w:sz w:val="16"/>
          <w:szCs w:val="16"/>
          <w:color w:val="auto"/>
        </w:rPr>
        <w:t>Activision Blizzard, Inc. is a leading global developer and publisher of interactive entertainment content and services. We develop and distribute content and services across all of the major gaming platforms including video game consoles, personal computers ("PC"), and mobile devices. The terms "Activision Blizzard," the "Company," "we," "us," and "our" are used to refer collectively to Activision Blizzard, Inc. and its subsidiaries.</w:t>
      </w:r>
    </w:p>
    <w:p>
      <w:pPr>
        <w:spacing w:after="0" w:line="161" w:lineRule="exact"/>
        <w:rPr>
          <w:sz w:val="20"/>
          <w:szCs w:val="20"/>
          <w:color w:val="auto"/>
        </w:rPr>
      </w:pPr>
    </w:p>
    <w:p>
      <w:pPr>
        <w:ind w:right="520" w:firstLine="348"/>
        <w:spacing w:after="0" w:line="256" w:lineRule="auto"/>
        <w:rPr>
          <w:sz w:val="20"/>
          <w:szCs w:val="20"/>
          <w:color w:val="auto"/>
        </w:rPr>
      </w:pPr>
      <w:r>
        <w:rPr>
          <w:rFonts w:ascii="Arial" w:cs="Arial" w:eastAsia="Arial" w:hAnsi="Arial"/>
          <w:sz w:val="18"/>
          <w:szCs w:val="18"/>
          <w:color w:val="auto"/>
        </w:rPr>
        <w:t>The Company was originally incorporated in California in 1979 and was reincorporated in Delaware in December 1992. We are the result of the 2008 business combination (the "Business Combination") by and among the Company (then known as Activision, Inc.), Vivendi S.A. ("Vivendi"), and Vivendi Games, Inc. ("Vivendi Games"), an indirect wholly-owned subsidiary of Vivendi. In connection with the consummation of the Business Combination, Activision, Inc., was renamed Activision Blizzard, Inc.</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common stock of Activision Blizzard is traded on The NASDAQ Stock Market under the ticker symbol "ATVI."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King Acquisition</w:t>
      </w:r>
    </w:p>
    <w:p>
      <w:pPr>
        <w:spacing w:after="0" w:line="225"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On February 23, 2016 (the "King Closing Date"), we acquired King Digital Entertainment, a leading interactive mobile entertainment company ("King"), by purchasing all of its outstanding shares (the "King Acquisition"), as further described in Note 21. Our consolidated financial statements include the operations of King commencing on the King Closing Date.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Reportable Segments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our organizational structure, we conduct our business through three reportable operating segments as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 Activision Publishing, Inc.</w:t>
      </w:r>
    </w:p>
    <w:p>
      <w:pPr>
        <w:spacing w:after="0" w:line="225" w:lineRule="exact"/>
        <w:rPr>
          <w:sz w:val="20"/>
          <w:szCs w:val="20"/>
          <w:color w:val="auto"/>
        </w:rPr>
      </w:pPr>
    </w:p>
    <w:p>
      <w:pPr>
        <w:ind w:firstLine="341"/>
        <w:spacing w:after="0" w:line="255" w:lineRule="auto"/>
        <w:rPr>
          <w:sz w:val="20"/>
          <w:szCs w:val="20"/>
          <w:color w:val="auto"/>
        </w:rPr>
      </w:pPr>
      <w:r>
        <w:rPr>
          <w:rFonts w:ascii="Arial" w:cs="Arial" w:eastAsia="Arial" w:hAnsi="Arial"/>
          <w:sz w:val="18"/>
          <w:szCs w:val="18"/>
          <w:color w:val="auto"/>
        </w:rPr>
        <w:t>Activision Publishing, Inc. ("Activision") is a leading global developer and publisher of interactive software products and entertainment content, particularly in console gaming. Activision primarily delivers content through retail channels or digital downloads, including full-game sales and in-game purchases, as well as licenses of software to third-party or related-party companies that distribute Activision products. Activision develops, markets and sells products which are principally based on our internally-developed intellectual properties, as well as some licensed properties. Additionally, we have established a long-term alliance with Bungie to publish its game universe, Destiny.</w:t>
      </w:r>
    </w:p>
    <w:p>
      <w:pPr>
        <w:spacing w:after="0" w:line="197" w:lineRule="exact"/>
        <w:rPr>
          <w:sz w:val="20"/>
          <w:szCs w:val="20"/>
          <w:color w:val="auto"/>
        </w:rPr>
      </w:pPr>
    </w:p>
    <w:p>
      <w:pPr>
        <w:ind w:right="80" w:firstLine="341"/>
        <w:spacing w:after="0" w:line="259" w:lineRule="auto"/>
        <w:rPr>
          <w:sz w:val="20"/>
          <w:szCs w:val="20"/>
          <w:color w:val="auto"/>
        </w:rPr>
      </w:pPr>
      <w:r>
        <w:rPr>
          <w:rFonts w:ascii="Arial" w:cs="Arial" w:eastAsia="Arial" w:hAnsi="Arial"/>
          <w:sz w:val="18"/>
          <w:szCs w:val="18"/>
          <w:color w:val="auto"/>
        </w:rPr>
        <w:t>Activision's key product franchises include: Call of Duty®, a first-person shooter for the console and PC platforms; Destiny, an online universe of first-person action gameplay (which we call a "shared-world shooter") for console platforms; and Skylanders®, a kid's game franchise that brings physical toys to life digitally in the game primarily for console platforms.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 Blizzard Entertainment, Inc.</w:t>
      </w:r>
    </w:p>
    <w:p>
      <w:pPr>
        <w:spacing w:after="0" w:line="225" w:lineRule="exact"/>
        <w:rPr>
          <w:sz w:val="20"/>
          <w:szCs w:val="20"/>
          <w:color w:val="auto"/>
        </w:rPr>
      </w:pPr>
    </w:p>
    <w:p>
      <w:pPr>
        <w:jc w:val="both"/>
        <w:ind w:right="60" w:firstLine="351"/>
        <w:spacing w:after="0" w:line="259" w:lineRule="auto"/>
        <w:rPr>
          <w:sz w:val="20"/>
          <w:szCs w:val="20"/>
          <w:color w:val="auto"/>
        </w:rPr>
      </w:pPr>
      <w:r>
        <w:rPr>
          <w:rFonts w:ascii="Arial" w:cs="Arial" w:eastAsia="Arial" w:hAnsi="Arial"/>
          <w:sz w:val="18"/>
          <w:szCs w:val="18"/>
          <w:color w:val="auto"/>
        </w:rPr>
        <w:t>Blizzard Entertainment, Inc. ("Blizzard") is a leading global developer and publisher of interactive software products and entertainment content, particularly in PC gaming. Blizzard primarily delivers content through retail channels or digital downloads, including subscriptions, full-game sales, and in-game purchases, as well as licenses of software to third-party or related party companies that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(Continued)</w:t>
      </w:r>
    </w:p>
    <w:p>
      <w:pPr>
        <w:spacing w:after="0" w:line="231"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distribute Blizzard products. Blizzard also maintains a proprietary online gaming service which facilitates digital distribution of Blizzard content, online social connectivity across all Blizzard games, and the creation of user-generated content for Blizzard's games.</w:t>
      </w:r>
    </w:p>
    <w:p>
      <w:pPr>
        <w:spacing w:after="0" w:line="186"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Blizzard's key product franchises include: World of Warcraft®, a subscription-based massive multi-player online role-playing game for the PC; StarCraft®, a real-time strategy PC franchise; Diablo®, an action role-playing franchise for PC and console platforms; Hearthstone®, an online collectible card franchise for the PC and mobile platforms; Heroes of the Storm®, a free-to-play team brawler for the PC; and Overwatch®, a team-based first person shooter for the PC and console platforms.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(iii) King Digital Entertainment</w:t>
      </w:r>
    </w:p>
    <w:p>
      <w:pPr>
        <w:spacing w:after="0" w:line="225"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King Digital Entertainment ("King") is a leading global developer and publisher of interactive entertainment content and services, particularly on mobile platforms, such as Android and iOS. King also distributes its content and services on online social platforms, such as Facebook and the king.com websites. King's games are free-to-play, however players can acquire in-game virtual items, either with virtual currency the players purchase, or directly using real currency.</w:t>
      </w:r>
    </w:p>
    <w:p>
      <w:pPr>
        <w:spacing w:after="0" w:line="142" w:lineRule="exact"/>
        <w:rPr>
          <w:sz w:val="20"/>
          <w:szCs w:val="20"/>
          <w:color w:val="auto"/>
        </w:rPr>
      </w:pPr>
    </w:p>
    <w:p>
      <w:pPr>
        <w:ind w:right="440" w:firstLine="351"/>
        <w:spacing w:after="0" w:line="370" w:lineRule="auto"/>
        <w:rPr>
          <w:sz w:val="20"/>
          <w:szCs w:val="20"/>
          <w:color w:val="auto"/>
        </w:rPr>
      </w:pPr>
      <w:r>
        <w:rPr>
          <w:rFonts w:ascii="Arial" w:cs="Arial" w:eastAsia="Arial" w:hAnsi="Arial"/>
          <w:sz w:val="15"/>
          <w:szCs w:val="15"/>
          <w:color w:val="auto"/>
        </w:rPr>
        <w:t>King's key product franchises, all of which are for the PC and mobile platforms, include: Candy Crush™, which features "match three" games; Farm Heroes™, which also features "match three" games; Pet Rescue™, which is a "clicker" game; and Bubble Witch™, which features "bubble shooter" games.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(iv) Other</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also engage in other businesses that do not represent reportable segments, including:</w:t>
      </w:r>
    </w:p>
    <w:p>
      <w:pPr>
        <w:spacing w:after="0" w:line="239" w:lineRule="exact"/>
        <w:rPr>
          <w:sz w:val="20"/>
          <w:szCs w:val="20"/>
          <w:color w:val="auto"/>
        </w:rPr>
      </w:pPr>
    </w:p>
    <w:p>
      <w:pPr>
        <w:ind w:left="1080" w:right="40" w:hanging="532"/>
        <w:spacing w:after="0" w:line="306" w:lineRule="auto"/>
        <w:tabs>
          <w:tab w:leader="none" w:pos="1080" w:val="left"/>
        </w:tabs>
        <w:numPr>
          <w:ilvl w:val="1"/>
          <w:numId w:val="89"/>
        </w:numPr>
        <w:rPr>
          <w:rFonts w:ascii="Arial" w:cs="Arial" w:eastAsia="Arial" w:hAnsi="Arial"/>
          <w:sz w:val="16"/>
          <w:szCs w:val="16"/>
          <w:color w:val="auto"/>
        </w:rPr>
      </w:pPr>
      <w:r>
        <w:rPr>
          <w:rFonts w:ascii="Arial" w:cs="Arial" w:eastAsia="Arial" w:hAnsi="Arial"/>
          <w:sz w:val="16"/>
          <w:szCs w:val="16"/>
          <w:color w:val="auto"/>
        </w:rPr>
        <w:t>The Major League Gaming ("MLG") business (which we formerly referred to as Activision Blizzard Media Networks or Media Networks), which is devoted to esports and builds on our competitive gaming efforts by creating ways to deliver a best-in-class fan experience across games, platforms, and geographies with a long-term strategy of monetization through advertising, sponsorships, tournaments, and premium content.</w:t>
      </w:r>
    </w:p>
    <w:p>
      <w:pPr>
        <w:spacing w:after="0" w:line="187" w:lineRule="exact"/>
        <w:rPr>
          <w:rFonts w:ascii="Arial" w:cs="Arial" w:eastAsia="Arial" w:hAnsi="Arial"/>
          <w:sz w:val="16"/>
          <w:szCs w:val="16"/>
          <w:color w:val="auto"/>
        </w:rPr>
      </w:pPr>
    </w:p>
    <w:p>
      <w:pPr>
        <w:ind w:left="1080" w:right="280" w:hanging="532"/>
        <w:spacing w:after="0" w:line="259" w:lineRule="auto"/>
        <w:tabs>
          <w:tab w:leader="none" w:pos="10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 xml:space="preserve">The Activision Blizzard Studios ("Studios") business, which is devoted to creating original film and television content based on our library of globally recognized intellectual properties, and, in October 2016, released the first season of the animated TV series </w:t>
      </w:r>
      <w:r>
        <w:rPr>
          <w:rFonts w:ascii="Arial" w:cs="Arial" w:eastAsia="Arial" w:hAnsi="Arial"/>
          <w:sz w:val="18"/>
          <w:szCs w:val="18"/>
          <w:i w:val="1"/>
          <w:iCs w:val="1"/>
          <w:color w:val="auto"/>
        </w:rPr>
        <w:t>Skylanders</w:t>
      </w:r>
      <w:r>
        <w:rPr>
          <w:rFonts w:ascii="Arial" w:cs="Arial" w:eastAsia="Arial" w:hAnsi="Arial"/>
          <w:sz w:val="18"/>
          <w:szCs w:val="18"/>
          <w:color w:val="auto"/>
        </w:rPr>
        <w:t xml:space="preserve">™ </w:t>
      </w:r>
      <w:r>
        <w:rPr>
          <w:rFonts w:ascii="Arial" w:cs="Arial" w:eastAsia="Arial" w:hAnsi="Arial"/>
          <w:sz w:val="18"/>
          <w:szCs w:val="18"/>
          <w:i w:val="1"/>
          <w:iCs w:val="1"/>
          <w:color w:val="auto"/>
        </w:rPr>
        <w:t>Academy</w:t>
      </w:r>
      <w:r>
        <w:rPr>
          <w:rFonts w:ascii="Arial" w:cs="Arial" w:eastAsia="Arial" w:hAnsi="Arial"/>
          <w:sz w:val="18"/>
          <w:szCs w:val="18"/>
          <w:color w:val="auto"/>
        </w:rPr>
        <w:t xml:space="preserve"> on Netflix.</w:t>
      </w:r>
    </w:p>
    <w:p>
      <w:pPr>
        <w:spacing w:after="0" w:line="207" w:lineRule="exact"/>
        <w:rPr>
          <w:rFonts w:ascii="Arial" w:cs="Arial" w:eastAsia="Arial" w:hAnsi="Arial"/>
          <w:sz w:val="18"/>
          <w:szCs w:val="18"/>
          <w:color w:val="auto"/>
        </w:rPr>
      </w:pPr>
    </w:p>
    <w:p>
      <w:pPr>
        <w:jc w:val="both"/>
        <w:ind w:left="1080" w:right="280" w:hanging="532"/>
        <w:spacing w:after="0" w:line="259" w:lineRule="auto"/>
        <w:tabs>
          <w:tab w:leader="none" w:pos="1080" w:val="left"/>
        </w:tabs>
        <w:numPr>
          <w:ilvl w:val="1"/>
          <w:numId w:val="89"/>
        </w:numPr>
        <w:rPr>
          <w:rFonts w:ascii="Arial" w:cs="Arial" w:eastAsia="Arial" w:hAnsi="Arial"/>
          <w:sz w:val="18"/>
          <w:szCs w:val="18"/>
          <w:color w:val="auto"/>
        </w:rPr>
      </w:pPr>
      <w:r>
        <w:rPr>
          <w:rFonts w:ascii="Arial" w:cs="Arial" w:eastAsia="Arial" w:hAnsi="Arial"/>
          <w:sz w:val="18"/>
          <w:szCs w:val="18"/>
          <w:color w:val="auto"/>
        </w:rPr>
        <w:t>The Activision Blizzard Distribution ("Distribution") business, which consists of operations in Europe that provide warehousing, logistics, and sales distribution services to third-party publishers of interactive entertainment software, our own publishing operations, and manufacturers of interactive entertainment hardware.</w:t>
      </w:r>
    </w:p>
    <w:p>
      <w:pPr>
        <w:spacing w:after="0" w:line="188" w:lineRule="exact"/>
        <w:rPr>
          <w:rFonts w:ascii="Arial" w:cs="Arial" w:eastAsia="Arial" w:hAnsi="Arial"/>
          <w:sz w:val="18"/>
          <w:szCs w:val="18"/>
          <w:color w:val="auto"/>
        </w:rPr>
      </w:pPr>
    </w:p>
    <w:p>
      <w:pPr>
        <w:ind w:left="180" w:hanging="172"/>
        <w:spacing w:after="0"/>
        <w:tabs>
          <w:tab w:leader="none" w:pos="18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25" w:lineRule="exact"/>
        <w:rPr>
          <w:sz w:val="20"/>
          <w:szCs w:val="20"/>
          <w:color w:val="auto"/>
        </w:rPr>
      </w:pPr>
    </w:p>
    <w:p>
      <w:pPr>
        <w:ind w:right="80" w:firstLine="348"/>
        <w:spacing w:after="0" w:line="332" w:lineRule="auto"/>
        <w:rPr>
          <w:sz w:val="20"/>
          <w:szCs w:val="20"/>
          <w:color w:val="auto"/>
        </w:rPr>
      </w:pPr>
      <w:r>
        <w:rPr>
          <w:rFonts w:ascii="Arial" w:cs="Arial" w:eastAsia="Arial" w:hAnsi="Arial"/>
          <w:sz w:val="16"/>
          <w:szCs w:val="16"/>
          <w:color w:val="auto"/>
        </w:rPr>
        <w:t>The accompanying consolidated financial statements include the accounts and operations of the Company. All intercompany accounts and transactions have been eliminated. The consolidated financial statements have been prepared in conformity with accounting principles generally accepted in the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United States of America ("U.S. GAAP"). The preparation of the consolidated financial statements in conformity with U.S. GAAP requires management to make estimates and assumptions that affect the amounts reported in the consolidated financial statements and accompanying notes. Actual results could differ from these estimates and assumptions.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reclassifications have been made to prior-year amounts to conform to the current period presentation.</w:t>
      </w:r>
    </w:p>
    <w:p>
      <w:pPr>
        <w:spacing w:after="0" w:line="225" w:lineRule="exact"/>
        <w:rPr>
          <w:sz w:val="20"/>
          <w:szCs w:val="20"/>
          <w:color w:val="auto"/>
        </w:rPr>
      </w:pPr>
    </w:p>
    <w:p>
      <w:pPr>
        <w:ind w:right="240" w:firstLine="348"/>
        <w:spacing w:after="0" w:line="268" w:lineRule="auto"/>
        <w:rPr>
          <w:sz w:val="20"/>
          <w:szCs w:val="20"/>
          <w:color w:val="auto"/>
        </w:rPr>
      </w:pPr>
      <w:r>
        <w:rPr>
          <w:rFonts w:ascii="Arial" w:cs="Arial" w:eastAsia="Arial" w:hAnsi="Arial"/>
          <w:sz w:val="18"/>
          <w:szCs w:val="18"/>
          <w:color w:val="auto"/>
        </w:rPr>
        <w:t>The Company considers events or transactions that occur after the balance sheet date, but before the financial statements are issued, to provide additional evidence relative to certain estimates or to identify matters that require additional disclosures.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revenues presentation</w:t>
      </w:r>
    </w:p>
    <w:p>
      <w:pPr>
        <w:spacing w:after="0" w:line="225"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 periods prior to the second quarter of 2016, we presented cost of revenues in our consolidated statements of operations in four financial statement captions: "Cost of sales—product costs," "Cost of sales—online," "Cost of sales—software royalties and amortization," and "Cost of sales—intellectual property licenses." Since the second quarter of 2016, we have revised the presentation in our consolidated statements of operations to more clearly align our costs of revenues with the associated revenue captions as follows: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 of revenues—product sales:</w:t>
      </w:r>
    </w:p>
    <w:p>
      <w:pPr>
        <w:spacing w:after="0" w:line="239" w:lineRule="exact"/>
        <w:rPr>
          <w:sz w:val="20"/>
          <w:szCs w:val="20"/>
          <w:color w:val="auto"/>
        </w:rPr>
      </w:pPr>
    </w:p>
    <w:p>
      <w:pPr>
        <w:ind w:left="1080" w:right="180" w:hanging="532"/>
        <w:spacing w:after="0" w:line="259"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"Product costs"—includes the manufacturing costs of goods produced and sold. These generally include product costs, manufacturing royalties, net of volume discounts, personnel-related costs, warehousing, and distribution costs. We generally recognize volume discounts when they are earned (typically in connection with the achievement of unit-based milestones).</w:t>
      </w:r>
    </w:p>
    <w:p>
      <w:pPr>
        <w:spacing w:after="0" w:line="221"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"Software royalties, amortization, and intellectual property licenses"—includes the amortization of capitalized software costs and royalties attributable to product sales revenues. These are costs capitalized on the balance sheet until the respective games are released, at which time the capitalized costs are amortized. Also included is amortization of intangible assets recognized in purchase accounting attributable to product sales revenues.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Cost of revenues—subscription, licensing, and other revenues:</w:t>
      </w:r>
    </w:p>
    <w:p>
      <w:pPr>
        <w:spacing w:after="0" w:line="239" w:lineRule="exact"/>
        <w:rPr>
          <w:sz w:val="20"/>
          <w:szCs w:val="20"/>
          <w:color w:val="auto"/>
        </w:rPr>
      </w:pPr>
    </w:p>
    <w:p>
      <w:pPr>
        <w:ind w:left="1080" w:right="280" w:hanging="532"/>
        <w:spacing w:after="0" w:line="268"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"Game operations and distribution costs"—includes costs to operate our games, such as customer service, internet bandwidth and server costs, platform provider fee, and payment provider fees.</w:t>
      </w:r>
    </w:p>
    <w:p>
      <w:pPr>
        <w:spacing w:after="0" w:line="199"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"Software royalties, amortization, and intellectual property licenses"—includes the amortization of capitalized software costs and royalties attributable to subscription, licensing and other revenues. These are costs capitalized on the balance sheet until the respective games are released, at which time the capitalized costs are amortized. Also included is amortization of intangible assets recognized in purchase accounting attributable to subscription, licensing and other revenues.</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Prior periods have been reclassified to conform to the current presentation.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consider all money market funds and highly liquid investments with original maturities of three months or less at the time of purchase to be "Cash and cash equivalents."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Securities</w:t>
      </w:r>
    </w:p>
    <w:p>
      <w:pPr>
        <w:spacing w:after="0" w:line="225"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Investments designated as available-for-sale securities are carried at fair value, which is based on quoted market prices for such securities, if available, or is estimated on the basis of quoted market prices of financial instruments with similar characteristics. Unrealized gains and losses of the Company's available-for-sale securities are excluded from earnings and are reported as a component of "Other comprehensive income (loss)."</w:t>
      </w:r>
    </w:p>
    <w:p>
      <w:pPr>
        <w:spacing w:after="0" w:line="161"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Investments with original maturities greater than 90 days and remaining maturities of less than one year are normally classified within "Other current assets." In addition, investments with maturities beyond one year may be classified within "Other current assets" if they are highly liquid in nature and represent the investment of cash that is available for current operations.</w:t>
      </w:r>
    </w:p>
    <w:p>
      <w:pPr>
        <w:spacing w:after="0" w:line="194" w:lineRule="exact"/>
        <w:rPr>
          <w:sz w:val="20"/>
          <w:szCs w:val="20"/>
          <w:color w:val="auto"/>
        </w:rPr>
      </w:pPr>
    </w:p>
    <w:p>
      <w:pPr>
        <w:ind w:right="500" w:firstLine="348"/>
        <w:spacing w:after="0" w:line="268" w:lineRule="auto"/>
        <w:rPr>
          <w:sz w:val="20"/>
          <w:szCs w:val="20"/>
          <w:color w:val="auto"/>
        </w:rPr>
      </w:pPr>
      <w:r>
        <w:rPr>
          <w:rFonts w:ascii="Arial" w:cs="Arial" w:eastAsia="Arial" w:hAnsi="Arial"/>
          <w:sz w:val="18"/>
          <w:szCs w:val="18"/>
          <w:color w:val="auto"/>
        </w:rPr>
        <w:t>The specific identification method is used to determine the cost of securities disposed of, with realized gains and losses reflected in "Interest and other expense (income), net" in our consolidated statements of operations.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in Escrow</w:t>
      </w:r>
    </w:p>
    <w:p>
      <w:pPr>
        <w:spacing w:after="0" w:line="225" w:lineRule="exact"/>
        <w:rPr>
          <w:sz w:val="20"/>
          <w:szCs w:val="20"/>
          <w:color w:val="auto"/>
        </w:rPr>
      </w:pPr>
    </w:p>
    <w:p>
      <w:pPr>
        <w:ind w:right="20" w:firstLine="341"/>
        <w:spacing w:after="0" w:line="256" w:lineRule="auto"/>
        <w:rPr>
          <w:sz w:val="20"/>
          <w:szCs w:val="20"/>
          <w:color w:val="auto"/>
        </w:rPr>
      </w:pPr>
      <w:r>
        <w:rPr>
          <w:rFonts w:ascii="Arial" w:cs="Arial" w:eastAsia="Arial" w:hAnsi="Arial"/>
          <w:sz w:val="18"/>
          <w:szCs w:val="18"/>
          <w:color w:val="auto"/>
        </w:rPr>
        <w:t>As part of the King Acquisition, we were required to deposit $3.56 billion in cash to be held in an escrow account until the earlier of (i) the completion of the King Acquisition, or (ii) the termination of the transaction agreement. The cash was not accessible to the Company for operating cash needs as its use had been administratively restricted for use in the consummation of the King Acquisition. At December 31, 2015, we recorded the balance of the escrow account as a non-current asset, "Cash in escrow," in our consolidated balance sheet.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225" w:lineRule="exact"/>
        <w:rPr>
          <w:sz w:val="20"/>
          <w:szCs w:val="20"/>
          <w:color w:val="auto"/>
        </w:rPr>
      </w:pPr>
    </w:p>
    <w:p>
      <w:pPr>
        <w:ind w:right="40" w:firstLine="348"/>
        <w:spacing w:after="0" w:line="298" w:lineRule="auto"/>
        <w:rPr>
          <w:sz w:val="20"/>
          <w:szCs w:val="20"/>
          <w:color w:val="auto"/>
        </w:rPr>
      </w:pPr>
      <w:r>
        <w:rPr>
          <w:rFonts w:ascii="Arial" w:cs="Arial" w:eastAsia="Arial" w:hAnsi="Arial"/>
          <w:sz w:val="16"/>
          <w:szCs w:val="16"/>
          <w:color w:val="auto"/>
        </w:rPr>
        <w:t>The carrying amounts of "Cash and cash equivalents," "Accounts receivable, net of allowances," "Accounts payable," and "Accrued expenses and other liabilities" approximate fair value due to the short-term nature of these accounts. Our investments in the United States of America ("U.S.") treasuries, government agency securities, and corporate bonds, if any, are carried at fair value, which is based on quoted market prices for such securities, if available, or is estimated on the basis of quoted market prices of financial instruments with similar characteristics.</w:t>
      </w:r>
    </w:p>
    <w:p>
      <w:pPr>
        <w:spacing w:after="0" w:line="167" w:lineRule="exact"/>
        <w:rPr>
          <w:sz w:val="20"/>
          <w:szCs w:val="20"/>
          <w:color w:val="auto"/>
        </w:rPr>
      </w:pPr>
    </w:p>
    <w:p>
      <w:pPr>
        <w:ind w:right="180" w:firstLine="348"/>
        <w:spacing w:after="0" w:line="294" w:lineRule="auto"/>
        <w:rPr>
          <w:sz w:val="20"/>
          <w:szCs w:val="20"/>
          <w:color w:val="auto"/>
        </w:rPr>
      </w:pPr>
      <w:r>
        <w:rPr>
          <w:rFonts w:ascii="Arial" w:cs="Arial" w:eastAsia="Arial" w:hAnsi="Arial"/>
          <w:sz w:val="16"/>
          <w:szCs w:val="16"/>
          <w:color w:val="auto"/>
        </w:rPr>
        <w:t>The Company transacts business in various foreign currencies and has significant international sales and expenses denominated in foreign currencies, subjecting us to foreign currency risk. To mitigate our foreign currency risk resulting from our foreign currency-denominated monetary assets, liabilities and earnings and our foreign currency risk related to functional currency-equivalent cash flows resulting from our intercompany transactions, we periodically enter into currency derivative contracts, principally forward contracts. These forward contracts generally have a maturity of less than one year. The counterparties for our currency derivative contracts are large and reputable commercial or investment banks.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60" w:firstLine="348"/>
        <w:spacing w:after="0" w:line="294" w:lineRule="auto"/>
        <w:rPr>
          <w:sz w:val="20"/>
          <w:szCs w:val="20"/>
          <w:color w:val="auto"/>
        </w:rPr>
      </w:pPr>
      <w:r>
        <w:rPr>
          <w:rFonts w:ascii="Arial" w:cs="Arial" w:eastAsia="Arial" w:hAnsi="Arial"/>
          <w:sz w:val="16"/>
          <w:szCs w:val="16"/>
          <w:color w:val="auto"/>
        </w:rPr>
        <w:t>We assess the nature of these derivatives under Financial Accounting Standards Board ("FASB") Accounting Standards Codification ("ASC") Topic 815 to determine whether such derivatives should be designated as hedging instruments. The fair value of foreign currency contracts are estimated based on the prevailing exchange rates of the various hedged currencies as of the end of the period. We report the fair value of these contracts within "Other current assets," "Accrued expense and other liabilities," "Other assets," or "Other liabilities," as applicable, in our consolidated balance sheets based on the prevailing exchange rates of the various hedged currencies as of the end of the relevant period.</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do not hold or purchase any foreign currency forward contracts for trading or speculative purposes.</w:t>
      </w:r>
    </w:p>
    <w:p>
      <w:pPr>
        <w:spacing w:after="0" w:line="225" w:lineRule="exact"/>
        <w:rPr>
          <w:sz w:val="20"/>
          <w:szCs w:val="20"/>
          <w:color w:val="auto"/>
        </w:rPr>
      </w:pPr>
    </w:p>
    <w:p>
      <w:pPr>
        <w:ind w:right="60" w:firstLine="351"/>
        <w:spacing w:after="0" w:line="306" w:lineRule="auto"/>
        <w:rPr>
          <w:sz w:val="20"/>
          <w:szCs w:val="20"/>
          <w:color w:val="auto"/>
        </w:rPr>
      </w:pPr>
      <w:r>
        <w:rPr>
          <w:rFonts w:ascii="Arial" w:cs="Arial" w:eastAsia="Arial" w:hAnsi="Arial"/>
          <w:sz w:val="16"/>
          <w:szCs w:val="16"/>
          <w:color w:val="auto"/>
        </w:rPr>
        <w:t>For foreign currency forward contracts entered into to mitigate risk from foreign currency-denominated monetary assets, liabilities, and earnings that are not designated as hedging instruments under ASC 815, changes in the estimated fair value of these derivatives are recorded within "General and administrative expenses" and "Interest and other expense, net" in our consolidated statements of operations, consistent with the nature of the underlying transactions.</w:t>
      </w:r>
    </w:p>
    <w:p>
      <w:pPr>
        <w:spacing w:after="0" w:line="161"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For foreign currency forward contracts that we entered into to hedge forecasted intercompany cash flows that are subject to foreign currency risk and which have been designated as cash flow hedges in accordance with ASC 815, we assess the effectiveness of these cash flow hedges at inception and on an ongoing basis and determine if the hedges are effective at providing offsetting changes in cash flows of the hedged items. The Company records the effective portion of changes in the estimated fair value of these derivatives in "Accumulated other comprehensive loss" and subsequently reclassifies the related amount of accumulated other comprehensive loss to earnings within "General and administrative" or "Net revenues" when the hedged item impacts earnings, consistent with the nature and timing of the underlying transactions. Cash flows from these foreign currency forward contracts are classified in the same category as the cash flows associated with the hedged item in the consolidated statements of cash flows. We measure hedge ineffectiveness, if any, and if it is determined that a derivative has ceased to be a highly effective hedge, the Company will discontinue hedge accounting for the derivative.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Our concentration of credit risk relates to depositors holding the Company's cash and cash equivalents and customers with significant accounts receivable balances.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Our cash and cash equivalents are invested primarily in money market funds consisting of short-term, high-quality debt instruments issued by governments and governmental organizations, financial institutions and industrial companies.</w:t>
      </w:r>
    </w:p>
    <w:p>
      <w:pPr>
        <w:spacing w:after="0" w:line="186" w:lineRule="exact"/>
        <w:rPr>
          <w:sz w:val="20"/>
          <w:szCs w:val="20"/>
          <w:color w:val="auto"/>
        </w:rPr>
      </w:pPr>
    </w:p>
    <w:p>
      <w:pPr>
        <w:jc w:val="both"/>
        <w:ind w:right="40" w:firstLine="351"/>
        <w:spacing w:after="0" w:line="259" w:lineRule="auto"/>
        <w:rPr>
          <w:sz w:val="20"/>
          <w:szCs w:val="20"/>
          <w:color w:val="auto"/>
        </w:rPr>
      </w:pPr>
      <w:r>
        <w:rPr>
          <w:rFonts w:ascii="Arial" w:cs="Arial" w:eastAsia="Arial" w:hAnsi="Arial"/>
          <w:sz w:val="18"/>
          <w:szCs w:val="18"/>
          <w:color w:val="auto"/>
        </w:rPr>
        <w:t>Our customer base includes retailers and distributors, including mass-market retailers, consumer electronics stores, discount warehouses, and game specialty stores in the U.S. and other countries worldwide. We perform ongoing credit evaluations of our customers and maintain allowances for potential credit losses. We generally do not require collateral or other security from our customers.</w:t>
      </w:r>
    </w:p>
    <w:p>
      <w:pPr>
        <w:spacing w:after="0" w:line="194" w:lineRule="exact"/>
        <w:rPr>
          <w:sz w:val="20"/>
          <w:szCs w:val="20"/>
          <w:color w:val="auto"/>
        </w:rPr>
      </w:pPr>
    </w:p>
    <w:p>
      <w:pPr>
        <w:ind w:firstLine="351"/>
        <w:spacing w:after="0" w:line="335" w:lineRule="auto"/>
        <w:rPr>
          <w:sz w:val="20"/>
          <w:szCs w:val="20"/>
          <w:color w:val="auto"/>
        </w:rPr>
      </w:pPr>
      <w:r>
        <w:rPr>
          <w:rFonts w:ascii="Arial" w:cs="Arial" w:eastAsia="Arial" w:hAnsi="Arial"/>
          <w:sz w:val="15"/>
          <w:szCs w:val="15"/>
          <w:color w:val="auto"/>
        </w:rPr>
        <w:t>For the year ended December 31, 2016, we had two customers, Sony Interactive Entertainment Inc. ("Sony"), and Apple, Inc., who each accounted for 13% of net revenues. For the year ended December 31, 2015, we had two customers, Sony and Microsoft Corporation ("Microsoft"), who accounted for 12% and 10%, respectively, of net revenues. We did not have any single customer that accounted for 10% or more of net revenues for the year ended December 31, 2014.</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720" w:firstLine="348"/>
        <w:spacing w:after="0" w:line="332" w:lineRule="auto"/>
        <w:rPr>
          <w:sz w:val="20"/>
          <w:szCs w:val="20"/>
          <w:color w:val="auto"/>
        </w:rPr>
      </w:pPr>
      <w:r>
        <w:rPr>
          <w:rFonts w:ascii="Arial" w:cs="Arial" w:eastAsia="Arial" w:hAnsi="Arial"/>
          <w:sz w:val="16"/>
          <w:szCs w:val="16"/>
          <w:color w:val="auto"/>
        </w:rPr>
        <w:t>We had three customers—Sony, Microsoft, and Wal-Mart Stores, Inc.—who accounted for 17%, 10%, and 10%, respectively, of consolidated gross receivables at December 31, 2016, and 18%, 13%, and 11%, respectively, of consolidated gross receivables at December 31, 2015.</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 Costs and Intellectual Property Licenses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Software development costs include payments made to independent software developers under development agreements, as well as direct costs incurred for internally developed products. Software development costs are capitalized once technological feasibility of a product is established and such costs are determined to be recoverable. Technological feasibility of a product requires both technical design documentation and game design documentation, or the completed and tested product design and a working model. Significant management judgments and estimates are utilized in the assessment of when technological feasibility is established and the evaluation is performed on a product-by-product basis. For products where proven technology exists, this may occur early in the development cycle. Software development costs related to hosted service revenue arrangements are capitalized after the preliminary project phase is complete and it is probable that the project will be completed and the software will be used to perform the function intended. Prior to a product's release, if and when we believe capitalized costs are not recoverable, we expense the amounts as part of "Cost of revenues—software royalties, amortization, and intellectual property licenses." Capitalized costs for products that are canceled or are expected to be abandoned are charged to "Product development" in the period of cancellation. Amounts related to software development which are not capitalized are charged immediately to "Product development."</w:t>
      </w:r>
    </w:p>
    <w:p>
      <w:pPr>
        <w:spacing w:after="0" w:line="177" w:lineRule="exact"/>
        <w:rPr>
          <w:sz w:val="20"/>
          <w:szCs w:val="20"/>
          <w:color w:val="auto"/>
        </w:rPr>
      </w:pPr>
    </w:p>
    <w:p>
      <w:pPr>
        <w:jc w:val="both"/>
        <w:ind w:right="320" w:firstLine="351"/>
        <w:spacing w:after="0" w:line="259" w:lineRule="auto"/>
        <w:rPr>
          <w:sz w:val="20"/>
          <w:szCs w:val="20"/>
          <w:color w:val="auto"/>
        </w:rPr>
      </w:pPr>
      <w:r>
        <w:rPr>
          <w:rFonts w:ascii="Arial" w:cs="Arial" w:eastAsia="Arial" w:hAnsi="Arial"/>
          <w:sz w:val="18"/>
          <w:szCs w:val="18"/>
          <w:color w:val="auto"/>
        </w:rPr>
        <w:t>Commencing upon a product's release, capitalized software development costs are amortized to "Cost of revenues—software royalties, amortization, and intellectual property licenses" based on the ratio of current revenues to total projected revenues for the specific product, generally resulting in an amortization period of six months to approximately two years.</w:t>
      </w:r>
    </w:p>
    <w:p>
      <w:pPr>
        <w:spacing w:after="0" w:line="194" w:lineRule="exact"/>
        <w:rPr>
          <w:sz w:val="20"/>
          <w:szCs w:val="20"/>
          <w:color w:val="auto"/>
        </w:rPr>
      </w:pPr>
    </w:p>
    <w:p>
      <w:pPr>
        <w:ind w:right="80" w:firstLine="351"/>
        <w:spacing w:after="0" w:line="254" w:lineRule="auto"/>
        <w:rPr>
          <w:sz w:val="20"/>
          <w:szCs w:val="20"/>
          <w:color w:val="auto"/>
        </w:rPr>
      </w:pPr>
      <w:r>
        <w:rPr>
          <w:rFonts w:ascii="Arial" w:cs="Arial" w:eastAsia="Arial" w:hAnsi="Arial"/>
          <w:sz w:val="18"/>
          <w:szCs w:val="18"/>
          <w:color w:val="auto"/>
        </w:rPr>
        <w:t>Intellectual property license costs represent license fees paid to intellectual property rights holders for use of their trademarks, copyrights, software, technology, music or other intellectual property or proprietary rights in the development of our products. Depending upon the agreement with the rights holder, we may obtain the right to use the intellectual property in multiple products over a number of years, or alternatively, for a single product. Prior to a product's release, if and when we believe capitalized costs are not recoverable, we expense the amounts as part of "Cost of revenues—software royalties, amortization, and intellectual property licenses." Capitalized intellectual property costs for products that are canceled or are expected to be abandoned are charged to "Product development" in the period of cancellation.</w:t>
      </w:r>
    </w:p>
    <w:p>
      <w:pPr>
        <w:spacing w:after="0" w:line="198" w:lineRule="exact"/>
        <w:rPr>
          <w:sz w:val="20"/>
          <w:szCs w:val="20"/>
          <w:color w:val="auto"/>
        </w:rPr>
      </w:pPr>
    </w:p>
    <w:p>
      <w:pPr>
        <w:ind w:right="20" w:firstLine="351"/>
        <w:spacing w:after="0" w:line="298" w:lineRule="auto"/>
        <w:rPr>
          <w:sz w:val="20"/>
          <w:szCs w:val="20"/>
          <w:color w:val="auto"/>
        </w:rPr>
      </w:pPr>
      <w:r>
        <w:rPr>
          <w:rFonts w:ascii="Arial" w:cs="Arial" w:eastAsia="Arial" w:hAnsi="Arial"/>
          <w:sz w:val="16"/>
          <w:szCs w:val="16"/>
          <w:color w:val="auto"/>
        </w:rPr>
        <w:t>Commencing upon a product's release, capitalized intellectual property license costs are amortized to "Cost of revenues—software royalties, amortization, and intellectual property licenses" based on the ratio of current revenues for the specific product to total projected revenues for all products in which the licensed property will be utilized. As intellectual property license contracts may extend for multiple years and can be used in multiple products to be released over a period beyond one year, the amortization of capitalized intellectual property license costs relating to such contracts may extend beyond one year.</w:t>
      </w:r>
    </w:p>
    <w:p>
      <w:pPr>
        <w:spacing w:after="0" w:line="16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We evaluate the future recoverability of capitalized software development costs and intellectual property licenses on a quarterly basis. For products that have been released in prior periods,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primary evaluation criterion is the actual performance of the title to which the costs relate. For products that are scheduled to be released in future periods, recoverability is evaluated based on the expected performance of the specific products to which the costs relate or in which the licensed trademark or copyright is to be used. Criteria used to evaluate expected product performance include: historical performance of comparable products developed with comparable technology; market performance of comparable titles; orders for the product prior to its release; general market conditions; and, for any sequel product, estimated performance based on the performance of the product on which the sequel is based. Further, as many of our capitalized intellectual property licenses extend for multiple products over multiple years, we also assess the recoverability of capitalized intellectual property license costs based on certain qualitative factors, such as the success of other products and/or entertainment vehicles utilizing the intellectual property, whether there are any future planned theatrical releases or television series based on the intellectual property, and the rights holder's continued promotion and exploitation of the intellectual property.</w:t>
      </w:r>
    </w:p>
    <w:p>
      <w:pPr>
        <w:spacing w:after="0" w:line="172" w:lineRule="exact"/>
        <w:rPr>
          <w:sz w:val="20"/>
          <w:szCs w:val="20"/>
          <w:color w:val="auto"/>
        </w:rPr>
      </w:pPr>
    </w:p>
    <w:p>
      <w:pPr>
        <w:ind w:right="300" w:firstLine="351"/>
        <w:spacing w:after="0" w:line="294" w:lineRule="auto"/>
        <w:rPr>
          <w:sz w:val="20"/>
          <w:szCs w:val="20"/>
          <w:color w:val="auto"/>
        </w:rPr>
      </w:pPr>
      <w:r>
        <w:rPr>
          <w:rFonts w:ascii="Arial" w:cs="Arial" w:eastAsia="Arial" w:hAnsi="Arial"/>
          <w:sz w:val="16"/>
          <w:szCs w:val="16"/>
          <w:color w:val="auto"/>
        </w:rPr>
        <w:t>Significant management judgments and estimates are utilized in assessing the recoverability of capitalized costs. In evaluating the recoverability of capitalized costs, the assessment of expected product performance utilizes forecasted sales amounts and estimates of additional costs to be incurred. If revised forecasted or actual product sales are less than the originally forecasted amounts utilized in the initial recoverability analysis, the net realizable value may be lower than originally estimated in any given quarter, which could result in an impairment charge. Material differences may result in the amount and timing of expenses for any period if matters resolve in a manner that is inconsistent with management's expectations.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Inventories consist of materials (including manufacturing royalties paid to console manufacturers), labor, and freight-in and are stated at the lower of cost (weighted-average method) or net realizable value. Inventories are relieved on a weighted-average cost method.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Long-Lived Assets</w:t>
      </w:r>
    </w:p>
    <w:p>
      <w:pPr>
        <w:spacing w:after="0" w:line="225" w:lineRule="exact"/>
        <w:rPr>
          <w:sz w:val="20"/>
          <w:szCs w:val="20"/>
          <w:color w:val="auto"/>
        </w:rPr>
      </w:pPr>
    </w:p>
    <w:p>
      <w:pPr>
        <w:jc w:val="center"/>
        <w:ind w:right="20"/>
        <w:spacing w:after="0"/>
        <w:tabs>
          <w:tab w:leader="none" w:pos="140" w:val="left"/>
        </w:tabs>
        <w:rPr>
          <w:sz w:val="20"/>
          <w:szCs w:val="20"/>
          <w:color w:val="auto"/>
        </w:rPr>
      </w:pPr>
      <w:r>
        <w:rPr>
          <w:rFonts w:ascii="Arial" w:cs="Arial" w:eastAsia="Arial" w:hAnsi="Arial"/>
          <w:sz w:val="18"/>
          <w:szCs w:val="18"/>
          <w:i w:val="1"/>
          <w:iCs w:val="1"/>
          <w:color w:val="auto"/>
        </w:rPr>
        <w:t>Property and Equipment.</w:t>
      </w:r>
      <w:r>
        <w:rPr>
          <w:sz w:val="20"/>
          <w:szCs w:val="20"/>
          <w:color w:val="auto"/>
        </w:rPr>
        <w:tab/>
      </w:r>
      <w:r>
        <w:rPr>
          <w:rFonts w:ascii="Arial" w:cs="Arial" w:eastAsia="Arial" w:hAnsi="Arial"/>
          <w:sz w:val="15"/>
          <w:szCs w:val="15"/>
          <w:color w:val="auto"/>
        </w:rPr>
        <w:t>Property and equipment are recorded at cost and depreciated on a straight-line basis over the estimated useful life (</w:t>
      </w:r>
      <w:r>
        <w:rPr>
          <w:rFonts w:ascii="Arial" w:cs="Arial" w:eastAsia="Arial" w:hAnsi="Arial"/>
          <w:sz w:val="15"/>
          <w:szCs w:val="15"/>
          <w:i w:val="1"/>
          <w:iCs w:val="1"/>
          <w:color w:val="auto"/>
        </w:rPr>
        <w:t>i.e.</w:t>
      </w:r>
      <w:r>
        <w:rPr>
          <w:rFonts w:ascii="Arial" w:cs="Arial" w:eastAsia="Arial" w:hAnsi="Arial"/>
          <w:sz w:val="15"/>
          <w:szCs w:val="15"/>
          <w:color w:val="auto"/>
        </w:rPr>
        <w:t>, 25 to</w:t>
      </w:r>
    </w:p>
    <w:p>
      <w:pPr>
        <w:spacing w:after="0" w:line="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33 years for buildings, and 2 to 5 years for computer equipment, office furniture and other equipment) of the asset. When assets are retired or disposed of, the cost and accumulated depreciation thereon are removed and any resulting gains or losses are included in the consolidated statements of operations. Leasehold improvements are amortized using the straight-line method over the estimated life of the asset, not to exceed the length of the lease. Repair and maintenance costs are expensed as incurred.</w:t>
      </w:r>
    </w:p>
    <w:p>
      <w:pPr>
        <w:spacing w:after="0" w:line="198"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i w:val="1"/>
          <w:iCs w:val="1"/>
          <w:color w:val="auto"/>
        </w:rPr>
        <w:t xml:space="preserve">Goodwill and Other Indefinite-Lived Assets. </w:t>
      </w:r>
      <w:r>
        <w:rPr>
          <w:rFonts w:ascii="Arial" w:cs="Arial" w:eastAsia="Arial" w:hAnsi="Arial"/>
          <w:sz w:val="18"/>
          <w:szCs w:val="18"/>
          <w:color w:val="auto"/>
        </w:rPr>
        <w:t>We account for goodwill in accordance with ASC Topic 350. Under ASC Topic 350, goodwill is considered to</w:t>
      </w:r>
      <w:r>
        <w:rPr>
          <w:rFonts w:ascii="Arial" w:cs="Arial" w:eastAsia="Arial" w:hAnsi="Arial"/>
          <w:sz w:val="18"/>
          <w:szCs w:val="18"/>
          <w:i w:val="1"/>
          <w:iCs w:val="1"/>
          <w:color w:val="auto"/>
        </w:rPr>
        <w:t xml:space="preserve"> </w:t>
      </w:r>
      <w:r>
        <w:rPr>
          <w:rFonts w:ascii="Arial" w:cs="Arial" w:eastAsia="Arial" w:hAnsi="Arial"/>
          <w:sz w:val="18"/>
          <w:szCs w:val="18"/>
          <w:color w:val="auto"/>
        </w:rPr>
        <w:t>have an indefinite life, and is carried at cost. Acquired trade names are assessed as indefinite lived assets if there is no foreseeable limits on the periods of time over which they are expected to contribute cash flows. Goodwill and indefinite-lived assets are not amortized, but are subject to an annual impairment test, as well as between annual tests when events or circumstances indicate that the carrying value may not be recoverable. We perform our annual impairment testing at December 31.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Our annual goodwill impairment test is performed at the reporting unit level. We have determined our reporting units based on the guidance within ASC Subtopic 350-20. As of December 31, 2016 and 2015, our reporting units are the same as our operating segments. We test goodwill for possible impairment by first determining the fair value of the related reporting unit and comparing this value to the recorded net assets of the reporting unit, including goodwill. The fair value of our reporting units is determined using an income approach based on discounted cash flow models. In the event the recorded net assets of the reporting unit exceed the estimated fair value of such assets, we perform a second step to measure the amount of the impairment, which is equal to the amount by which the recorded goodwill exceeds the implied fair value of the goodwill after assessing the fair value of each of the assets and liabilities within the reporting unit. We have determined that no impairment has occurred at December 31, 2016, 2015 and 2014 based upon a set of assumptions regarding discounted future cash flows, which represent our best estimate of future performance at this time.</w:t>
      </w:r>
    </w:p>
    <w:p>
      <w:pPr>
        <w:spacing w:after="0" w:line="172"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test indefinite-lived acquired trade names for possible impairment by using a discounted cash flow model to estimate fair value. We have determined that no impairment has occurred at December 31, 2016, 2015 and 2014 based upon a set of assumptions regarding discounted future cash flows, which represent our best estimate of future performance at this time.</w:t>
      </w:r>
    </w:p>
    <w:p>
      <w:pPr>
        <w:spacing w:after="0" w:line="194"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Changes in our assumptions underlying our estimates of fair value, which will be a function of our future financial performance and changes in economic conditions, could result in future impairment charges.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i w:val="1"/>
          <w:iCs w:val="1"/>
          <w:color w:val="auto"/>
        </w:rPr>
        <w:t xml:space="preserve">Amortizable Intangible Assets. </w:t>
      </w:r>
      <w:r>
        <w:rPr>
          <w:rFonts w:ascii="Arial" w:cs="Arial" w:eastAsia="Arial" w:hAnsi="Arial"/>
          <w:sz w:val="18"/>
          <w:szCs w:val="18"/>
          <w:color w:val="auto"/>
        </w:rPr>
        <w:t>Intangible assets subject to amortization are carried at cost less accumulated amortization, and amortized over the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useful life in proportion to the economic benefits received.</w:t>
      </w:r>
    </w:p>
    <w:p>
      <w:pPr>
        <w:spacing w:after="0" w:line="186" w:lineRule="exact"/>
        <w:rPr>
          <w:sz w:val="20"/>
          <w:szCs w:val="20"/>
          <w:color w:val="auto"/>
        </w:rPr>
      </w:pPr>
    </w:p>
    <w:p>
      <w:pPr>
        <w:ind w:right="80" w:firstLine="348"/>
        <w:spacing w:after="0" w:line="288" w:lineRule="auto"/>
        <w:rPr>
          <w:sz w:val="20"/>
          <w:szCs w:val="20"/>
          <w:color w:val="auto"/>
        </w:rPr>
      </w:pPr>
      <w:r>
        <w:rPr>
          <w:rFonts w:ascii="Arial" w:cs="Arial" w:eastAsia="Arial" w:hAnsi="Arial"/>
          <w:sz w:val="16"/>
          <w:szCs w:val="16"/>
          <w:color w:val="auto"/>
        </w:rPr>
        <w:t>We evaluate the recoverability of our identifiable intangible assets and other long-lived assets in accordance with ASC Subtopic 360-10, which generally requires the assessment of these assets for recoverability when events or circumstances indicate a potential impairment exists. We considered certain events and circumstances in determining whether the carrying value of identifiable intangible assets and other long-lived assets, other than indefinite-lived intangible assets, may not be recoverable including, but not limited to: significant changes in performance relative to expected operating results; significant changes in the use of the assets; significant negative industry or economic trends; a significant decline in our stock price for a sustained period of time; and changes in our business strategy. If we determine that the carrying value may not be recoverable, we estimate the undiscounted cash flows to be generated from the use and ultimate disposition of these assets to determine whether an impairment exists. If an impairment is indicated based on a comparison of the assets' carrying values and the undiscounted cash flows, the impairment loss is measured as the amount by which the carrying amount of the assets exceeds the fair value of the assets. We did not record an impairment charge to our definite-lived intangible assets as of December 31, 2016, 2015, and 2014.</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We recognize revenues when there is persuasive evidence of an arrangement, the product or service has been provided to the customer, the collection of our fees is reasonably assured and the amount of fees to be paid by the customer is fixed or determinable. Certain products are sold to customers with a "street date" (which is the earliest date these products may be sold by retailers). For these products, we recognize revenues on the later of the street date or the date the product is sold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customer. Revenues are recorded net of taxes assessed by governmental authorities that are both imposed on and concurrent with the specific revenue-producing transaction between us and our customer, such as sales and value-added taxes.</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Revenue Arrangements with Multiple Deliverables</w:t>
      </w:r>
    </w:p>
    <w:p>
      <w:pPr>
        <w:spacing w:after="0" w:line="225" w:lineRule="exact"/>
        <w:rPr>
          <w:sz w:val="20"/>
          <w:szCs w:val="20"/>
          <w:color w:val="auto"/>
        </w:rPr>
      </w:pPr>
    </w:p>
    <w:p>
      <w:pPr>
        <w:ind w:right="360" w:firstLine="351"/>
        <w:spacing w:after="0" w:line="259" w:lineRule="auto"/>
        <w:rPr>
          <w:sz w:val="20"/>
          <w:szCs w:val="20"/>
          <w:color w:val="auto"/>
        </w:rPr>
      </w:pPr>
      <w:r>
        <w:rPr>
          <w:rFonts w:ascii="Arial" w:cs="Arial" w:eastAsia="Arial" w:hAnsi="Arial"/>
          <w:sz w:val="18"/>
          <w:szCs w:val="18"/>
          <w:color w:val="auto"/>
        </w:rPr>
        <w:t>Certain of our revenue arrangements have multiple deliverables, which we account for in accordance with ASC Topic 605. These revenue arrangements include product sales consisting of both software, service (such as ongoing hosting arrangements), and hardware deliverables (such as peripherals or other ancillary collectors' items sold together with physical "boxed" software).</w:t>
      </w:r>
    </w:p>
    <w:p>
      <w:pPr>
        <w:spacing w:after="0" w:line="194"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When a revenue arrangement contains multiple elements, such as hardware and software products, licenses and/or services, we allocate revenue to each element based on a selling price hierarchy. The selling price for a deliverable is based on its vendor-specific objective evidence ("VSOE") if it is available, third-party evidence ("TPE") if VSOE is not available, or best estimated selling price ("BESP") if neither VSOE nor TPE is available. In multiple element arrangements where more-than-incidental software deliverables are included, revenue is allocated to each separate unit of accounting for each of the non-software deliverables and to the software deliverables as a group using the relative selling prices of each of the deliverables in the arrangement based on the aforementioned selling price hierarchy. Further, if the arrangement contains more than one software deliverable, the arrangement consideration allocated to the software deliverables as a group is then allocated to each software deliverable using the guidance for recognizing software revenue.</w:t>
      </w:r>
    </w:p>
    <w:p>
      <w:pPr>
        <w:spacing w:after="0" w:line="172"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noted above, when neither VSOE nor TPE is available for a deliverable, we use BESP. We did not have significant revenue arrangements that required using BESP for the years ended December 31, 2016, 2015, and 2014. The inputs we use to determine the selling price of our significant deliverables include the actual price charged by the Company for deliverables that the Company sells separately (which represents VSOE) and the wholesale prices of the same or similar products for deliverables not sold separately (which represents TPE).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 Sales</w:t>
      </w:r>
    </w:p>
    <w:p>
      <w:pPr>
        <w:spacing w:after="0" w:line="225" w:lineRule="exact"/>
        <w:rPr>
          <w:sz w:val="20"/>
          <w:szCs w:val="20"/>
          <w:color w:val="auto"/>
        </w:rPr>
      </w:pPr>
    </w:p>
    <w:p>
      <w:pPr>
        <w:ind w:right="100" w:firstLine="351"/>
        <w:spacing w:after="0" w:line="289" w:lineRule="auto"/>
        <w:rPr>
          <w:sz w:val="20"/>
          <w:szCs w:val="20"/>
          <w:color w:val="auto"/>
        </w:rPr>
      </w:pPr>
      <w:r>
        <w:rPr>
          <w:rFonts w:ascii="Arial" w:cs="Arial" w:eastAsia="Arial" w:hAnsi="Arial"/>
          <w:sz w:val="16"/>
          <w:szCs w:val="16"/>
          <w:color w:val="auto"/>
        </w:rPr>
        <w:t>Product sales consist of sales of our games, including physical products and digital full-game downloads. We recognize revenues from the sale of our products after both (1) title and risk of loss have been transferred to our customers and (2) all performance obligations have been completed. With respect to digital full-game downloads, this is when the product is available for download or is activated for gameplay. Revenues from product sales are recognized after deducting the estimated allowance for returns and price protection. Sales incentives and other consideration given by us to our customers, such as rebates and product placement fees, are considered adjustments of the selling price of our products and are reflected as reductions to revenues. Sales incentives and other consideration that represent costs incurred by us for assets or services received, such as the appearance of our products in a customer's national circular ad, are reflected as sales and marketing expenses when the benefit from the sales incentive is separable from sales to the same customer and we can reasonably estimate the fair value of the benefit.</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Products with Online Functionality or Hosted Service Arrangements</w:t>
      </w:r>
    </w:p>
    <w:p>
      <w:pPr>
        <w:spacing w:after="0" w:line="225" w:lineRule="exact"/>
        <w:rPr>
          <w:sz w:val="20"/>
          <w:szCs w:val="20"/>
          <w:color w:val="auto"/>
        </w:rPr>
      </w:pPr>
    </w:p>
    <w:p>
      <w:pPr>
        <w:ind w:firstLine="351"/>
        <w:spacing w:after="0" w:line="287" w:lineRule="auto"/>
        <w:rPr>
          <w:sz w:val="20"/>
          <w:szCs w:val="20"/>
          <w:color w:val="auto"/>
        </w:rPr>
      </w:pPr>
      <w:r>
        <w:rPr>
          <w:rFonts w:ascii="Arial" w:cs="Arial" w:eastAsia="Arial" w:hAnsi="Arial"/>
          <w:sz w:val="16"/>
          <w:szCs w:val="16"/>
          <w:color w:val="auto"/>
        </w:rPr>
        <w:t>For our software products with online functionality or that are part of a hosted service agreement, we evaluate whether that online functionality constitutes a more-than-inconsequential separate deliverable in addition to the software product. This evaluation is performed for each software product or product add-on (including downloadable content), when it is released. Determining whether the online functionality for a particular product constitutes a more-than-inconsequential deliverable is subjective and requires management's judgment. When we determine that the online functionality constitutes a more-than-inconsequential separate service deliverable in addition to the product, which is principally because of the online functionality's importance to gameplay, we consider our performance obligation for this title to extend beyond the sale of the game. In addition, VSOE of fair value does not exist for the online functionality of some products, as we do not separately charge for this component. As a result, we initially defer all of the software-related revenues from the sale of any such title (including downloadable content) and recognize the revenues ratably over the estimated service period of the title. In addition, we initially defer the cost of revenues for the title and recognize the costs of sales as the related revenues are recognized. The cost of revenues that are initially deferred include manufacturing costs, software royalties and amortization, and intellectual property licenses and exclude intangible asset amortization.</w:t>
      </w:r>
    </w:p>
    <w:p>
      <w:pPr>
        <w:spacing w:after="0" w:line="177" w:lineRule="exact"/>
        <w:rPr>
          <w:sz w:val="20"/>
          <w:szCs w:val="20"/>
          <w:color w:val="auto"/>
        </w:rPr>
      </w:pPr>
    </w:p>
    <w:p>
      <w:pPr>
        <w:jc w:val="both"/>
        <w:ind w:right="60" w:firstLine="351"/>
        <w:spacing w:after="0" w:line="268" w:lineRule="auto"/>
        <w:rPr>
          <w:sz w:val="20"/>
          <w:szCs w:val="20"/>
          <w:color w:val="auto"/>
        </w:rPr>
      </w:pPr>
      <w:r>
        <w:rPr>
          <w:rFonts w:ascii="Arial" w:cs="Arial" w:eastAsia="Arial" w:hAnsi="Arial"/>
          <w:sz w:val="18"/>
          <w:szCs w:val="18"/>
          <w:color w:val="auto"/>
        </w:rPr>
        <w:t>For our software products with online functionality that we consider to be incidental to the overall product offering and are inconsequential deliverables, we recognize the related revenues when the revenue recognition criteria described above have been met.</w:t>
      </w:r>
    </w:p>
    <w:p>
      <w:pPr>
        <w:spacing w:after="0" w:line="186"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 xml:space="preserve">For our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boxed products, expansion packs and value-added services, we recognize revenues in each case with the related subscription service revenues ratably over the estimated service period, beginning upon the activation of the software and delivery of the related services. Revenues attributed to the sale of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boxed software and related expansion packs are classified as "Product sales," whereas revenues attributable to subscriptions and other value-added services are classified as "Subscription, licensing, and other revenues."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Subscription Revenues</w:t>
      </w:r>
    </w:p>
    <w:p>
      <w:pPr>
        <w:spacing w:after="0" w:line="225"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color w:val="auto"/>
        </w:rPr>
        <w:t xml:space="preserve">Subscription revenues are mostly derived from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w:t>
      </w:r>
      <w:r>
        <w:rPr>
          <w:rFonts w:ascii="Arial" w:cs="Arial" w:eastAsia="Arial" w:hAnsi="Arial"/>
          <w:sz w:val="18"/>
          <w:szCs w:val="18"/>
          <w:i w:val="1"/>
          <w:iCs w:val="1"/>
          <w:color w:val="auto"/>
        </w:rPr>
        <w:t>World of Warcraft</w:t>
      </w:r>
      <w:r>
        <w:rPr>
          <w:rFonts w:ascii="Arial" w:cs="Arial" w:eastAsia="Arial" w:hAnsi="Arial"/>
          <w:sz w:val="18"/>
          <w:szCs w:val="18"/>
          <w:color w:val="auto"/>
        </w:rPr>
        <w:t xml:space="preserve"> is a game that is playable through Blizzard's servers and is generally sold on a subscription-only basis.</w:t>
      </w:r>
    </w:p>
    <w:p>
      <w:pPr>
        <w:spacing w:after="0" w:line="186" w:lineRule="exact"/>
        <w:rPr>
          <w:sz w:val="20"/>
          <w:szCs w:val="20"/>
          <w:color w:val="auto"/>
        </w:rPr>
      </w:pPr>
    </w:p>
    <w:p>
      <w:pPr>
        <w:ind w:right="100" w:firstLine="351"/>
        <w:spacing w:after="0" w:line="298" w:lineRule="auto"/>
        <w:rPr>
          <w:sz w:val="20"/>
          <w:szCs w:val="20"/>
          <w:color w:val="auto"/>
        </w:rPr>
      </w:pPr>
      <w:r>
        <w:rPr>
          <w:rFonts w:ascii="Arial" w:cs="Arial" w:eastAsia="Arial" w:hAnsi="Arial"/>
          <w:sz w:val="16"/>
          <w:szCs w:val="16"/>
          <w:color w:val="auto"/>
        </w:rPr>
        <w:t xml:space="preserve">For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after the first month of free usage that is included with the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boxed software, the </w:t>
      </w:r>
      <w:r>
        <w:rPr>
          <w:rFonts w:ascii="Arial" w:cs="Arial" w:eastAsia="Arial" w:hAnsi="Arial"/>
          <w:sz w:val="16"/>
          <w:szCs w:val="16"/>
          <w:i w:val="1"/>
          <w:iCs w:val="1"/>
          <w:color w:val="auto"/>
        </w:rPr>
        <w:t>World of Warcraft</w:t>
      </w:r>
      <w:r>
        <w:rPr>
          <w:rFonts w:ascii="Arial" w:cs="Arial" w:eastAsia="Arial" w:hAnsi="Arial"/>
          <w:sz w:val="16"/>
          <w:szCs w:val="16"/>
          <w:color w:val="auto"/>
        </w:rPr>
        <w:t xml:space="preserve"> end user may enter into a subscription agreement for additional future access. Revenues associated with the sales of subscriptions via boxed software and prepaid subscription cards, as well as prepaid subscriptions sales, are deferred until the subscription service is activated by the consumer and are then recognized ratably over the subscription period. Value-added service revenues associated with subscriptions are recognized ratably over the estimated service periods.</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Licensing Revenues</w:t>
      </w:r>
    </w:p>
    <w:p>
      <w:pPr>
        <w:spacing w:after="0" w:line="225" w:lineRule="exact"/>
        <w:rPr>
          <w:sz w:val="20"/>
          <w:szCs w:val="20"/>
          <w:color w:val="auto"/>
        </w:rPr>
      </w:pPr>
    </w:p>
    <w:p>
      <w:pPr>
        <w:ind w:right="120" w:firstLine="351"/>
        <w:spacing w:after="0" w:line="332" w:lineRule="auto"/>
        <w:rPr>
          <w:sz w:val="20"/>
          <w:szCs w:val="20"/>
          <w:color w:val="auto"/>
        </w:rPr>
      </w:pPr>
      <w:r>
        <w:rPr>
          <w:rFonts w:ascii="Arial" w:cs="Arial" w:eastAsia="Arial" w:hAnsi="Arial"/>
          <w:sz w:val="16"/>
          <w:szCs w:val="16"/>
          <w:color w:val="auto"/>
        </w:rPr>
        <w:t>In certain countries, we utilize third-party licensees to distribute and host our games in accordance with license agreements, for which the licensees pay the Company a royalty. We recognize these royalties as revenues based on usage by the end user and over the estimated service period when we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have continuing service obligations. We recognize any upfront licensing fees received over the term of the agreements.</w:t>
      </w:r>
    </w:p>
    <w:p>
      <w:pPr>
        <w:spacing w:after="0" w:line="225"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With respect to license agreements that provide customers the right to make multiple copies in exchange for guaranteed amounts, revenues are generally recognized upon delivery of a master copy if all other performance obligations have been completed or over the estimated service period when we have continuing service obligations. Per copy royalties on sales that exceed the guarantee are recognized as earned. In addition, persuasive evidence of an arrangement must exist and collection of the related receivable must be probable.</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Other Revenues</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Other revenues primarily include revenues from digital downloadable content (e.g., multi-player content packs), microtransactions and the licensing of intellectual property other than software to third-parties.</w:t>
      </w:r>
    </w:p>
    <w:p>
      <w:pPr>
        <w:spacing w:after="0" w:line="186"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Microtransaction revenues are derived from the sale of virtual goods and currencies to our players to enhance their gameplay experience. Proceeds from the sales of virtual goods and currencies are initially recorded in deferred revenues. Proceeds from the sales of virtual currencies are recognized as revenues when a player uses the virtual goods purchased with the virtual currency. Proceeds from the sales of virtual goods directly are also recognized as revenues when a player uses the virtual goods. We categorize our virtual goods as either consumable or durable. Consumable virtual goods represent goods that can be consumed by a specific player action; accordingly, we recognize revenues from the sale of consumable virtual goods as the goods are consumed. Durable virtual goods represent goods that are accessible to the player over an extended period of time; accordingly, we recognize revenues from the sale of durable virtual goods ratably over the period of time the goods are available to the player, which is generally the estimated service period of the game.</w:t>
      </w:r>
    </w:p>
    <w:p>
      <w:pPr>
        <w:spacing w:after="0" w:line="172"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Revenues from the licensing of intellectual property other than software to third-parties are recorded upon the receipt of licensee statements, or upon the receipt of cash, provided the license period has begun and all performance obligations have been completed.</w:t>
      </w:r>
    </w:p>
    <w:p>
      <w:pPr>
        <w:spacing w:after="0" w:line="186"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Estimated Service Period</w:t>
      </w:r>
    </w:p>
    <w:p>
      <w:pPr>
        <w:spacing w:after="0" w:line="225" w:lineRule="exact"/>
        <w:rPr>
          <w:sz w:val="20"/>
          <w:szCs w:val="20"/>
          <w:color w:val="auto"/>
        </w:rPr>
      </w:pPr>
    </w:p>
    <w:p>
      <w:pPr>
        <w:ind w:right="20" w:firstLine="348"/>
        <w:spacing w:after="0" w:line="314" w:lineRule="auto"/>
        <w:rPr>
          <w:sz w:val="20"/>
          <w:szCs w:val="20"/>
          <w:color w:val="auto"/>
        </w:rPr>
      </w:pPr>
      <w:r>
        <w:rPr>
          <w:rFonts w:ascii="Arial" w:cs="Arial" w:eastAsia="Arial" w:hAnsi="Arial"/>
          <w:sz w:val="15"/>
          <w:szCs w:val="15"/>
          <w:color w:val="auto"/>
        </w:rPr>
        <w:t>We determine the estimated service period for players of our games with consideration of various data points, including the weighted average number of days between players' first and last days played online, the average total hours played, the average number of days in which player activity stabilizes, and the weighted-average number of days between players' first purchase date and last date played online. We also consider known online trends, the service periods of our previously released games, and the service periods of our competitors' games that are similar in nature to ours, to the extent they are publicly available. Determining the estimated service period is subjective and requires management's judgment. Future usage patterns may differ from historical usage patterns and therefore the estimated service period may change in the future. The estimated service periods for players of our current games are generally less than 12 months.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Allowances for Returns, Price Protection, and Doubtful Accounts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closely monitor and analyze the historical performance of our various titles, the performance of products released by other publishers, market conditions, and the anticipated timing of other</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releases to assess future demand of current and upcoming titles. Initial volumes shipped upon title launch and subsequent reorders are evaluated with the goal of ensuring that quantities are sufficient to meet the demand from the retail markets, but at the same time are controlled to prevent excess inventory in the channel. We benchmark units to be shipped to our customers using historical and industry data.</w:t>
      </w:r>
    </w:p>
    <w:p>
      <w:pPr>
        <w:spacing w:after="0" w:line="194" w:lineRule="exact"/>
        <w:rPr>
          <w:sz w:val="20"/>
          <w:szCs w:val="20"/>
          <w:color w:val="auto"/>
        </w:rPr>
      </w:pPr>
    </w:p>
    <w:p>
      <w:pPr>
        <w:ind w:right="280" w:firstLine="348"/>
        <w:spacing w:after="0" w:line="291" w:lineRule="auto"/>
        <w:rPr>
          <w:sz w:val="20"/>
          <w:szCs w:val="20"/>
          <w:color w:val="auto"/>
        </w:rPr>
      </w:pPr>
      <w:r>
        <w:rPr>
          <w:rFonts w:ascii="Arial" w:cs="Arial" w:eastAsia="Arial" w:hAnsi="Arial"/>
          <w:sz w:val="16"/>
          <w:szCs w:val="16"/>
          <w:color w:val="auto"/>
        </w:rPr>
        <w:t>We may permit product returns from, or grant price protection to, our customers under certain conditions. In general, price protection refers to the circumstances in which we elect to decrease, on a short- or longer-term basis, the wholesale price of a product by a certain amount and, when granted and applicable, allow customers a credit against amounts owed by such customers to us with respect to open and/or future invoices. The conditions our customers must meet to be granted the right to return products or receive price protection credits include, among other things, compliance with applicable trading and payment terms and consistent return of inventory and delivery of sell-through reports to us. We may also consider other factors, including achievement of sell-through performance targets in certain instances, the facilitation of slow-moving inventory, and other market factors.</w:t>
      </w:r>
    </w:p>
    <w:p>
      <w:pPr>
        <w:spacing w:after="0" w:line="174" w:lineRule="exact"/>
        <w:rPr>
          <w:sz w:val="20"/>
          <w:szCs w:val="20"/>
          <w:color w:val="auto"/>
        </w:rPr>
      </w:pPr>
    </w:p>
    <w:p>
      <w:pPr>
        <w:ind w:right="80" w:firstLine="351"/>
        <w:spacing w:after="0" w:line="288" w:lineRule="auto"/>
        <w:rPr>
          <w:sz w:val="20"/>
          <w:szCs w:val="20"/>
          <w:color w:val="auto"/>
        </w:rPr>
      </w:pPr>
      <w:r>
        <w:rPr>
          <w:rFonts w:ascii="Arial" w:cs="Arial" w:eastAsia="Arial" w:hAnsi="Arial"/>
          <w:sz w:val="16"/>
          <w:szCs w:val="16"/>
          <w:color w:val="auto"/>
        </w:rPr>
        <w:t>Significant management judgments and estimates with respect to potential future product returns and price protection related to current period product revenues must be made and used when establishing the allowance for returns and price protection in any accounting period. We estimate the amount of future returns and price protection for current period product revenues utilizing historical experience and information regarding inventory levels and the demand and acceptance of our products by the end consumer. The following factors are used to estimate the amount of future returns and price protection for a particular title: historical performance of titles in similar genres; historical performance of the hardware platform; historical performance of the franchise; console hardware life cycle; sales force and retail customer feedback; industry pricing; future pricing assumptions; weeks of on-hand retail channel inventory; absolute quantity of on-hand retail channel inventory; our warehouse on-hand inventory levels; the title's recent sell-through history (if available); marketing trade programs; and the performance of competing titles. The relative importance of these factors varies among titles depending upon, among other things, genre, platform, seasonality, and sales strategy.</w:t>
      </w:r>
    </w:p>
    <w:p>
      <w:pPr>
        <w:spacing w:after="0" w:line="174" w:lineRule="exact"/>
        <w:rPr>
          <w:sz w:val="20"/>
          <w:szCs w:val="20"/>
          <w:color w:val="auto"/>
        </w:rPr>
      </w:pPr>
    </w:p>
    <w:p>
      <w:pPr>
        <w:ind w:right="140" w:firstLine="351"/>
        <w:spacing w:after="0" w:line="294" w:lineRule="auto"/>
        <w:rPr>
          <w:sz w:val="20"/>
          <w:szCs w:val="20"/>
          <w:color w:val="auto"/>
        </w:rPr>
      </w:pPr>
      <w:r>
        <w:rPr>
          <w:rFonts w:ascii="Arial" w:cs="Arial" w:eastAsia="Arial" w:hAnsi="Arial"/>
          <w:sz w:val="16"/>
          <w:szCs w:val="16"/>
          <w:color w:val="auto"/>
        </w:rPr>
        <w:t>Based upon historical experience, we believe that our estimates are reasonable. However, actual returns and price protection could vary materially from our allowance estimates due to a number of reasons, including, among others: a lack of consumer acceptance of a title, the release in the same period of a similarly themed title by a competitor, or technological obsolescence due to the emergence of new hardware platforms. There may be material differences in the amount and timing of our revenues for any period if factors or market conditions change or if matters resolve in a manner that is inconsistent with management's assumptions utilized in determining the allowances for returns and price protection.</w:t>
      </w:r>
    </w:p>
    <w:p>
      <w:pPr>
        <w:spacing w:after="0" w:line="17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Similarly, management must make estimates as to the collectability of our accounts receivable. In estimating the allowance for doubtful accounts, we analyze the age of current outstanding account balances, historical bad debts, customer concentrations, customer creditworthiness, current economic trends, and changes in our customers' payment terms and their economic condition, as well as whether we can obtain sufficient credit insurance. Any significant changes in any of these criteria would affect management's estimates in establishing our allowance for doubtful accounts.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Inventory Obsolescence</w:t>
      </w:r>
    </w:p>
    <w:p>
      <w:pPr>
        <w:spacing w:after="0" w:line="225"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regularly review inventory quantities on-hand and in the retail channels. We write down inventory based on excess or obsolete inventories determined primarily by future anticipated demand for our products. Inventory write-downs are measured as the difference between the cost of the inventory and net realizable value, based upon assumptions about future demand, which are inherently difficult to assess and dependent on market conditions. At the point of a loss recognition, a new, lower cost basis for that inventory is established, and subsequent changes in facts and circumstances do not result in the restoration or increase in that newly established basis.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225" w:lineRule="exact"/>
        <w:rPr>
          <w:sz w:val="20"/>
          <w:szCs w:val="20"/>
          <w:color w:val="auto"/>
        </w:rPr>
      </w:pPr>
    </w:p>
    <w:p>
      <w:pPr>
        <w:ind w:right="80" w:firstLine="351"/>
        <w:spacing w:after="0" w:line="268" w:lineRule="auto"/>
        <w:rPr>
          <w:sz w:val="20"/>
          <w:szCs w:val="20"/>
          <w:color w:val="auto"/>
        </w:rPr>
      </w:pPr>
      <w:r>
        <w:rPr>
          <w:rFonts w:ascii="Arial" w:cs="Arial" w:eastAsia="Arial" w:hAnsi="Arial"/>
          <w:sz w:val="18"/>
          <w:szCs w:val="18"/>
          <w:color w:val="auto"/>
        </w:rPr>
        <w:t>Shipping and handling costs, which consist primarily of packaging and transportation charges incurred to move finished goods to customers, are included in "Cost of revenues—product costs."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 Expenses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We expense advertising as incurred, except for production costs associated with media advertising, which are deferred and charged to expense when the related advertisement is run for the first time. Advertising expenses for the years ended December 31, 2016, 2015, and 2014 were $641 million, $523 million, and $495 million, respectively, and are included in "Sales and marketing" in the consolidated statements of operations.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0" w:firstLine="348"/>
        <w:spacing w:after="0" w:line="290" w:lineRule="auto"/>
        <w:rPr>
          <w:sz w:val="20"/>
          <w:szCs w:val="20"/>
          <w:color w:val="auto"/>
        </w:rPr>
      </w:pPr>
      <w:r>
        <w:rPr>
          <w:rFonts w:ascii="Arial" w:cs="Arial" w:eastAsia="Arial" w:hAnsi="Arial"/>
          <w:sz w:val="16"/>
          <w:szCs w:val="16"/>
          <w:color w:val="auto"/>
        </w:rPr>
        <w:t>We record a tax provision for the anticipated tax consequences of the reported results of operations. In accordance with ASC Topic 740, the provision for income taxes is computed using the asset and liability method, under which deferred tax assets and liabilities are recognized for the expected future tax consequences attributable to differences between the financial statement carrying amounts of existing assets and liabilities and their respective tax bases and operating losses and tax credit carryforwards.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We evaluate deferred tax assets each period for recoverability. For those assets that do not meet the threshold of "more likely than not" that they will be realized in the future, a valuation allowance is recorded.</w:t>
      </w:r>
    </w:p>
    <w:p>
      <w:pPr>
        <w:spacing w:after="0" w:line="172" w:lineRule="exact"/>
        <w:rPr>
          <w:sz w:val="20"/>
          <w:szCs w:val="20"/>
          <w:color w:val="auto"/>
        </w:rPr>
      </w:pPr>
    </w:p>
    <w:p>
      <w:pPr>
        <w:ind w:right="140" w:firstLine="348"/>
        <w:spacing w:after="0" w:line="268" w:lineRule="auto"/>
        <w:rPr>
          <w:sz w:val="20"/>
          <w:szCs w:val="20"/>
          <w:color w:val="auto"/>
        </w:rPr>
      </w:pPr>
      <w:r>
        <w:rPr>
          <w:rFonts w:ascii="Arial" w:cs="Arial" w:eastAsia="Arial" w:hAnsi="Arial"/>
          <w:sz w:val="18"/>
          <w:szCs w:val="18"/>
          <w:color w:val="auto"/>
        </w:rPr>
        <w:t>We report a liability for unrecognized tax benefits resulting from uncertain tax positions taken or expected to be taken in a tax return. We recognize interest and penalties, if any, related to unrecognized tax benefits in "Income tax expense."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80" w:firstLine="341"/>
        <w:spacing w:after="0" w:line="306" w:lineRule="auto"/>
        <w:rPr>
          <w:sz w:val="20"/>
          <w:szCs w:val="20"/>
          <w:color w:val="auto"/>
        </w:rPr>
      </w:pPr>
      <w:r>
        <w:rPr>
          <w:rFonts w:ascii="Arial" w:cs="Arial" w:eastAsia="Arial" w:hAnsi="Arial"/>
          <w:sz w:val="16"/>
          <w:szCs w:val="16"/>
          <w:color w:val="auto"/>
        </w:rPr>
        <w:t>All assets and liabilities of our foreign subsidiaries who have a functional currency other than U.S. dollars are translated into U.S. dollars at the exchange rate in effect at the balance sheet date, and revenue and expenses are translated at average exchange rates during the period. The resulting translation adjustments are reflected as a component of "Accumulated other comprehensive loss" in shareholders' equity.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Common Share</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"Basic earnings per common share" is computed by dividing income (loss) available to common shareholders by the weighted-average number of common shares outstanding for the periods presented. "Diluted earnings per share" is computed by dividing income (loss) available to common shareholders by the weighted-average number of common shares outstanding, increased by the weighted-average number of common stock equivalents. Common stock equivalents are calculated using the treasury stock method and represent incremental shares issuable upon exercise of our outstanding options. However, potential common shares are not included in the denominator of the diluted earnings (loss) per share calculation when inclusion of such shares would be anti-dilutive, such as in a period in which a net loss is recorded.</w:t>
      </w:r>
    </w:p>
    <w:p>
      <w:pPr>
        <w:spacing w:after="0" w:line="174" w:lineRule="exact"/>
        <w:rPr>
          <w:sz w:val="20"/>
          <w:szCs w:val="20"/>
          <w:color w:val="auto"/>
        </w:rPr>
      </w:pPr>
    </w:p>
    <w:p>
      <w:pPr>
        <w:ind w:right="140" w:firstLine="348"/>
        <w:spacing w:after="0" w:line="255" w:lineRule="auto"/>
        <w:rPr>
          <w:sz w:val="20"/>
          <w:szCs w:val="20"/>
          <w:color w:val="auto"/>
        </w:rPr>
      </w:pPr>
      <w:r>
        <w:rPr>
          <w:rFonts w:ascii="Arial" w:cs="Arial" w:eastAsia="Arial" w:hAnsi="Arial"/>
          <w:sz w:val="18"/>
          <w:szCs w:val="18"/>
          <w:color w:val="auto"/>
        </w:rPr>
        <w:t>When we determine whether instruments granted in share-based payment transactions are participating securities, unvested share-based awards which include the right to receive non-forfeitable dividends or dividend equivalents are considered to participate with common stock in undistributed earnings. With participating securities, we are required to calculate basic and diluted earnings per common share amounts under the two-class method. The two-class method excludes from the earnings per common share calculation any dividends paid or owed to participating securities and any undistributed earnings considered to be attributable to participating securities.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Payments</w:t>
      </w:r>
    </w:p>
    <w:p>
      <w:pPr>
        <w:spacing w:after="0" w:line="225"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account for share-based payments in accordance with ASC Subtopic 718-10 and ASC Subtopic 505-50. Share-based compensation expense for a given grant is recognized over the requisite service period (that is, the period for which the employee is being compensated) and is based on the value of share-based payment awards after a reduction for estimated forfeitures. Forfeitures are estimated at the time of grant and are revised, if necessary, in subsequent periods if actual forfeitures differ from those estimates.</w:t>
      </w:r>
    </w:p>
    <w:p>
      <w:pPr>
        <w:spacing w:after="0" w:line="19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We generally estimate the value of stock options using a binomial-lattice model. This estimate is affected by our stock price, as well as assumptions regarding a number of highly complex and subjective variables, including our expected stock price volatility over the term of the awards, and actual and projected employee stock option exercise behaviors.</w:t>
      </w:r>
    </w:p>
    <w:p>
      <w:pPr>
        <w:spacing w:after="0" w:line="194" w:lineRule="exact"/>
        <w:rPr>
          <w:sz w:val="20"/>
          <w:szCs w:val="20"/>
          <w:color w:val="auto"/>
        </w:rPr>
      </w:pPr>
    </w:p>
    <w:p>
      <w:pPr>
        <w:ind w:right="100" w:firstLine="348"/>
        <w:spacing w:after="0" w:line="288" w:lineRule="auto"/>
        <w:rPr>
          <w:sz w:val="20"/>
          <w:szCs w:val="20"/>
          <w:color w:val="auto"/>
        </w:rPr>
      </w:pPr>
      <w:r>
        <w:rPr>
          <w:rFonts w:ascii="Arial" w:cs="Arial" w:eastAsia="Arial" w:hAnsi="Arial"/>
          <w:sz w:val="16"/>
          <w:szCs w:val="16"/>
          <w:color w:val="auto"/>
        </w:rPr>
        <w:t>We generally determine the fair value of restricted stock rights based on the closing market price of the Company's common stock on the date of grant, reduced by the present value of the estimated future dividends during the vesting period in which the restricted stock rights holder will not participate. Certain restricted stock rights granted to our employees and senior management vest based on the achievement of pre-established performance or market conditions. For performance-based restricted stock rights, each quarter we update our assessment of the probability that the specified performance criteria will be achieved. We amortize the fair values of performance-based restricted stock rights over the requisite service period, adjusting for estimated forfeitures for each separately vesting tranche of the award. For market-based restricted stock rights, we estimate the fair value at the date of grant using a Monte Carlo valuation methodology and amortize those fair values over the requisite service period, adjusting for estimated forfeitures for each separately vesting tranche of the award. The Monte Carlo methodology that we use to estimate the fair value of market-based restricted stock rights at the date of grant incorporates into the valuation the possibility that the market condition may not be satisfied. Provided that the requisite service is rendered, the total fair value of the market-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 (Continued)</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based restricted stock rights at the date of grant must be recognized as compensation expense even if the market condition is not achieved. However, the number of shares that ultimately vest can vary significantly with the performance of the specified market criteria.</w:t>
      </w:r>
    </w:p>
    <w:p>
      <w:pPr>
        <w:spacing w:after="0" w:line="186" w:lineRule="exact"/>
        <w:rPr>
          <w:sz w:val="20"/>
          <w:szCs w:val="20"/>
          <w:color w:val="auto"/>
        </w:rPr>
      </w:pPr>
    </w:p>
    <w:p>
      <w:pPr>
        <w:ind w:right="360" w:firstLine="351"/>
        <w:spacing w:after="0" w:line="268" w:lineRule="auto"/>
        <w:rPr>
          <w:sz w:val="20"/>
          <w:szCs w:val="20"/>
          <w:color w:val="auto"/>
        </w:rPr>
      </w:pPr>
      <w:r>
        <w:rPr>
          <w:rFonts w:ascii="Arial" w:cs="Arial" w:eastAsia="Arial" w:hAnsi="Arial"/>
          <w:sz w:val="18"/>
          <w:szCs w:val="18"/>
          <w:color w:val="auto"/>
        </w:rPr>
        <w:t>For share-based compensation grants that are liability classified, we update our grant date valuation at each reporting period and recognize a cumulative catch-up adjustment for changes in the value related to the requisite service already rendered.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ASC Topic 450 governs the disclosure of loss contingencies and accrual of loss contingencies in respect of litigation and other claims. We record an accrual for a potential loss when it is probable that a loss will occur and the amount of the loss can be reasonably estimated. When the reasonable estimate of the potential loss is within a range of amounts, the minimum of the range of potential loss is accrued, unless a higher amount within the range is a better estimate than any other amount within the range. Moreover, even if an accrual is not required, we provide additional disclosure related to litigation and other claims when it is reasonably possible (</w:t>
      </w:r>
      <w:r>
        <w:rPr>
          <w:rFonts w:ascii="Arial" w:cs="Arial" w:eastAsia="Arial" w:hAnsi="Arial"/>
          <w:sz w:val="16"/>
          <w:szCs w:val="16"/>
          <w:i w:val="1"/>
          <w:iCs w:val="1"/>
          <w:color w:val="auto"/>
        </w:rPr>
        <w:t>i.e.</w:t>
      </w:r>
      <w:r>
        <w:rPr>
          <w:rFonts w:ascii="Arial" w:cs="Arial" w:eastAsia="Arial" w:hAnsi="Arial"/>
          <w:sz w:val="16"/>
          <w:szCs w:val="16"/>
          <w:color w:val="auto"/>
        </w:rPr>
        <w:t>, more than remote) that the outcomes of such litigation and other claims include potential material adverse impacts on us.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and Cash Equivalents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the components of our cash and cash equivalents (amounts in millions):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10"/>
          </w:tcPr>
          <w:p>
            <w:pPr>
              <w:jc w:val="right"/>
              <w:ind w:right="380"/>
              <w:spacing w:after="0"/>
              <w:rPr>
                <w:sz w:val="20"/>
                <w:szCs w:val="20"/>
                <w:color w:val="auto"/>
              </w:rPr>
            </w:pPr>
            <w:r>
              <w:rPr>
                <w:rFonts w:ascii="Arial" w:cs="Arial" w:eastAsia="Arial" w:hAnsi="Arial"/>
                <w:sz w:val="14"/>
                <w:szCs w:val="14"/>
                <w:b w:val="1"/>
                <w:bCs w:val="1"/>
                <w:color w:val="auto"/>
                <w:w w:val="94"/>
              </w:rPr>
              <w:t>At 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2016</w:t>
            </w:r>
          </w:p>
        </w:tc>
        <w:tc>
          <w:tcPr>
            <w:tcW w:w="1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20" w:type="dxa"/>
            <w:vAlign w:val="bottom"/>
            <w:tcBorders>
              <w:top w:val="single" w:sz="8" w:color="auto"/>
              <w:bottom w:val="single" w:sz="8" w:color="auto"/>
            </w:tcBorders>
            <w:gridSpan w:val="3"/>
          </w:tcPr>
          <w:p>
            <w:pPr>
              <w:jc w:val="right"/>
              <w:ind w:right="95"/>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Foreign government treasury bills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38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1,613</w:t>
            </w:r>
          </w:p>
        </w:tc>
        <w:tc>
          <w:tcPr>
            <w:tcW w:w="0" w:type="dxa"/>
            <w:vAlign w:val="bottom"/>
          </w:tcPr>
          <w:p>
            <w:pPr>
              <w:spacing w:after="0"/>
              <w:rPr>
                <w:sz w:val="1"/>
                <w:szCs w:val="1"/>
                <w:color w:val="auto"/>
              </w:rPr>
            </w:pPr>
          </w:p>
        </w:tc>
      </w:tr>
      <w:tr>
        <w:trPr>
          <w:trHeight w:val="210"/>
        </w:trPr>
        <w:tc>
          <w:tcPr>
            <w:tcW w:w="8140" w:type="dxa"/>
            <w:vAlign w:val="bottom"/>
            <w:gridSpan w:val="2"/>
          </w:tcPr>
          <w:p>
            <w:pPr>
              <w:ind w:left="1720"/>
              <w:spacing w:after="0"/>
              <w:rPr>
                <w:sz w:val="20"/>
                <w:szCs w:val="20"/>
                <w:color w:val="auto"/>
              </w:rPr>
            </w:pPr>
            <w:r>
              <w:rPr>
                <w:rFonts w:ascii="Arial" w:cs="Arial" w:eastAsia="Arial" w:hAnsi="Arial"/>
                <w:sz w:val="18"/>
                <w:szCs w:val="18"/>
                <w:color w:val="auto"/>
              </w:rPr>
              <w:t>Cash and cash equivalents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3,245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1,823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4. Inventories, Net</w:t>
            </w:r>
          </w:p>
        </w:tc>
        <w:tc>
          <w:tcPr>
            <w:tcW w:w="1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14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140" w:type="dxa"/>
            <w:vAlign w:val="bottom"/>
            <w:gridSpan w:val="2"/>
          </w:tcPr>
          <w:p>
            <w:pPr>
              <w:ind w:left="360"/>
              <w:spacing w:after="0"/>
              <w:rPr>
                <w:sz w:val="20"/>
                <w:szCs w:val="20"/>
                <w:color w:val="auto"/>
              </w:rPr>
            </w:pPr>
            <w:r>
              <w:rPr>
                <w:rFonts w:ascii="Arial" w:cs="Arial" w:eastAsia="Arial" w:hAnsi="Arial"/>
                <w:sz w:val="18"/>
                <w:szCs w:val="18"/>
                <w:color w:val="auto"/>
              </w:rPr>
              <w:t>Our inventories, net consist of the following (amounts in millions):</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1720" w:type="dxa"/>
            <w:vAlign w:val="bottom"/>
          </w:tcPr>
          <w:p>
            <w:pPr>
              <w:spacing w:after="0"/>
              <w:rPr>
                <w:sz w:val="24"/>
                <w:szCs w:val="24"/>
                <w:color w:val="auto"/>
              </w:rPr>
            </w:pPr>
          </w:p>
        </w:tc>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gridSpan w:val="2"/>
          </w:tcPr>
          <w:p>
            <w:pPr>
              <w:spacing w:after="0"/>
              <w:rPr>
                <w:sz w:val="20"/>
                <w:szCs w:val="20"/>
                <w:color w:val="auto"/>
              </w:rPr>
            </w:pPr>
            <w:r>
              <w:rPr>
                <w:rFonts w:ascii="Arial" w:cs="Arial" w:eastAsia="Arial" w:hAnsi="Arial"/>
                <w:sz w:val="14"/>
                <w:szCs w:val="14"/>
                <w:b w:val="1"/>
                <w:bCs w:val="1"/>
                <w:color w:val="auto"/>
              </w:rPr>
              <w:t>At</w:t>
            </w: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8"/>
          </w:tcPr>
          <w:p>
            <w:pPr>
              <w:jc w:val="right"/>
              <w:ind w:right="32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40" w:type="dxa"/>
            <w:vAlign w:val="bottom"/>
            <w:tcBorders>
              <w:top w:val="single" w:sz="8" w:color="auto"/>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Purchased parts and components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Inventories, net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and 2015, inventory reserves were $45 million and $54 million, respectively.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Software Development and Intellectual Property Licenses</w:t>
      </w:r>
    </w:p>
    <w:p>
      <w:pPr>
        <w:spacing w:after="0" w:line="23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summarizes the components of our capitalized software development costs and intellectual property licenses (amounts in millions):</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4"/>
              </w:rPr>
              <w:t>At</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51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42"/>
        </w:trPr>
        <w:tc>
          <w:tcPr>
            <w:tcW w:w="51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Internally-developed software costs</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Payments made to third-party software developers</w:t>
            </w: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 software development costs</w:t>
            </w:r>
          </w:p>
        </w:tc>
        <w:tc>
          <w:tcPr>
            <w:tcW w:w="1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
        </w:trPr>
        <w:tc>
          <w:tcPr>
            <w:tcW w:w="5100" w:type="dxa"/>
            <w:vAlign w:val="bottom"/>
            <w:vMerge w:val="restart"/>
          </w:tcPr>
          <w:p>
            <w:pPr>
              <w:spacing w:after="0"/>
              <w:rPr>
                <w:sz w:val="20"/>
                <w:szCs w:val="20"/>
                <w:color w:val="auto"/>
              </w:rPr>
            </w:pPr>
            <w:r>
              <w:rPr>
                <w:rFonts w:ascii="Arial" w:cs="Arial" w:eastAsia="Arial" w:hAnsi="Arial"/>
                <w:sz w:val="18"/>
                <w:szCs w:val="18"/>
                <w:color w:val="auto"/>
              </w:rPr>
              <w:t>Intellectual property licenses</w:t>
            </w:r>
          </w:p>
        </w:tc>
        <w:tc>
          <w:tcPr>
            <w:tcW w:w="1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160" w:type="dxa"/>
            <w:vAlign w:val="bottom"/>
          </w:tcPr>
          <w:p>
            <w:pPr>
              <w:spacing w:after="0"/>
              <w:rPr>
                <w:sz w:val="17"/>
                <w:szCs w:val="17"/>
                <w:color w:val="auto"/>
              </w:rPr>
            </w:pP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line="203" w:lineRule="exact"/>
              <w:rPr>
                <w:sz w:val="20"/>
                <w:szCs w:val="20"/>
                <w:color w:val="auto"/>
              </w:rPr>
            </w:pPr>
            <w:r>
              <w:rPr>
                <w:rFonts w:ascii="Arial" w:cs="Arial" w:eastAsia="Arial" w:hAnsi="Arial"/>
                <w:sz w:val="18"/>
                <w:szCs w:val="18"/>
                <w:color w:val="auto"/>
              </w:rPr>
              <w:t>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Intellectual property licenses are classified within "Other current assets" and "Other assets" in our consolidated balance sheets.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Amortization of capitalized software development costs and intellectual property was the following (amounts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98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86"/>
              </w:rPr>
              <w:t>For the Years Ended</w:t>
            </w:r>
          </w:p>
        </w:tc>
      </w:tr>
      <w:tr>
        <w:trPr>
          <w:trHeight w:val="161"/>
        </w:trPr>
        <w:tc>
          <w:tcPr>
            <w:tcW w:w="6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500" w:type="dxa"/>
            <w:vAlign w:val="bottom"/>
          </w:tcPr>
          <w:p>
            <w:pPr>
              <w:jc w:val="right"/>
              <w:ind w:right="46"/>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2"/>
                <w:szCs w:val="12"/>
                <w:color w:val="auto"/>
              </w:rPr>
            </w:pPr>
          </w:p>
        </w:tc>
      </w:tr>
      <w:tr>
        <w:trPr>
          <w:trHeight w:val="201"/>
        </w:trPr>
        <w:tc>
          <w:tcPr>
            <w:tcW w:w="6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Amortization of capitalized software development costs and intellectual property</w:t>
            </w: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24"/>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licenses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335</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410</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  272</w:t>
            </w:r>
          </w:p>
        </w:tc>
      </w:tr>
    </w:tbl>
    <w:p>
      <w:pPr>
        <w:spacing w:after="0" w:line="208"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Write-offs and impairments of capitalized software development costs and intellectual property licenses were not material for the years ended December 31, 2016, 2015, and 2014.</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Property and Equipment,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Property and equipment, net was comprised of the following (amounts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89"/>
              </w:rPr>
              <w:t>At December 31,</w:t>
            </w:r>
          </w:p>
        </w:tc>
      </w:tr>
      <w:tr>
        <w:trPr>
          <w:trHeight w:val="142"/>
        </w:trPr>
        <w:tc>
          <w:tcPr>
            <w:tcW w:w="6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6"/>
              <w:spacing w:after="0" w:line="142" w:lineRule="exact"/>
              <w:rPr>
                <w:sz w:val="20"/>
                <w:szCs w:val="20"/>
                <w:color w:val="auto"/>
              </w:rPr>
            </w:pPr>
            <w:r>
              <w:rPr>
                <w:rFonts w:ascii="Arial" w:cs="Arial" w:eastAsia="Arial" w:hAnsi="Arial"/>
                <w:sz w:val="14"/>
                <w:szCs w:val="14"/>
                <w:b w:val="1"/>
                <w:bCs w:val="1"/>
                <w:color w:val="auto"/>
                <w:w w:val="89"/>
              </w:rPr>
              <w:t>2016</w:t>
            </w:r>
          </w:p>
        </w:tc>
        <w:tc>
          <w:tcPr>
            <w:tcW w:w="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Buildings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w:t>
            </w: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Computer equipment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8"/>
                <w:szCs w:val="18"/>
                <w:color w:val="auto"/>
              </w:rPr>
              <w:t>560</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431</w:t>
            </w: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other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w:t>
            </w:r>
          </w:p>
        </w:tc>
      </w:tr>
      <w:tr>
        <w:trPr>
          <w:trHeight w:val="210"/>
        </w:trPr>
        <w:tc>
          <w:tcPr>
            <w:tcW w:w="6560" w:type="dxa"/>
            <w:vAlign w:val="bottom"/>
          </w:tcPr>
          <w:p>
            <w:pPr>
              <w:ind w:left="180"/>
              <w:spacing w:after="0"/>
              <w:rPr>
                <w:sz w:val="20"/>
                <w:szCs w:val="20"/>
                <w:color w:val="auto"/>
              </w:rPr>
            </w:pPr>
            <w:r>
              <w:rPr>
                <w:rFonts w:ascii="Arial" w:cs="Arial" w:eastAsia="Arial" w:hAnsi="Arial"/>
                <w:sz w:val="18"/>
                <w:szCs w:val="18"/>
                <w:color w:val="auto"/>
              </w:rPr>
              <w:t>Total cost of property and equipment</w:t>
            </w: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597</w:t>
            </w:r>
          </w:p>
        </w:tc>
        <w:tc>
          <w:tcPr>
            <w:tcW w:w="16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(547)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r>
      <w:tr>
        <w:trPr>
          <w:trHeight w:val="210"/>
        </w:trPr>
        <w:tc>
          <w:tcPr>
            <w:tcW w:w="6560" w:type="dxa"/>
            <w:vAlign w:val="bottom"/>
          </w:tcPr>
          <w:p>
            <w:pPr>
              <w:ind w:left="180"/>
              <w:spacing w:after="0"/>
              <w:rPr>
                <w:sz w:val="20"/>
                <w:szCs w:val="20"/>
                <w:color w:val="auto"/>
              </w:rPr>
            </w:pPr>
            <w:r>
              <w:rPr>
                <w:rFonts w:ascii="Arial" w:cs="Arial" w:eastAsia="Arial" w:hAnsi="Arial"/>
                <w:sz w:val="18"/>
                <w:szCs w:val="18"/>
                <w:color w:val="auto"/>
              </w:rPr>
              <w:t>Property and equipment, net</w:t>
            </w: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w:t>
            </w:r>
          </w:p>
        </w:tc>
        <w:tc>
          <w:tcPr>
            <w:tcW w:w="160" w:type="dxa"/>
            <w:vAlign w:val="bottom"/>
          </w:tcPr>
          <w:p>
            <w:pPr>
              <w:spacing w:after="0"/>
              <w:rPr>
                <w:sz w:val="18"/>
                <w:szCs w:val="18"/>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Depreciation expense for the years ended December 31, 2016, 2015, and 2014 was $121 million, $82 million, and $76 million, respectively.</w:t>
      </w:r>
    </w:p>
    <w:p>
      <w:pPr>
        <w:spacing w:after="0" w:line="24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Rental expense was $65 million, $39 million and $38 million for the years ended December 31, 2016, 2015, and 2014, respectively.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Net</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Intangible assets, net consist of the following (amounts in millions):</w:t>
      </w:r>
    </w:p>
    <w:p>
      <w:pPr>
        <w:spacing w:after="0" w:line="27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6"/>
          </w:tcPr>
          <w:p>
            <w:pPr>
              <w:jc w:val="right"/>
              <w:ind w:right="520"/>
              <w:spacing w:after="0"/>
              <w:rPr>
                <w:sz w:val="20"/>
                <w:szCs w:val="20"/>
                <w:color w:val="auto"/>
              </w:rPr>
            </w:pPr>
            <w:r>
              <w:rPr>
                <w:rFonts w:ascii="Arial" w:cs="Arial" w:eastAsia="Arial" w:hAnsi="Arial"/>
                <w:sz w:val="14"/>
                <w:szCs w:val="14"/>
                <w:b w:val="1"/>
                <w:bCs w:val="1"/>
                <w:color w:val="auto"/>
                <w:w w:val="91"/>
              </w:rPr>
              <w:t>At December 31, 2016</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useful</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lives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Acquired definite-lived intangible assets:</w:t>
            </w:r>
          </w:p>
        </w:tc>
        <w:tc>
          <w:tcPr>
            <w:tcW w:w="1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Internally-developed franchises</w:t>
            </w:r>
          </w:p>
        </w:tc>
        <w:tc>
          <w:tcPr>
            <w:tcW w:w="2100" w:type="dxa"/>
            <w:vAlign w:val="bottom"/>
            <w:gridSpan w:val="2"/>
          </w:tcPr>
          <w:p>
            <w:pPr>
              <w:ind w:left="1180"/>
              <w:spacing w:after="0"/>
              <w:rPr>
                <w:sz w:val="20"/>
                <w:szCs w:val="20"/>
                <w:color w:val="auto"/>
              </w:rPr>
            </w:pPr>
            <w:r>
              <w:rPr>
                <w:rFonts w:ascii="Arial" w:cs="Arial" w:eastAsia="Arial" w:hAnsi="Arial"/>
                <w:sz w:val="18"/>
                <w:szCs w:val="18"/>
                <w:color w:val="auto"/>
                <w:w w:val="94"/>
              </w:rPr>
              <w:t>3 - 11 years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1,154</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(583)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571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Developed software</w:t>
            </w:r>
          </w:p>
        </w:tc>
        <w:tc>
          <w:tcPr>
            <w:tcW w:w="21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3 - 5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Customer base</w:t>
            </w:r>
          </w:p>
        </w:tc>
        <w:tc>
          <w:tcPr>
            <w:tcW w:w="2100" w:type="dxa"/>
            <w:vAlign w:val="bottom"/>
            <w:gridSpan w:val="2"/>
          </w:tcPr>
          <w:p>
            <w:pPr>
              <w:ind w:left="1180"/>
              <w:spacing w:after="0"/>
              <w:rPr>
                <w:sz w:val="20"/>
                <w:szCs w:val="20"/>
                <w:color w:val="auto"/>
              </w:rPr>
            </w:pPr>
            <w:r>
              <w:rPr>
                <w:rFonts w:ascii="Arial" w:cs="Arial" w:eastAsia="Arial" w:hAnsi="Arial"/>
                <w:sz w:val="18"/>
                <w:szCs w:val="18"/>
                <w:color w:val="auto"/>
              </w:rPr>
              <w:t>2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617</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Trade names</w:t>
            </w:r>
          </w:p>
        </w:tc>
        <w:tc>
          <w:tcPr>
            <w:tcW w:w="21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w w:val="94"/>
              </w:rPr>
              <w:t>7 - 10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Other</w:t>
            </w:r>
          </w:p>
        </w:tc>
        <w:tc>
          <w:tcPr>
            <w:tcW w:w="2100" w:type="dxa"/>
            <w:vAlign w:val="bottom"/>
            <w:gridSpan w:val="2"/>
          </w:tcPr>
          <w:p>
            <w:pPr>
              <w:ind w:left="1180"/>
              <w:spacing w:after="0"/>
              <w:rPr>
                <w:sz w:val="20"/>
                <w:szCs w:val="20"/>
                <w:color w:val="auto"/>
              </w:rPr>
            </w:pPr>
            <w:r>
              <w:rPr>
                <w:rFonts w:ascii="Arial" w:cs="Arial" w:eastAsia="Arial" w:hAnsi="Arial"/>
                <w:sz w:val="18"/>
                <w:szCs w:val="18"/>
                <w:color w:val="auto"/>
              </w:rPr>
              <w:t>1 - 8 years</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definite-lived intangible assets</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Acquired indefinite-lived intangible assets:</w:t>
            </w: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Activision trademark</w:t>
            </w:r>
          </w:p>
        </w:tc>
        <w:tc>
          <w:tcPr>
            <w:tcW w:w="21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Indefinite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Acquired trade names</w:t>
            </w:r>
          </w:p>
        </w:tc>
        <w:tc>
          <w:tcPr>
            <w:tcW w:w="2100" w:type="dxa"/>
            <w:vAlign w:val="bottom"/>
            <w:gridSpan w:val="2"/>
          </w:tcPr>
          <w:p>
            <w:pPr>
              <w:ind w:left="1180"/>
              <w:spacing w:after="0"/>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indefinite-lived intangible assets</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color w:val="auto"/>
              </w:rPr>
              <w:t>Total intangible assets, net</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60" w:type="dxa"/>
            <w:vAlign w:val="bottom"/>
            <w:gridSpan w:val="6"/>
            <w:vMerge w:val="restart"/>
          </w:tcPr>
          <w:p>
            <w:pPr>
              <w:jc w:val="right"/>
              <w:ind w:right="520"/>
              <w:spacing w:after="0"/>
              <w:rPr>
                <w:sz w:val="20"/>
                <w:szCs w:val="20"/>
                <w:color w:val="auto"/>
              </w:rPr>
            </w:pPr>
            <w:r>
              <w:rPr>
                <w:rFonts w:ascii="Arial" w:cs="Arial" w:eastAsia="Arial" w:hAnsi="Arial"/>
                <w:sz w:val="14"/>
                <w:szCs w:val="14"/>
                <w:b w:val="1"/>
                <w:bCs w:val="1"/>
                <w:color w:val="auto"/>
                <w:w w:val="91"/>
              </w:rPr>
              <w:t>At December 31, 2015</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6"/>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9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Estimated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38"/>
              <w:spacing w:after="0" w:line="129" w:lineRule="exact"/>
              <w:rPr>
                <w:sz w:val="20"/>
                <w:szCs w:val="20"/>
                <w:color w:val="auto"/>
              </w:rPr>
            </w:pPr>
            <w:r>
              <w:rPr>
                <w:rFonts w:ascii="Arial" w:cs="Arial" w:eastAsia="Arial" w:hAnsi="Arial"/>
                <w:sz w:val="14"/>
                <w:szCs w:val="14"/>
                <w:b w:val="1"/>
                <w:bCs w:val="1"/>
                <w:color w:val="auto"/>
                <w:w w:val="83"/>
              </w:rPr>
              <w:t>Gross</w:t>
            </w: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jc w:val="center"/>
              <w:ind w:right="16"/>
              <w:spacing w:after="0" w:line="129" w:lineRule="exact"/>
              <w:rPr>
                <w:sz w:val="20"/>
                <w:szCs w:val="20"/>
                <w:color w:val="auto"/>
              </w:rPr>
            </w:pPr>
            <w:r>
              <w:rPr>
                <w:rFonts w:ascii="Arial" w:cs="Arial" w:eastAsia="Arial" w:hAnsi="Arial"/>
                <w:sz w:val="14"/>
                <w:szCs w:val="14"/>
                <w:b w:val="1"/>
                <w:bCs w:val="1"/>
                <w:color w:val="auto"/>
                <w:w w:val="88"/>
              </w:rPr>
              <w:t>Net</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2"/>
              </w:rPr>
              <w:t>useful</w:t>
            </w:r>
          </w:p>
        </w:tc>
        <w:tc>
          <w:tcPr>
            <w:tcW w:w="160" w:type="dxa"/>
            <w:vAlign w:val="bottom"/>
          </w:tcPr>
          <w:p>
            <w:pPr>
              <w:spacing w:after="0"/>
              <w:rPr>
                <w:sz w:val="12"/>
                <w:szCs w:val="12"/>
                <w:color w:val="auto"/>
              </w:rPr>
            </w:pPr>
          </w:p>
        </w:tc>
        <w:tc>
          <w:tcPr>
            <w:tcW w:w="6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carrying</w:t>
            </w:r>
          </w:p>
        </w:tc>
        <w:tc>
          <w:tcPr>
            <w:tcW w:w="160" w:type="dxa"/>
            <w:vAlign w:val="bottom"/>
          </w:tcPr>
          <w:p>
            <w:pPr>
              <w:spacing w:after="0"/>
              <w:rPr>
                <w:sz w:val="12"/>
                <w:szCs w:val="12"/>
                <w:color w:val="auto"/>
              </w:rPr>
            </w:pPr>
          </w:p>
        </w:tc>
        <w:tc>
          <w:tcPr>
            <w:tcW w:w="106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2"/>
                <w:szCs w:val="12"/>
                <w:color w:val="auto"/>
              </w:rPr>
            </w:pPr>
          </w:p>
        </w:tc>
        <w:tc>
          <w:tcPr>
            <w:tcW w:w="7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carrying</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3"/>
              </w:rPr>
              <w:t>lives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center"/>
              <w:ind w:right="18"/>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1060" w:type="dxa"/>
            <w:vAlign w:val="bottom"/>
            <w:gridSpan w:val="3"/>
          </w:tcPr>
          <w:p>
            <w:pPr>
              <w:ind w:left="80"/>
              <w:spacing w:after="0"/>
              <w:rPr>
                <w:sz w:val="20"/>
                <w:szCs w:val="20"/>
                <w:color w:val="auto"/>
              </w:rPr>
            </w:pPr>
            <w:r>
              <w:rPr>
                <w:rFonts w:ascii="Arial" w:cs="Arial" w:eastAsia="Arial" w:hAnsi="Arial"/>
                <w:sz w:val="14"/>
                <w:szCs w:val="14"/>
                <w:b w:val="1"/>
                <w:bCs w:val="1"/>
                <w:color w:val="auto"/>
              </w:rPr>
              <w:t>amortization</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amount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Acquired definite-lived intangible assets:</w:t>
            </w:r>
          </w:p>
        </w:tc>
        <w:tc>
          <w:tcPr>
            <w:tcW w:w="11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License agreements and other</w:t>
            </w:r>
          </w:p>
        </w:tc>
        <w:tc>
          <w:tcPr>
            <w:tcW w:w="2100" w:type="dxa"/>
            <w:vAlign w:val="bottom"/>
            <w:gridSpan w:val="2"/>
          </w:tcPr>
          <w:p>
            <w:pPr>
              <w:ind w:left="1180"/>
              <w:spacing w:after="0"/>
              <w:rPr>
                <w:sz w:val="20"/>
                <w:szCs w:val="20"/>
                <w:color w:val="auto"/>
              </w:rPr>
            </w:pPr>
            <w:r>
              <w:rPr>
                <w:rFonts w:ascii="Arial" w:cs="Arial" w:eastAsia="Arial" w:hAnsi="Arial"/>
                <w:sz w:val="18"/>
                <w:szCs w:val="18"/>
                <w:color w:val="auto"/>
                <w:w w:val="94"/>
              </w:rPr>
              <w:t>1 - 10 years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4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(93)</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Internally-developed franchises</w:t>
            </w:r>
          </w:p>
        </w:tc>
        <w:tc>
          <w:tcPr>
            <w:tcW w:w="21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11 years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Developed software</w:t>
            </w:r>
          </w:p>
        </w:tc>
        <w:tc>
          <w:tcPr>
            <w:tcW w:w="2100" w:type="dxa"/>
            <w:vAlign w:val="bottom"/>
            <w:gridSpan w:val="2"/>
          </w:tcPr>
          <w:p>
            <w:pPr>
              <w:ind w:left="1180"/>
              <w:spacing w:after="0"/>
              <w:rPr>
                <w:sz w:val="20"/>
                <w:szCs w:val="20"/>
                <w:color w:val="auto"/>
              </w:rPr>
            </w:pPr>
            <w:r>
              <w:rPr>
                <w:rFonts w:ascii="Arial" w:cs="Arial" w:eastAsia="Arial" w:hAnsi="Arial"/>
                <w:sz w:val="18"/>
                <w:szCs w:val="18"/>
                <w:color w:val="auto"/>
              </w:rPr>
              <w:t>5 years</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definite-lived intangible assets</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4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20" w:type="dxa"/>
            <w:vAlign w:val="bottom"/>
            <w:gridSpan w:val="2"/>
            <w:vMerge w:val="restart"/>
          </w:tcPr>
          <w:p>
            <w:pPr>
              <w:spacing w:after="0"/>
              <w:rPr>
                <w:sz w:val="20"/>
                <w:szCs w:val="20"/>
                <w:color w:val="auto"/>
              </w:rPr>
            </w:pPr>
            <w:r>
              <w:rPr>
                <w:rFonts w:ascii="Arial" w:cs="Arial" w:eastAsia="Arial" w:hAnsi="Arial"/>
                <w:sz w:val="18"/>
                <w:szCs w:val="18"/>
                <w:color w:val="auto"/>
              </w:rPr>
              <w:t>Acquired indefinite-lived intangible assets:</w:t>
            </w: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220" w:type="dxa"/>
            <w:vAlign w:val="bottom"/>
            <w:gridSpan w:val="2"/>
            <w:vMerge w:val="continue"/>
          </w:tcPr>
          <w:p>
            <w:pPr>
              <w:spacing w:after="0"/>
              <w:rPr>
                <w:sz w:val="17"/>
                <w:szCs w:val="17"/>
                <w:color w:val="auto"/>
              </w:rPr>
            </w:pPr>
          </w:p>
        </w:tc>
        <w:tc>
          <w:tcPr>
            <w:tcW w:w="1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Activision trademark</w:t>
            </w:r>
          </w:p>
        </w:tc>
        <w:tc>
          <w:tcPr>
            <w:tcW w:w="210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Indefinite</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ind w:left="160"/>
              <w:spacing w:after="0"/>
              <w:rPr>
                <w:sz w:val="20"/>
                <w:szCs w:val="20"/>
                <w:color w:val="auto"/>
              </w:rPr>
            </w:pPr>
            <w:r>
              <w:rPr>
                <w:rFonts w:ascii="Arial" w:cs="Arial" w:eastAsia="Arial" w:hAnsi="Arial"/>
                <w:sz w:val="18"/>
                <w:szCs w:val="18"/>
                <w:color w:val="auto"/>
              </w:rPr>
              <w:t>Acquired trade names</w:t>
            </w:r>
          </w:p>
        </w:tc>
        <w:tc>
          <w:tcPr>
            <w:tcW w:w="2100" w:type="dxa"/>
            <w:vAlign w:val="bottom"/>
            <w:gridSpan w:val="2"/>
          </w:tcPr>
          <w:p>
            <w:pPr>
              <w:ind w:left="1180"/>
              <w:spacing w:after="0"/>
              <w:rPr>
                <w:sz w:val="20"/>
                <w:szCs w:val="20"/>
                <w:color w:val="auto"/>
              </w:rPr>
            </w:pPr>
            <w:r>
              <w:rPr>
                <w:rFonts w:ascii="Arial" w:cs="Arial" w:eastAsia="Arial" w:hAnsi="Arial"/>
                <w:sz w:val="18"/>
                <w:szCs w:val="18"/>
                <w:color w:val="auto"/>
              </w:rPr>
              <w:t>Indefinite</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indefinite-lived intangible assets</w:t>
            </w:r>
          </w:p>
        </w:tc>
        <w:tc>
          <w:tcPr>
            <w:tcW w:w="11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20" w:type="dxa"/>
            <w:vAlign w:val="bottom"/>
            <w:gridSpan w:val="2"/>
          </w:tcPr>
          <w:p>
            <w:pPr>
              <w:spacing w:after="0"/>
              <w:rPr>
                <w:sz w:val="20"/>
                <w:szCs w:val="20"/>
                <w:color w:val="auto"/>
              </w:rPr>
            </w:pPr>
            <w:r>
              <w:rPr>
                <w:rFonts w:ascii="Arial" w:cs="Arial" w:eastAsia="Arial" w:hAnsi="Arial"/>
                <w:sz w:val="18"/>
                <w:szCs w:val="18"/>
                <w:color w:val="auto"/>
              </w:rPr>
              <w:t>Total intangible assets, net</w:t>
            </w:r>
          </w:p>
        </w:tc>
        <w:tc>
          <w:tcPr>
            <w:tcW w:w="1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306" w:lineRule="auto"/>
        <w:rPr>
          <w:sz w:val="20"/>
          <w:szCs w:val="20"/>
          <w:color w:val="auto"/>
        </w:rPr>
      </w:pPr>
      <w:r>
        <w:rPr>
          <w:rFonts w:ascii="Arial" w:cs="Arial" w:eastAsia="Arial" w:hAnsi="Arial"/>
          <w:sz w:val="16"/>
          <w:szCs w:val="16"/>
          <w:color w:val="auto"/>
        </w:rPr>
        <w:t>The balances of intangible assets presented in the table above at December 31, 2016, does not include license agreement intangible assets that were fully amortized at December 31, 2015, and hence have been removed from the December 31, 2016 balances, as presented. Amortization expense of intangible assets was $708 million, $13 million, and $13 million for the years ended December 31, 2016, 2015, and 2014, respectively.</w:t>
      </w:r>
    </w:p>
    <w:p>
      <w:pPr>
        <w:spacing w:after="0" w:line="16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 Assets, Net (Continued)</w:t>
      </w:r>
    </w:p>
    <w:p>
      <w:pPr>
        <w:spacing w:after="0" w:line="23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future amortization of definite-lived intangible assets is estimated as follows (amounts in millions):</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2017</w:t>
            </w:r>
          </w:p>
        </w:tc>
        <w:tc>
          <w:tcPr>
            <w:tcW w:w="340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2018</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361</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216</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2020</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72</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Thereafter</w:t>
            </w:r>
          </w:p>
        </w:tc>
        <w:tc>
          <w:tcPr>
            <w:tcW w:w="3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r>
      <w:tr>
        <w:trPr>
          <w:trHeight w:val="20"/>
        </w:trPr>
        <w:tc>
          <w:tcPr>
            <w:tcW w:w="3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1,425</w:t>
            </w:r>
          </w:p>
        </w:tc>
      </w:tr>
      <w:tr>
        <w:trPr>
          <w:trHeight w:val="20"/>
        </w:trPr>
        <w:tc>
          <w:tcPr>
            <w:tcW w:w="3960" w:type="dxa"/>
            <w:vAlign w:val="bottom"/>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did not record any impairment charges against our intangible assets for the years ended December 31, 2016, 2015, and 2014.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Goodwill</w:t>
      </w:r>
    </w:p>
    <w:p>
      <w:pPr>
        <w:spacing w:after="0" w:line="231" w:lineRule="exact"/>
        <w:rPr>
          <w:sz w:val="20"/>
          <w:szCs w:val="20"/>
          <w:color w:val="auto"/>
        </w:rPr>
      </w:pPr>
    </w:p>
    <w:p>
      <w:pPr>
        <w:ind w:right="600" w:firstLine="348"/>
        <w:spacing w:after="0" w:line="268" w:lineRule="auto"/>
        <w:rPr>
          <w:sz w:val="20"/>
          <w:szCs w:val="20"/>
          <w:color w:val="auto"/>
        </w:rPr>
      </w:pPr>
      <w:r>
        <w:rPr>
          <w:rFonts w:ascii="Arial" w:cs="Arial" w:eastAsia="Arial" w:hAnsi="Arial"/>
          <w:sz w:val="18"/>
          <w:szCs w:val="18"/>
          <w:color w:val="auto"/>
        </w:rPr>
        <w:t>The changes in the carrying amount of goodwill by operating segment for the years ended December 31, 2016 and 2015, are as follows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5"/>
              </w:rPr>
              <w:t>Activision</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Blizzard</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95"/>
              <w:spacing w:after="0"/>
              <w:rPr>
                <w:sz w:val="20"/>
                <w:szCs w:val="20"/>
                <w:color w:val="auto"/>
              </w:rPr>
            </w:pPr>
            <w:r>
              <w:rPr>
                <w:rFonts w:ascii="Arial" w:cs="Arial" w:eastAsia="Arial" w:hAnsi="Arial"/>
                <w:sz w:val="14"/>
                <w:szCs w:val="14"/>
                <w:b w:val="1"/>
                <w:bCs w:val="1"/>
                <w:color w:val="auto"/>
                <w:w w:val="96"/>
              </w:rPr>
              <w:t>King</w:t>
            </w:r>
          </w:p>
        </w:tc>
        <w:tc>
          <w:tcPr>
            <w:tcW w:w="160" w:type="dxa"/>
            <w:vAlign w:val="bottom"/>
          </w:tcPr>
          <w:p>
            <w:pPr>
              <w:spacing w:after="0"/>
              <w:rPr>
                <w:sz w:val="14"/>
                <w:szCs w:val="14"/>
                <w:color w:val="auto"/>
              </w:rPr>
            </w:pPr>
          </w:p>
        </w:tc>
        <w:tc>
          <w:tcPr>
            <w:tcW w:w="5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w w:val="85"/>
              </w:rPr>
              <w:t>Balance at December 31, 2014</w:t>
            </w:r>
          </w:p>
        </w:tc>
        <w:tc>
          <w:tcPr>
            <w:tcW w:w="1680" w:type="dxa"/>
            <w:vAlign w:val="bottom"/>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Additions through acquisition</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3760" w:type="dxa"/>
            <w:vAlign w:val="bottom"/>
            <w:gridSpan w:val="2"/>
          </w:tcPr>
          <w:p>
            <w:pPr>
              <w:jc w:val="right"/>
              <w:ind w:right="1512"/>
              <w:spacing w:after="0"/>
              <w:rPr>
                <w:sz w:val="20"/>
                <w:szCs w:val="20"/>
                <w:color w:val="auto"/>
              </w:rPr>
            </w:pPr>
            <w:r>
              <w:rPr>
                <w:rFonts w:ascii="Arial" w:cs="Arial" w:eastAsia="Arial" w:hAnsi="Arial"/>
                <w:sz w:val="18"/>
                <w:szCs w:val="18"/>
                <w:color w:val="auto"/>
                <w:w w:val="86"/>
              </w:rPr>
              <w:t>Balance at December 31, 2015</w:t>
            </w:r>
          </w:p>
        </w:tc>
        <w:tc>
          <w:tcPr>
            <w:tcW w:w="14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79"/>
              </w:rPr>
              <w:t>12</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7,095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740" w:type="dxa"/>
            <w:vAlign w:val="bottom"/>
            <w:shd w:val="clear" w:color="auto" w:fill="CCEEFF"/>
          </w:tcPr>
          <w:p>
            <w:pPr>
              <w:ind w:left="160"/>
              <w:spacing w:after="0" w:line="196" w:lineRule="exact"/>
              <w:rPr>
                <w:sz w:val="20"/>
                <w:szCs w:val="20"/>
                <w:color w:val="auto"/>
              </w:rPr>
            </w:pPr>
            <w:r>
              <w:rPr>
                <w:rFonts w:ascii="Arial" w:cs="Arial" w:eastAsia="Arial" w:hAnsi="Arial"/>
                <w:sz w:val="18"/>
                <w:szCs w:val="18"/>
                <w:color w:val="auto"/>
              </w:rPr>
              <w:t>Additions through acquisition</w:t>
            </w:r>
          </w:p>
        </w:tc>
        <w:tc>
          <w:tcPr>
            <w:tcW w:w="14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2,675</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w w:val="88"/>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2,675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tcPr>
          <w:p>
            <w:pPr>
              <w:ind w:left="160"/>
              <w:spacing w:after="0"/>
              <w:rPr>
                <w:sz w:val="20"/>
                <w:szCs w:val="20"/>
                <w:color w:val="auto"/>
              </w:rPr>
            </w:pPr>
            <w:r>
              <w:rPr>
                <w:rFonts w:ascii="Arial" w:cs="Arial" w:eastAsia="Arial" w:hAnsi="Arial"/>
                <w:sz w:val="18"/>
                <w:szCs w:val="18"/>
                <w:color w:val="auto"/>
              </w:rPr>
              <w:t>Other</w:t>
            </w: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ind w:left="12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740" w:type="dxa"/>
            <w:vAlign w:val="bottom"/>
            <w:shd w:val="clear" w:color="auto" w:fill="CCEEFF"/>
          </w:tcPr>
          <w:p>
            <w:pPr>
              <w:jc w:val="right"/>
              <w:ind w:right="1512"/>
              <w:spacing w:after="0"/>
              <w:rPr>
                <w:sz w:val="20"/>
                <w:szCs w:val="20"/>
                <w:color w:val="auto"/>
              </w:rPr>
            </w:pPr>
            <w:r>
              <w:rPr>
                <w:rFonts w:ascii="Arial" w:cs="Arial" w:eastAsia="Arial" w:hAnsi="Arial"/>
                <w:sz w:val="18"/>
                <w:szCs w:val="18"/>
                <w:color w:val="auto"/>
                <w:w w:val="85"/>
              </w:rPr>
              <w:t>Balance at December 31, 2016</w:t>
            </w:r>
          </w:p>
        </w:tc>
        <w:tc>
          <w:tcPr>
            <w:tcW w:w="14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79"/>
              </w:rPr>
              <w:t>12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40" w:firstLine="351"/>
        <w:spacing w:after="0" w:line="332" w:lineRule="auto"/>
        <w:rPr>
          <w:sz w:val="20"/>
          <w:szCs w:val="20"/>
          <w:color w:val="auto"/>
        </w:rPr>
      </w:pPr>
      <w:r>
        <w:rPr>
          <w:rFonts w:ascii="Arial" w:cs="Arial" w:eastAsia="Arial" w:hAnsi="Arial"/>
          <w:sz w:val="16"/>
          <w:szCs w:val="16"/>
          <w:color w:val="auto"/>
        </w:rPr>
        <w:t>For 2015, the addition to goodwill through acquisition is attributed to the acquisition of the business of MLG. For 2016, the addition to goodwill through acquisition is attributed to the King Acquisition (see Note 21). At December 31, 2016 and 2015, there were no accumulated impairment losses.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Current Assets and Current Accrued Expenses and Other Liabilities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Included in "Other current assets" of our consolidated balance sheets are deferred cost of revenues of $186 million and $216 million at December 31, 2016 and 2015, respectively.</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Included in "Accrued expenses and other liabilities" of our consolidated balance sheets are accrued payroll-related costs of $393 million and $246 million at December 31, 2016 and 2015, respectively.</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color w:val="auto"/>
        </w:rPr>
        <w:t>FASB literature regarding fair value measurements for certain assets and liabilities establishes a three-level fair value hierarchy that prioritizes the inputs used to measure fair value. This hierarchy requires entities to maximize the use of "observable inputs" and minimize the use of "unobservable inputs." The three levels of inputs used to measure fair value are as follows:</w:t>
      </w:r>
    </w:p>
    <w:p>
      <w:pPr>
        <w:spacing w:after="0" w:line="208"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25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included in Level 1, such as quoted prices for similar assets or liabilities in active markets or other inputs that are observable or can be corroborated by observable market data; and</w:t>
      </w:r>
    </w:p>
    <w:p>
      <w:pPr>
        <w:spacing w:after="0" w:line="199" w:lineRule="exact"/>
        <w:rPr>
          <w:rFonts w:ascii="Arial" w:cs="Arial" w:eastAsia="Arial" w:hAnsi="Arial"/>
          <w:sz w:val="18"/>
          <w:szCs w:val="18"/>
          <w:color w:val="auto"/>
        </w:rPr>
      </w:pPr>
    </w:p>
    <w:p>
      <w:pPr>
        <w:ind w:left="1080" w:right="140" w:hanging="532"/>
        <w:spacing w:after="0" w:line="332" w:lineRule="auto"/>
        <w:tabs>
          <w:tab w:leader="none" w:pos="1080" w:val="left"/>
        </w:tabs>
        <w:numPr>
          <w:ilvl w:val="0"/>
          <w:numId w:val="92"/>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 including certain pricing models, discounted cash flow methodologies and similar techniques that use significant unobservable inputs.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Recurring Basis</w:t>
      </w:r>
    </w:p>
    <w:p>
      <w:pPr>
        <w:spacing w:after="0" w:line="225" w:lineRule="exact"/>
        <w:rPr>
          <w:sz w:val="20"/>
          <w:szCs w:val="20"/>
          <w:color w:val="auto"/>
        </w:rPr>
      </w:pPr>
    </w:p>
    <w:p>
      <w:pPr>
        <w:ind w:right="100" w:firstLine="348"/>
        <w:spacing w:after="0" w:line="306" w:lineRule="auto"/>
        <w:rPr>
          <w:sz w:val="20"/>
          <w:szCs w:val="20"/>
          <w:color w:val="auto"/>
        </w:rPr>
      </w:pPr>
      <w:r>
        <w:rPr>
          <w:rFonts w:ascii="Arial" w:cs="Arial" w:eastAsia="Arial" w:hAnsi="Arial"/>
          <w:sz w:val="16"/>
          <w:szCs w:val="16"/>
          <w:color w:val="auto"/>
        </w:rPr>
        <w:t>The table below segregates all of our financial assets and liabilities that are measured at fair value on a recurring basis into the most appropriate level within the fair value hierarchy based on the inputs used to determine the fair value at the measurement date, generally including money market funds, treasury bills, available-for-sale and derivative financial instruments, and other investments (amounts in millions):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20" w:type="dxa"/>
            <w:vAlign w:val="bottom"/>
            <w:gridSpan w:val="6"/>
          </w:tcPr>
          <w:p>
            <w:pPr>
              <w:jc w:val="right"/>
              <w:ind w:right="392"/>
              <w:spacing w:after="0"/>
              <w:rPr>
                <w:sz w:val="20"/>
                <w:szCs w:val="20"/>
                <w:color w:val="auto"/>
              </w:rPr>
            </w:pPr>
            <w:r>
              <w:rPr>
                <w:rFonts w:ascii="Arial" w:cs="Arial" w:eastAsia="Arial" w:hAnsi="Arial"/>
                <w:sz w:val="14"/>
                <w:szCs w:val="14"/>
                <w:b w:val="1"/>
                <w:bCs w:val="1"/>
                <w:color w:val="auto"/>
              </w:rPr>
              <w:t>Fair Value Measurements at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6"/>
          </w:tcPr>
          <w:p>
            <w:pPr>
              <w:jc w:val="right"/>
              <w:ind w:right="492"/>
              <w:spacing w:after="0"/>
              <w:rPr>
                <w:sz w:val="20"/>
                <w:szCs w:val="20"/>
                <w:color w:val="auto"/>
              </w:rPr>
            </w:pPr>
            <w:r>
              <w:rPr>
                <w:rFonts w:ascii="Arial" w:cs="Arial" w:eastAsia="Arial" w:hAnsi="Arial"/>
                <w:sz w:val="14"/>
                <w:szCs w:val="14"/>
                <w:b w:val="1"/>
                <w:bCs w:val="1"/>
                <w:color w:val="auto"/>
              </w:rPr>
              <w:t>December 31, 2016 Using</w:t>
            </w:r>
          </w:p>
        </w:tc>
        <w:tc>
          <w:tcPr>
            <w:tcW w:w="2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29"/>
        </w:trPr>
        <w:tc>
          <w:tcPr>
            <w:tcW w:w="116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w w:val="85"/>
              </w:rPr>
              <w:t>Quoted</w:t>
            </w: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20" w:type="dxa"/>
            <w:vAlign w:val="bottom"/>
          </w:tcPr>
          <w:p>
            <w:pPr>
              <w:spacing w:after="0"/>
              <w:rPr>
                <w:sz w:val="11"/>
                <w:szCs w:val="11"/>
                <w:color w:val="auto"/>
              </w:rPr>
            </w:pPr>
          </w:p>
        </w:tc>
        <w:tc>
          <w:tcPr>
            <w:tcW w:w="1020" w:type="dxa"/>
            <w:vAlign w:val="bottom"/>
          </w:tcPr>
          <w:p>
            <w:pPr>
              <w:spacing w:after="0"/>
              <w:rPr>
                <w:sz w:val="11"/>
                <w:szCs w:val="11"/>
                <w:color w:val="auto"/>
              </w:rPr>
            </w:pPr>
          </w:p>
        </w:tc>
      </w:tr>
      <w:tr>
        <w:trPr>
          <w:trHeight w:val="149"/>
        </w:trPr>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5"/>
              </w:rPr>
              <w:t>Prices in</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4"/>
              <w:spacing w:after="0" w:line="149" w:lineRule="exact"/>
              <w:rPr>
                <w:sz w:val="20"/>
                <w:szCs w:val="20"/>
                <w:color w:val="auto"/>
              </w:rPr>
            </w:pPr>
            <w:r>
              <w:rPr>
                <w:rFonts w:ascii="Arial" w:cs="Arial" w:eastAsia="Arial" w:hAnsi="Arial"/>
                <w:sz w:val="14"/>
                <w:szCs w:val="14"/>
                <w:b w:val="1"/>
                <w:bCs w:val="1"/>
                <w:color w:val="auto"/>
                <w:w w:val="85"/>
              </w:rPr>
              <w:t>Active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49"/>
        </w:trPr>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90"/>
              </w:rPr>
              <w:t>Other</w:t>
            </w:r>
          </w:p>
        </w:tc>
        <w:tc>
          <w:tcPr>
            <w:tcW w:w="1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1020" w:type="dxa"/>
            <w:vAlign w:val="bottom"/>
          </w:tcPr>
          <w:p>
            <w:pPr>
              <w:spacing w:after="0"/>
              <w:rPr>
                <w:sz w:val="12"/>
                <w:szCs w:val="12"/>
                <w:color w:val="auto"/>
              </w:rPr>
            </w:pPr>
          </w:p>
        </w:tc>
      </w:tr>
      <w:tr>
        <w:trPr>
          <w:trHeight w:val="161"/>
        </w:trPr>
        <w:tc>
          <w:tcPr>
            <w:tcW w:w="11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4"/>
              <w:spacing w:after="0"/>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Observable</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Unobservable</w:t>
            </w:r>
          </w:p>
        </w:tc>
        <w:tc>
          <w:tcPr>
            <w:tcW w:w="1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49"/>
        </w:trPr>
        <w:tc>
          <w:tcPr>
            <w:tcW w:w="116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December 31,</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44"/>
              <w:spacing w:after="0" w:line="12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21"/>
              <w:spacing w:after="0" w:line="12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760" w:type="dxa"/>
            <w:vAlign w:val="bottom"/>
            <w:tcBorders>
              <w:bottom w:val="single" w:sz="8" w:color="auto"/>
            </w:tcBorders>
          </w:tcPr>
          <w:p>
            <w:pPr>
              <w:jc w:val="center"/>
              <w:ind w:left="112"/>
              <w:spacing w:after="0" w:line="129" w:lineRule="exact"/>
              <w:rPr>
                <w:sz w:val="20"/>
                <w:szCs w:val="20"/>
                <w:color w:val="auto"/>
              </w:rPr>
            </w:pPr>
            <w:r>
              <w:rPr>
                <w:rFonts w:ascii="Arial" w:cs="Arial" w:eastAsia="Arial" w:hAnsi="Arial"/>
                <w:sz w:val="14"/>
                <w:szCs w:val="14"/>
                <w:b w:val="1"/>
                <w:bCs w:val="1"/>
                <w:color w:val="auto"/>
                <w:w w:val="90"/>
              </w:rPr>
              <w:t>Inputs</w:t>
            </w:r>
          </w:p>
        </w:tc>
        <w:tc>
          <w:tcPr>
            <w:tcW w:w="20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040" w:type="dxa"/>
            <w:vAlign w:val="bottom"/>
            <w:gridSpan w:val="2"/>
          </w:tcPr>
          <w:p>
            <w:pPr>
              <w:ind w:left="600"/>
              <w:spacing w:after="0" w:line="129" w:lineRule="exact"/>
              <w:rPr>
                <w:sz w:val="20"/>
                <w:szCs w:val="20"/>
                <w:color w:val="auto"/>
              </w:rPr>
            </w:pPr>
            <w:r>
              <w:rPr>
                <w:rFonts w:ascii="Arial" w:cs="Arial" w:eastAsia="Arial" w:hAnsi="Arial"/>
                <w:sz w:val="14"/>
                <w:szCs w:val="14"/>
                <w:b w:val="1"/>
                <w:bCs w:val="1"/>
                <w:color w:val="auto"/>
              </w:rPr>
              <w:t>Balance Sheet</w:t>
            </w:r>
          </w:p>
        </w:tc>
      </w:tr>
      <w:tr>
        <w:trPr>
          <w:trHeight w:val="156"/>
        </w:trPr>
        <w:tc>
          <w:tcPr>
            <w:tcW w:w="1160" w:type="dxa"/>
            <w:vAlign w:val="bottom"/>
          </w:tcPr>
          <w:p>
            <w:pPr>
              <w:spacing w:after="0"/>
              <w:rPr>
                <w:sz w:val="13"/>
                <w:szCs w:val="13"/>
                <w:color w:val="auto"/>
              </w:rPr>
            </w:pPr>
          </w:p>
        </w:tc>
        <w:tc>
          <w:tcPr>
            <w:tcW w:w="2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ind w:right="20"/>
              <w:spacing w:after="0" w:line="155"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4"/>
              <w:spacing w:after="0" w:line="155" w:lineRule="exact"/>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center"/>
              <w:ind w:right="21"/>
              <w:spacing w:after="0" w:line="155" w:lineRule="exact"/>
              <w:rPr>
                <w:sz w:val="20"/>
                <w:szCs w:val="20"/>
                <w:color w:val="auto"/>
              </w:rPr>
            </w:pPr>
            <w:r>
              <w:rPr>
                <w:rFonts w:ascii="Arial" w:cs="Arial" w:eastAsia="Arial" w:hAnsi="Arial"/>
                <w:sz w:val="14"/>
                <w:szCs w:val="14"/>
                <w:b w:val="1"/>
                <w:bCs w:val="1"/>
                <w:color w:val="auto"/>
                <w:w w:val="87"/>
              </w:rPr>
              <w:t>(Level 2)</w:t>
            </w:r>
          </w:p>
        </w:tc>
        <w:tc>
          <w:tcPr>
            <w:tcW w:w="160" w:type="dxa"/>
            <w:vAlign w:val="bottom"/>
          </w:tcPr>
          <w:p>
            <w:pPr>
              <w:spacing w:after="0"/>
              <w:rPr>
                <w:sz w:val="13"/>
                <w:szCs w:val="13"/>
                <w:color w:val="auto"/>
              </w:rPr>
            </w:pPr>
          </w:p>
        </w:tc>
        <w:tc>
          <w:tcPr>
            <w:tcW w:w="760" w:type="dxa"/>
            <w:vAlign w:val="bottom"/>
          </w:tcPr>
          <w:p>
            <w:pPr>
              <w:jc w:val="center"/>
              <w:ind w:left="112"/>
              <w:spacing w:after="0" w:line="155" w:lineRule="exact"/>
              <w:rPr>
                <w:sz w:val="20"/>
                <w:szCs w:val="20"/>
                <w:color w:val="auto"/>
              </w:rPr>
            </w:pPr>
            <w:r>
              <w:rPr>
                <w:rFonts w:ascii="Arial" w:cs="Arial" w:eastAsia="Arial" w:hAnsi="Arial"/>
                <w:sz w:val="14"/>
                <w:szCs w:val="14"/>
                <w:b w:val="1"/>
                <w:bCs w:val="1"/>
                <w:color w:val="auto"/>
                <w:w w:val="87"/>
              </w:rPr>
              <w:t>(Level 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40" w:type="dxa"/>
            <w:vAlign w:val="bottom"/>
            <w:gridSpan w:val="2"/>
          </w:tcPr>
          <w:p>
            <w:pPr>
              <w:ind w:left="620"/>
              <w:spacing w:after="0" w:line="155" w:lineRule="exact"/>
              <w:rPr>
                <w:sz w:val="20"/>
                <w:szCs w:val="20"/>
                <w:color w:val="auto"/>
              </w:rPr>
            </w:pPr>
            <w:r>
              <w:rPr>
                <w:rFonts w:ascii="Arial" w:cs="Arial" w:eastAsia="Arial" w:hAnsi="Arial"/>
                <w:sz w:val="14"/>
                <w:szCs w:val="14"/>
                <w:b w:val="1"/>
                <w:bCs w:val="1"/>
                <w:color w:val="auto"/>
              </w:rPr>
              <w:t>Classification</w:t>
            </w:r>
          </w:p>
        </w:tc>
      </w:tr>
      <w:tr>
        <w:trPr>
          <w:trHeight w:val="210"/>
        </w:trPr>
        <w:tc>
          <w:tcPr>
            <w:tcW w:w="11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tcBorders>
              <w:top w:val="single" w:sz="8" w:color="auto"/>
            </w:tcBorders>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Recurring fair value measurements: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88"/>
              </w:rPr>
              <w:t>—</w:t>
            </w:r>
          </w:p>
        </w:tc>
        <w:tc>
          <w:tcPr>
            <w:tcW w:w="9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2"/>
              </w:rPr>
              <w:t>Cash and cash equivalents</w:t>
            </w:r>
          </w:p>
        </w:tc>
        <w:tc>
          <w:tcPr>
            <w:tcW w:w="102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Foreign government treasury bills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w w:val="92"/>
              </w:rPr>
              <w:t>Cash and cash equivalents</w:t>
            </w:r>
          </w:p>
        </w:tc>
        <w:tc>
          <w:tcPr>
            <w:tcW w:w="1020" w:type="dxa"/>
            <w:vAlign w:val="bottom"/>
          </w:tcPr>
          <w:p>
            <w:pPr>
              <w:spacing w:after="0"/>
              <w:rPr>
                <w:sz w:val="18"/>
                <w:szCs w:val="18"/>
                <w:color w:val="auto"/>
              </w:rPr>
            </w:pPr>
          </w:p>
        </w:tc>
      </w:tr>
      <w:tr>
        <w:trPr>
          <w:trHeight w:val="208"/>
        </w:trPr>
        <w:tc>
          <w:tcPr>
            <w:tcW w:w="11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24"/>
        </w:trPr>
        <w:tc>
          <w:tcPr>
            <w:tcW w:w="1160" w:type="dxa"/>
            <w:vAlign w:val="bottom"/>
          </w:tcPr>
          <w:p>
            <w:pPr>
              <w:spacing w:after="0"/>
              <w:rPr>
                <w:sz w:val="19"/>
                <w:szCs w:val="19"/>
                <w:color w:val="auto"/>
              </w:rPr>
            </w:pPr>
          </w:p>
        </w:tc>
        <w:tc>
          <w:tcPr>
            <w:tcW w:w="2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designated as hedges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22</w:t>
            </w: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1020" w:type="dxa"/>
            <w:vAlign w:val="bottom"/>
          </w:tcPr>
          <w:p>
            <w:pPr>
              <w:spacing w:after="0"/>
              <w:rPr>
                <w:sz w:val="19"/>
                <w:szCs w:val="19"/>
                <w:color w:val="auto"/>
              </w:rPr>
            </w:pPr>
          </w:p>
        </w:tc>
      </w:tr>
      <w:tr>
        <w:trPr>
          <w:trHeight w:val="216"/>
        </w:trPr>
        <w:tc>
          <w:tcPr>
            <w:tcW w:w="116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Arial" w:cs="Arial" w:eastAsia="Arial" w:hAnsi="Arial"/>
                <w:sz w:val="18"/>
                <w:szCs w:val="18"/>
                <w:color w:val="auto"/>
              </w:rPr>
              <w:t>Auction rate securities ("ARS")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w w:val="88"/>
              </w:rPr>
              <w:t>—</w:t>
            </w:r>
          </w:p>
        </w:tc>
        <w:tc>
          <w:tcPr>
            <w:tcW w:w="16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180" w:type="dxa"/>
            <w:vAlign w:val="bottom"/>
            <w:gridSpan w:val="2"/>
          </w:tcPr>
          <w:p>
            <w:pPr>
              <w:ind w:left="160"/>
              <w:spacing w:after="0"/>
              <w:rPr>
                <w:sz w:val="20"/>
                <w:szCs w:val="20"/>
                <w:color w:val="auto"/>
              </w:rPr>
            </w:pPr>
            <w:r>
              <w:rPr>
                <w:rFonts w:ascii="Arial" w:cs="Arial" w:eastAsia="Arial" w:hAnsi="Arial"/>
                <w:sz w:val="18"/>
                <w:szCs w:val="18"/>
                <w:color w:val="auto"/>
              </w:rPr>
              <w:t>Other assets</w:t>
            </w:r>
          </w:p>
        </w:tc>
        <w:tc>
          <w:tcPr>
            <w:tcW w:w="102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w w:val="90"/>
              </w:rPr>
              <w:t>Total recurring fair value measurements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22</w:t>
            </w:r>
          </w:p>
        </w:tc>
        <w:tc>
          <w:tcPr>
            <w:tcW w:w="920" w:type="dxa"/>
            <w:vAlign w:val="bottom"/>
            <w:gridSpan w:val="2"/>
            <w:shd w:val="clear" w:color="auto" w:fill="CCEEFF"/>
          </w:tcPr>
          <w:p>
            <w:pPr>
              <w:jc w:val="right"/>
              <w:ind w:right="6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2020" w:type="dxa"/>
            <w:vAlign w:val="bottom"/>
            <w:shd w:val="clear" w:color="auto" w:fill="CCEEFF"/>
          </w:tcPr>
          <w:p>
            <w:pPr>
              <w:spacing w:after="0"/>
              <w:rPr>
                <w:sz w:val="18"/>
                <w:szCs w:val="18"/>
                <w:color w:val="auto"/>
              </w:rPr>
            </w:pPr>
          </w:p>
        </w:tc>
        <w:tc>
          <w:tcPr>
            <w:tcW w:w="102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jc w:val="center"/>
              <w:ind w:right="24"/>
              <w:spacing w:after="0"/>
              <w:rPr>
                <w:sz w:val="20"/>
                <w:szCs w:val="20"/>
                <w:color w:val="auto"/>
              </w:rPr>
            </w:pPr>
            <w:r>
              <w:rPr>
                <w:rFonts w:ascii="Arial" w:cs="Arial" w:eastAsia="Arial" w:hAnsi="Arial"/>
                <w:sz w:val="18"/>
                <w:szCs w:val="18"/>
                <w:color w:val="auto"/>
                <w:w w:val="91"/>
              </w:rPr>
              <w:t>F-26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7"/>
          </w:tcPr>
          <w:p>
            <w:pPr>
              <w:jc w:val="right"/>
              <w:ind w:right="372"/>
              <w:spacing w:after="0"/>
              <w:rPr>
                <w:sz w:val="20"/>
                <w:szCs w:val="20"/>
                <w:color w:val="auto"/>
              </w:rPr>
            </w:pPr>
            <w:r>
              <w:rPr>
                <w:rFonts w:ascii="Arial" w:cs="Arial" w:eastAsia="Arial" w:hAnsi="Arial"/>
                <w:sz w:val="14"/>
                <w:szCs w:val="14"/>
                <w:b w:val="1"/>
                <w:bCs w:val="1"/>
                <w:color w:val="auto"/>
              </w:rPr>
              <w:t>Fair Value Measurements at</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7"/>
          </w:tcPr>
          <w:p>
            <w:pPr>
              <w:jc w:val="right"/>
              <w:ind w:right="472"/>
              <w:spacing w:after="0"/>
              <w:rPr>
                <w:sz w:val="20"/>
                <w:szCs w:val="20"/>
                <w:color w:val="auto"/>
              </w:rPr>
            </w:pPr>
            <w:r>
              <w:rPr>
                <w:rFonts w:ascii="Arial" w:cs="Arial" w:eastAsia="Arial" w:hAnsi="Arial"/>
                <w:sz w:val="14"/>
                <w:szCs w:val="14"/>
                <w:b w:val="1"/>
                <w:bCs w:val="1"/>
                <w:color w:val="auto"/>
              </w:rPr>
              <w:t>December 31, 2015 Using</w:t>
            </w:r>
          </w:p>
        </w:tc>
        <w:tc>
          <w:tcPr>
            <w:tcW w:w="2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center"/>
              <w:ind w:right="64"/>
              <w:spacing w:after="0" w:line="129" w:lineRule="exact"/>
              <w:rPr>
                <w:sz w:val="20"/>
                <w:szCs w:val="20"/>
                <w:color w:val="auto"/>
              </w:rPr>
            </w:pPr>
            <w:r>
              <w:rPr>
                <w:rFonts w:ascii="Arial" w:cs="Arial" w:eastAsia="Arial" w:hAnsi="Arial"/>
                <w:sz w:val="14"/>
                <w:szCs w:val="14"/>
                <w:b w:val="1"/>
                <w:bCs w:val="1"/>
                <w:color w:val="auto"/>
                <w:w w:val="85"/>
              </w:rPr>
              <w:t>Quoted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85"/>
              </w:rPr>
              <w:t>Prices in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64"/>
              <w:spacing w:after="0" w:line="149" w:lineRule="exact"/>
              <w:rPr>
                <w:sz w:val="20"/>
                <w:szCs w:val="20"/>
                <w:color w:val="auto"/>
              </w:rPr>
            </w:pPr>
            <w:r>
              <w:rPr>
                <w:rFonts w:ascii="Arial" w:cs="Arial" w:eastAsia="Arial" w:hAnsi="Arial"/>
                <w:sz w:val="14"/>
                <w:szCs w:val="14"/>
                <w:b w:val="1"/>
                <w:bCs w:val="1"/>
                <w:color w:val="auto"/>
                <w:w w:val="90"/>
              </w:rPr>
              <w:t>Active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6"/>
              </w:rPr>
              <w:t>Significant</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Markets for</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2"/>
                <w:szCs w:val="12"/>
                <w:color w:val="auto"/>
              </w:rPr>
            </w:pPr>
          </w:p>
        </w:tc>
        <w:tc>
          <w:tcPr>
            <w:tcW w:w="9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Significant</w:t>
            </w:r>
          </w:p>
        </w:tc>
        <w:tc>
          <w:tcPr>
            <w:tcW w:w="1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As of</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center"/>
              <w:ind w:right="64"/>
              <w:spacing w:after="0"/>
              <w:rPr>
                <w:sz w:val="20"/>
                <w:szCs w:val="20"/>
                <w:color w:val="auto"/>
              </w:rPr>
            </w:pPr>
            <w:r>
              <w:rPr>
                <w:rFonts w:ascii="Arial" w:cs="Arial" w:eastAsia="Arial" w:hAnsi="Arial"/>
                <w:sz w:val="14"/>
                <w:szCs w:val="14"/>
                <w:b w:val="1"/>
                <w:bCs w:val="1"/>
                <w:color w:val="auto"/>
                <w:w w:val="87"/>
              </w:rPr>
              <w:t>Identical</w:t>
            </w:r>
          </w:p>
        </w:tc>
        <w:tc>
          <w:tcPr>
            <w:tcW w:w="160" w:type="dxa"/>
            <w:vAlign w:val="bottom"/>
          </w:tcPr>
          <w:p>
            <w:pPr>
              <w:spacing w:after="0"/>
              <w:rPr>
                <w:sz w:val="14"/>
                <w:szCs w:val="14"/>
                <w:color w:val="auto"/>
              </w:rPr>
            </w:pPr>
          </w:p>
        </w:tc>
        <w:tc>
          <w:tcPr>
            <w:tcW w:w="9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6"/>
              </w:rPr>
              <w:t>Observable</w:t>
            </w:r>
          </w:p>
        </w:tc>
        <w:tc>
          <w:tcPr>
            <w:tcW w:w="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4"/>
              </w:rPr>
              <w:t>Unobservable</w:t>
            </w:r>
          </w:p>
        </w:tc>
        <w:tc>
          <w:tcPr>
            <w:tcW w:w="1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7"/>
              </w:rPr>
              <w:t>December 31,</w:t>
            </w: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84"/>
              <w:spacing w:after="0" w:line="129" w:lineRule="exact"/>
              <w:rPr>
                <w:sz w:val="20"/>
                <w:szCs w:val="20"/>
                <w:color w:val="auto"/>
              </w:rPr>
            </w:pPr>
            <w:r>
              <w:rPr>
                <w:rFonts w:ascii="Arial" w:cs="Arial" w:eastAsia="Arial" w:hAnsi="Arial"/>
                <w:sz w:val="14"/>
                <w:szCs w:val="14"/>
                <w:b w:val="1"/>
                <w:bCs w:val="1"/>
                <w:color w:val="auto"/>
                <w:w w:val="78"/>
              </w:rPr>
              <w:t>Assets</w:t>
            </w: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center"/>
              <w:ind w:right="20"/>
              <w:spacing w:after="0" w:line="129" w:lineRule="exact"/>
              <w:rPr>
                <w:sz w:val="20"/>
                <w:szCs w:val="20"/>
                <w:color w:val="auto"/>
              </w:rPr>
            </w:pPr>
            <w:r>
              <w:rPr>
                <w:rFonts w:ascii="Arial" w:cs="Arial" w:eastAsia="Arial" w:hAnsi="Arial"/>
                <w:sz w:val="14"/>
                <w:szCs w:val="14"/>
                <w:b w:val="1"/>
                <w:bCs w:val="1"/>
                <w:color w:val="auto"/>
                <w:w w:val="85"/>
              </w:rPr>
              <w:t>Inputs</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Borders>
              <w:bottom w:val="single" w:sz="8" w:color="auto"/>
            </w:tcBorders>
          </w:tcPr>
          <w:p>
            <w:pPr>
              <w:jc w:val="center"/>
              <w:ind w:left="132"/>
              <w:spacing w:after="0" w:line="129" w:lineRule="exact"/>
              <w:rPr>
                <w:sz w:val="20"/>
                <w:szCs w:val="20"/>
                <w:color w:val="auto"/>
              </w:rPr>
            </w:pPr>
            <w:r>
              <w:rPr>
                <w:rFonts w:ascii="Arial" w:cs="Arial" w:eastAsia="Arial" w:hAnsi="Arial"/>
                <w:sz w:val="14"/>
                <w:szCs w:val="14"/>
                <w:b w:val="1"/>
                <w:bCs w:val="1"/>
                <w:color w:val="auto"/>
                <w:w w:val="90"/>
              </w:rPr>
              <w:t>Inputs</w:t>
            </w:r>
          </w:p>
        </w:tc>
        <w:tc>
          <w:tcPr>
            <w:tcW w:w="22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80" w:type="dxa"/>
            <w:vAlign w:val="bottom"/>
          </w:tcPr>
          <w:p>
            <w:pPr>
              <w:ind w:left="520"/>
              <w:spacing w:after="0" w:line="129" w:lineRule="exact"/>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jc w:val="center"/>
              <w:spacing w:after="0" w:line="155" w:lineRule="exact"/>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64"/>
              <w:spacing w:after="0" w:line="155" w:lineRule="exact"/>
              <w:rPr>
                <w:sz w:val="20"/>
                <w:szCs w:val="20"/>
                <w:color w:val="auto"/>
              </w:rPr>
            </w:pPr>
            <w:r>
              <w:rPr>
                <w:rFonts w:ascii="Arial" w:cs="Arial" w:eastAsia="Arial" w:hAnsi="Arial"/>
                <w:sz w:val="14"/>
                <w:szCs w:val="14"/>
                <w:b w:val="1"/>
                <w:bCs w:val="1"/>
                <w:color w:val="auto"/>
                <w:w w:val="87"/>
              </w:rPr>
              <w:t>(Level 1)</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center"/>
              <w:ind w:right="200"/>
              <w:spacing w:after="0" w:line="155" w:lineRule="exact"/>
              <w:rPr>
                <w:sz w:val="20"/>
                <w:szCs w:val="20"/>
                <w:color w:val="auto"/>
              </w:rPr>
            </w:pPr>
            <w:r>
              <w:rPr>
                <w:rFonts w:ascii="Arial" w:cs="Arial" w:eastAsia="Arial" w:hAnsi="Arial"/>
                <w:sz w:val="14"/>
                <w:szCs w:val="14"/>
                <w:b w:val="1"/>
                <w:bCs w:val="1"/>
                <w:color w:val="auto"/>
                <w:w w:val="91"/>
              </w:rPr>
              <w:t>(Level 2)</w:t>
            </w:r>
          </w:p>
        </w:tc>
        <w:tc>
          <w:tcPr>
            <w:tcW w:w="60" w:type="dxa"/>
            <w:vAlign w:val="bottom"/>
          </w:tcPr>
          <w:p>
            <w:pPr>
              <w:spacing w:after="0"/>
              <w:rPr>
                <w:sz w:val="13"/>
                <w:szCs w:val="13"/>
                <w:color w:val="auto"/>
              </w:rPr>
            </w:pPr>
          </w:p>
        </w:tc>
        <w:tc>
          <w:tcPr>
            <w:tcW w:w="740" w:type="dxa"/>
            <w:vAlign w:val="bottom"/>
          </w:tcPr>
          <w:p>
            <w:pPr>
              <w:jc w:val="center"/>
              <w:ind w:left="132"/>
              <w:spacing w:after="0" w:line="155" w:lineRule="exact"/>
              <w:rPr>
                <w:sz w:val="20"/>
                <w:szCs w:val="20"/>
                <w:color w:val="auto"/>
              </w:rPr>
            </w:pPr>
            <w:r>
              <w:rPr>
                <w:rFonts w:ascii="Arial" w:cs="Arial" w:eastAsia="Arial" w:hAnsi="Arial"/>
                <w:sz w:val="14"/>
                <w:szCs w:val="14"/>
                <w:b w:val="1"/>
                <w:bCs w:val="1"/>
                <w:color w:val="auto"/>
                <w:w w:val="87"/>
              </w:rPr>
              <w:t>(Level 3)</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80" w:type="dxa"/>
            <w:vAlign w:val="bottom"/>
          </w:tcPr>
          <w:p>
            <w:pPr>
              <w:ind w:left="540"/>
              <w:spacing w:after="0" w:line="155" w:lineRule="exact"/>
              <w:rPr>
                <w:sz w:val="20"/>
                <w:szCs w:val="20"/>
                <w:color w:val="auto"/>
              </w:rPr>
            </w:pPr>
            <w:r>
              <w:rPr>
                <w:rFonts w:ascii="Arial" w:cs="Arial" w:eastAsia="Arial" w:hAnsi="Arial"/>
                <w:sz w:val="14"/>
                <w:szCs w:val="14"/>
                <w:b w:val="1"/>
                <w:bCs w:val="1"/>
                <w:color w:val="auto"/>
              </w:rPr>
              <w:t>Classification</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Assets:</w:t>
            </w: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Recurring fair value measurements: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86"/>
              </w:rPr>
              <w:t>Cash and cash equivalents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Foreign government treasury bills</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tcPr>
          <w:p>
            <w:pPr>
              <w:ind w:left="140"/>
              <w:spacing w:after="0"/>
              <w:rPr>
                <w:sz w:val="20"/>
                <w:szCs w:val="20"/>
                <w:color w:val="auto"/>
              </w:rPr>
            </w:pPr>
            <w:r>
              <w:rPr>
                <w:rFonts w:ascii="Arial" w:cs="Arial" w:eastAsia="Arial" w:hAnsi="Arial"/>
                <w:sz w:val="18"/>
                <w:szCs w:val="18"/>
                <w:color w:val="auto"/>
                <w:w w:val="86"/>
              </w:rPr>
              <w:t>Cash and cash equivalents</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5"/>
              </w:rPr>
              <w:t>Foreign currency forward contracts not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designated as hedges</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current assets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ARS</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40" w:type="dxa"/>
            <w:vAlign w:val="bottom"/>
            <w:gridSpan w:val="2"/>
          </w:tcPr>
          <w:p>
            <w:pPr>
              <w:ind w:left="140"/>
              <w:spacing w:after="0"/>
              <w:rPr>
                <w:sz w:val="20"/>
                <w:szCs w:val="20"/>
                <w:color w:val="auto"/>
              </w:rPr>
            </w:pPr>
            <w:r>
              <w:rPr>
                <w:rFonts w:ascii="Arial" w:cs="Arial" w:eastAsia="Arial" w:hAnsi="Arial"/>
                <w:sz w:val="18"/>
                <w:szCs w:val="18"/>
                <w:color w:val="auto"/>
              </w:rPr>
              <w:t>Other 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w w:val="92"/>
              </w:rPr>
              <w:t>Total recurring fair value measurements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Financial Liabilities:</w:t>
            </w: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9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forward contracts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Accrued expenses and</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designated as hedges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0" w:type="dxa"/>
            <w:vAlign w:val="bottom"/>
            <w:gridSpan w:val="2"/>
            <w:shd w:val="clear" w:color="auto" w:fill="CCEEFF"/>
          </w:tcPr>
          <w:p>
            <w:pPr>
              <w:jc w:val="right"/>
              <w:ind w:right="592"/>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liabilities</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ind w:right="940" w:firstLine="341"/>
        <w:spacing w:after="0" w:line="268" w:lineRule="auto"/>
        <w:rPr>
          <w:sz w:val="20"/>
          <w:szCs w:val="20"/>
          <w:color w:val="auto"/>
        </w:rPr>
      </w:pPr>
      <w:r>
        <w:rPr>
          <w:rFonts w:ascii="Arial" w:cs="Arial" w:eastAsia="Arial" w:hAnsi="Arial"/>
          <w:sz w:val="18"/>
          <w:szCs w:val="18"/>
          <w:color w:val="auto"/>
        </w:rPr>
        <w:t>ARS represented the only level 3 investment held by the Company. The fair value of these investments has been unchanged for the years ended December 31, 2016, 2015, and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Forward Contracts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Not Designated as Hedges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December 31, 2016, we did not have any outstanding foreign currency forward contracts not designated as hedges.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December 31, 2015, the gross notional amount of outstanding foreign currency forward contracts not designated as hedges was approximately</w:t>
      </w:r>
    </w:p>
    <w:p>
      <w:pPr>
        <w:spacing w:after="0" w:line="38"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$489 million. During the year ended December 31, 2015, we reclassified $8 million of unrealized gains out of "Accumulated other comprehensive income (loss)" and into earnings due to dedesignating $250 million notional euro to U.S. dollar cash flow hedges when it was determined the hedged transaction would not occur. As a result of the dedesignation, we entered into offsetting foreign currency forward contracts. The fair value of these foreign currency forward contracts was $11 million as of December 31, 2015, and recorded in "Other current assets" in our consolidated balance sheet.</w:t>
      </w:r>
    </w:p>
    <w:p>
      <w:pPr>
        <w:spacing w:after="0" w:line="169" w:lineRule="exact"/>
        <w:rPr>
          <w:sz w:val="20"/>
          <w:szCs w:val="20"/>
          <w:color w:val="auto"/>
        </w:rPr>
      </w:pPr>
    </w:p>
    <w:p>
      <w:pPr>
        <w:ind w:right="760" w:firstLine="351"/>
        <w:spacing w:after="0" w:line="268" w:lineRule="auto"/>
        <w:rPr>
          <w:sz w:val="20"/>
          <w:szCs w:val="20"/>
          <w:color w:val="auto"/>
        </w:rPr>
      </w:pPr>
      <w:r>
        <w:rPr>
          <w:rFonts w:ascii="Arial" w:cs="Arial" w:eastAsia="Arial" w:hAnsi="Arial"/>
          <w:sz w:val="18"/>
          <w:szCs w:val="18"/>
          <w:color w:val="auto"/>
        </w:rPr>
        <w:t>For the years ended December 31, 2016, 2015, and 2014, pre-tax net gains associated with these forward contracts were recorded in "General and administrative expenses" and were not material.</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Fair Value Measurements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Forward Contracts Designated as Hedges ("Cash Flow Hedges")</w:t>
      </w:r>
    </w:p>
    <w:p>
      <w:pPr>
        <w:spacing w:after="0" w:line="225" w:lineRule="exact"/>
        <w:rPr>
          <w:sz w:val="20"/>
          <w:szCs w:val="20"/>
          <w:color w:val="auto"/>
        </w:rPr>
      </w:pPr>
    </w:p>
    <w:p>
      <w:pPr>
        <w:ind w:right="140" w:firstLine="341"/>
        <w:spacing w:after="0" w:line="323" w:lineRule="auto"/>
        <w:rPr>
          <w:sz w:val="20"/>
          <w:szCs w:val="20"/>
          <w:color w:val="auto"/>
        </w:rPr>
      </w:pPr>
      <w:r>
        <w:rPr>
          <w:rFonts w:ascii="Arial" w:cs="Arial" w:eastAsia="Arial" w:hAnsi="Arial"/>
          <w:sz w:val="15"/>
          <w:szCs w:val="15"/>
          <w:color w:val="auto"/>
        </w:rPr>
        <w:t>At December 31, 2016, the gross notional amount of outstanding Cash Flow Hedges was approximately $346 million. The fair value of these contracts was $22 million of net unrealized gains with remaining maturities of 12 months or less. Additionally, at December 31, 2016, we had $7 million of net realized but unrecognized gains recorded within "Accumulated other comprehensive income (loss)" associated with contracts that settled during the year but were deferred and will be amortized into earnings along with the associated hedged revenues. Such amounts will be reclassified into earnings within the next twelve months.</w:t>
      </w:r>
    </w:p>
    <w:p>
      <w:pPr>
        <w:spacing w:after="0" w:line="152" w:lineRule="exact"/>
        <w:rPr>
          <w:sz w:val="20"/>
          <w:szCs w:val="20"/>
          <w:color w:val="auto"/>
        </w:rPr>
      </w:pPr>
    </w:p>
    <w:p>
      <w:pPr>
        <w:ind w:right="240" w:firstLine="341"/>
        <w:spacing w:after="0" w:line="268" w:lineRule="auto"/>
        <w:rPr>
          <w:sz w:val="20"/>
          <w:szCs w:val="20"/>
          <w:color w:val="auto"/>
        </w:rPr>
      </w:pPr>
      <w:r>
        <w:rPr>
          <w:rFonts w:ascii="Arial" w:cs="Arial" w:eastAsia="Arial" w:hAnsi="Arial"/>
          <w:sz w:val="18"/>
          <w:szCs w:val="18"/>
          <w:color w:val="auto"/>
        </w:rPr>
        <w:t>At December 31, 2015, the gross notional amount of all outstanding Cash Flow Hedges was approximately $381 million. The fair value of these contracts was $4 million of net unrealized losses as of December 31, 2015.</w:t>
      </w:r>
    </w:p>
    <w:p>
      <w:pPr>
        <w:spacing w:after="0" w:line="186"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During the years ended December 31, 2016 and 2015, there was no ineffectiveness relating to our Cash Flow Hedges. During the years ended December 31, 2016 and 2015, the amount of pre-tax net realized gains associated with these contracts that were reclassified out of "Accumulated other comprehensive income (loss)" and into earnings was not material.</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on a Non-Recurring Basis</w:t>
      </w:r>
    </w:p>
    <w:p>
      <w:pPr>
        <w:spacing w:after="0" w:line="225"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measure the fair value of certain assets on a non-recurring basis, generally annually or when events or changes in circumstances indicate that the carrying amount of the assets may not be recoverable.</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the years ended December 31, 2016, 2015, and 2014, there were no impairment charges related to assets that are measured on a non-recurring basis.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October 11, 2013, we entered into a credit agreement (the "Credit Agreement") for a $2.5 billion secured term loan facility maturing in October 2020 (the "Original Term Loan"), and a $250 million secured revolving credit facility (the "Original Revolver"). As of December 31, 2015, as a result of repayments and prepayments during the prior periods, we had $1.9 billion outstanding under the Original Term Loan.</w:t>
      </w:r>
    </w:p>
    <w:p>
      <w:pPr>
        <w:spacing w:after="0" w:line="194" w:lineRule="exact"/>
        <w:rPr>
          <w:sz w:val="20"/>
          <w:szCs w:val="20"/>
          <w:color w:val="auto"/>
        </w:rPr>
      </w:pPr>
    </w:p>
    <w:p>
      <w:pPr>
        <w:ind w:right="20" w:firstLine="351"/>
        <w:spacing w:after="0" w:line="253" w:lineRule="auto"/>
        <w:rPr>
          <w:sz w:val="20"/>
          <w:szCs w:val="20"/>
          <w:color w:val="auto"/>
        </w:rPr>
      </w:pPr>
      <w:r>
        <w:rPr>
          <w:rFonts w:ascii="Arial" w:cs="Arial" w:eastAsia="Arial" w:hAnsi="Arial"/>
          <w:sz w:val="18"/>
          <w:szCs w:val="18"/>
          <w:color w:val="auto"/>
        </w:rPr>
        <w:t>In conjunction with the King Acquisition, we entered into three amendments to the Credit Agreement (the "Amendments"). The Amendments, among other things, provided for an incremental tranche of term loans "A" in an aggregate principal amount of approximately $2.3 billion. The proceeds were provided on February 23, 2016 and were used to fund the King Acquisition. On March 31, 2016, we entered into a fourth amendment to the Credit Agreement which provided for an incremental tranche of term loans "A" in the aggregate principal amount of $250 million (together with the $2.3 billion tranche of term loans "A", the "Original TLA"); the proceeds from the incremental borrowing were used to make a voluntary prepayment on our Original Term Loan on March 31, 2016. In addition to this prepayment, we made voluntary prepayments on our Original Term Loan of $500 million and $800 million on February 25 and May 26, 2016, respectively.</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(Continued)</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On August 23, 2016 we entered into a fifth amendment to the Credit Agreement (the "Fifth Amendment") that provided for a new tranche of term loans "A"</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of approximately $2.9 billion (the "2016 TLA") and an amended revolving credit facility of $250 million (the "Revolver" and together with the 2016 TLA,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"Credit Facilities"). The proceeds from the 2016 TLA were primarily used to pay off the remaining outstanding principal balance on the Original Term Loan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$319 million and the Original TLA of $2.5 billion. As a result of the payments to extinguish the Original Term Loan and Original TLA, we wrote-off unamortized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discount and deferred financing costs of $10 million, which is included in "Loss on extinguishment of debt" in the consolidated statements of operations.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unamortized discount and deferred financing costs were deferred, along with new fees paid to the 2016 TLA lenders, and will continue to be amortized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over the maturity of the 2016 TLA. As a result of the Fifth Amendment, both the 2016 TLA and the Revolver became unsecured loans. As described below,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2016 TLA was fully prepaid in February 2017. The Revolver is scheduled to nature on August 23, 2021. Debt discounts and deferred financing costs incurred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relation to the Fifth Amendment were not material.</w:t>
      </w:r>
    </w:p>
    <w:p>
      <w:pPr>
        <w:spacing w:after="0" w:line="219" w:lineRule="exact"/>
        <w:rPr>
          <w:sz w:val="20"/>
          <w:szCs w:val="20"/>
          <w:color w:val="auto"/>
        </w:rPr>
      </w:pPr>
    </w:p>
    <w:p>
      <w:pPr>
        <w:ind w:right="140" w:firstLine="351"/>
        <w:spacing w:after="0" w:line="289" w:lineRule="auto"/>
        <w:rPr>
          <w:sz w:val="20"/>
          <w:szCs w:val="20"/>
          <w:color w:val="auto"/>
        </w:rPr>
      </w:pPr>
      <w:r>
        <w:rPr>
          <w:rFonts w:ascii="Arial" w:cs="Arial" w:eastAsia="Arial" w:hAnsi="Arial"/>
          <w:sz w:val="16"/>
          <w:szCs w:val="16"/>
          <w:color w:val="auto"/>
        </w:rPr>
        <w:t>Borrowings under the Revolver may be borrowed, repaid, and re-borrowed by the Company, and are available for working capital and other general corporate purposes. Up to $50 million of the Revolver may be used for letters of credit. To date, we have not drawn on the Revolver. Borrowings under the 2016 TLA and the Revolver will bear interest, at the Company's option, at either (a) a base rate equal to the highest of (i) the federal funds rate, plus 0.5%, (ii) the prime commercial lending rate of Bank of America, N.A. and (iii) the London Interbank Offered Rate ("LIBOR") for an interest period of one month beginning on such day plus 1.00%, or (b) LIBOR, in each case, plus an applicable interest margin. LIBOR will be subject to a floor of 0% and the base rate will be subject to an effective floor of 1.00%. The applicable interest margin for borrowings under the 2016 TLA and Revolver will range from 1.125% to 2.00% for LIBOR borrowings and from 0.125% to 1.00% for base rate borrowings and will be determined by reference to a pricing grid based on the Company's credit ratings. At December 31, 2016, the 2016 TLA bore interest at 2.02%.</w:t>
      </w:r>
    </w:p>
    <w:p>
      <w:pPr>
        <w:spacing w:after="0" w:line="172"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Credit Agreement requires quarterly principal payments of 0.625% of the stated principal amount of the 2016 TLA commencing on September 30, 2016, with increases to 1.250% starting on September 30, 2019 and 3.125% starting on September 30, 2020, with the remaining balance payable on the 2016 TLA's scheduled maturity date of August 23, 2021. On September 30, 2016, in addition to the required quarterly repayment of $18 million, we made a voluntary prepayment on our 2016 TLA of $167 million. These payments satisfied the required quarterly principal repayments through December 31, 2018.</w:t>
      </w:r>
    </w:p>
    <w:p>
      <w:pPr>
        <w:spacing w:after="0" w:line="167" w:lineRule="exact"/>
        <w:rPr>
          <w:sz w:val="20"/>
          <w:szCs w:val="20"/>
          <w:color w:val="auto"/>
        </w:rPr>
      </w:pPr>
    </w:p>
    <w:p>
      <w:pPr>
        <w:ind w:right="100" w:firstLine="348"/>
        <w:spacing w:after="0" w:line="290" w:lineRule="auto"/>
        <w:rPr>
          <w:sz w:val="20"/>
          <w:szCs w:val="20"/>
          <w:color w:val="auto"/>
        </w:rPr>
      </w:pPr>
      <w:r>
        <w:rPr>
          <w:rFonts w:ascii="Arial" w:cs="Arial" w:eastAsia="Arial" w:hAnsi="Arial"/>
          <w:sz w:val="16"/>
          <w:szCs w:val="16"/>
          <w:color w:val="auto"/>
        </w:rPr>
        <w:t>The Company is subject to a financial covenant requiring the Company's Consolidated Total Net Debt Ratio (as defined in the Credit Agreement) not to exceed (i) 4.00:1.00 on or prior to March 31, 2017, and (ii) thereafter, 3.50:1.00. The Fifth Amendment contains other covenants that are customary for issuers with similar credit ratings. A violation of any of these covenants could result in an event of default under the Credit Agreement. Upon the occurrence of an event of default, payment of any outstanding amounts under the Credit Agreement may be accelerated, and the lenders' commitments to extend credit under the Credit Agreement may be terminated. In addition, an event of default under the Credit Agreement could, under certain circumstances, permit the holders of other outstanding unsecured debt, including the debt holders described below, to accelerate the repayment of such obligations. The Company was in compliance with the terms of the Credit Facilities as of December 31, 2016.</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(Continued)</w:t>
      </w:r>
    </w:p>
    <w:p>
      <w:pPr>
        <w:spacing w:after="0" w:line="231" w:lineRule="exact"/>
        <w:rPr>
          <w:sz w:val="20"/>
          <w:szCs w:val="20"/>
          <w:color w:val="auto"/>
        </w:rPr>
      </w:pPr>
    </w:p>
    <w:p>
      <w:pPr>
        <w:ind w:right="420" w:firstLine="341"/>
        <w:spacing w:after="0" w:line="268" w:lineRule="auto"/>
        <w:rPr>
          <w:sz w:val="20"/>
          <w:szCs w:val="20"/>
          <w:color w:val="auto"/>
        </w:rPr>
      </w:pPr>
      <w:r>
        <w:rPr>
          <w:rFonts w:ascii="Arial" w:cs="Arial" w:eastAsia="Arial" w:hAnsi="Arial"/>
          <w:sz w:val="18"/>
          <w:szCs w:val="18"/>
          <w:color w:val="auto"/>
        </w:rPr>
        <w:t>As of December 31, 2016, the Credit Facilities were guaranteed by certain of our U.S. subsidiaries, whose assets represented approximately 67% of our consolidated assets.</w:t>
      </w:r>
    </w:p>
    <w:p>
      <w:pPr>
        <w:spacing w:after="0" w:line="186"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On February 3, 2017, we entered into a sixth amendment to our Credit Agreement. The amendment (i) provided for a new tranche of term loans "A" in an aggregate principal amount of $2.55 billion (the "2017 TLA") and (ii) released each of our subsidiary guarantors from their respective guarantee provided under the Credit Agreement. All proceeds of the 2017 TLA, together with additional cash funds on hand, were used to fully prepay the 2016 TLA outstanding under the Credit Agreement immediately prior to the effectiveness of the sixth amendment, together with all accrued and unpaid interest thereon. The terms of the 2017 TLA, other than the absence of guarantees, are generally the same as the terms of the 2016 TLA.</w:t>
      </w:r>
    </w:p>
    <w:p>
      <w:pPr>
        <w:spacing w:after="0" w:line="170" w:lineRule="exact"/>
        <w:rPr>
          <w:sz w:val="20"/>
          <w:szCs w:val="20"/>
          <w:color w:val="auto"/>
        </w:rPr>
      </w:pPr>
    </w:p>
    <w:p>
      <w:pPr>
        <w:jc w:val="both"/>
        <w:ind w:right="140" w:firstLine="351"/>
        <w:spacing w:after="0" w:line="306" w:lineRule="auto"/>
        <w:rPr>
          <w:sz w:val="20"/>
          <w:szCs w:val="20"/>
          <w:color w:val="auto"/>
        </w:rPr>
      </w:pPr>
      <w:r>
        <w:rPr>
          <w:rFonts w:ascii="Arial" w:cs="Arial" w:eastAsia="Arial" w:hAnsi="Arial"/>
          <w:sz w:val="16"/>
          <w:szCs w:val="16"/>
          <w:color w:val="auto"/>
        </w:rPr>
        <w:t>On February 2, 2017, our Board of Directors authorized repayments of up to $500 million of the company's outstanding debt during 2017. During February 2017, we made voluntary prepayments on our term loans of $500 million, inclusive of $139 million used to fully prepay the 2016 TLA as discussed above. The voluntary prepayment satisfied the remaining required quarterly principal repayments for the entire term of the Credit Agreement.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Unsecured Senior Notes</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On September 19, 2013, we issued, at par, $1.5 billion of 5.625% unsecured senior notes due September 2021 (the "Original 2021 Notes") and $750 million of 6.125% unsecured senior notes due September 2023 (the "2023 Notes" and, together with the Original 2021 Notes, the "Notes") in a private offering to qualified institutional buyers made in accordance with Rule 144A under the Securities Act of 1933, as amended (the "Securities Act").</w:t>
      </w:r>
    </w:p>
    <w:p>
      <w:pPr>
        <w:spacing w:after="0" w:line="16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Original 2021 Notes became eligible for redemption on September 15, 2016 (and, as described below, were redeemed on October 19, 2016). We may redeem the 2023 Notes on or after September 15, 2018, in whole or in part on any one or more occasions, at specified redemption prices, plus accrued and unpaid interest. In addition, we may redeem some or all of the 2023 Notes prior to September 15, 2018, at a price equal to 100% of the aggregate principal amount thereof plus a "make-whole premium" and accrued and unpaid interest. Further, upon the occurrence of one or more qualified equity offerings, we may also redeem up to 35% of the aggregate principal amount of the 2023 Notes outstanding with the net cash proceeds from such offerings.</w:t>
      </w:r>
    </w:p>
    <w:p>
      <w:pPr>
        <w:spacing w:after="0" w:line="170"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On September 19, 2016, we issued $650 million of 2.3% unsecured senior notes due September 2021 (the "New 2021 Notes") and $850 million of 3.4% unsecured senior notes due September 2026 (the "2026 Notes" and, together with the New 2021 Notes, the "New Notes") in a private offering made in accordance with Rule 144A and Regulation S under the Securities Act.</w:t>
      </w:r>
    </w:p>
    <w:p>
      <w:pPr>
        <w:spacing w:after="0" w:line="194" w:lineRule="exact"/>
        <w:rPr>
          <w:sz w:val="20"/>
          <w:szCs w:val="20"/>
          <w:color w:val="auto"/>
        </w:rPr>
      </w:pPr>
    </w:p>
    <w:p>
      <w:pPr>
        <w:ind w:right="20" w:firstLine="351"/>
        <w:spacing w:after="0" w:line="318" w:lineRule="auto"/>
        <w:rPr>
          <w:sz w:val="20"/>
          <w:szCs w:val="20"/>
          <w:color w:val="auto"/>
        </w:rPr>
      </w:pPr>
      <w:r>
        <w:rPr>
          <w:rFonts w:ascii="Arial" w:cs="Arial" w:eastAsia="Arial" w:hAnsi="Arial"/>
          <w:sz w:val="15"/>
          <w:szCs w:val="15"/>
          <w:color w:val="auto"/>
        </w:rPr>
        <w:t>In connection with the issuance of the New Notes, we entered into a registration rights agreement (the "Registration Rights Agreement"), among the Company, the subsidiary guarantors, and the representatives of the initial purchasers of the New Notes. Under the Registration Rights Agreement, we are required to use commercially reasonable efforts to within one year of the issue date of the New Notes, among other things, (1) file a registration statement with respect to an offer to exchange each series of the New Notes for new notes that are substantially identical in all material respects, (except for the provisions relating to the transfer restrictions and payment of additional interest) and (2) cause the registration statement to be declared effective by the SEC under the Securities Act.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(Continued)</w:t>
      </w:r>
    </w:p>
    <w:p>
      <w:pPr>
        <w:spacing w:after="0" w:line="231"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We may redeem some or all of the New 2021 Notes prior to August 15, 2021 and some or all of the 2026 Notes prior to June 15, 2026, in each case at a price equal to 100% of the aggregate principal amount thereof plus a "make-whole" premium and accrued and unpaid interest. In addition, we may redeem the New 2021 Notes on or after August 15, 2021, and the 2026 Notes on or after June 15, 2026, in each case in whole or in part on any one or more occasions and at a price equal to 100% of the aggregate principal amount thereof plus accrued and unpaid interest.</w:t>
      </w:r>
    </w:p>
    <w:p>
      <w:pPr>
        <w:spacing w:after="0" w:line="167"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Upon the occurrence of certain change of control events, we will be required to offer to repurchase the 2023 Notes and New Notes at a purchase price equal to 101% of the principal amount thereof, plus accrued and unpaid interest. These repurchase requirements are considered clearly and closely related to the 2023 Notes and New Notes and are not accounted for separately upon issuance.</w:t>
      </w:r>
    </w:p>
    <w:p>
      <w:pPr>
        <w:spacing w:after="0" w:line="194"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 xml:space="preserve">The 2023 Notes and New Notes are general senior obligations of the Company and rank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to all of the Company's existing and future senior indebtedness, including the Credit Facilities described above. As of December 31, 2016, the 2023 Notes and New Notes were guaranteed on a senior basis by certain of our U.S. subsidiaries. Pursuant to the terms of the indentures underlying the 2023 Notes and New Notes, the guarantees by certain subsidiaries were automatically released when the 2017 TLA guarantees were removed in connection with the sixth amendment to the Credit Agreement. The 2023 Notes and New Notes are not secured and are effectively subordinated to any of the Company's existing and future indebtedness that is secured.</w:t>
      </w:r>
    </w:p>
    <w:p>
      <w:pPr>
        <w:spacing w:after="0" w:line="170"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On October 19, 2016, we redeemed the Original 2021 Notes in full for $1.6 billion, which resulted in a loss on extinguishment of approximately $82 million, comprised of a premium payment of $63 million and write off of unamortized discount and financing costs of $19 million. This loss is included in "Loss on extinguishment of debt" in the consolidated statements of operations.</w:t>
      </w:r>
    </w:p>
    <w:p>
      <w:pPr>
        <w:spacing w:after="0" w:line="194"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The 2023 Notes contain customary covenants that place restrictions in certain circumstances on, among other things, the incurrence of debt, granting of liens, payment of dividends, sales of assets, and certain merger and consolidation transactions. The New Notes contain customary covenants that place restrictions in certain circumstances on, among other things, the incurrence of secured debt, entry into sale or leaseback transactions, and certain merger or consolidation transactions. The Company was in compliance with the terms of the 2023 Notes and the New Notes as of December 31, 2016.</w:t>
      </w:r>
    </w:p>
    <w:p>
      <w:pPr>
        <w:spacing w:after="0" w:line="167" w:lineRule="exact"/>
        <w:rPr>
          <w:sz w:val="20"/>
          <w:szCs w:val="20"/>
          <w:color w:val="auto"/>
        </w:rPr>
      </w:pPr>
    </w:p>
    <w:p>
      <w:pPr>
        <w:jc w:val="both"/>
        <w:ind w:right="20" w:firstLine="351"/>
        <w:spacing w:after="0" w:line="306" w:lineRule="auto"/>
        <w:rPr>
          <w:sz w:val="20"/>
          <w:szCs w:val="20"/>
          <w:color w:val="auto"/>
        </w:rPr>
      </w:pPr>
      <w:r>
        <w:rPr>
          <w:rFonts w:ascii="Arial" w:cs="Arial" w:eastAsia="Arial" w:hAnsi="Arial"/>
          <w:sz w:val="16"/>
          <w:szCs w:val="16"/>
          <w:color w:val="auto"/>
        </w:rPr>
        <w:t>Interest on the 2023 Notes and New Notes is payable semi-annually in arrears on March 15 and September 15 of each year, and is recorded within "Accrued expenses and other liabilities" in our consolidated balance sheets. As of December 31, 2016, we had interest payable of $13 million and $12 million, related to the 2023 Notes and New Notes, respectively. As of December 31, 2015, we had interest payable of $38 million related to the Notes.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and financing costs</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Fees and discounts associated with the closing of our debt instruments are recorded as debt discount, which reduces their respective carrying values, and is amortized over their respective terms. Amortization expense is recorded within "Interest and other expense (income), net" in our consolidated statements of operations.</w:t>
      </w:r>
    </w:p>
    <w:p>
      <w:pPr>
        <w:spacing w:after="0" w:line="194" w:lineRule="exact"/>
        <w:rPr>
          <w:sz w:val="20"/>
          <w:szCs w:val="20"/>
          <w:color w:val="auto"/>
        </w:rPr>
      </w:pPr>
    </w:p>
    <w:p>
      <w:pPr>
        <w:ind w:right="340" w:firstLine="351"/>
        <w:spacing w:after="0" w:line="268" w:lineRule="auto"/>
        <w:rPr>
          <w:sz w:val="20"/>
          <w:szCs w:val="20"/>
          <w:color w:val="auto"/>
        </w:rPr>
      </w:pPr>
      <w:r>
        <w:rPr>
          <w:rFonts w:ascii="Arial" w:cs="Arial" w:eastAsia="Arial" w:hAnsi="Arial"/>
          <w:sz w:val="18"/>
          <w:szCs w:val="18"/>
          <w:color w:val="auto"/>
        </w:rPr>
        <w:t>In connection with the debt financing for the Original TLA and New Notes offering, we incurred $38 million and $17 million of discounts and financing costs, respectively, that were capitalized and</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recorded within "Long-term debt, net" in our consolidated balance sheet. New lender fees and deferred financing costs related to the 2016 TLA were not material.</w:t>
      </w:r>
    </w:p>
    <w:p>
      <w:pPr>
        <w:spacing w:after="0" w:line="248" w:lineRule="exact"/>
        <w:rPr>
          <w:sz w:val="20"/>
          <w:szCs w:val="20"/>
          <w:color w:val="auto"/>
        </w:rPr>
      </w:pPr>
    </w:p>
    <w:p>
      <w:pPr>
        <w:ind w:right="40" w:firstLine="351"/>
        <w:spacing w:after="0" w:line="332" w:lineRule="auto"/>
        <w:rPr>
          <w:sz w:val="20"/>
          <w:szCs w:val="20"/>
          <w:color w:val="auto"/>
        </w:rPr>
      </w:pPr>
      <w:r>
        <w:rPr>
          <w:rFonts w:ascii="Arial" w:cs="Arial" w:eastAsia="Arial" w:hAnsi="Arial"/>
          <w:sz w:val="16"/>
          <w:szCs w:val="16"/>
          <w:color w:val="auto"/>
        </w:rPr>
        <w:t>For the years ended December 31, 2016, 2015, and 2014: interest expense was $197 million, $193 million, and $201 million, respectively; amortization of the debt discount and deferred financing costs was $20 million, $7 million, and $7 million, respectively; and commitment fees for the Revolver were not material.</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debt is as follows (amounts in millions):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1"/>
              </w:rPr>
              <w:t>December 31, 2016</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3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Unamortized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Discount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Gross 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Deferred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6"/>
              </w:rPr>
              <w:t>Financing Costs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r>
      <w:tr>
        <w:trPr>
          <w:trHeight w:val="210"/>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2016</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TLA</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2,663</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New 2021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645</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2023</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739</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2026</w:t>
            </w:r>
          </w:p>
        </w:tc>
        <w:tc>
          <w:tcPr>
            <w:tcW w:w="4020" w:type="dxa"/>
            <w:vAlign w:val="bottom"/>
          </w:tcPr>
          <w:p>
            <w:pPr>
              <w:ind w:left="20"/>
              <w:spacing w:after="0"/>
              <w:rPr>
                <w:sz w:val="20"/>
                <w:szCs w:val="20"/>
                <w:color w:val="auto"/>
              </w:rPr>
            </w:pPr>
            <w:r>
              <w:rPr>
                <w:rFonts w:ascii="Arial" w:cs="Arial" w:eastAsia="Arial" w:hAnsi="Arial"/>
                <w:sz w:val="18"/>
                <w:szCs w:val="18"/>
                <w:color w:val="auto"/>
              </w:rPr>
              <w:t>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840</w:t>
            </w:r>
          </w:p>
        </w:tc>
      </w:tr>
      <w:tr>
        <w:trPr>
          <w:trHeight w:val="20"/>
        </w:trPr>
        <w:tc>
          <w:tcPr>
            <w:tcW w:w="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4,887</w:t>
            </w:r>
          </w:p>
        </w:tc>
      </w:tr>
      <w:tr>
        <w:trPr>
          <w:trHeight w:val="20"/>
        </w:trPr>
        <w:tc>
          <w:tcPr>
            <w:tcW w:w="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31"/>
        </w:trPr>
        <w:tc>
          <w:tcPr>
            <w:tcW w:w="38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gridSpan w:val="4"/>
          </w:tcPr>
          <w:p>
            <w:pPr>
              <w:jc w:val="right"/>
              <w:ind w:right="240"/>
              <w:spacing w:after="0"/>
              <w:rPr>
                <w:sz w:val="20"/>
                <w:szCs w:val="20"/>
                <w:color w:val="auto"/>
              </w:rPr>
            </w:pPr>
            <w:r>
              <w:rPr>
                <w:rFonts w:ascii="Arial" w:cs="Arial" w:eastAsia="Arial" w:hAnsi="Arial"/>
                <w:sz w:val="14"/>
                <w:szCs w:val="14"/>
                <w:b w:val="1"/>
                <w:bCs w:val="1"/>
                <w:color w:val="auto"/>
                <w:w w:val="91"/>
              </w:rPr>
              <w:t>December 31, 2015</w:t>
            </w: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129"/>
        </w:trPr>
        <w:tc>
          <w:tcPr>
            <w:tcW w:w="380" w:type="dxa"/>
            <w:vAlign w:val="bottom"/>
          </w:tcPr>
          <w:p>
            <w:pPr>
              <w:spacing w:after="0"/>
              <w:rPr>
                <w:sz w:val="11"/>
                <w:szCs w:val="11"/>
                <w:color w:val="auto"/>
              </w:rPr>
            </w:pPr>
          </w:p>
        </w:tc>
        <w:tc>
          <w:tcPr>
            <w:tcW w:w="4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jc w:val="center"/>
              <w:ind w:right="260"/>
              <w:spacing w:after="0" w:line="129" w:lineRule="exact"/>
              <w:rPr>
                <w:sz w:val="20"/>
                <w:szCs w:val="20"/>
                <w:color w:val="auto"/>
              </w:rPr>
            </w:pPr>
            <w:r>
              <w:rPr>
                <w:rFonts w:ascii="Arial" w:cs="Arial" w:eastAsia="Arial" w:hAnsi="Arial"/>
                <w:sz w:val="14"/>
                <w:szCs w:val="14"/>
                <w:b w:val="1"/>
                <w:bCs w:val="1"/>
                <w:color w:val="auto"/>
                <w:w w:val="89"/>
              </w:rPr>
              <w:t>Unamortized</w:t>
            </w: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Discount and</w:t>
            </w: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380" w:type="dxa"/>
            <w:vAlign w:val="bottom"/>
          </w:tcPr>
          <w:p>
            <w:pPr>
              <w:spacing w:after="0"/>
              <w:rPr>
                <w:sz w:val="12"/>
                <w:szCs w:val="12"/>
                <w:color w:val="auto"/>
              </w:rPr>
            </w:pPr>
          </w:p>
        </w:tc>
        <w:tc>
          <w:tcPr>
            <w:tcW w:w="4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8"/>
              </w:rPr>
              <w:t>Gross Carrying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Deferred</w:t>
            </w:r>
          </w:p>
        </w:tc>
        <w:tc>
          <w:tcPr>
            <w:tcW w:w="10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Net Carrying</w:t>
            </w:r>
          </w:p>
        </w:tc>
      </w:tr>
      <w:tr>
        <w:trPr>
          <w:trHeight w:val="161"/>
        </w:trPr>
        <w:tc>
          <w:tcPr>
            <w:tcW w:w="38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18"/>
              <w:spacing w:after="0"/>
              <w:rPr>
                <w:sz w:val="20"/>
                <w:szCs w:val="20"/>
                <w:color w:val="auto"/>
              </w:rPr>
            </w:pPr>
            <w:r>
              <w:rPr>
                <w:rFonts w:ascii="Arial" w:cs="Arial" w:eastAsia="Arial" w:hAnsi="Arial"/>
                <w:sz w:val="14"/>
                <w:szCs w:val="14"/>
                <w:b w:val="1"/>
                <w:bCs w:val="1"/>
                <w:color w:val="auto"/>
                <w:w w:val="86"/>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6"/>
              </w:rPr>
              <w:t>Financing Costs</w:t>
            </w: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Pr>
          <w:p>
            <w:pPr>
              <w:spacing w:after="0"/>
              <w:rPr>
                <w:sz w:val="14"/>
                <w:szCs w:val="14"/>
                <w:color w:val="auto"/>
              </w:rPr>
            </w:pPr>
          </w:p>
        </w:tc>
      </w:tr>
      <w:tr>
        <w:trPr>
          <w:trHeight w:val="210"/>
        </w:trPr>
        <w:tc>
          <w:tcPr>
            <w:tcW w:w="4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Original Term Loan</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1,869</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1,858</w:t>
            </w:r>
          </w:p>
        </w:tc>
      </w:tr>
      <w:tr>
        <w:trPr>
          <w:trHeight w:val="216"/>
        </w:trPr>
        <w:tc>
          <w:tcPr>
            <w:tcW w:w="4400" w:type="dxa"/>
            <w:vAlign w:val="bottom"/>
            <w:gridSpan w:val="2"/>
          </w:tcPr>
          <w:p>
            <w:pPr>
              <w:spacing w:after="0"/>
              <w:rPr>
                <w:sz w:val="20"/>
                <w:szCs w:val="20"/>
                <w:color w:val="auto"/>
              </w:rPr>
            </w:pPr>
            <w:r>
              <w:rPr>
                <w:rFonts w:ascii="Arial" w:cs="Arial" w:eastAsia="Arial" w:hAnsi="Arial"/>
                <w:sz w:val="18"/>
                <w:szCs w:val="18"/>
                <w:color w:val="auto"/>
              </w:rPr>
              <w:t>Original 2021 Notes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1,478</w:t>
            </w:r>
          </w:p>
        </w:tc>
      </w:tr>
      <w:tr>
        <w:trPr>
          <w:trHeight w:val="216"/>
        </w:trPr>
        <w:tc>
          <w:tcPr>
            <w:tcW w:w="380" w:type="dxa"/>
            <w:vAlign w:val="bottom"/>
            <w:shd w:val="clear" w:color="auto" w:fill="CCEEFF"/>
          </w:tcPr>
          <w:p>
            <w:pPr>
              <w:spacing w:after="0"/>
              <w:rPr>
                <w:sz w:val="20"/>
                <w:szCs w:val="20"/>
                <w:color w:val="auto"/>
              </w:rPr>
            </w:pPr>
            <w:r>
              <w:rPr>
                <w:rFonts w:ascii="Arial" w:cs="Arial" w:eastAsia="Arial" w:hAnsi="Arial"/>
                <w:sz w:val="18"/>
                <w:szCs w:val="18"/>
                <w:color w:val="auto"/>
                <w:w w:val="89"/>
              </w:rPr>
              <w:t>2023</w:t>
            </w:r>
          </w:p>
        </w:tc>
        <w:tc>
          <w:tcPr>
            <w:tcW w:w="4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738</w:t>
            </w:r>
          </w:p>
        </w:tc>
      </w:tr>
      <w:tr>
        <w:trPr>
          <w:trHeight w:val="210"/>
        </w:trPr>
        <w:tc>
          <w:tcPr>
            <w:tcW w:w="4400" w:type="dxa"/>
            <w:vAlign w:val="bottom"/>
            <w:gridSpan w:val="2"/>
          </w:tcPr>
          <w:p>
            <w:pPr>
              <w:spacing w:after="0"/>
              <w:rPr>
                <w:sz w:val="20"/>
                <w:szCs w:val="20"/>
                <w:color w:val="auto"/>
              </w:rPr>
            </w:pPr>
            <w:r>
              <w:rPr>
                <w:rFonts w:ascii="Arial" w:cs="Arial" w:eastAsia="Arial" w:hAnsi="Arial"/>
                <w:sz w:val="18"/>
                <w:szCs w:val="18"/>
                <w:color w:val="auto"/>
              </w:rPr>
              <w:t>Total long-term debt</w:t>
            </w:r>
          </w:p>
        </w:tc>
        <w:tc>
          <w:tcPr>
            <w:tcW w:w="20" w:type="dxa"/>
            <w:vAlign w:val="bottom"/>
            <w:tcBorders>
              <w:bottom w:val="single" w:sz="8" w:color="auto"/>
            </w:tcBorders>
          </w:tcPr>
          <w:p>
            <w:pPr>
              <w:spacing w:after="0"/>
              <w:rPr>
                <w:sz w:val="18"/>
                <w:szCs w:val="18"/>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4,119</w:t>
            </w:r>
          </w:p>
        </w:tc>
        <w:tc>
          <w:tcPr>
            <w:tcW w:w="1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4,074</w:t>
            </w:r>
          </w:p>
        </w:tc>
        <w:tc>
          <w:tcPr>
            <w:tcW w:w="160" w:type="dxa"/>
            <w:vAlign w:val="bottom"/>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360" w:firstLine="341"/>
        <w:spacing w:after="0" w:line="332" w:lineRule="auto"/>
        <w:rPr>
          <w:sz w:val="20"/>
          <w:szCs w:val="20"/>
          <w:color w:val="auto"/>
        </w:rPr>
      </w:pPr>
      <w:r>
        <w:rPr>
          <w:rFonts w:ascii="Arial" w:cs="Arial" w:eastAsia="Arial" w:hAnsi="Arial"/>
          <w:sz w:val="16"/>
          <w:szCs w:val="16"/>
          <w:color w:val="auto"/>
        </w:rPr>
        <w:t>As of December 31, 2016, without consideration to the voluntary prepayments made in February 2017, as discussed above, the scheduled maturities and contractual principal repayments of our debt for each of the five succeeding years are as follows (amounts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For the year ending December 31,</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2017</w:t>
            </w:r>
          </w:p>
        </w:tc>
        <w:tc>
          <w:tcPr>
            <w:tcW w:w="424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2018</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2019</w:t>
            </w: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103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8"/>
                <w:szCs w:val="18"/>
                <w:color w:val="auto"/>
              </w:rPr>
              <w:t>2021</w:t>
            </w: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2,985</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1,600</w:t>
            </w:r>
          </w:p>
        </w:tc>
        <w:tc>
          <w:tcPr>
            <w:tcW w:w="1720" w:type="dxa"/>
            <w:vAlign w:val="bottom"/>
          </w:tcPr>
          <w:p>
            <w:pPr>
              <w:spacing w:after="0"/>
              <w:rPr>
                <w:sz w:val="18"/>
                <w:szCs w:val="18"/>
                <w:color w:val="auto"/>
              </w:rPr>
            </w:pPr>
          </w:p>
        </w:tc>
      </w:tr>
      <w:tr>
        <w:trPr>
          <w:trHeight w:val="210"/>
        </w:trPr>
        <w:tc>
          <w:tcPr>
            <w:tcW w:w="1720" w:type="dxa"/>
            <w:vAlign w:val="bottom"/>
          </w:tcPr>
          <w:p>
            <w:pPr>
              <w:spacing w:after="0"/>
              <w:rPr>
                <w:sz w:val="18"/>
                <w:szCs w:val="18"/>
                <w:color w:val="auto"/>
              </w:rPr>
            </w:pPr>
          </w:p>
        </w:tc>
        <w:tc>
          <w:tcPr>
            <w:tcW w:w="3120" w:type="dxa"/>
            <w:vAlign w:val="bottom"/>
          </w:tcPr>
          <w:p>
            <w:pPr>
              <w:ind w:left="360"/>
              <w:spacing w:after="0"/>
              <w:rPr>
                <w:sz w:val="20"/>
                <w:szCs w:val="20"/>
                <w:color w:val="auto"/>
              </w:rPr>
            </w:pPr>
            <w:r>
              <w:rPr>
                <w:rFonts w:ascii="Arial" w:cs="Arial" w:eastAsia="Arial" w:hAnsi="Arial"/>
                <w:sz w:val="18"/>
                <w:szCs w:val="18"/>
                <w:color w:val="auto"/>
              </w:rPr>
              <w:t>Total</w:t>
            </w:r>
          </w:p>
        </w:tc>
        <w:tc>
          <w:tcPr>
            <w:tcW w:w="408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4,940</w:t>
            </w:r>
          </w:p>
        </w:tc>
        <w:tc>
          <w:tcPr>
            <w:tcW w:w="16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20"/>
        </w:trPr>
        <w:tc>
          <w:tcPr>
            <w:tcW w:w="1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1"/>
        </w:trPr>
        <w:tc>
          <w:tcPr>
            <w:tcW w:w="17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4240" w:type="dxa"/>
            <w:vAlign w:val="bottom"/>
            <w:gridSpan w:val="2"/>
          </w:tcPr>
          <w:p>
            <w:pPr>
              <w:jc w:val="right"/>
              <w:ind w:right="3123"/>
              <w:spacing w:after="0"/>
              <w:rPr>
                <w:sz w:val="20"/>
                <w:szCs w:val="20"/>
                <w:color w:val="auto"/>
              </w:rPr>
            </w:pPr>
            <w:r>
              <w:rPr>
                <w:rFonts w:ascii="Arial" w:cs="Arial" w:eastAsia="Arial" w:hAnsi="Arial"/>
                <w:sz w:val="18"/>
                <w:szCs w:val="18"/>
                <w:color w:val="auto"/>
              </w:rPr>
              <w:t>F-32</w:t>
            </w: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40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Debt (Continued)</w:t>
      </w:r>
    </w:p>
    <w:p>
      <w:pPr>
        <w:spacing w:after="0" w:line="231" w:lineRule="exact"/>
        <w:rPr>
          <w:sz w:val="20"/>
          <w:szCs w:val="20"/>
          <w:color w:val="auto"/>
        </w:rPr>
      </w:pPr>
    </w:p>
    <w:p>
      <w:pPr>
        <w:ind w:right="120" w:firstLine="341"/>
        <w:spacing w:after="0" w:line="284" w:lineRule="auto"/>
        <w:rPr>
          <w:sz w:val="20"/>
          <w:szCs w:val="20"/>
          <w:color w:val="auto"/>
        </w:rPr>
      </w:pPr>
      <w:r>
        <w:rPr>
          <w:rFonts w:ascii="Arial" w:cs="Arial" w:eastAsia="Arial" w:hAnsi="Arial"/>
          <w:sz w:val="16"/>
          <w:szCs w:val="16"/>
          <w:color w:val="auto"/>
        </w:rPr>
        <w:t>As of December 31, 2016 and 2015, the carrying values of the 2016 TLA and the Original Term Loan approximate their fair value, based on Level 2 inputs (observable market prices in less than active markets), as the interest rate is variable over the selected interest period and is similar to current rates at which we can borrow funds. Based on Level 2 inputs, the fair values of the 2023 Notes, New 2021 Notes, and 2026 Notes were $818 million, $635 million, and</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$808 million, respectively, as of December 31, 2016. Based on Level 2 inputs, the fair values of the Original 2021 Notes and 2023 Notes were $1,571 million and $795 million, respectively, as of December 31, 2015.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Accumulated Other Comprehensive Income (Loss)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components of accumulated other comprehensive income (loss) at December 31, 2016 and 2015, were as follows (amounts in millions):</w:t>
      </w:r>
    </w:p>
    <w:p>
      <w:pPr>
        <w:spacing w:after="0" w:line="29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68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rPr>
              <w:t>For the Year Ended December 31, 2016</w:t>
            </w: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Unrealized gain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Unrealized gain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Foreign currency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translation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on available-for-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forward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4"/>
              </w:rPr>
              <w:t>adjustments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2"/>
              </w:rPr>
              <w:t>sale 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contracts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jc w:val="right"/>
              <w:ind w:right="2292"/>
              <w:spacing w:after="0"/>
              <w:rPr>
                <w:sz w:val="20"/>
                <w:szCs w:val="20"/>
                <w:color w:val="auto"/>
              </w:rPr>
            </w:pPr>
            <w:r>
              <w:rPr>
                <w:rFonts w:ascii="Arial" w:cs="Arial" w:eastAsia="Arial" w:hAnsi="Arial"/>
                <w:sz w:val="18"/>
                <w:szCs w:val="18"/>
                <w:color w:val="auto"/>
                <w:w w:val="85"/>
              </w:rPr>
              <w:t>Balance at December 31, 2015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 into earnings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0"/>
        </w:trPr>
        <w:tc>
          <w:tcPr>
            <w:tcW w:w="4540" w:type="dxa"/>
            <w:vAlign w:val="bottom"/>
            <w:gridSpan w:val="2"/>
          </w:tcPr>
          <w:p>
            <w:pPr>
              <w:jc w:val="right"/>
              <w:ind w:right="2292"/>
              <w:spacing w:after="0"/>
              <w:rPr>
                <w:sz w:val="20"/>
                <w:szCs w:val="20"/>
                <w:color w:val="auto"/>
              </w:rPr>
            </w:pPr>
            <w:r>
              <w:rPr>
                <w:rFonts w:ascii="Arial" w:cs="Arial" w:eastAsia="Arial" w:hAnsi="Arial"/>
                <w:sz w:val="18"/>
                <w:szCs w:val="18"/>
                <w:color w:val="auto"/>
                <w:w w:val="86"/>
              </w:rPr>
              <w:t>Balance at December 31, 2016</w:t>
            </w:r>
          </w:p>
        </w:tc>
        <w:tc>
          <w:tcPr>
            <w:tcW w:w="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10"/>
          </w:tcPr>
          <w:p>
            <w:pPr>
              <w:jc w:val="right"/>
              <w:ind w:right="480"/>
              <w:spacing w:after="0"/>
              <w:rPr>
                <w:sz w:val="20"/>
                <w:szCs w:val="20"/>
                <w:color w:val="auto"/>
              </w:rPr>
            </w:pPr>
            <w:r>
              <w:rPr>
                <w:rFonts w:ascii="Arial" w:cs="Arial" w:eastAsia="Arial" w:hAnsi="Arial"/>
                <w:sz w:val="14"/>
                <w:szCs w:val="14"/>
                <w:b w:val="1"/>
                <w:bCs w:val="1"/>
                <w:color w:val="auto"/>
              </w:rPr>
              <w:t>For the Year Ended December 31, 2015</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5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88"/>
              </w:rPr>
              <w:t>Unrealized gain</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2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86"/>
              </w:rPr>
              <w:t>Unrealized gain</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7"/>
              </w:rPr>
              <w:t>Foreign currency</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(loss)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0"/>
              </w:rPr>
              <w:t>(loss)</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translation</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on available-for-</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on forward</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4"/>
              </w:rPr>
              <w:t>adjustments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2"/>
              </w:rPr>
              <w:t>sale securities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85"/>
              </w:rPr>
              <w:t>contracts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83"/>
              </w:rPr>
              <w:t>Total</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jc w:val="right"/>
              <w:ind w:right="2292"/>
              <w:spacing w:after="0"/>
              <w:rPr>
                <w:sz w:val="20"/>
                <w:szCs w:val="20"/>
                <w:color w:val="auto"/>
              </w:rPr>
            </w:pPr>
            <w:r>
              <w:rPr>
                <w:rFonts w:ascii="Arial" w:cs="Arial" w:eastAsia="Arial" w:hAnsi="Arial"/>
                <w:sz w:val="18"/>
                <w:szCs w:val="18"/>
                <w:color w:val="auto"/>
                <w:w w:val="85"/>
              </w:rPr>
              <w:t>Balance at December 31, 2014</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60"/>
              <w:spacing w:after="0"/>
              <w:rPr>
                <w:sz w:val="20"/>
                <w:szCs w:val="20"/>
                <w:color w:val="auto"/>
              </w:rPr>
            </w:pPr>
            <w:r>
              <w:rPr>
                <w:rFonts w:ascii="Arial" w:cs="Arial" w:eastAsia="Arial" w:hAnsi="Arial"/>
                <w:sz w:val="18"/>
                <w:szCs w:val="18"/>
                <w:color w:val="auto"/>
                <w:w w:val="91"/>
              </w:rPr>
              <w:t>Other comprehensive income (loss) before reclassifications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8"/>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comprehensive income (loss) into earnings</w:t>
            </w: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4540" w:type="dxa"/>
            <w:vAlign w:val="bottom"/>
            <w:gridSpan w:val="2"/>
            <w:vMerge w:val="restart"/>
          </w:tcPr>
          <w:p>
            <w:pPr>
              <w:jc w:val="right"/>
              <w:ind w:right="2292"/>
              <w:spacing w:after="0"/>
              <w:rPr>
                <w:sz w:val="20"/>
                <w:szCs w:val="20"/>
                <w:color w:val="auto"/>
              </w:rPr>
            </w:pPr>
            <w:r>
              <w:rPr>
                <w:rFonts w:ascii="Arial" w:cs="Arial" w:eastAsia="Arial" w:hAnsi="Arial"/>
                <w:sz w:val="18"/>
                <w:szCs w:val="18"/>
                <w:color w:val="auto"/>
                <w:w w:val="86"/>
              </w:rPr>
              <w:t>Balance at December 31, 2015</w:t>
            </w:r>
          </w:p>
        </w:tc>
        <w:tc>
          <w:tcPr>
            <w:tcW w:w="2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vMerge w:val="restart"/>
          </w:tcPr>
          <w:p>
            <w:pPr>
              <w:jc w:val="right"/>
              <w:ind w:right="18"/>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0"/>
        </w:trPr>
        <w:tc>
          <w:tcPr>
            <w:tcW w:w="4540" w:type="dxa"/>
            <w:vAlign w:val="bottom"/>
            <w:gridSpan w:val="2"/>
            <w:vMerge w:val="continue"/>
          </w:tcPr>
          <w:p>
            <w:pPr>
              <w:spacing w:after="0"/>
              <w:rPr>
                <w:sz w:val="18"/>
                <w:szCs w:val="18"/>
                <w:color w:val="auto"/>
              </w:rPr>
            </w:pPr>
          </w:p>
        </w:tc>
        <w:tc>
          <w:tcPr>
            <w:tcW w:w="20" w:type="dxa"/>
            <w:vAlign w:val="bottom"/>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(630)</w:t>
            </w:r>
          </w:p>
        </w:tc>
        <w:tc>
          <w:tcPr>
            <w:tcW w:w="100" w:type="dxa"/>
            <w:vAlign w:val="bottom"/>
            <w:vMerge w:val="continue"/>
          </w:tcPr>
          <w:p>
            <w:pPr>
              <w:spacing w:after="0"/>
              <w:rPr>
                <w:sz w:val="18"/>
                <w:szCs w:val="18"/>
                <w:color w:val="auto"/>
              </w:rPr>
            </w:pPr>
          </w:p>
        </w:tc>
        <w:tc>
          <w:tcPr>
            <w:tcW w:w="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vMerge w:val="continue"/>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(633</w:t>
            </w:r>
          </w:p>
        </w:tc>
        <w:tc>
          <w:tcPr>
            <w:tcW w:w="1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Income taxes were not provided for foreign currency translation items as these are considered indefinite investments in non-U.S.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Segments and Geographic Region</w:t>
      </w:r>
    </w:p>
    <w:p>
      <w:pPr>
        <w:spacing w:after="0" w:line="231" w:lineRule="exact"/>
        <w:rPr>
          <w:sz w:val="20"/>
          <w:szCs w:val="20"/>
          <w:color w:val="auto"/>
        </w:rPr>
      </w:pPr>
    </w:p>
    <w:p>
      <w:pPr>
        <w:ind w:right="180" w:firstLine="351"/>
        <w:spacing w:after="0" w:line="256" w:lineRule="auto"/>
        <w:rPr>
          <w:sz w:val="20"/>
          <w:szCs w:val="20"/>
          <w:color w:val="auto"/>
        </w:rPr>
      </w:pPr>
      <w:r>
        <w:rPr>
          <w:rFonts w:ascii="Arial" w:cs="Arial" w:eastAsia="Arial" w:hAnsi="Arial"/>
          <w:sz w:val="18"/>
          <w:szCs w:val="18"/>
          <w:color w:val="auto"/>
        </w:rPr>
        <w:t>Currently, we have three reportable operating segments. Our operating segments are consistent with the manner in which our operations are reviewed and managed by our Chief Executive Officer, who is our chief operating decision maker ("CODM"). The CODM reviews segment performance exclusive of: the impact of the change in deferred revenues and related cost of revenues with respect to certain of our online-enabled games; share-based compensation expense; amortization of intangible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Operating Segments and Geographic Region (Continued)</w:t>
      </w:r>
    </w:p>
    <w:p>
      <w:pPr>
        <w:spacing w:after="0" w:line="231"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assets as a result of purchase price accounting; and fees and other expenses (including legal fees, expenses and accruals) related to acquisitions, associated integration activities, and financings. The CODM does not review any information regarding total assets on an operating segment basis, and accordingly, no disclosure is made with respect thereto.</w:t>
      </w:r>
    </w:p>
    <w:p>
      <w:pPr>
        <w:spacing w:after="0" w:line="194"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Our operating segments are also consistent with our internal organization structure, the way we assess operating performance and allocate resources, and the availability of separate financial information. We do not aggregate operating segments.</w:t>
      </w:r>
    </w:p>
    <w:p>
      <w:pPr>
        <w:spacing w:after="0" w:line="186"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Information on the operating segments and reconciliations of total segment net revenues and total segment operating income to consolidated net revenues from external customers and consolidated income before income tax expense for the years ended December 31, 2016, 2015 and 2014 are presented below (amounts in millions):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8"/>
          </w:tcPr>
          <w:p>
            <w:pPr>
              <w:jc w:val="right"/>
              <w:spacing w:after="0"/>
              <w:rPr>
                <w:sz w:val="20"/>
                <w:szCs w:val="20"/>
                <w:color w:val="auto"/>
              </w:rPr>
            </w:pPr>
            <w:r>
              <w:rPr>
                <w:rFonts w:ascii="Arial" w:cs="Arial" w:eastAsia="Arial" w:hAnsi="Arial"/>
                <w:sz w:val="14"/>
                <w:szCs w:val="14"/>
                <w:b w:val="1"/>
                <w:bCs w:val="1"/>
                <w:color w:val="auto"/>
                <w:w w:val="85"/>
              </w:rPr>
              <w:t>Years Ended December 31,</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w w:val="89"/>
              </w:rPr>
              <w:t>2015</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54"/>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60" w:type="dxa"/>
            <w:vAlign w:val="bottom"/>
            <w:gridSpan w:val="7"/>
          </w:tcPr>
          <w:p>
            <w:pPr>
              <w:jc w:val="right"/>
              <w:ind w:right="3"/>
              <w:spacing w:after="0" w:line="129" w:lineRule="exact"/>
              <w:rPr>
                <w:sz w:val="20"/>
                <w:szCs w:val="20"/>
                <w:color w:val="auto"/>
              </w:rPr>
            </w:pPr>
            <w:r>
              <w:rPr>
                <w:rFonts w:ascii="Arial" w:cs="Arial" w:eastAsia="Arial" w:hAnsi="Arial"/>
                <w:sz w:val="14"/>
                <w:szCs w:val="14"/>
                <w:b w:val="1"/>
                <w:bCs w:val="1"/>
                <w:color w:val="auto"/>
                <w:w w:val="80"/>
              </w:rPr>
              <w:t>Operating income</w:t>
            </w: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20" w:type="dxa"/>
            <w:vAlign w:val="bottom"/>
            <w:gridSpan w:val="10"/>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and income before income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w w:val="84"/>
              </w:rPr>
              <w:t>Net revenues</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4"/>
          </w:tcPr>
          <w:p>
            <w:pPr>
              <w:jc w:val="center"/>
              <w:ind w:right="40"/>
              <w:spacing w:after="0"/>
              <w:rPr>
                <w:sz w:val="20"/>
                <w:szCs w:val="20"/>
                <w:color w:val="auto"/>
              </w:rPr>
            </w:pPr>
            <w:r>
              <w:rPr>
                <w:rFonts w:ascii="Arial" w:cs="Arial" w:eastAsia="Arial" w:hAnsi="Arial"/>
                <w:sz w:val="14"/>
                <w:szCs w:val="14"/>
                <w:b w:val="1"/>
                <w:bCs w:val="1"/>
                <w:color w:val="auto"/>
                <w:w w:val="82"/>
              </w:rPr>
              <w:t>tax expense</w:t>
            </w:r>
          </w:p>
        </w:tc>
        <w:tc>
          <w:tcPr>
            <w:tcW w:w="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Activision</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2,686</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Arial" w:cs="Arial" w:eastAsia="Arial" w:hAnsi="Arial"/>
                <w:sz w:val="18"/>
                <w:szCs w:val="18"/>
                <w:color w:val="auto"/>
              </w:rPr>
              <w:t>Blizzard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2,428</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1,565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1,013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756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King</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Reportable segments total</w:t>
            </w: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6,234</w:t>
            </w: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4,406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2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Reconciliation to consolidated net revenues /</w:t>
            </w:r>
          </w:p>
        </w:tc>
        <w:tc>
          <w:tcPr>
            <w:tcW w:w="2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w w:val="95"/>
              </w:rPr>
              <w:t>consolidated income before income tax expense:</w:t>
            </w:r>
          </w:p>
        </w:tc>
        <w:tc>
          <w:tcPr>
            <w:tcW w:w="2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Other segments(1)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356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407</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8"/>
              </w:rPr>
              <w:t>Net effect from recognition (deferral) of deferred net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2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revenues and related cost of revenues</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Share-based compensation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w w:val="90"/>
              </w:rPr>
              <w:t>Fees and other expenses related to acquisitions and the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ind w:left="340"/>
              <w:spacing w:after="0"/>
              <w:rPr>
                <w:sz w:val="20"/>
                <w:szCs w:val="20"/>
                <w:color w:val="auto"/>
              </w:rPr>
            </w:pPr>
            <w:r>
              <w:rPr>
                <w:rFonts w:ascii="Arial" w:cs="Arial" w:eastAsia="Arial" w:hAnsi="Arial"/>
                <w:sz w:val="18"/>
                <w:szCs w:val="18"/>
                <w:color w:val="auto"/>
              </w:rPr>
              <w:t>Purchase Transaction(2)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Consolidated net revenues / operating income</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4,408</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gridSpan w:val="2"/>
            <w:vMerge w:val="restart"/>
          </w:tcPr>
          <w:p>
            <w:pPr>
              <w:ind w:left="160"/>
              <w:spacing w:after="0"/>
              <w:rPr>
                <w:sz w:val="20"/>
                <w:szCs w:val="20"/>
                <w:color w:val="auto"/>
              </w:rPr>
            </w:pPr>
            <w:r>
              <w:rPr>
                <w:rFonts w:ascii="Arial" w:cs="Arial" w:eastAsia="Arial" w:hAnsi="Arial"/>
                <w:sz w:val="18"/>
                <w:szCs w:val="18"/>
                <w:color w:val="auto"/>
              </w:rPr>
              <w:t>Interest and other expense (income), net</w:t>
            </w: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202</w:t>
            </w: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2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Loss on extinguishment of debt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gridSpan w:val="2"/>
          </w:tcPr>
          <w:p>
            <w:pPr>
              <w:ind w:left="160"/>
              <w:spacing w:after="0"/>
              <w:rPr>
                <w:sz w:val="20"/>
                <w:szCs w:val="20"/>
                <w:color w:val="auto"/>
              </w:rPr>
            </w:pPr>
            <w:r>
              <w:rPr>
                <w:rFonts w:ascii="Arial" w:cs="Arial" w:eastAsia="Arial" w:hAnsi="Arial"/>
                <w:sz w:val="18"/>
                <w:szCs w:val="18"/>
                <w:color w:val="auto"/>
              </w:rPr>
              <w:t>Consolidated income before income tax expense</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38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right="320" w:hanging="531"/>
        <w:spacing w:after="0" w:line="332" w:lineRule="auto"/>
        <w:tabs>
          <w:tab w:leader="none" w:pos="16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Other segments include other income and expenses from operating segments managed outside the reportable segments, including our MLG, Studios, and Distribution businesses. Other segments also include unallocated corporate income and expenses.</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280" w:hanging="272"/>
        <w:spacing w:after="0"/>
        <w:tabs>
          <w:tab w:leader="none" w:pos="280"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Geographic Region (Continued)</w:t>
      </w:r>
    </w:p>
    <w:p>
      <w:pPr>
        <w:spacing w:after="0" w:line="244" w:lineRule="exact"/>
        <w:rPr>
          <w:rFonts w:ascii="Arial" w:cs="Arial" w:eastAsia="Arial" w:hAnsi="Arial"/>
          <w:sz w:val="18"/>
          <w:szCs w:val="18"/>
          <w:b w:val="1"/>
          <w:bCs w:val="1"/>
          <w:color w:val="auto"/>
        </w:rPr>
      </w:pPr>
    </w:p>
    <w:p>
      <w:pPr>
        <w:ind w:left="1680" w:right="20" w:hanging="531"/>
        <w:spacing w:after="0" w:line="294" w:lineRule="auto"/>
        <w:tabs>
          <w:tab w:leader="none" w:pos="1680" w:val="left"/>
        </w:tabs>
        <w:numPr>
          <w:ilvl w:val="1"/>
          <w:numId w:val="94"/>
        </w:numPr>
        <w:rPr>
          <w:rFonts w:ascii="Arial" w:cs="Arial" w:eastAsia="Arial" w:hAnsi="Arial"/>
          <w:sz w:val="16"/>
          <w:szCs w:val="16"/>
          <w:color w:val="auto"/>
        </w:rPr>
      </w:pPr>
      <w:r>
        <w:rPr>
          <w:rFonts w:ascii="Arial" w:cs="Arial" w:eastAsia="Arial" w:hAnsi="Arial"/>
          <w:sz w:val="16"/>
          <w:szCs w:val="16"/>
          <w:color w:val="auto"/>
        </w:rPr>
        <w:t>Reflects the fees and other expenses, such as legal, banking, and professional service fees, related to (a) the October 11, 2013 repurchase of approximately 429 million shares of our common stock (the "Purchase Transaction", pursuant to a stock purchase agreement among us with Vivendi and ASAC II LP ("ASAC LP"), an exempted limited partnership established under the laws of the Cayman Islands, acting by its general partner, ASAC II LLC ("ASAC GP"), (b) the King Acquisition, and (c) other business acquisitions and associated integration activities, in each case, inclusive of any related debt financings.</w:t>
      </w:r>
    </w:p>
    <w:p>
      <w:pPr>
        <w:spacing w:after="0" w:line="170"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Geographic information presented below for the years ended December 31, 2016, 2015, and 2014 is based on the location of the selling entity. Net revenues from external customers by geographic region were as follows (amounts in millions):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4"/>
              </w:rPr>
              <w:t>Years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1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2016</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 by geographic region:</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Americas</w:t>
            </w:r>
          </w:p>
        </w:tc>
        <w:tc>
          <w:tcPr>
            <w:tcW w:w="16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3,423</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2,409</w:t>
            </w:r>
          </w:p>
        </w:tc>
        <w:tc>
          <w:tcPr>
            <w:tcW w:w="120" w:type="dxa"/>
            <w:vAlign w:val="bottom"/>
          </w:tcPr>
          <w:p>
            <w:pPr>
              <w:spacing w:after="0"/>
              <w:rPr>
                <w:sz w:val="18"/>
                <w:szCs w:val="18"/>
                <w:color w:val="auto"/>
              </w:rPr>
            </w:pP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2,190</w:t>
            </w:r>
          </w:p>
        </w:tc>
      </w:tr>
      <w:tr>
        <w:trPr>
          <w:trHeight w:val="216"/>
        </w:trPr>
        <w:tc>
          <w:tcPr>
            <w:tcW w:w="40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EMEA(1)</w:t>
            </w:r>
          </w:p>
        </w:tc>
        <w:tc>
          <w:tcPr>
            <w:tcW w:w="1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2,221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1,741</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1,824</w:t>
            </w:r>
          </w:p>
        </w:tc>
      </w:tr>
      <w:tr>
        <w:trPr>
          <w:trHeight w:val="216"/>
        </w:trPr>
        <w:tc>
          <w:tcPr>
            <w:tcW w:w="4080" w:type="dxa"/>
            <w:vAlign w:val="bottom"/>
            <w:gridSpan w:val="2"/>
          </w:tcPr>
          <w:p>
            <w:pPr>
              <w:ind w:left="180"/>
              <w:spacing w:after="0"/>
              <w:rPr>
                <w:sz w:val="20"/>
                <w:szCs w:val="20"/>
                <w:color w:val="auto"/>
              </w:rPr>
            </w:pPr>
            <w:r>
              <w:rPr>
                <w:rFonts w:ascii="Arial" w:cs="Arial" w:eastAsia="Arial" w:hAnsi="Arial"/>
                <w:sz w:val="18"/>
                <w:szCs w:val="18"/>
                <w:color w:val="auto"/>
              </w:rPr>
              <w:t>Asia Pacific</w:t>
            </w: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964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514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r>
      <w:tr>
        <w:trPr>
          <w:trHeight w:val="20"/>
        </w:trPr>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consolidated net revenues</w:t>
            </w:r>
          </w:p>
        </w:tc>
        <w:tc>
          <w:tcPr>
            <w:tcW w:w="1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6,608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4,664</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4,408</w:t>
            </w:r>
          </w:p>
        </w:tc>
      </w:tr>
      <w:tr>
        <w:trPr>
          <w:trHeight w:val="20"/>
        </w:trPr>
        <w:tc>
          <w:tcPr>
            <w:tcW w:w="21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196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35" w:lineRule="exact"/>
        <w:rPr>
          <w:sz w:val="20"/>
          <w:szCs w:val="20"/>
          <w:color w:val="auto"/>
        </w:rPr>
      </w:pPr>
    </w:p>
    <w:p>
      <w:pPr>
        <w:ind w:left="2260" w:hanging="540"/>
        <w:spacing w:after="0"/>
        <w:tabs>
          <w:tab w:leader="none" w:pos="22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EMEA consists of the Europe, Middle East, and Africa geographic regions.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Company's net revenues in the U.S. were 45%, 48%, and 48% of consolidated net revenues for the years ended December 31, 2016, 2015, and 2014,</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respectively. The Company's net revenues in the United Kingdom ("U.K.") were 11%, 14%, and 16% of consolidated net revenues for the years ended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December 31, 2016, 2015, and 2014, respectively. The Company's net revenues in France was 14% of consolidated net revenues for the year ended December 31,</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2014. No other country's net revenues exceeded 10% of consolidated net revenues for the years ended December 31, 2016, 2015, or 2014.</w:t>
      </w:r>
    </w:p>
    <w:p>
      <w:pPr>
        <w:spacing w:after="0" w:line="21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revenues by platform were as follows (amounts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Years Ended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1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96"/>
              </w:rPr>
              <w:t>2016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center"/>
              <w:ind w:right="36"/>
              <w:spacing w:after="0" w:line="142" w:lineRule="exact"/>
              <w:rPr>
                <w:sz w:val="20"/>
                <w:szCs w:val="20"/>
                <w:color w:val="auto"/>
              </w:rPr>
            </w:pPr>
            <w:r>
              <w:rPr>
                <w:rFonts w:ascii="Arial" w:cs="Arial" w:eastAsia="Arial" w:hAnsi="Arial"/>
                <w:sz w:val="14"/>
                <w:szCs w:val="14"/>
                <w:b w:val="1"/>
                <w:bCs w:val="1"/>
                <w:color w:val="auto"/>
                <w:w w:val="83"/>
              </w:rPr>
              <w:t>2015</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r>
      <w:tr>
        <w:trPr>
          <w:trHeight w:val="210"/>
        </w:trPr>
        <w:tc>
          <w:tcPr>
            <w:tcW w:w="5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 by platform:</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Console</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2,453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2,391</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2,150</w:t>
            </w:r>
          </w:p>
        </w:tc>
      </w:tr>
      <w:tr>
        <w:trPr>
          <w:trHeight w:val="216"/>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PC(1)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1,418</w:t>
            </w:r>
          </w:p>
        </w:tc>
      </w:tr>
      <w:tr>
        <w:trPr>
          <w:trHeight w:val="216"/>
        </w:trPr>
        <w:tc>
          <w:tcPr>
            <w:tcW w:w="5640" w:type="dxa"/>
            <w:vAlign w:val="bottom"/>
            <w:gridSpan w:val="2"/>
          </w:tcPr>
          <w:p>
            <w:pPr>
              <w:ind w:left="180"/>
              <w:spacing w:after="0"/>
              <w:rPr>
                <w:sz w:val="20"/>
                <w:szCs w:val="20"/>
                <w:color w:val="auto"/>
              </w:rPr>
            </w:pPr>
            <w:r>
              <w:rPr>
                <w:rFonts w:ascii="Arial" w:cs="Arial" w:eastAsia="Arial" w:hAnsi="Arial"/>
                <w:sz w:val="18"/>
                <w:szCs w:val="18"/>
                <w:color w:val="auto"/>
              </w:rPr>
              <w:t>Mobile and ancillary(2)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1,674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418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433</w:t>
            </w:r>
          </w:p>
        </w:tc>
      </w:tr>
      <w:tr>
        <w:trPr>
          <w:trHeight w:val="216"/>
        </w:trPr>
        <w:tc>
          <w:tcPr>
            <w:tcW w:w="5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Other(3)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407</w:t>
            </w:r>
          </w:p>
        </w:tc>
      </w:tr>
      <w:tr>
        <w:trPr>
          <w:trHeight w:val="210"/>
        </w:trPr>
        <w:tc>
          <w:tcPr>
            <w:tcW w:w="5640" w:type="dxa"/>
            <w:vAlign w:val="bottom"/>
            <w:gridSpan w:val="2"/>
          </w:tcPr>
          <w:p>
            <w:pPr>
              <w:spacing w:after="0"/>
              <w:rPr>
                <w:sz w:val="20"/>
                <w:szCs w:val="20"/>
                <w:color w:val="auto"/>
              </w:rPr>
            </w:pPr>
            <w:r>
              <w:rPr>
                <w:rFonts w:ascii="Arial" w:cs="Arial" w:eastAsia="Arial" w:hAnsi="Arial"/>
                <w:sz w:val="18"/>
                <w:szCs w:val="18"/>
                <w:color w:val="auto"/>
              </w:rPr>
              <w:t>Total consolidated net revenues</w:t>
            </w: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6,608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4,664</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4,408</w:t>
            </w:r>
          </w:p>
        </w:tc>
        <w:tc>
          <w:tcPr>
            <w:tcW w:w="160" w:type="dxa"/>
            <w:vAlign w:val="bottom"/>
          </w:tcPr>
          <w:p>
            <w:pPr>
              <w:spacing w:after="0"/>
              <w:rPr>
                <w:sz w:val="18"/>
                <w:szCs w:val="18"/>
                <w:color w:val="auto"/>
              </w:rPr>
            </w:pPr>
          </w:p>
        </w:tc>
      </w:tr>
      <w:tr>
        <w:trPr>
          <w:trHeight w:val="20"/>
        </w:trPr>
        <w:tc>
          <w:tcPr>
            <w:tcW w:w="2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5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5540" w:right="3480" w:hanging="3820"/>
        <w:spacing w:after="0" w:line="519" w:lineRule="auto"/>
        <w:tabs>
          <w:tab w:leader="none" w:pos="2252" w:val="left"/>
        </w:tabs>
        <w:numPr>
          <w:ilvl w:val="0"/>
          <w:numId w:val="96"/>
        </w:numPr>
        <w:rPr>
          <w:rFonts w:ascii="Arial" w:cs="Arial" w:eastAsia="Arial" w:hAnsi="Arial"/>
          <w:sz w:val="18"/>
          <w:szCs w:val="18"/>
          <w:color w:val="auto"/>
        </w:rPr>
      </w:pPr>
      <w:r>
        <w:rPr>
          <w:rFonts w:ascii="Arial" w:cs="Arial" w:eastAsia="Arial" w:hAnsi="Arial"/>
          <w:sz w:val="18"/>
          <w:szCs w:val="18"/>
          <w:color w:val="auto"/>
        </w:rPr>
        <w:t>Net revenues from PC includes revenues that were historically shown as Online. 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ind w:left="280" w:hanging="272"/>
        <w:spacing w:after="0"/>
        <w:tabs>
          <w:tab w:leader="none" w:pos="280" w:val="left"/>
        </w:tabs>
        <w:numPr>
          <w:ilvl w:val="0"/>
          <w:numId w:val="97"/>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Segments and Geographic Region (Continued)</w:t>
      </w:r>
    </w:p>
    <w:p>
      <w:pPr>
        <w:spacing w:after="0" w:line="244" w:lineRule="exact"/>
        <w:rPr>
          <w:rFonts w:ascii="Arial" w:cs="Arial" w:eastAsia="Arial" w:hAnsi="Arial"/>
          <w:sz w:val="18"/>
          <w:szCs w:val="18"/>
          <w:b w:val="1"/>
          <w:bCs w:val="1"/>
          <w:color w:val="auto"/>
        </w:rPr>
      </w:pPr>
    </w:p>
    <w:p>
      <w:pPr>
        <w:ind w:left="2260" w:right="220" w:hanging="540"/>
        <w:spacing w:after="0" w:line="259" w:lineRule="auto"/>
        <w:tabs>
          <w:tab w:leader="none" w:pos="22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Net revenues from mobile and ancillary includes revenues from handheld, mobile and tablet devices, as well as non-platform specific game-related revenues, such as standalone sales of toys and accessories from our Skylanders franchise, and other physical merchandise and accessories.</w:t>
      </w:r>
    </w:p>
    <w:p>
      <w:pPr>
        <w:spacing w:after="0" w:line="221" w:lineRule="exact"/>
        <w:rPr>
          <w:rFonts w:ascii="Arial" w:cs="Arial" w:eastAsia="Arial" w:hAnsi="Arial"/>
          <w:sz w:val="18"/>
          <w:szCs w:val="18"/>
          <w:color w:val="auto"/>
        </w:rPr>
      </w:pPr>
    </w:p>
    <w:p>
      <w:pPr>
        <w:ind w:left="2260" w:hanging="540"/>
        <w:spacing w:after="0"/>
        <w:tabs>
          <w:tab w:leader="none" w:pos="226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Net revenues from Other include revenues from our MLG, Studios, and Distribution businesses.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Long-lived assets by geographic region at December 31, 2016, 2015, and 2014 were as follows (amounts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4"/>
          </w:tcPr>
          <w:p>
            <w:pPr>
              <w:jc w:val="center"/>
              <w:spacing w:after="0"/>
              <w:rPr>
                <w:sz w:val="20"/>
                <w:szCs w:val="20"/>
                <w:color w:val="auto"/>
              </w:rPr>
            </w:pPr>
            <w:r>
              <w:rPr>
                <w:rFonts w:ascii="Arial" w:cs="Arial" w:eastAsia="Arial" w:hAnsi="Arial"/>
                <w:sz w:val="14"/>
                <w:szCs w:val="14"/>
                <w:b w:val="1"/>
                <w:bCs w:val="1"/>
                <w:color w:val="auto"/>
                <w:w w:val="87"/>
              </w:rPr>
              <w:t>Years Ended</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21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2016</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6"/>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Long-lived assets* by geographic region:</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Americas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154</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122</w:t>
            </w:r>
          </w:p>
        </w:tc>
      </w:tr>
      <w:tr>
        <w:trPr>
          <w:trHeight w:val="216"/>
        </w:trPr>
        <w:tc>
          <w:tcPr>
            <w:tcW w:w="6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EMEA</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r>
      <w:tr>
        <w:trPr>
          <w:trHeight w:val="216"/>
        </w:trPr>
        <w:tc>
          <w:tcPr>
            <w:tcW w:w="6000" w:type="dxa"/>
            <w:vAlign w:val="bottom"/>
            <w:gridSpan w:val="2"/>
          </w:tcPr>
          <w:p>
            <w:pPr>
              <w:ind w:left="180"/>
              <w:spacing w:after="0"/>
              <w:rPr>
                <w:sz w:val="20"/>
                <w:szCs w:val="20"/>
                <w:color w:val="auto"/>
              </w:rPr>
            </w:pPr>
            <w:r>
              <w:rPr>
                <w:rFonts w:ascii="Arial" w:cs="Arial" w:eastAsia="Arial" w:hAnsi="Arial"/>
                <w:sz w:val="18"/>
                <w:szCs w:val="18"/>
                <w:color w:val="auto"/>
              </w:rPr>
              <w:t>Asia Pacific</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0"/>
        </w:trPr>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long-lived assets by geographic region</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w:t>
            </w:r>
          </w:p>
        </w:tc>
      </w:tr>
      <w:tr>
        <w:trPr>
          <w:trHeight w:val="20"/>
        </w:trPr>
        <w:tc>
          <w:tcPr>
            <w:tcW w:w="21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38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60" w:hanging="540"/>
        <w:spacing w:after="0" w:line="268" w:lineRule="auto"/>
        <w:tabs>
          <w:tab w:leader="none" w:pos="22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only long-lived assets that we classify by region are our long-term tangible fixed assets, which only include property, plant and equipment assets; all other long-term assets are not allocated by location.</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information regarding significant customers, see "Concentration of Credit Risk" in Note 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Activision Blizzard Equity Incentive Plans</w:t>
      </w:r>
    </w:p>
    <w:p>
      <w:pPr>
        <w:spacing w:after="0" w:line="225" w:lineRule="exact"/>
        <w:rPr>
          <w:sz w:val="20"/>
          <w:szCs w:val="20"/>
          <w:color w:val="auto"/>
        </w:rPr>
      </w:pPr>
    </w:p>
    <w:p>
      <w:pPr>
        <w:ind w:right="160" w:firstLine="351"/>
        <w:spacing w:after="0" w:line="256" w:lineRule="auto"/>
        <w:rPr>
          <w:sz w:val="20"/>
          <w:szCs w:val="20"/>
          <w:color w:val="auto"/>
        </w:rPr>
      </w:pPr>
      <w:r>
        <w:rPr>
          <w:rFonts w:ascii="Arial" w:cs="Arial" w:eastAsia="Arial" w:hAnsi="Arial"/>
          <w:sz w:val="18"/>
          <w:szCs w:val="18"/>
          <w:color w:val="auto"/>
        </w:rPr>
        <w:t>On June 5, 2014, our shareholders approved the Activision Blizzard, Inc. 2014 Incentive Plan (the "2014 Plan") and the 2014 Plan became effective. The 2014 Plan authorizes the Compensation Committee of our Board of Directors to provide share-based compensation in the form of stock options, share appreciation rights, restricted stock, restricted stock units, performance shares, and other performance- or value-based awards structured by the Compensation Committee within parameters set forth in the 2014 Plan.</w:t>
      </w:r>
    </w:p>
    <w:p>
      <w:pPr>
        <w:spacing w:after="0" w:line="197"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While the Compensation Committee has broad discretion to create equity incentives, our share-based compensation program for the most part currently utilizes a combination of options and restricted stock units. The majority of our options have time-based vesting schedules, generally vesting annually over a period of three to five years, and expire ten years from the grant date. Restricted stock units either have time-based vesting schedules, generally vesting in their entirety on an anniversary of the date of grant, or vest annually over a period of three to five years, or vest only if certain performance measures are met. In addition, under the terms of the 2014 Plan, the exercise price for the options must be equal to or greater than the closing price per share of our common stock on the date the award is granted, as reported on NASDAQ.</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ind w:firstLine="351"/>
        <w:spacing w:after="0" w:line="254" w:lineRule="auto"/>
        <w:rPr>
          <w:sz w:val="20"/>
          <w:szCs w:val="20"/>
          <w:color w:val="auto"/>
        </w:rPr>
      </w:pPr>
      <w:r>
        <w:rPr>
          <w:rFonts w:ascii="Arial" w:cs="Arial" w:eastAsia="Arial" w:hAnsi="Arial"/>
          <w:sz w:val="18"/>
          <w:szCs w:val="18"/>
          <w:color w:val="auto"/>
        </w:rPr>
        <w:t>Upon the effective date of the 2014 Plan, we ceased making awards under our prior equity incentive plans (collectively, the "Prior Plans"), although such plans will remain in effect and continue to govern outstanding awards. Additionally, in connection with the King Acquisition, a majority of the outstanding options and awards with respect to King shares that were unvested as of the King Closing Date were converted into equivalent options and awards with respect to shares of the Company's common stock (see Note 21 for further discussion). As part of the conversion, we assumed King's equity incentive plan (the "King Plan") and amended the King Plan to convert it to a plan with respect to shares of the Company's common stock for the King shares assumed. No future shares can be granted from King Plan.</w:t>
      </w:r>
    </w:p>
    <w:p>
      <w:pPr>
        <w:spacing w:after="0" w:line="198" w:lineRule="exact"/>
        <w:rPr>
          <w:sz w:val="20"/>
          <w:szCs w:val="20"/>
          <w:color w:val="auto"/>
        </w:rPr>
      </w:pPr>
    </w:p>
    <w:p>
      <w:pPr>
        <w:ind w:firstLine="341"/>
        <w:spacing w:after="0" w:line="303" w:lineRule="auto"/>
        <w:rPr>
          <w:sz w:val="20"/>
          <w:szCs w:val="20"/>
          <w:color w:val="auto"/>
        </w:rPr>
      </w:pPr>
      <w:r>
        <w:rPr>
          <w:rFonts w:ascii="Arial" w:cs="Arial" w:eastAsia="Arial" w:hAnsi="Arial"/>
          <w:sz w:val="15"/>
          <w:szCs w:val="15"/>
          <w:color w:val="auto"/>
        </w:rPr>
        <w:t>As of the date it was approved by our shareholders, there were 46 million shares available for issuance under the 2014 Plan. The number of shares of our common stock reserved for issuance under the 2014 Plan has been, and may be further, increased from time to time by: (i) the number of shares relating to awards outstanding under any Prior Plan that: (a) expire, or are forfeited, terminated or canceled, without the issuance of shares; (b) are settled in cash in lieu of shares; or</w:t>
      </w:r>
    </w:p>
    <w:p>
      <w:pPr>
        <w:spacing w:after="0" w:line="1" w:lineRule="exact"/>
        <w:rPr>
          <w:sz w:val="20"/>
          <w:szCs w:val="20"/>
          <w:color w:val="auto"/>
        </w:rPr>
      </w:pPr>
    </w:p>
    <w:p>
      <w:pPr>
        <w:ind w:right="120" w:firstLine="8"/>
        <w:spacing w:after="0" w:line="288" w:lineRule="auto"/>
        <w:tabs>
          <w:tab w:leader="none" w:pos="239" w:val="left"/>
        </w:tabs>
        <w:numPr>
          <w:ilvl w:val="0"/>
          <w:numId w:val="99"/>
        </w:numPr>
        <w:rPr>
          <w:rFonts w:ascii="Arial" w:cs="Arial" w:eastAsia="Arial" w:hAnsi="Arial"/>
          <w:sz w:val="16"/>
          <w:szCs w:val="16"/>
          <w:color w:val="auto"/>
        </w:rPr>
      </w:pPr>
      <w:r>
        <w:rPr>
          <w:rFonts w:ascii="Arial" w:cs="Arial" w:eastAsia="Arial" w:hAnsi="Arial"/>
          <w:sz w:val="16"/>
          <w:szCs w:val="16"/>
          <w:color w:val="auto"/>
        </w:rPr>
        <w:t>are exchanged, prior to the issuance of shares of our common stock, for awards not involving our common stock; (ii) if the exercise price of any option outstanding under any Prior Plans is, or the tax withholding requirements with respect to any award outstanding under any Prior Plans are, satisfied by withholding shares otherwise then deliverable in respect of the award or the actual or constructive transfer to the Company of shares already owned, the number of shares equal to the withheld or transferred shares; and (iii) if a share appreciation right is exercised and settled in shares, a number of shares equal to the difference between the total number of shares with respect to which the award is exercised and the number of shares actually issued or transferred. As of December 31, 2016, we had approximately 34 million shares of our common stock reserved for future issuance under the 2014 Plan. Shares issued in connection with awards made under the 2014 Plan are generally issued as new stock issuances.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Valuation Assumptions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Stock Options</w:t>
      </w:r>
    </w:p>
    <w:p>
      <w:pPr>
        <w:spacing w:after="0" w:line="225" w:lineRule="exact"/>
        <w:rPr>
          <w:sz w:val="20"/>
          <w:szCs w:val="20"/>
          <w:color w:val="auto"/>
        </w:rPr>
      </w:pPr>
    </w:p>
    <w:p>
      <w:pPr>
        <w:ind w:right="120" w:firstLine="348"/>
        <w:spacing w:after="0" w:line="289" w:lineRule="auto"/>
        <w:rPr>
          <w:sz w:val="20"/>
          <w:szCs w:val="20"/>
          <w:color w:val="auto"/>
        </w:rPr>
      </w:pPr>
      <w:r>
        <w:rPr>
          <w:rFonts w:ascii="Arial" w:cs="Arial" w:eastAsia="Arial" w:hAnsi="Arial"/>
          <w:sz w:val="16"/>
          <w:szCs w:val="16"/>
          <w:color w:val="auto"/>
        </w:rPr>
        <w:t>We use a binomial-lattice model to value our stock options. We estimate expected future changes in model inputs during an option's contractual term. The inputs required by our binomial-lattice model include expected volatility, risk-free interest rate, dividend yield, contractual term, and vesting schedule, as well as measures of employees' cancellations, exercise, and post-vesting termination behavior. Statistical methods were used to estimate employee rank-specific termination rates. These termination rates, in turn, were used to model the number of options that are expected to vest and post-vesting termination behavior. Employee rank-specific estimates of expected time-to-exercise ("ETTE") were used to reflect employee exercise behavior. ETTE was estimated by using statistical procedures to first estimate the probability of exercise occurring during each time period, conditional on the option surviving to that time period, and then using those probabilities to determine the ETTE. The model was calibrated by adjusting parameters controlling exercise and post-vesting termination behavior so that the measures output by the model matched values of these measures that were estimated from historical data.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tables present the weighted-average assumptions, the weighted-average fair value at grant date using the binomial-lattice model, and the range of expected stock price volatilities: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6"/>
              </w:rPr>
              <w:t>Employee and</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Director Options</w:t>
            </w: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4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87"/>
              </w:rPr>
              <w:t>For the Years</w:t>
            </w: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1"/>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860" w:type="dxa"/>
            <w:vAlign w:val="bottom"/>
            <w:tcBorders>
              <w:bottom w:val="single" w:sz="8" w:color="auto"/>
            </w:tcBorders>
            <w:gridSpan w:val="7"/>
          </w:tcPr>
          <w:p>
            <w:pPr>
              <w:jc w:val="center"/>
              <w:ind w:left="412"/>
              <w:spacing w:after="0"/>
              <w:rPr>
                <w:sz w:val="20"/>
                <w:szCs w:val="20"/>
                <w:color w:val="auto"/>
              </w:rPr>
            </w:pPr>
            <w:r>
              <w:rPr>
                <w:rFonts w:ascii="Arial" w:cs="Arial" w:eastAsia="Arial" w:hAnsi="Arial"/>
                <w:sz w:val="14"/>
                <w:szCs w:val="14"/>
                <w:b w:val="1"/>
                <w:bCs w:val="1"/>
                <w:color w:val="auto"/>
                <w:w w:val="85"/>
              </w:rPr>
              <w:t>Ended December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20" w:type="dxa"/>
            <w:vAlign w:val="bottom"/>
            <w:tcBorders>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89"/>
              </w:rPr>
              <w:t>2014</w:t>
            </w:r>
          </w:p>
        </w:tc>
        <w:tc>
          <w:tcPr>
            <w:tcW w:w="160" w:type="dxa"/>
            <w:vAlign w:val="bottom"/>
          </w:tcPr>
          <w:p>
            <w:pPr>
              <w:spacing w:after="0"/>
              <w:rPr>
                <w:sz w:val="12"/>
                <w:szCs w:val="12"/>
                <w:color w:val="auto"/>
              </w:rPr>
            </w:pPr>
          </w:p>
        </w:tc>
      </w:tr>
      <w:tr>
        <w:trPr>
          <w:trHeight w:val="210"/>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Expected life (in years)</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6.86</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6.26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1.56%</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1.90%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1.82%</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Volatility</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36.13%</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37.09%</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Dividend yield</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0.67%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0.72%</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0.98%</w:t>
            </w: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fair value at grant date</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12.83</w:t>
            </w:r>
          </w:p>
        </w:tc>
        <w:tc>
          <w:tcPr>
            <w:tcW w:w="14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9.87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5.87</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Stock price volatility range:</w:t>
            </w: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Low</w:t>
            </w:r>
          </w:p>
        </w:tc>
        <w:tc>
          <w:tcPr>
            <w:tcW w:w="20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26.96%</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29.72%</w:t>
            </w:r>
          </w:p>
        </w:tc>
      </w:tr>
      <w:tr>
        <w:trPr>
          <w:trHeight w:val="222"/>
        </w:trPr>
        <w:tc>
          <w:tcPr>
            <w:tcW w:w="4180" w:type="dxa"/>
            <w:vAlign w:val="bottom"/>
          </w:tcPr>
          <w:p>
            <w:pPr>
              <w:ind w:left="180"/>
              <w:spacing w:after="0"/>
              <w:rPr>
                <w:sz w:val="20"/>
                <w:szCs w:val="20"/>
                <w:color w:val="auto"/>
              </w:rPr>
            </w:pPr>
            <w:r>
              <w:rPr>
                <w:rFonts w:ascii="Arial" w:cs="Arial" w:eastAsia="Arial" w:hAnsi="Arial"/>
                <w:sz w:val="18"/>
                <w:szCs w:val="18"/>
                <w:color w:val="auto"/>
              </w:rPr>
              <w:t>High</w:t>
            </w:r>
          </w:p>
        </w:tc>
        <w:tc>
          <w:tcPr>
            <w:tcW w:w="2060" w:type="dxa"/>
            <w:vAlign w:val="bottom"/>
            <w:gridSpan w:val="3"/>
          </w:tcPr>
          <w:p>
            <w:pPr>
              <w:jc w:val="right"/>
              <w:spacing w:after="0"/>
              <w:rPr>
                <w:sz w:val="20"/>
                <w:szCs w:val="20"/>
                <w:color w:val="auto"/>
              </w:rPr>
            </w:pPr>
            <w:r>
              <w:rPr>
                <w:rFonts w:ascii="Arial" w:cs="Arial" w:eastAsia="Arial" w:hAnsi="Arial"/>
                <w:sz w:val="18"/>
                <w:szCs w:val="18"/>
                <w:color w:val="auto"/>
              </w:rPr>
              <w:t>36.00%</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37.00%</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38.00%</w:t>
            </w: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Expected life</w:t>
      </w:r>
    </w:p>
    <w:p>
      <w:pPr>
        <w:spacing w:after="0" w:line="225" w:lineRule="exact"/>
        <w:rPr>
          <w:sz w:val="20"/>
          <w:szCs w:val="20"/>
          <w:color w:val="auto"/>
        </w:rPr>
      </w:pPr>
    </w:p>
    <w:p>
      <w:pPr>
        <w:ind w:right="240" w:firstLine="348"/>
        <w:spacing w:after="0" w:line="256" w:lineRule="auto"/>
        <w:rPr>
          <w:sz w:val="20"/>
          <w:szCs w:val="20"/>
          <w:color w:val="auto"/>
        </w:rPr>
      </w:pPr>
      <w:r>
        <w:rPr>
          <w:rFonts w:ascii="Arial" w:cs="Arial" w:eastAsia="Arial" w:hAnsi="Arial"/>
          <w:sz w:val="18"/>
          <w:szCs w:val="18"/>
          <w:color w:val="auto"/>
        </w:rPr>
        <w:t>The expected life of employee stock options represents the weighted-average period the stock options are expected to remain outstanding and is an output from the binomial-lattice model. The expected life of employee stock options depends on all of the underlying assumptions and calibration of our model. A binomial-lattice model can be viewed as assuming that employees will exercise their options when the stock price equals or exceeds an exercise multiple, of which the multiple is based on historical employee exercise behaviors.</w:t>
      </w:r>
    </w:p>
    <w:p>
      <w:pPr>
        <w:spacing w:after="0" w:line="197"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Risk-free interest rate</w:t>
      </w:r>
    </w:p>
    <w:p>
      <w:pPr>
        <w:spacing w:after="0" w:line="225" w:lineRule="exact"/>
        <w:rPr>
          <w:sz w:val="20"/>
          <w:szCs w:val="20"/>
          <w:color w:val="auto"/>
        </w:rPr>
      </w:pPr>
    </w:p>
    <w:p>
      <w:pPr>
        <w:jc w:val="both"/>
        <w:ind w:right="60" w:firstLine="341"/>
        <w:spacing w:after="0" w:line="259" w:lineRule="auto"/>
        <w:rPr>
          <w:sz w:val="20"/>
          <w:szCs w:val="20"/>
          <w:color w:val="auto"/>
        </w:rPr>
      </w:pPr>
      <w:r>
        <w:rPr>
          <w:rFonts w:ascii="Arial" w:cs="Arial" w:eastAsia="Arial" w:hAnsi="Arial"/>
          <w:sz w:val="18"/>
          <w:szCs w:val="18"/>
          <w:color w:val="auto"/>
        </w:rPr>
        <w:t>As is the case for volatility, the risk-free interest rate is assumed to change during the option's contractual term. Consistent with the calculation required by a binomial-lattice model, the risk-free interest rate reflects the expected movement in the interest rate from one time period to the next ("forward rate"), as opposed to the interest rate from the grant date to the given time period ("spot rate").</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Volatility</w:t>
      </w:r>
    </w:p>
    <w:p>
      <w:pPr>
        <w:spacing w:after="0" w:line="225" w:lineRule="exact"/>
        <w:rPr>
          <w:sz w:val="20"/>
          <w:szCs w:val="20"/>
          <w:color w:val="auto"/>
        </w:rPr>
      </w:pPr>
    </w:p>
    <w:p>
      <w:pPr>
        <w:jc w:val="both"/>
        <w:ind w:right="340" w:firstLine="348"/>
        <w:spacing w:after="0" w:line="306" w:lineRule="auto"/>
        <w:rPr>
          <w:sz w:val="20"/>
          <w:szCs w:val="20"/>
          <w:color w:val="auto"/>
        </w:rPr>
      </w:pPr>
      <w:r>
        <w:rPr>
          <w:rFonts w:ascii="Arial" w:cs="Arial" w:eastAsia="Arial" w:hAnsi="Arial"/>
          <w:sz w:val="16"/>
          <w:szCs w:val="16"/>
          <w:color w:val="auto"/>
        </w:rPr>
        <w:t>To estimate volatility for the binomial-lattice model, we use methods that consider the implied volatility based upon the volatilities for exchange-traded options on our stock to estimate short-term volatility, the historical volatility of our common shares during the option's contractual term to estimate long-term volatility, and a statistical model to estimate the transition or "mean reversion" from short-term volatility to long-term volatility.</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u w:val="single" w:color="auto"/>
          <w:color w:val="auto"/>
        </w:rPr>
        <w:t>Dividend yield</w:t>
      </w:r>
    </w:p>
    <w:p>
      <w:pPr>
        <w:spacing w:after="0" w:line="225"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expected dividend yield assumption for options granted during the year ended December 31, 2016 is based on our historical and expected future amount of dividend payouts.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ind w:right="360" w:firstLine="341"/>
        <w:spacing w:after="0" w:line="306" w:lineRule="auto"/>
        <w:rPr>
          <w:sz w:val="20"/>
          <w:szCs w:val="20"/>
          <w:color w:val="auto"/>
        </w:rPr>
      </w:pPr>
      <w:r>
        <w:rPr>
          <w:rFonts w:ascii="Arial" w:cs="Arial" w:eastAsia="Arial" w:hAnsi="Arial"/>
          <w:sz w:val="16"/>
          <w:szCs w:val="16"/>
          <w:color w:val="auto"/>
        </w:rPr>
        <w:t>As share-based compensation expense recognized in the consolidated statement of operations for the years ended December 31, 2016, 2015, and 2014 is based on awards ultimately expected to vest, it has been reduced for estimated forfeitures. Forfeitures are estimated at the time of grant based on historical experience and revised, if necessary, in subsequent periods if actual forfeitures differ from those estimates.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Valuation of Restricted Stock Units ("RSUs")</w:t>
      </w:r>
    </w:p>
    <w:p>
      <w:pPr>
        <w:spacing w:after="0" w:line="225" w:lineRule="exact"/>
        <w:rPr>
          <w:sz w:val="20"/>
          <w:szCs w:val="20"/>
          <w:color w:val="auto"/>
        </w:rPr>
      </w:pPr>
    </w:p>
    <w:p>
      <w:pPr>
        <w:ind w:right="540" w:firstLine="348"/>
        <w:spacing w:after="0" w:line="268" w:lineRule="auto"/>
        <w:rPr>
          <w:sz w:val="20"/>
          <w:szCs w:val="20"/>
          <w:color w:val="auto"/>
        </w:rPr>
      </w:pPr>
      <w:r>
        <w:rPr>
          <w:rFonts w:ascii="Arial" w:cs="Arial" w:eastAsia="Arial" w:hAnsi="Arial"/>
          <w:sz w:val="18"/>
          <w:szCs w:val="18"/>
          <w:color w:val="auto"/>
        </w:rPr>
        <w:t>The fair value of the Company's RSU awards granted is based upon the closing price of the Company's stock price on the date of grant reduced by the present value of dividends expected to be paid on our common stock prior to vesting.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Accuracy of Fair Value Estimates</w:t>
      </w:r>
    </w:p>
    <w:p>
      <w:pPr>
        <w:spacing w:after="0" w:line="225" w:lineRule="exact"/>
        <w:rPr>
          <w:sz w:val="20"/>
          <w:szCs w:val="20"/>
          <w:color w:val="auto"/>
        </w:rPr>
      </w:pPr>
    </w:p>
    <w:p>
      <w:pPr>
        <w:ind w:right="20" w:firstLine="348"/>
        <w:spacing w:after="0" w:line="291" w:lineRule="auto"/>
        <w:rPr>
          <w:sz w:val="20"/>
          <w:szCs w:val="20"/>
          <w:color w:val="auto"/>
        </w:rPr>
      </w:pPr>
      <w:r>
        <w:rPr>
          <w:rFonts w:ascii="Arial" w:cs="Arial" w:eastAsia="Arial" w:hAnsi="Arial"/>
          <w:sz w:val="16"/>
          <w:szCs w:val="16"/>
          <w:color w:val="auto"/>
        </w:rPr>
        <w:t>We developed the assumptions used in the models above, including model inputs and measures of employees' exercise and post-vesting termination behavior. Our ability to accurately estimate the fair value of share-based payment awards at the grant date depends upon the accuracy of the model and our ability to accurately forecast model inputs as long as 10 years into the future. These inputs include, but are not limited to, expected stock price volatility, risk-free rate, dividend yield, and employee termination rates. Although the fair value of employee stock options is determined using an option-pricing model, the estimates that are produced by this model may not be indicative of the fair value observed between a willing buyer and a willing seller. Unfortunately, it is difficult to determine if this is the case, as markets do not currently exist that permit the active trading of employee stock option and other share-based instruments.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Activity</w:t>
      </w:r>
    </w:p>
    <w:p>
      <w:pPr>
        <w:spacing w:after="0" w:line="225"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Stock option activity for the year ended December 31, 2016 is as follows (amounts in millions, except number of shares, which are in thousands, and per share amounts):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86"/>
              </w:rPr>
              <w:t>Weighted-average</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60" w:type="dxa"/>
            <w:vAlign w:val="bottom"/>
          </w:tcPr>
          <w:p>
            <w:pPr>
              <w:spacing w:after="0"/>
              <w:rPr>
                <w:sz w:val="12"/>
                <w:szCs w:val="12"/>
                <w:color w:val="auto"/>
              </w:rPr>
            </w:pPr>
          </w:p>
        </w:tc>
        <w:tc>
          <w:tcPr>
            <w:tcW w:w="4340" w:type="dxa"/>
            <w:vAlign w:val="bottom"/>
          </w:tcPr>
          <w:p>
            <w:pPr>
              <w:spacing w:after="0"/>
              <w:rPr>
                <w:sz w:val="12"/>
                <w:szCs w:val="12"/>
                <w:color w:val="auto"/>
              </w:rPr>
            </w:pPr>
          </w:p>
        </w:tc>
        <w:tc>
          <w:tcPr>
            <w:tcW w:w="8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94"/>
              </w:rPr>
              <w:t>Number of</w:t>
            </w:r>
          </w:p>
        </w:tc>
        <w:tc>
          <w:tcPr>
            <w:tcW w:w="60" w:type="dxa"/>
            <w:vAlign w:val="bottom"/>
          </w:tcPr>
          <w:p>
            <w:pPr>
              <w:spacing w:after="0"/>
              <w:rPr>
                <w:sz w:val="12"/>
                <w:szCs w:val="12"/>
                <w:color w:val="auto"/>
              </w:rPr>
            </w:pPr>
          </w:p>
        </w:tc>
        <w:tc>
          <w:tcPr>
            <w:tcW w:w="11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9"/>
              </w:rPr>
              <w:t>Weighted-average</w:t>
            </w:r>
          </w:p>
        </w:tc>
        <w:tc>
          <w:tcPr>
            <w:tcW w:w="16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0" w:type="dxa"/>
            <w:vAlign w:val="bottom"/>
            <w:gridSpan w:val="3"/>
          </w:tcPr>
          <w:p>
            <w:pPr>
              <w:ind w:left="120"/>
              <w:spacing w:after="0" w:line="149" w:lineRule="exact"/>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4340" w:type="dxa"/>
            <w:vAlign w:val="bottom"/>
          </w:tcPr>
          <w:p>
            <w:pPr>
              <w:spacing w:after="0"/>
              <w:rPr>
                <w:sz w:val="14"/>
                <w:szCs w:val="14"/>
                <w:color w:val="auto"/>
              </w:rPr>
            </w:pPr>
          </w:p>
        </w:tc>
        <w:tc>
          <w:tcPr>
            <w:tcW w:w="78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87"/>
              </w:rPr>
              <w:t>exercise price</w:t>
            </w:r>
          </w:p>
        </w:tc>
        <w:tc>
          <w:tcPr>
            <w:tcW w:w="16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contractual term</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w w:val="84"/>
              </w:rPr>
              <w:t>intrinsic value</w:t>
            </w:r>
          </w:p>
        </w:tc>
        <w:tc>
          <w:tcPr>
            <w:tcW w:w="126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at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24,329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5,695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39.41</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Assumed in King Acquisition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32.73</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Exercised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(7,131)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14.75</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(972)</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25.52</w:t>
            </w: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tcPr>
          <w:p>
            <w:pPr>
              <w:spacing w:after="0"/>
              <w:rPr>
                <w:sz w:val="20"/>
                <w:szCs w:val="20"/>
                <w:color w:val="auto"/>
              </w:rPr>
            </w:pPr>
            <w:r>
              <w:rPr>
                <w:rFonts w:ascii="Arial" w:cs="Arial" w:eastAsia="Arial" w:hAnsi="Arial"/>
                <w:sz w:val="18"/>
                <w:szCs w:val="18"/>
                <w:color w:val="auto"/>
              </w:rPr>
              <w:t>Expired</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10.54</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Outstanding stock options at December 31, 2016</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31,485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1140"/>
              <w:spacing w:after="0"/>
              <w:rPr>
                <w:sz w:val="20"/>
                <w:szCs w:val="20"/>
                <w:color w:val="auto"/>
              </w:rPr>
            </w:pPr>
            <w:r>
              <w:rPr>
                <w:rFonts w:ascii="Arial" w:cs="Arial" w:eastAsia="Arial" w:hAnsi="Arial"/>
                <w:sz w:val="18"/>
                <w:szCs w:val="18"/>
                <w:color w:val="auto"/>
              </w:rPr>
              <w:t>Vested and expected to vest at December 31, 2016</w:t>
            </w: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24.91</w:t>
            </w:r>
          </w:p>
        </w:tc>
        <w:tc>
          <w:tcPr>
            <w:tcW w:w="1360" w:type="dxa"/>
            <w:vAlign w:val="bottom"/>
            <w:gridSpan w:val="2"/>
            <w:vMerge w:val="restart"/>
          </w:tcPr>
          <w:p>
            <w:pPr>
              <w:jc w:val="right"/>
              <w:spacing w:after="0"/>
              <w:rPr>
                <w:sz w:val="20"/>
                <w:szCs w:val="20"/>
                <w:color w:val="auto"/>
              </w:rPr>
            </w:pPr>
            <w:r>
              <w:rPr>
                <w:rFonts w:ascii="Arial" w:cs="Arial" w:eastAsia="Arial" w:hAnsi="Arial"/>
                <w:sz w:val="18"/>
                <w:szCs w:val="18"/>
                <w:color w:val="auto"/>
              </w:rPr>
              <w:t>6.11</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372</w:t>
            </w: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00" w:type="dxa"/>
            <w:vAlign w:val="bottom"/>
            <w:gridSpan w:val="2"/>
            <w:vMerge w:val="continue"/>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27,849</w:t>
            </w:r>
          </w:p>
        </w:tc>
        <w:tc>
          <w:tcPr>
            <w:tcW w:w="10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1360" w:type="dxa"/>
            <w:vAlign w:val="bottom"/>
            <w:gridSpan w:val="2"/>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434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12,991</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1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88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F-39</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434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10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2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For options assumed in the King Acquisition, 0.7 million of the options are based on performance conditions which do not have an accounting grant date as of December 31, 2016, as there is not a mutual understanding between the Company and the employee of the performance terms.</w:t>
      </w:r>
    </w:p>
    <w:p>
      <w:pPr>
        <w:spacing w:after="0" w:line="139" w:lineRule="exact"/>
        <w:rPr>
          <w:sz w:val="20"/>
          <w:szCs w:val="20"/>
          <w:color w:val="auto"/>
        </w:rPr>
      </w:pPr>
    </w:p>
    <w:p>
      <w:pPr>
        <w:ind w:right="40" w:firstLine="348"/>
        <w:spacing w:after="0" w:line="254" w:lineRule="auto"/>
        <w:rPr>
          <w:sz w:val="20"/>
          <w:szCs w:val="20"/>
          <w:color w:val="auto"/>
        </w:rPr>
      </w:pPr>
      <w:r>
        <w:rPr>
          <w:rFonts w:ascii="Arial" w:cs="Arial" w:eastAsia="Arial" w:hAnsi="Arial"/>
          <w:sz w:val="18"/>
          <w:szCs w:val="18"/>
          <w:color w:val="auto"/>
        </w:rPr>
        <w:t>The aggregate intrinsic values in the table above represents the total pretax intrinsic value (i.e. the difference between our closing stock price on the last trading day of the period and the exercise price, times the number of shares for options where the closing stock price is greater than the exercise price) that would have been received by the option holders had all option holders exercised their options on that date. This amount changes based on the market value of our stock. The total intrinsic value of options actually exercised was $161 million, $125 million, and $117 million for the years ended December 31, 2016, 2015, and 2014, respectively. The total grant date fair value of options vested was $40 million, $19 million, and $19 million for the years ended December 31, 2016, 2015, and 2014, respectively.</w:t>
      </w:r>
    </w:p>
    <w:p>
      <w:pPr>
        <w:spacing w:after="0" w:line="198" w:lineRule="exact"/>
        <w:rPr>
          <w:sz w:val="20"/>
          <w:szCs w:val="20"/>
          <w:color w:val="auto"/>
        </w:rPr>
      </w:pPr>
    </w:p>
    <w:p>
      <w:pPr>
        <w:ind w:right="180" w:firstLine="341"/>
        <w:spacing w:after="0" w:line="268" w:lineRule="auto"/>
        <w:rPr>
          <w:sz w:val="20"/>
          <w:szCs w:val="20"/>
          <w:color w:val="auto"/>
        </w:rPr>
      </w:pPr>
      <w:r>
        <w:rPr>
          <w:rFonts w:ascii="Arial" w:cs="Arial" w:eastAsia="Arial" w:hAnsi="Arial"/>
          <w:sz w:val="18"/>
          <w:szCs w:val="18"/>
          <w:color w:val="auto"/>
        </w:rPr>
        <w:t>At December 31, 2016, $88 million of total unrecognized compensation cost related to stock options is expected to be recognized over a weighted-average period of 1.73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RSU Activity</w:t>
      </w:r>
    </w:p>
    <w:p>
      <w:pPr>
        <w:spacing w:after="0" w:line="225"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grant RSUs, which represent the right to receive shares of our common stock. Vesting for RSUs is contingent upon the holders' continued employment with us and may be subject to other conditions (which may include the satisfaction of a performance measure). Also, certain of our performance-based RSUs include a range of shares that may be released at vesting which are above or below the targeted number of RSUs based on actual performance relative to the grant date performance measure. If the vesting conditions are not met, unvested RSUs will be forfeited. Upon vesting of the RSUs, we may withhold shares otherwise deliverable to satisfy tax withholding requirements.</w:t>
      </w:r>
    </w:p>
    <w:p>
      <w:pPr>
        <w:spacing w:after="0" w:line="197"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following table summarizes our RSU activity for the year ended December 31, 2016, with performance-based RSUs presented at the maximum potential shares that could be earned and issued at vesting (amounts in thousands except per share amounts):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60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49"/>
        </w:trPr>
        <w:tc>
          <w:tcPr>
            <w:tcW w:w="6060" w:type="dxa"/>
            <w:vAlign w:val="bottom"/>
          </w:tcPr>
          <w:p>
            <w:pPr>
              <w:spacing w:after="0"/>
              <w:rPr>
                <w:sz w:val="12"/>
                <w:szCs w:val="12"/>
                <w:color w:val="auto"/>
              </w:rPr>
            </w:pPr>
          </w:p>
        </w:tc>
        <w:tc>
          <w:tcPr>
            <w:tcW w:w="94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Number of</w:t>
            </w:r>
          </w:p>
        </w:tc>
        <w:tc>
          <w:tcPr>
            <w:tcW w:w="98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Grant Date</w:t>
            </w:r>
          </w:p>
        </w:tc>
      </w:tr>
      <w:tr>
        <w:trPr>
          <w:trHeight w:val="161"/>
        </w:trPr>
        <w:tc>
          <w:tcPr>
            <w:tcW w:w="6060" w:type="dxa"/>
            <w:vAlign w:val="bottom"/>
          </w:tcPr>
          <w:p>
            <w:pPr>
              <w:spacing w:after="0"/>
              <w:rPr>
                <w:sz w:val="14"/>
                <w:szCs w:val="14"/>
                <w:color w:val="auto"/>
              </w:rPr>
            </w:pPr>
          </w:p>
        </w:tc>
        <w:tc>
          <w:tcPr>
            <w:tcW w:w="7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r>
      <w:tr>
        <w:trPr>
          <w:trHeight w:val="210"/>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Unvested RSUs at December 31, 2015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11,930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12.74</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5,320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36.92</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Assumed in King Acquisition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30.18</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Vested</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(7,109)</w:t>
            </w:r>
          </w:p>
        </w:tc>
        <w:tc>
          <w:tcPr>
            <w:tcW w:w="10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18.34</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20.84</w:t>
            </w:r>
          </w:p>
        </w:tc>
      </w:tr>
      <w:tr>
        <w:trPr>
          <w:trHeight w:val="210"/>
        </w:trPr>
        <w:tc>
          <w:tcPr>
            <w:tcW w:w="6060" w:type="dxa"/>
            <w:vAlign w:val="bottom"/>
          </w:tcPr>
          <w:p>
            <w:pPr>
              <w:spacing w:after="0"/>
              <w:rPr>
                <w:sz w:val="20"/>
                <w:szCs w:val="20"/>
                <w:color w:val="auto"/>
              </w:rPr>
            </w:pPr>
            <w:r>
              <w:rPr>
                <w:rFonts w:ascii="Arial" w:cs="Arial" w:eastAsia="Arial" w:hAnsi="Arial"/>
                <w:sz w:val="18"/>
                <w:szCs w:val="18"/>
                <w:color w:val="auto"/>
              </w:rPr>
              <w:t>Unvested RSUs at December 31, 2016</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11,977</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17.44</w:t>
            </w:r>
          </w:p>
        </w:tc>
      </w:tr>
      <w:tr>
        <w:trPr>
          <w:trHeight w:val="20"/>
        </w:trPr>
        <w:tc>
          <w:tcPr>
            <w:tcW w:w="60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Certain of our performance-based RSUs did not have an accounting grant date as of December 31, 2016, as there is not a mutual understanding between the Company and the employee of the performance terms. Generally, these performance terms relate to revenue and operating income performance for future years where the performance goals have not yet been set. As of December 31, 2016, there were 5.1 million performance-based RSUs outstanding for which the accounting grant date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has not been set, of which 3.6 million were 2016 grants. Accordingly, no grant date fair value was established and the weighted average grant date fair value calculated above for 2016 grants excludes these RSUs.</w:t>
      </w:r>
    </w:p>
    <w:p>
      <w:pPr>
        <w:spacing w:after="0" w:line="186" w:lineRule="exact"/>
        <w:rPr>
          <w:sz w:val="20"/>
          <w:szCs w:val="20"/>
          <w:color w:val="auto"/>
        </w:rPr>
      </w:pPr>
    </w:p>
    <w:p>
      <w:pPr>
        <w:ind w:right="80" w:firstLine="341"/>
        <w:spacing w:after="0" w:line="256" w:lineRule="auto"/>
        <w:rPr>
          <w:sz w:val="20"/>
          <w:szCs w:val="20"/>
          <w:color w:val="auto"/>
        </w:rPr>
      </w:pPr>
      <w:r>
        <w:rPr>
          <w:rFonts w:ascii="Arial" w:cs="Arial" w:eastAsia="Arial" w:hAnsi="Arial"/>
          <w:sz w:val="18"/>
          <w:szCs w:val="18"/>
          <w:color w:val="auto"/>
        </w:rPr>
        <w:t>At December 31, 2016, approximately $89 million of total unrecognized compensation cost was related to RSUs and is expected to be recognized over a weighted-average period of 1.65 years. Of the total unrecognized compensation cost, $56 million was related to performance-based RSUs, which is expected to be recognized over a weighted-average period of 1.85 years. The total grant date fair value of vested RSUs was $123 million, $93 million and $92 million for the years ended December 31, 2016, 2015 and 2014, respectively.</w:t>
      </w:r>
    </w:p>
    <w:p>
      <w:pPr>
        <w:spacing w:after="0" w:line="197" w:lineRule="exact"/>
        <w:rPr>
          <w:sz w:val="20"/>
          <w:szCs w:val="20"/>
          <w:color w:val="auto"/>
        </w:rPr>
      </w:pPr>
    </w:p>
    <w:p>
      <w:pPr>
        <w:ind w:right="400" w:firstLine="348"/>
        <w:spacing w:after="0" w:line="268" w:lineRule="auto"/>
        <w:rPr>
          <w:sz w:val="20"/>
          <w:szCs w:val="20"/>
          <w:color w:val="auto"/>
        </w:rPr>
      </w:pPr>
      <w:r>
        <w:rPr>
          <w:rFonts w:ascii="Arial" w:cs="Arial" w:eastAsia="Arial" w:hAnsi="Arial"/>
          <w:sz w:val="18"/>
          <w:szCs w:val="18"/>
          <w:color w:val="auto"/>
        </w:rPr>
        <w:t>The income tax benefit from stock option exercises and RSUs was $134 million, $109 million, and $89 million for the years ended December 31, 2016, 2015, and 2014,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total share-based compensation expense included in our consolidated statements of operations for the years ended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2015, and 2014 (amounts in millions):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980" w:type="dxa"/>
            <w:vAlign w:val="bottom"/>
            <w:gridSpan w:val="10"/>
          </w:tcPr>
          <w:p>
            <w:pPr>
              <w:jc w:val="center"/>
              <w:ind w:right="1400"/>
              <w:spacing w:after="0"/>
              <w:rPr>
                <w:sz w:val="20"/>
                <w:szCs w:val="20"/>
                <w:color w:val="auto"/>
              </w:rPr>
            </w:pPr>
            <w:r>
              <w:rPr>
                <w:rFonts w:ascii="Arial" w:cs="Arial" w:eastAsia="Arial" w:hAnsi="Arial"/>
                <w:sz w:val="14"/>
                <w:szCs w:val="14"/>
                <w:b w:val="1"/>
                <w:bCs w:val="1"/>
                <w:color w:val="auto"/>
                <w:w w:val="86"/>
              </w:rPr>
              <w:t>For the Years Ended</w:t>
            </w:r>
          </w:p>
        </w:tc>
        <w:tc>
          <w:tcPr>
            <w:tcW w:w="0" w:type="dxa"/>
            <w:vAlign w:val="bottom"/>
          </w:tcPr>
          <w:p>
            <w:pPr>
              <w:spacing w:after="0"/>
              <w:rPr>
                <w:sz w:val="1"/>
                <w:szCs w:val="1"/>
                <w:color w:val="auto"/>
              </w:rPr>
            </w:pPr>
          </w:p>
        </w:tc>
      </w:tr>
      <w:tr>
        <w:trPr>
          <w:trHeight w:val="161"/>
        </w:trPr>
        <w:tc>
          <w:tcPr>
            <w:tcW w:w="1160" w:type="dxa"/>
            <w:vAlign w:val="bottom"/>
          </w:tcPr>
          <w:p>
            <w:pPr>
              <w:spacing w:after="0"/>
              <w:rPr>
                <w:sz w:val="14"/>
                <w:szCs w:val="14"/>
                <w:color w:val="auto"/>
              </w:rPr>
            </w:pPr>
          </w:p>
        </w:tc>
        <w:tc>
          <w:tcPr>
            <w:tcW w:w="7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6"/>
          </w:tcPr>
          <w:p>
            <w:pPr>
              <w:jc w:val="center"/>
              <w:ind w:left="317"/>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160" w:type="dxa"/>
            <w:vAlign w:val="bottom"/>
          </w:tcPr>
          <w:p>
            <w:pPr>
              <w:spacing w:after="0"/>
              <w:rPr>
                <w:sz w:val="12"/>
                <w:szCs w:val="12"/>
                <w:color w:val="auto"/>
              </w:rPr>
            </w:pPr>
          </w:p>
        </w:tc>
        <w:tc>
          <w:tcPr>
            <w:tcW w:w="7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1"/>
        </w:trPr>
        <w:tc>
          <w:tcPr>
            <w:tcW w:w="1160" w:type="dxa"/>
            <w:vAlign w:val="bottom"/>
          </w:tcPr>
          <w:p>
            <w:pPr>
              <w:spacing w:after="0"/>
              <w:rPr>
                <w:sz w:val="17"/>
                <w:szCs w:val="17"/>
                <w:color w:val="auto"/>
              </w:rPr>
            </w:pPr>
          </w:p>
        </w:tc>
        <w:tc>
          <w:tcPr>
            <w:tcW w:w="7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Cost of revenues—product sales: Software royalties, amortization, and intellectual property</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licenses</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w w:val="90"/>
              </w:rPr>
              <w:t>Cost of revenues—subscription, licensing, and other revenues: Game Operations and Distribution</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Costs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w w:val="91"/>
              </w:rPr>
              <w:t>Cost of revenues—subscription, licensing, and other revenues: Software royalties, amortization,</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1160" w:type="dxa"/>
            <w:vAlign w:val="bottom"/>
          </w:tcPr>
          <w:p>
            <w:pPr>
              <w:spacing w:after="0"/>
              <w:rPr>
                <w:sz w:val="19"/>
                <w:szCs w:val="19"/>
                <w:color w:val="auto"/>
              </w:rPr>
            </w:pPr>
          </w:p>
        </w:tc>
        <w:tc>
          <w:tcPr>
            <w:tcW w:w="7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intellectual property licenses</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Product development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before income taxes</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020" w:type="dxa"/>
            <w:vAlign w:val="bottom"/>
          </w:tcPr>
          <w:p>
            <w:pPr>
              <w:spacing w:after="0"/>
              <w:rPr>
                <w:sz w:val="20"/>
                <w:szCs w:val="20"/>
                <w:color w:val="auto"/>
              </w:rPr>
            </w:pPr>
            <w:r>
              <w:rPr>
                <w:rFonts w:ascii="Arial" w:cs="Arial" w:eastAsia="Arial" w:hAnsi="Arial"/>
                <w:sz w:val="18"/>
                <w:szCs w:val="18"/>
                <w:color w:val="auto"/>
              </w:rPr>
              <w:t>Income tax benefit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Total share-based compensation expense, net of income tax benefit</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020" w:type="dxa"/>
            <w:vAlign w:val="bottom"/>
            <w:vMerge w:val="restart"/>
          </w:tcPr>
          <w:p>
            <w:pPr>
              <w:ind w:left="4380"/>
              <w:spacing w:after="0"/>
              <w:rPr>
                <w:sz w:val="20"/>
                <w:szCs w:val="20"/>
                <w:color w:val="auto"/>
              </w:rPr>
            </w:pPr>
            <w:r>
              <w:rPr>
                <w:rFonts w:ascii="Arial" w:cs="Arial" w:eastAsia="Arial" w:hAnsi="Arial"/>
                <w:sz w:val="18"/>
                <w:szCs w:val="18"/>
                <w:color w:val="auto"/>
              </w:rPr>
              <w:t>F-41</w:t>
            </w: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70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70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Share-Based Payments (Continued)</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following table summarizes share-based compensation included in our consolidated balance sheets as a component of "Software development" (amounts in millions):</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1"/>
              </w:rPr>
              <w:t>Software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Development</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4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Share-based compensation expense capitalized and deferred during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and deferred share-based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Balance at December 31, 2014</w:t>
            </w:r>
          </w:p>
        </w:tc>
        <w:tc>
          <w:tcPr>
            <w:tcW w:w="20" w:type="dxa"/>
            <w:vAlign w:val="bottom"/>
          </w:tcPr>
          <w:p>
            <w:pPr>
              <w:spacing w:after="0"/>
              <w:rPr>
                <w:sz w:val="18"/>
                <w:szCs w:val="18"/>
                <w:color w:val="auto"/>
              </w:rPr>
            </w:pPr>
          </w:p>
        </w:tc>
        <w:tc>
          <w:tcPr>
            <w:tcW w:w="120" w:type="dxa"/>
            <w:vAlign w:val="bottom"/>
            <w:tcBorders>
              <w:top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 capitalized and deferred during period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Amortization of capitalized and deferred share-based compensation expense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140" w:type="dxa"/>
            <w:vAlign w:val="bottom"/>
            <w:gridSpan w:val="2"/>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Share-based compensation expense capitalized and deferred during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capitalized and deferred share-based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0"/>
        </w:trPr>
        <w:tc>
          <w:tcPr>
            <w:tcW w:w="8080" w:type="dxa"/>
            <w:vAlign w:val="bottom"/>
            <w:gridSpan w:val="2"/>
          </w:tcPr>
          <w:p>
            <w:pPr>
              <w:spacing w:after="0"/>
              <w:rPr>
                <w:sz w:val="20"/>
                <w:szCs w:val="20"/>
                <w:color w:val="auto"/>
              </w:rPr>
            </w:pPr>
            <w:r>
              <w:rPr>
                <w:rFonts w:ascii="Arial" w:cs="Arial" w:eastAsia="Arial" w:hAnsi="Arial"/>
                <w:sz w:val="18"/>
                <w:szCs w:val="18"/>
                <w:color w:val="auto"/>
              </w:rPr>
              <w:t>Balance at December 31, 2016</w:t>
            </w: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Domestic and foreign income (loss) before income taxes and details of the income tax expense (benefit) are as follows (amounts in millions):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gridSpan w:val="8"/>
          </w:tcPr>
          <w:p>
            <w:pPr>
              <w:jc w:val="right"/>
              <w:spacing w:after="0"/>
              <w:rPr>
                <w:sz w:val="20"/>
                <w:szCs w:val="20"/>
                <w:color w:val="auto"/>
              </w:rPr>
            </w:pPr>
            <w:r>
              <w:rPr>
                <w:rFonts w:ascii="Arial" w:cs="Arial" w:eastAsia="Arial" w:hAnsi="Arial"/>
                <w:sz w:val="14"/>
                <w:szCs w:val="14"/>
                <w:b w:val="1"/>
                <w:bCs w:val="1"/>
                <w:color w:val="auto"/>
              </w:rPr>
              <w:t>For the Years Ended</w:t>
            </w: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1"/>
        </w:trPr>
        <w:tc>
          <w:tcPr>
            <w:tcW w:w="116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w w:val="85"/>
              </w:rPr>
              <w:t>December 31,</w:t>
            </w: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42"/>
        </w:trPr>
        <w:tc>
          <w:tcPr>
            <w:tcW w:w="116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 expense: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Domestic</w:t>
            </w:r>
          </w:p>
        </w:tc>
        <w:tc>
          <w:tcPr>
            <w:tcW w:w="3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325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Income tax expense (benefit):</w:t>
            </w:r>
          </w:p>
        </w:tc>
        <w:tc>
          <w:tcPr>
            <w:tcW w:w="3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8"/>
                <w:szCs w:val="18"/>
                <w:color w:val="auto"/>
              </w:rPr>
              <w:t>Current:</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Federal</w:t>
            </w:r>
          </w:p>
        </w:tc>
        <w:tc>
          <w:tcPr>
            <w:tcW w:w="3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State</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w:t>
            </w:r>
          </w:p>
        </w:tc>
        <w:tc>
          <w:tcPr>
            <w:tcW w:w="34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Total current</w:t>
            </w:r>
          </w:p>
        </w:tc>
        <w:tc>
          <w:tcPr>
            <w:tcW w:w="34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Federal</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State</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3440" w:type="dxa"/>
            <w:vAlign w:val="bottom"/>
          </w:tcPr>
          <w:p>
            <w:pPr>
              <w:ind w:left="340"/>
              <w:spacing w:after="0"/>
              <w:rPr>
                <w:sz w:val="20"/>
                <w:szCs w:val="20"/>
                <w:color w:val="auto"/>
              </w:rPr>
            </w:pPr>
            <w:r>
              <w:rPr>
                <w:rFonts w:ascii="Arial" w:cs="Arial" w:eastAsia="Arial" w:hAnsi="Arial"/>
                <w:sz w:val="18"/>
                <w:szCs w:val="18"/>
                <w:color w:val="auto"/>
              </w:rPr>
              <w:t>Foreign</w:t>
            </w: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1160" w:type="dxa"/>
            <w:vAlign w:val="bottom"/>
          </w:tcPr>
          <w:p>
            <w:pPr>
              <w:spacing w:after="0"/>
              <w:rPr>
                <w:sz w:val="18"/>
                <w:szCs w:val="18"/>
                <w:color w:val="auto"/>
              </w:rPr>
            </w:pPr>
          </w:p>
        </w:tc>
        <w:tc>
          <w:tcPr>
            <w:tcW w:w="3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deferred</w:t>
            </w:r>
          </w:p>
        </w:tc>
        <w:tc>
          <w:tcPr>
            <w:tcW w:w="3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c>
          <w:tcPr>
            <w:tcW w:w="1140" w:type="dxa"/>
            <w:vAlign w:val="bottom"/>
          </w:tcPr>
          <w:p>
            <w:pPr>
              <w:spacing w:after="0"/>
              <w:rPr>
                <w:sz w:val="18"/>
                <w:szCs w:val="18"/>
                <w:color w:val="auto"/>
              </w:rPr>
            </w:pPr>
          </w:p>
        </w:tc>
      </w:tr>
      <w:tr>
        <w:trPr>
          <w:trHeight w:val="210"/>
        </w:trPr>
        <w:tc>
          <w:tcPr>
            <w:tcW w:w="4600" w:type="dxa"/>
            <w:vAlign w:val="bottom"/>
            <w:gridSpan w:val="2"/>
          </w:tcPr>
          <w:p>
            <w:pPr>
              <w:ind w:left="1140"/>
              <w:spacing w:after="0"/>
              <w:rPr>
                <w:sz w:val="20"/>
                <w:szCs w:val="20"/>
                <w:color w:val="auto"/>
              </w:rPr>
            </w:pPr>
            <w:r>
              <w:rPr>
                <w:rFonts w:ascii="Arial" w:cs="Arial" w:eastAsia="Arial" w:hAnsi="Arial"/>
                <w:sz w:val="18"/>
                <w:szCs w:val="18"/>
                <w:color w:val="auto"/>
              </w:rPr>
              <w:t>Income tax expense</w:t>
            </w:r>
          </w:p>
        </w:tc>
        <w:tc>
          <w:tcPr>
            <w:tcW w:w="34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0"/>
        </w:trPr>
        <w:tc>
          <w:tcPr>
            <w:tcW w:w="116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411"/>
        </w:trPr>
        <w:tc>
          <w:tcPr>
            <w:tcW w:w="1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3580" w:type="dxa"/>
            <w:vAlign w:val="bottom"/>
            <w:gridSpan w:val="2"/>
          </w:tcPr>
          <w:p>
            <w:pPr>
              <w:jc w:val="right"/>
              <w:ind w:right="2223"/>
              <w:spacing w:after="0"/>
              <w:rPr>
                <w:sz w:val="20"/>
                <w:szCs w:val="20"/>
                <w:color w:val="auto"/>
              </w:rPr>
            </w:pPr>
            <w:r>
              <w:rPr>
                <w:rFonts w:ascii="Arial" w:cs="Arial" w:eastAsia="Arial" w:hAnsi="Arial"/>
                <w:sz w:val="18"/>
                <w:szCs w:val="18"/>
                <w:color w:val="auto"/>
              </w:rPr>
              <w:t>F-42</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34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200" w:firstLine="351"/>
        <w:spacing w:after="0" w:line="294" w:lineRule="auto"/>
        <w:rPr>
          <w:sz w:val="20"/>
          <w:szCs w:val="20"/>
          <w:color w:val="auto"/>
        </w:rPr>
      </w:pPr>
      <w:r>
        <w:rPr>
          <w:rFonts w:ascii="Arial" w:cs="Arial" w:eastAsia="Arial" w:hAnsi="Arial"/>
          <w:sz w:val="16"/>
          <w:szCs w:val="16"/>
          <w:color w:val="auto"/>
        </w:rPr>
        <w:t>For the year ended December 31, 2016, 2015, and 2014, income tax benefits attributable to equity-based compensation transactions exceeded the amounts recorded based on grant date fair value. During the third quarter of 2016, we early adopted an accounting standard which simplifies the accounting for share-based payments. The standard, among other things, requires all excess tax benefits and tax deficiencies be recorded as an income tax expense or benefit in the statement of operations (see Note 22). As a result, $81 million was recognized as a reduction to income tax expense in 2016. Conversely, in 2015 and 2014, $65 million and $30 million, respectively, were credited to shareholders' equity.</w:t>
      </w:r>
    </w:p>
    <w:p>
      <w:pPr>
        <w:spacing w:after="0" w:line="170"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items accounting for the difference between income taxes computed at the U.S. federal statutory income tax rate and the income tax expense (benefit) at the effective tax rate for each of the years are as follows (amounts in millions):</w:t>
      </w:r>
    </w:p>
    <w:p>
      <w:pPr>
        <w:spacing w:after="0" w:line="23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560" w:type="dxa"/>
            <w:vAlign w:val="bottom"/>
            <w:tcBorders>
              <w:bottom w:val="single" w:sz="8" w:color="auto"/>
            </w:tcBorders>
            <w:gridSpan w:val="10"/>
          </w:tcPr>
          <w:p>
            <w:pPr>
              <w:jc w:val="right"/>
              <w:ind w:right="440"/>
              <w:spacing w:after="0"/>
              <w:rPr>
                <w:sz w:val="20"/>
                <w:szCs w:val="20"/>
                <w:color w:val="auto"/>
              </w:rPr>
            </w:pPr>
            <w:r>
              <w:rPr>
                <w:rFonts w:ascii="Arial" w:cs="Arial" w:eastAsia="Arial" w:hAnsi="Arial"/>
                <w:sz w:val="14"/>
                <w:szCs w:val="14"/>
                <w:b w:val="1"/>
                <w:bCs w:val="1"/>
                <w:color w:val="auto"/>
                <w:w w:val="90"/>
              </w:rPr>
              <w:t>For the Years Ended December 31,</w:t>
            </w: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gridSpan w:val="2"/>
          </w:tcPr>
          <w:p>
            <w:pPr>
              <w:jc w:val="right"/>
              <w:ind w:right="40"/>
              <w:spacing w:after="0" w:line="142" w:lineRule="exact"/>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Federal income tax provision at statutory rate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35%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720" w:type="dxa"/>
            <w:vAlign w:val="bottom"/>
            <w:gridSpan w:val="3"/>
          </w:tcPr>
          <w:p>
            <w:pPr>
              <w:jc w:val="right"/>
              <w:ind w:right="340"/>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credits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Foreign rate differential</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(239)</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(245)</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Change in tax reserves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w w:val="89"/>
              </w:rPr>
              <w:t>Net operating loss tax attribute assumed from the Purchase Transaction</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(114)</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(63)</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(52)</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Excess tax benefit related to share-based payments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13%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6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 $</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The Company's tax rate is affected by the tax rates in the jurisdictions in which the Company operates, the relative amount of income earned by jurisdiction, and the jurisdictions with a statutory tax rate less than the U.S. rate of 35%.</w:t>
      </w:r>
    </w:p>
    <w:p>
      <w:pPr>
        <w:spacing w:after="0" w:line="186"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2013, in connection with the Purchase Transaction, we assumed certain tax attributes, generally consisting of net operating loss ("NOL") carryforwards of approximately $760 million, which represent a potential tax benefit of approximately $266 million. The utilization of such NOL carryforwards will be subject to certain annual limitations and will begin to expire in 2021. The Company also obtained indemnification from Vivendi against losses attributable to the disallowance of claimed utilization of such NOL carryforwards of up to $200 million in unrealized tax benefits in the aggregate, limited to taxable years ending on or prior to December 31, 2016. No benefit for these tax attributes or indemnification was recorded upon the close of the Purchase Transaction. As of December 31, 2016, we had utilized approximately $657 million of the original NOL and had recorded an indemnification asset of $200 million in "Other assets." Correspondingly, the same amount was recorded as a reduction to the consideration paid for the shares repurchased in "Treasury stock." In each of the years ended December 31, 2016 and 2015, we utilized $326 million and $180 million of the NOL and recognized a corresponding reserve of $114 million and $63 million in each of those years ended, respectively.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400" w:firstLine="351"/>
        <w:spacing w:after="0" w:line="332" w:lineRule="auto"/>
        <w:rPr>
          <w:sz w:val="20"/>
          <w:szCs w:val="20"/>
          <w:color w:val="auto"/>
        </w:rPr>
      </w:pPr>
      <w:r>
        <w:rPr>
          <w:rFonts w:ascii="Arial" w:cs="Arial" w:eastAsia="Arial" w:hAnsi="Arial"/>
          <w:sz w:val="16"/>
          <w:szCs w:val="16"/>
          <w:color w:val="auto"/>
        </w:rPr>
        <w:t>Deferred income taxes reflect the net tax effects of temporary differences between the amounts of assets and liabilities for accounting purposes and the amounts used for income tax purposes. The components of the net deferred tax assets (liabilities) are as follows (amounts in millions):</w:t>
      </w:r>
    </w:p>
    <w:p>
      <w:pPr>
        <w:spacing w:after="0" w:line="12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As of</w:t>
            </w:r>
          </w:p>
        </w:tc>
        <w:tc>
          <w:tcPr>
            <w:tcW w:w="44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61"/>
        </w:trPr>
        <w:tc>
          <w:tcPr>
            <w:tcW w:w="5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w w:val="98"/>
              </w:rPr>
              <w:t>December 31,</w:t>
            </w:r>
          </w:p>
        </w:tc>
      </w:tr>
      <w:tr>
        <w:trPr>
          <w:trHeight w:val="142"/>
        </w:trPr>
        <w:tc>
          <w:tcPr>
            <w:tcW w:w="50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w w:val="89"/>
              </w:rPr>
              <w:t>2016</w:t>
            </w:r>
          </w:p>
        </w:tc>
        <w:tc>
          <w:tcPr>
            <w:tcW w:w="1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Allowance for sales returns and price protection</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66</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Inventory reserve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40</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288</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58</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Share-based compensation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63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54</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intangibles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r>
      <w:tr>
        <w:trPr>
          <w:trHeight w:val="20"/>
        </w:trPr>
        <w:tc>
          <w:tcPr>
            <w:tcW w:w="5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Valuation allowance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5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 net of valuation allowance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555</w:t>
            </w:r>
          </w:p>
        </w:tc>
      </w:tr>
      <w:tr>
        <w:trPr>
          <w:trHeight w:val="209"/>
        </w:trPr>
        <w:tc>
          <w:tcPr>
            <w:tcW w:w="50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Acquired intangibles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Prepaid royalties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Capitalized software development expenses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w:t>
            </w:r>
          </w:p>
        </w:tc>
      </w:tr>
      <w:tr>
        <w:trPr>
          <w:trHeight w:val="216"/>
        </w:trPr>
        <w:tc>
          <w:tcPr>
            <w:tcW w:w="5060" w:type="dxa"/>
            <w:vAlign w:val="bottom"/>
          </w:tcPr>
          <w:p>
            <w:pPr>
              <w:ind w:left="180"/>
              <w:spacing w:after="0"/>
              <w:rPr>
                <w:sz w:val="20"/>
                <w:szCs w:val="20"/>
                <w:color w:val="auto"/>
              </w:rPr>
            </w:pPr>
            <w:r>
              <w:rPr>
                <w:rFonts w:ascii="Arial" w:cs="Arial" w:eastAsia="Arial" w:hAnsi="Arial"/>
                <w:sz w:val="18"/>
                <w:szCs w:val="18"/>
                <w:color w:val="auto"/>
              </w:rPr>
              <w:t>State taxes</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r>
      <w:tr>
        <w:trPr>
          <w:trHeight w:val="216"/>
        </w:trPr>
        <w:tc>
          <w:tcPr>
            <w:tcW w:w="50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0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(388)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(290)</w:t>
            </w:r>
          </w:p>
        </w:tc>
        <w:tc>
          <w:tcPr>
            <w:tcW w:w="160" w:type="dxa"/>
            <w:vAlign w:val="bottom"/>
          </w:tcPr>
          <w:p>
            <w:pPr>
              <w:spacing w:after="0"/>
              <w:rPr>
                <w:sz w:val="18"/>
                <w:szCs w:val="18"/>
                <w:color w:val="auto"/>
              </w:rPr>
            </w:pPr>
          </w:p>
        </w:tc>
      </w:tr>
      <w:tr>
        <w:trPr>
          <w:trHeight w:val="210"/>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Net deferred tax assets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265</w:t>
            </w:r>
          </w:p>
        </w:tc>
      </w:tr>
      <w:tr>
        <w:trPr>
          <w:trHeight w:val="20"/>
        </w:trPr>
        <w:tc>
          <w:tcPr>
            <w:tcW w:w="50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20" w:firstLine="341"/>
        <w:spacing w:after="0" w:line="298" w:lineRule="auto"/>
        <w:rPr>
          <w:sz w:val="20"/>
          <w:szCs w:val="20"/>
          <w:color w:val="auto"/>
        </w:rPr>
      </w:pPr>
      <w:r>
        <w:rPr>
          <w:rFonts w:ascii="Arial" w:cs="Arial" w:eastAsia="Arial" w:hAnsi="Arial"/>
          <w:sz w:val="16"/>
          <w:szCs w:val="16"/>
          <w:color w:val="auto"/>
        </w:rPr>
        <w:t>As of December 31, 2016, we had gross tax credit carryforwards of $240 million and $137 million for federal and state purposes, respectively, which begin to expire in fiscal 2025. The tax credit carryforwards are presented in "Deferred tax assets" net of unrealized tax benefits that would apply upon the realization of uncertain tax positions. In addition, we had state NOL carryforwards of $9 million which begin to expire in fiscal 2027. Through our foreign operations, we had approximately $6 million in NOL carryforwards at December 31, 2016, attributed mainly to losses in France which can be carried forward indefinitely.</w:t>
      </w:r>
    </w:p>
    <w:p>
      <w:pPr>
        <w:spacing w:after="0" w:line="167" w:lineRule="exact"/>
        <w:rPr>
          <w:sz w:val="20"/>
          <w:szCs w:val="20"/>
          <w:color w:val="auto"/>
        </w:rPr>
      </w:pPr>
    </w:p>
    <w:p>
      <w:pPr>
        <w:ind w:firstLine="348"/>
        <w:spacing w:after="0" w:line="298" w:lineRule="auto"/>
        <w:rPr>
          <w:sz w:val="20"/>
          <w:szCs w:val="20"/>
          <w:color w:val="auto"/>
        </w:rPr>
      </w:pPr>
      <w:r>
        <w:rPr>
          <w:rFonts w:ascii="Arial" w:cs="Arial" w:eastAsia="Arial" w:hAnsi="Arial"/>
          <w:sz w:val="16"/>
          <w:szCs w:val="16"/>
          <w:color w:val="auto"/>
        </w:rPr>
        <w:t>We evaluate our deferred tax assets, including net operating losses and tax credits, to determine if a valuation allowance is required. We assess whether a valuation allowance should be established or released based on the consideration of all available evidence using a "more-likely-than-not" standard. Realization of the U.S. deferred tax assets is dependent upon the continued generation of sufficient taxable income. In making such judgments, significant weight is given to evidence that can be objectively verified. Although realization is not assured, management believes it is more likely than not</w:t>
      </w:r>
    </w:p>
    <w:p>
      <w:pPr>
        <w:spacing w:after="0" w:line="16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that the net carrying value of the U.S. deferred tax assets will be realized. At December 31, 2016 and 2015, there are no valuation allowances on deferred tax assets.</w:t>
      </w:r>
    </w:p>
    <w:p>
      <w:pPr>
        <w:spacing w:after="0" w:line="186" w:lineRule="exact"/>
        <w:rPr>
          <w:sz w:val="20"/>
          <w:szCs w:val="20"/>
          <w:color w:val="auto"/>
        </w:rPr>
      </w:pPr>
    </w:p>
    <w:p>
      <w:pPr>
        <w:ind w:right="200" w:firstLine="351"/>
        <w:spacing w:after="0" w:line="255" w:lineRule="auto"/>
        <w:rPr>
          <w:sz w:val="20"/>
          <w:szCs w:val="20"/>
          <w:color w:val="auto"/>
        </w:rPr>
      </w:pPr>
      <w:r>
        <w:rPr>
          <w:rFonts w:ascii="Arial" w:cs="Arial" w:eastAsia="Arial" w:hAnsi="Arial"/>
          <w:sz w:val="18"/>
          <w:szCs w:val="18"/>
          <w:color w:val="auto"/>
        </w:rPr>
        <w:t>Cumulative undistributed earnings of foreign subsidiaries for which no deferred taxes have been provided approximated $5,127 million at December 31, 2016. Deferred income taxes on these earnings have not been provided as these amounts are considered to be permanent in duration. Determination of the unrecognized deferred tax liability on unremitted foreign earnings is not practicable because of the complexity of the hypothetical calculation. In the event of a distribution of these earnings to the U.S. in the form of a dividend, we may be subject to both foreign withholding taxes and U.S. income taxes net of allowable foreign tax credits.</w:t>
      </w:r>
    </w:p>
    <w:p>
      <w:pPr>
        <w:spacing w:after="0" w:line="197" w:lineRule="exact"/>
        <w:rPr>
          <w:sz w:val="20"/>
          <w:szCs w:val="20"/>
          <w:color w:val="auto"/>
        </w:rPr>
      </w:pPr>
    </w:p>
    <w:p>
      <w:pPr>
        <w:ind w:right="20" w:firstLine="341"/>
        <w:spacing w:after="0" w:line="289" w:lineRule="auto"/>
        <w:rPr>
          <w:sz w:val="20"/>
          <w:szCs w:val="20"/>
          <w:color w:val="auto"/>
        </w:rPr>
      </w:pPr>
      <w:r>
        <w:rPr>
          <w:rFonts w:ascii="Arial" w:cs="Arial" w:eastAsia="Arial" w:hAnsi="Arial"/>
          <w:sz w:val="16"/>
          <w:szCs w:val="16"/>
          <w:color w:val="auto"/>
        </w:rPr>
        <w:t>Activision Blizzard's tax years 2009 through 2015 remain open to examination by the major taxing jurisdictions to which we are subject. The IRS is currently examining the Company's federal tax returns for the 2009 through 2011 tax years. During the second quarter of 2015, the Company transitioned the review of its transfer pricing methodology from the advanced pricing agreement review process to the IRS examination team. Their review could result in a different allocation of profits and losses under the Company's transfer pricing agreements. Such allocation could have a positive or negative impact on our provision for the period in which such a determination is reached and the relevant periods thereafter. The Company also has several state and non-U.S. audits pending. In addition, as part of purchase price accounting for the King Acquisition, the Company assumed $74 million of uncertain tax positions primarily related to the transfer pricing on King tax years occurring prior to the King Acquisition. The Company is currently in negotiations with the relevant jurisdictions and taxing authorities with respect to King's transfer pricing, which could result in a different allocation of profits and losses between the relevant jurisdictions.</w:t>
      </w:r>
    </w:p>
    <w:p>
      <w:pPr>
        <w:spacing w:after="0" w:line="172"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Vivendi Games' results for the period from January 1, 2008 through July 9, 2008 are included in the consolidated federal and certain foreign, state and local income tax returns filed by Vivendi or its affiliates, while Vivendi Games' results for the period from July 10, 2008 through December 31, 2008 are included in the consolidated federal and certain foreign, state and local income tax returns filed by Activision Blizzard. IRS Appeals proceedings concerning Vivendi Games' tax return for the 2008 tax year were concluded during July 2016 but that year remains open to examination by other major taxing authorities. The resolution of the 2008 IRS Appeals process did not have a material impact on the Company's consolidated financial statements.</w:t>
      </w:r>
    </w:p>
    <w:p>
      <w:pPr>
        <w:spacing w:after="0" w:line="170"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Certain of our subsidiaries are under examination or investigation or may be subject to examination or investigation by tax authorities in various jurisdictions, including France. These proceedings may lead to adjustments or proposed adjustments to our taxes or provisions for uncertain tax positions. Such proceedings may have a material adverse effect on the Company's consolidated financial position, liquidity or results of operations in the period or periods in which the matters are resolved or in which appropriate tax provisions are taken into account in our financial statements. If we were to receive a materially adverse assessment from a taxing jurisdiction, we would plan to vigorously contest it and consider all of our options, including the pursuit of judicial remedies.</w:t>
      </w:r>
    </w:p>
    <w:p>
      <w:pPr>
        <w:spacing w:after="0" w:line="170" w:lineRule="exact"/>
        <w:rPr>
          <w:sz w:val="20"/>
          <w:szCs w:val="20"/>
          <w:color w:val="auto"/>
        </w:rPr>
      </w:pPr>
    </w:p>
    <w:p>
      <w:pPr>
        <w:ind w:right="80" w:firstLine="341"/>
        <w:spacing w:after="0" w:line="268" w:lineRule="auto"/>
        <w:rPr>
          <w:sz w:val="20"/>
          <w:szCs w:val="20"/>
          <w:color w:val="auto"/>
        </w:rPr>
      </w:pPr>
      <w:r>
        <w:rPr>
          <w:rFonts w:ascii="Arial" w:cs="Arial" w:eastAsia="Arial" w:hAnsi="Arial"/>
          <w:sz w:val="18"/>
          <w:szCs w:val="18"/>
          <w:color w:val="auto"/>
        </w:rPr>
        <w:t>As of December 31, 2016, we had approximately $846 million of gross unrecognized tax benefits, of which $812 million would affect our effective tax rate, if recognized. A reconciliation of total gross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unrecognized tax benefits for the years ended December 31, 2016, 2015, and 2014 is as follows (amounts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80" w:type="dxa"/>
            <w:vAlign w:val="bottom"/>
            <w:gridSpan w:val="9"/>
          </w:tcPr>
          <w:p>
            <w:pPr>
              <w:jc w:val="center"/>
              <w:ind w:right="260"/>
              <w:spacing w:after="0"/>
              <w:rPr>
                <w:sz w:val="20"/>
                <w:szCs w:val="20"/>
                <w:color w:val="auto"/>
              </w:rPr>
            </w:pPr>
            <w:r>
              <w:rPr>
                <w:rFonts w:ascii="Arial" w:cs="Arial" w:eastAsia="Arial" w:hAnsi="Arial"/>
                <w:sz w:val="14"/>
                <w:szCs w:val="14"/>
                <w:b w:val="1"/>
                <w:bCs w:val="1"/>
                <w:color w:val="auto"/>
                <w:w w:val="86"/>
              </w:rPr>
              <w:t>For the Years Ended</w:t>
            </w:r>
          </w:p>
        </w:tc>
      </w:tr>
      <w:tr>
        <w:trPr>
          <w:trHeight w:val="161"/>
        </w:trPr>
        <w:tc>
          <w:tcPr>
            <w:tcW w:w="6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center"/>
              <w:ind w:right="15"/>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January 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294</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Gross increase for tax positions of prior-years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Gross decrease for tax positions of prior-years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Gross increase for tax positions of current year</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125</w:t>
            </w: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Settlement with taxing authorities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Lapse of statute of limitations</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6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Unrecognized tax benefits balance at December 31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419</w:t>
            </w:r>
          </w:p>
        </w:tc>
      </w:tr>
      <w:tr>
        <w:trPr>
          <w:trHeight w:val="20"/>
        </w:trPr>
        <w:tc>
          <w:tcPr>
            <w:tcW w:w="6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We recognize interest and penalties related to uncertain tax positions in "Income tax expense". As of December 31, 2016 and 2015, we had approximately $71 million and $41 million, respectively, of accrued interest and penalties related to uncertain tax positions. For the year ended December 31, 2016, 2015, and 2014, we recorded $17 million, $10 million, and $5 million, respectively, of interest expense related to uncertain tax positions.</w:t>
      </w:r>
    </w:p>
    <w:p>
      <w:pPr>
        <w:spacing w:after="0" w:line="16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The final resolution of the Company's global tax disputes is uncertain. There is significant judgment required in the analysis of disputes, including the probability determination and estimation of the potential exposure. Based on current information, in the opinion of the Company's management, the ultimate resolution of these matters is not expected to have a material adverse effect on the Company's consolidated financial position, liquidity or results of operations, except as noted above.</w:t>
      </w:r>
    </w:p>
    <w:p>
      <w:pPr>
        <w:spacing w:after="0" w:line="197"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Computation of Basic/Diluted Earnings Per Common Share</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the computation of basic and diluted earnings per common share (amounts in millions, except per share data):</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10"/>
          </w:tcPr>
          <w:p>
            <w:pPr>
              <w:jc w:val="center"/>
              <w:ind w:right="260"/>
              <w:spacing w:after="0"/>
              <w:rPr>
                <w:sz w:val="20"/>
                <w:szCs w:val="20"/>
                <w:color w:val="auto"/>
              </w:rPr>
            </w:pPr>
            <w:r>
              <w:rPr>
                <w:rFonts w:ascii="Arial" w:cs="Arial" w:eastAsia="Arial" w:hAnsi="Arial"/>
                <w:sz w:val="14"/>
                <w:szCs w:val="14"/>
                <w:b w:val="1"/>
                <w:bCs w:val="1"/>
                <w:color w:val="auto"/>
                <w:w w:val="86"/>
              </w:rPr>
              <w:t>For the 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Consolidated net income</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966</w:t>
            </w:r>
          </w:p>
        </w:tc>
        <w:tc>
          <w:tcPr>
            <w:tcW w:w="10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892</w:t>
            </w:r>
          </w:p>
        </w:tc>
        <w:tc>
          <w:tcPr>
            <w:tcW w:w="140" w:type="dxa"/>
            <w:vAlign w:val="bottom"/>
          </w:tcPr>
          <w:p>
            <w:pPr>
              <w:spacing w:after="0"/>
              <w:rPr>
                <w:sz w:val="18"/>
                <w:szCs w:val="18"/>
                <w:color w:val="auto"/>
              </w:rPr>
            </w:pPr>
          </w:p>
        </w:tc>
        <w:tc>
          <w:tcPr>
            <w:tcW w:w="12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835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7"/>
              </w:rPr>
              <w:t>Less: Distributed earnings to unvested share-based awards that participate in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60" w:type="dxa"/>
            <w:vAlign w:val="bottom"/>
          </w:tcPr>
          <w:p>
            <w:pPr>
              <w:ind w:left="340"/>
              <w:spacing w:after="0"/>
              <w:rPr>
                <w:sz w:val="20"/>
                <w:szCs w:val="20"/>
                <w:color w:val="auto"/>
              </w:rPr>
            </w:pPr>
            <w:r>
              <w:rPr>
                <w:rFonts w:ascii="Arial" w:cs="Arial" w:eastAsia="Arial" w:hAnsi="Arial"/>
                <w:sz w:val="18"/>
                <w:szCs w:val="18"/>
                <w:color w:val="auto"/>
                <w:w w:val="93"/>
              </w:rPr>
              <w:t>Less: Undistributed earnings allocated to unvested share-based awards that participate in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520"/>
              <w:spacing w:after="0"/>
              <w:rPr>
                <w:sz w:val="20"/>
                <w:szCs w:val="20"/>
                <w:color w:val="auto"/>
              </w:rPr>
            </w:pPr>
            <w:r>
              <w:rPr>
                <w:rFonts w:ascii="Arial" w:cs="Arial" w:eastAsia="Arial" w:hAnsi="Arial"/>
                <w:sz w:val="18"/>
                <w:szCs w:val="18"/>
                <w:color w:val="auto"/>
              </w:rPr>
              <w:t>earnings</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06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w w:val="94"/>
              </w:rPr>
              <w:t>Numerator for basic and diluted earnings per common share—income available to common</w:t>
            </w:r>
          </w:p>
        </w:tc>
        <w:tc>
          <w:tcPr>
            <w:tcW w:w="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shareholders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w:t>
            </w:r>
          </w:p>
        </w:tc>
        <w:tc>
          <w:tcPr>
            <w:tcW w:w="100" w:type="dxa"/>
            <w:vAlign w:val="bottom"/>
            <w:shd w:val="clear" w:color="auto" w:fill="CCEEFF"/>
          </w:tcPr>
          <w:p>
            <w:pPr>
              <w:spacing w:after="0"/>
              <w:rPr>
                <w:sz w:val="19"/>
                <w:szCs w:val="19"/>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140" w:type="dxa"/>
            <w:vAlign w:val="bottom"/>
            <w:shd w:val="clear" w:color="auto" w:fill="CCEEFF"/>
          </w:tcPr>
          <w:p>
            <w:pPr>
              <w:spacing w:after="0"/>
              <w:rPr>
                <w:sz w:val="19"/>
                <w:szCs w:val="19"/>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080" w:type="dxa"/>
            <w:vAlign w:val="bottom"/>
            <w:gridSpan w:val="2"/>
          </w:tcPr>
          <w:p>
            <w:pPr>
              <w:spacing w:after="0"/>
              <w:rPr>
                <w:sz w:val="20"/>
                <w:szCs w:val="20"/>
                <w:color w:val="auto"/>
              </w:rPr>
            </w:pPr>
            <w:r>
              <w:rPr>
                <w:rFonts w:ascii="Arial" w:cs="Arial" w:eastAsia="Arial" w:hAnsi="Arial"/>
                <w:sz w:val="18"/>
                <w:szCs w:val="18"/>
                <w:color w:val="auto"/>
              </w:rPr>
              <w:t>Denominator:</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Denominator for basic earnings per common share—weighted-average common shares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7080" w:type="dxa"/>
            <w:vAlign w:val="bottom"/>
            <w:gridSpan w:val="2"/>
          </w:tcPr>
          <w:p>
            <w:pPr>
              <w:spacing w:after="0"/>
              <w:rPr>
                <w:sz w:val="20"/>
                <w:szCs w:val="20"/>
                <w:color w:val="auto"/>
              </w:rPr>
            </w:pPr>
            <w:r>
              <w:rPr>
                <w:rFonts w:ascii="Arial" w:cs="Arial" w:eastAsia="Arial" w:hAnsi="Arial"/>
                <w:sz w:val="18"/>
                <w:szCs w:val="18"/>
                <w:color w:val="auto"/>
              </w:rPr>
              <w:t>Effect of potential dilutive common shares under the treasury stock method: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Employee stock options and awards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7080" w:type="dxa"/>
            <w:vAlign w:val="bottom"/>
            <w:gridSpan w:val="2"/>
          </w:tcPr>
          <w:p>
            <w:pPr>
              <w:spacing w:after="0" w:line="201" w:lineRule="exact"/>
              <w:rPr>
                <w:sz w:val="20"/>
                <w:szCs w:val="20"/>
                <w:color w:val="auto"/>
              </w:rPr>
            </w:pPr>
            <w:r>
              <w:rPr>
                <w:rFonts w:ascii="Arial" w:cs="Arial" w:eastAsia="Arial" w:hAnsi="Arial"/>
                <w:sz w:val="18"/>
                <w:szCs w:val="18"/>
                <w:color w:val="auto"/>
                <w:w w:val="99"/>
              </w:rPr>
              <w:t>Denominator for diluted earnings per common share—weighted-average common shares</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60" w:type="dxa"/>
            <w:vAlign w:val="bottom"/>
          </w:tcPr>
          <w:p>
            <w:pPr>
              <w:ind w:left="160"/>
              <w:spacing w:after="0"/>
              <w:rPr>
                <w:sz w:val="20"/>
                <w:szCs w:val="20"/>
                <w:color w:val="auto"/>
              </w:rPr>
            </w:pPr>
            <w:r>
              <w:rPr>
                <w:rFonts w:ascii="Arial" w:cs="Arial" w:eastAsia="Arial" w:hAnsi="Arial"/>
                <w:sz w:val="18"/>
                <w:szCs w:val="18"/>
                <w:color w:val="auto"/>
              </w:rPr>
              <w:t>outstanding plus dilutive common shares under the treasury stock method</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8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80" w:type="dxa"/>
            <w:vAlign w:val="bottom"/>
            <w:gridSpan w:val="2"/>
            <w:vMerge w:val="continue"/>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1.13</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00" w:firstLine="351"/>
        <w:spacing w:after="0" w:line="255" w:lineRule="auto"/>
        <w:rPr>
          <w:sz w:val="20"/>
          <w:szCs w:val="20"/>
          <w:color w:val="auto"/>
        </w:rPr>
      </w:pPr>
      <w:r>
        <w:rPr>
          <w:rFonts w:ascii="Arial" w:cs="Arial" w:eastAsia="Arial" w:hAnsi="Arial"/>
          <w:sz w:val="18"/>
          <w:szCs w:val="18"/>
          <w:color w:val="auto"/>
        </w:rPr>
        <w:t>Certain of our unvested restricted stock rights (including certain restricted stock units and performance shares) met the definition of participating securities as they participate in earnings based on their rights to dividends or dividend equivalents. Therefore, we are required to use the two-class method in our computation of basic and diluted earnings per common share. For the years ended December 31, 2016, 2015, and 2014, on a weighted-average basis, we had outstanding unvested restricted stock rights with respect to 3 million, 8 million, and 15 million shares of common stock, respectively, that are participating in earnings.</w:t>
      </w:r>
    </w:p>
    <w:p>
      <w:pPr>
        <w:spacing w:after="0" w:line="197" w:lineRule="exact"/>
        <w:rPr>
          <w:sz w:val="20"/>
          <w:szCs w:val="20"/>
          <w:color w:val="auto"/>
        </w:rPr>
      </w:pPr>
    </w:p>
    <w:p>
      <w:pPr>
        <w:ind w:right="300" w:firstLine="351"/>
        <w:spacing w:after="0" w:line="298" w:lineRule="auto"/>
        <w:rPr>
          <w:sz w:val="20"/>
          <w:szCs w:val="20"/>
          <w:color w:val="auto"/>
        </w:rPr>
      </w:pPr>
      <w:r>
        <w:rPr>
          <w:rFonts w:ascii="Arial" w:cs="Arial" w:eastAsia="Arial" w:hAnsi="Arial"/>
          <w:sz w:val="16"/>
          <w:szCs w:val="16"/>
          <w:color w:val="auto"/>
        </w:rPr>
        <w:t>Certain of our employee-related restricted stock rights and stock options are contingently issuable upon the satisfaction of pre-defined performance measures. These shares are included in the weighted-average dilutive common shares only if the performance measures are met as of the end of the reporting period. Approximately 8 million, 3 million, and 4 million shares are not included in the computation of diluted earnings per share for the years ended December 31, 2016, 2015, and 2016, respectively, as their respective performance measures have not been met.</w:t>
      </w:r>
    </w:p>
    <w:p>
      <w:pPr>
        <w:spacing w:after="0" w:line="16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Potential common shares are not included in the denominator of the diluted earnings per common share calculation when the inclusion of such shares would be anti-dilutive, such as in a period in which a net loss is recorded. Therefore, options to acquire 5 million, 1 million, and 2 million shares of common stock were not included in the calculation of diluted earnings per common share for the years ended December 31, 2016, 2015, and 2014, respectively, as the effect of their inclusion would be anti-dilutive.</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Capital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Programs</w:t>
      </w:r>
    </w:p>
    <w:p>
      <w:pPr>
        <w:spacing w:after="0" w:line="225"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On February 2, 2017, our Board of Directors authorized a new stock repurchase program under which we are authorized to repurchase up to $1 billion of our common stock during the two-year period from February 13, 2017 through February 12, 2019.</w:t>
      </w:r>
    </w:p>
    <w:p>
      <w:pPr>
        <w:spacing w:after="0" w:line="186"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On February 3, 2015, our Board of Directors authorized a stock repurchase program under which we were authorized to repurchase up to $750 million of our common stock during the two-year period from February 9, 2015 through February 8, 2017. There were no repurchases pursuant to this program.</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780" w:firstLine="351"/>
        <w:spacing w:after="0" w:line="268" w:lineRule="auto"/>
        <w:rPr>
          <w:sz w:val="20"/>
          <w:szCs w:val="20"/>
          <w:color w:val="auto"/>
        </w:rPr>
      </w:pPr>
      <w:r>
        <w:rPr>
          <w:rFonts w:ascii="Arial" w:cs="Arial" w:eastAsia="Arial" w:hAnsi="Arial"/>
          <w:sz w:val="18"/>
          <w:szCs w:val="18"/>
          <w:color w:val="auto"/>
        </w:rPr>
        <w:t>On February 2, 2017, our Board of Directors approved a cash dividend of $0.30 per common share. Such dividend is payable on May 10, 2017, to shareholders of record at the close of business on March 30, 2017.</w:t>
      </w:r>
    </w:p>
    <w:p>
      <w:pPr>
        <w:spacing w:after="0" w:line="186"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On February 2, 2016, our Board of Directors declared a cash dividend of $0.26 per common share. Such dividend was payable on May 11, 2016, to shareholders of record at the close of business on March 30, 2016. On May 11, 2016, we made an aggregate cash dividend payment of $192 million to such shareholders, and on May 27, 2016, we made related dividend equivalent payments of $3 million to certain holders of restricted stock rights.</w:t>
      </w:r>
    </w:p>
    <w:p>
      <w:pPr>
        <w:spacing w:after="0" w:line="161"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On February 3, 2015, our Board of Directors declared a cash dividend of $0.23 per common share. Such dividend was payable on May 13, 2015, to shareholders of record at the close of business on March 30, 2015. On May 13, 2015, we made an aggregate cash dividend payment of $167 million to such shareholders, and on May 29, 2015, we made related dividend equivalent payments of $3 million to certain holders of restricted stock rights.</w:t>
      </w:r>
    </w:p>
    <w:p>
      <w:pPr>
        <w:spacing w:after="0" w:line="161" w:lineRule="exact"/>
        <w:rPr>
          <w:sz w:val="20"/>
          <w:szCs w:val="20"/>
          <w:color w:val="auto"/>
        </w:rPr>
      </w:pPr>
    </w:p>
    <w:p>
      <w:pPr>
        <w:ind w:right="460" w:firstLine="351"/>
        <w:spacing w:after="0" w:line="306" w:lineRule="auto"/>
        <w:rPr>
          <w:sz w:val="20"/>
          <w:szCs w:val="20"/>
          <w:color w:val="auto"/>
        </w:rPr>
      </w:pPr>
      <w:r>
        <w:rPr>
          <w:rFonts w:ascii="Arial" w:cs="Arial" w:eastAsia="Arial" w:hAnsi="Arial"/>
          <w:sz w:val="16"/>
          <w:szCs w:val="16"/>
          <w:color w:val="auto"/>
        </w:rPr>
        <w:t>On February 6, 2014, our Board of Directors declared a cash dividend of $0.20 per common share. Such dividend was payable on May 14, 2014, to shareholders of record at the close of business on March 19, 2014. On May 14, 2014, we made an aggregate cash dividend payment of $143 million to such shareholders, and on May 30, 2014, we made related dividend equivalent payments of $4 million to the holders of restricted stock rights.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Supplemental Cash Flow Information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Supplemental cash flow information is as follows (amounts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980" w:type="dxa"/>
            <w:vAlign w:val="bottom"/>
            <w:gridSpan w:val="7"/>
          </w:tcPr>
          <w:p>
            <w:pPr>
              <w:jc w:val="center"/>
              <w:ind w:right="160"/>
              <w:spacing w:after="0"/>
              <w:rPr>
                <w:sz w:val="20"/>
                <w:szCs w:val="20"/>
                <w:color w:val="auto"/>
              </w:rPr>
            </w:pPr>
            <w:r>
              <w:rPr>
                <w:rFonts w:ascii="Arial" w:cs="Arial" w:eastAsia="Arial" w:hAnsi="Arial"/>
                <w:sz w:val="14"/>
                <w:szCs w:val="14"/>
                <w:b w:val="1"/>
                <w:bCs w:val="1"/>
                <w:color w:val="auto"/>
                <w:w w:val="86"/>
              </w:rPr>
              <w:t>For the Years Ended</w:t>
            </w:r>
          </w:p>
        </w:tc>
      </w:tr>
      <w:tr>
        <w:trPr>
          <w:trHeight w:val="161"/>
        </w:trPr>
        <w:tc>
          <w:tcPr>
            <w:tcW w:w="600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5"/>
              </w:rPr>
              <w:t>December 31,</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500" w:type="dxa"/>
            <w:vAlign w:val="bottom"/>
          </w:tcPr>
          <w:p>
            <w:pPr>
              <w:jc w:val="right"/>
              <w:ind w:right="42"/>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gridSpan w:val="2"/>
          </w:tcPr>
          <w:p>
            <w:pPr>
              <w:jc w:val="center"/>
              <w:ind w:left="82"/>
              <w:spacing w:after="0" w:line="142" w:lineRule="exact"/>
              <w:rPr>
                <w:sz w:val="20"/>
                <w:szCs w:val="20"/>
                <w:color w:val="auto"/>
              </w:rPr>
            </w:pPr>
            <w:r>
              <w:rPr>
                <w:rFonts w:ascii="Arial" w:cs="Arial" w:eastAsia="Arial" w:hAnsi="Arial"/>
                <w:sz w:val="14"/>
                <w:szCs w:val="14"/>
                <w:b w:val="1"/>
                <w:bCs w:val="1"/>
                <w:color w:val="auto"/>
                <w:w w:val="83"/>
              </w:rPr>
              <w:t>2015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w w:val="83"/>
              </w:rPr>
              <w:t>2014</w:t>
            </w:r>
          </w:p>
        </w:tc>
        <w:tc>
          <w:tcPr>
            <w:tcW w:w="160" w:type="dxa"/>
            <w:vAlign w:val="bottom"/>
          </w:tcPr>
          <w:p>
            <w:pPr>
              <w:spacing w:after="0"/>
              <w:rPr>
                <w:sz w:val="12"/>
                <w:szCs w:val="12"/>
                <w:color w:val="auto"/>
              </w:rPr>
            </w:pPr>
          </w:p>
        </w:tc>
      </w:tr>
      <w:tr>
        <w:trPr>
          <w:trHeight w:val="210"/>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Supplemental cash flow information:</w:t>
            </w: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000" w:type="dxa"/>
            <w:vAlign w:val="bottom"/>
          </w:tcPr>
          <w:p>
            <w:pPr>
              <w:ind w:left="180"/>
              <w:spacing w:after="0"/>
              <w:rPr>
                <w:sz w:val="20"/>
                <w:szCs w:val="20"/>
                <w:color w:val="auto"/>
              </w:rPr>
            </w:pPr>
            <w:r>
              <w:rPr>
                <w:rFonts w:ascii="Arial" w:cs="Arial" w:eastAsia="Arial" w:hAnsi="Arial"/>
                <w:sz w:val="18"/>
                <w:szCs w:val="18"/>
                <w:color w:val="auto"/>
              </w:rPr>
              <w:t>Cash paid for income taxes, net of refunds</w:t>
            </w:r>
          </w:p>
        </w:tc>
        <w:tc>
          <w:tcPr>
            <w:tcW w:w="500" w:type="dxa"/>
            <w:vAlign w:val="bottom"/>
          </w:tcPr>
          <w:p>
            <w:pPr>
              <w:jc w:val="right"/>
              <w:spacing w:after="0"/>
              <w:rPr>
                <w:sz w:val="20"/>
                <w:szCs w:val="20"/>
                <w:color w:val="auto"/>
              </w:rPr>
            </w:pPr>
            <w:r>
              <w:rPr>
                <w:rFonts w:ascii="Arial" w:cs="Arial" w:eastAsia="Arial" w:hAnsi="Arial"/>
                <w:sz w:val="18"/>
                <w:szCs w:val="18"/>
                <w:color w:val="auto"/>
                <w:w w:val="95"/>
              </w:rPr>
              <w:t>$  121</w:t>
            </w:r>
          </w:p>
        </w:tc>
        <w:tc>
          <w:tcPr>
            <w:tcW w:w="820" w:type="dxa"/>
            <w:vAlign w:val="bottom"/>
            <w:gridSpan w:val="3"/>
          </w:tcPr>
          <w:p>
            <w:pPr>
              <w:jc w:val="right"/>
              <w:ind w:right="160"/>
              <w:spacing w:after="0"/>
              <w:rPr>
                <w:sz w:val="20"/>
                <w:szCs w:val="20"/>
                <w:color w:val="auto"/>
              </w:rPr>
            </w:pPr>
            <w:r>
              <w:rPr>
                <w:rFonts w:ascii="Arial" w:cs="Arial" w:eastAsia="Arial" w:hAnsi="Arial"/>
                <w:sz w:val="18"/>
                <w:szCs w:val="18"/>
                <w:color w:val="auto"/>
              </w:rPr>
              <w:t>$   20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34</w:t>
            </w:r>
          </w:p>
        </w:tc>
      </w:tr>
      <w:tr>
        <w:trPr>
          <w:trHeight w:val="216"/>
        </w:trPr>
        <w:tc>
          <w:tcPr>
            <w:tcW w:w="6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paid for interest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8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201</w:t>
            </w:r>
          </w:p>
        </w:tc>
      </w:tr>
    </w:tbl>
    <w:p>
      <w:pPr>
        <w:spacing w:after="0" w:line="208"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For the year ended December 31, 2016, we had non-cash purchase price consideration of $89 million related to vested and unvested stock options and awards that were assumed and replaced with Activision Blizzard equity or deferred cash awards in the King Acquisition. Refer to Note 21 for further discussion.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5" w:lineRule="exact"/>
        <w:rPr>
          <w:sz w:val="20"/>
          <w:szCs w:val="20"/>
          <w:color w:val="auto"/>
        </w:rPr>
      </w:pPr>
    </w:p>
    <w:p>
      <w:pPr>
        <w:ind w:right="260" w:firstLine="341"/>
        <w:spacing w:after="0" w:line="268" w:lineRule="auto"/>
        <w:rPr>
          <w:sz w:val="20"/>
          <w:szCs w:val="20"/>
          <w:color w:val="auto"/>
        </w:rPr>
      </w:pPr>
      <w:r>
        <w:rPr>
          <w:rFonts w:ascii="Arial" w:cs="Arial" w:eastAsia="Arial" w:hAnsi="Arial"/>
          <w:sz w:val="18"/>
          <w:szCs w:val="18"/>
          <w:color w:val="auto"/>
        </w:rPr>
        <w:t>As described in Note 11, a portion of our Revolver can be used to issue letters of credit of up to $50 million, subject to the availability of the Revolver. At December 31, 2016, we did not have any letters of credit issued or outstanding under the Revolver.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w:t>
      </w:r>
    </w:p>
    <w:p>
      <w:pPr>
        <w:spacing w:after="0" w:line="225" w:lineRule="exact"/>
        <w:rPr>
          <w:sz w:val="20"/>
          <w:szCs w:val="20"/>
          <w:color w:val="auto"/>
        </w:rPr>
      </w:pPr>
    </w:p>
    <w:p>
      <w:pPr>
        <w:ind w:firstLine="351"/>
        <w:spacing w:after="0" w:line="288" w:lineRule="auto"/>
        <w:rPr>
          <w:sz w:val="20"/>
          <w:szCs w:val="20"/>
          <w:color w:val="auto"/>
        </w:rPr>
      </w:pPr>
      <w:r>
        <w:rPr>
          <w:rFonts w:ascii="Arial" w:cs="Arial" w:eastAsia="Arial" w:hAnsi="Arial"/>
          <w:sz w:val="16"/>
          <w:szCs w:val="16"/>
          <w:color w:val="auto"/>
        </w:rPr>
        <w:t>In the normal course of business, we enter into contractual arrangements with third parties for non-cancelable operating lease agreements for our offices, for the development of products and for the rights to intellectual property. Under these agreements, we commit to provide specified payments to a lessor, developer or intellectual property holder, as the case may be, based upon contractual arrangements. The payments to third-party developers are generally conditioned upon the achievement by the developers of contractually specified development milestones. Further, these payments to third-party developers and intellectual property holders typically are deemed to be advances and, as such, are recoupable against future royalties earned by the developer or intellectual property holder based on sales of the related game. Additionally, in connection with certain intellectual property rights, acquisitions and development agreements, we commit to spend specified amounts for marketing support for the game(s) which is (are) to be developed or in which the intellectual property will be utilized. Assuming all contractual provisions are met, the total future minimum commitments for these and other contractual arrangements in place at December 31, 2016 are scheduled to be paid as follows (amounts in millions):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7"/>
          </w:tcPr>
          <w:p>
            <w:pPr>
              <w:jc w:val="right"/>
              <w:ind w:right="818"/>
              <w:spacing w:after="0"/>
              <w:rPr>
                <w:sz w:val="20"/>
                <w:szCs w:val="20"/>
                <w:color w:val="auto"/>
              </w:rPr>
            </w:pPr>
            <w:r>
              <w:rPr>
                <w:rFonts w:ascii="Arial" w:cs="Arial" w:eastAsia="Arial" w:hAnsi="Arial"/>
                <w:sz w:val="14"/>
                <w:szCs w:val="14"/>
                <w:b w:val="1"/>
                <w:bCs w:val="1"/>
                <w:color w:val="auto"/>
              </w:rPr>
              <w:t>Contractual Obligations(1)</w:t>
            </w: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0" w:type="dxa"/>
            <w:vAlign w:val="bottom"/>
          </w:tcPr>
          <w:p>
            <w:pPr>
              <w:spacing w:after="0"/>
              <w:rPr>
                <w:sz w:val="11"/>
                <w:szCs w:val="11"/>
                <w:color w:val="auto"/>
              </w:rPr>
            </w:pPr>
          </w:p>
        </w:tc>
        <w:tc>
          <w:tcPr>
            <w:tcW w:w="200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0"/>
              </w:rPr>
              <w:t>Facility and</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tcPr>
          <w:p>
            <w:pPr>
              <w:jc w:val="center"/>
              <w:ind w:right="20"/>
              <w:spacing w:after="0" w:line="129" w:lineRule="exact"/>
              <w:rPr>
                <w:sz w:val="20"/>
                <w:szCs w:val="20"/>
                <w:color w:val="auto"/>
              </w:rPr>
            </w:pPr>
            <w:r>
              <w:rPr>
                <w:rFonts w:ascii="Arial" w:cs="Arial" w:eastAsia="Arial" w:hAnsi="Arial"/>
                <w:sz w:val="14"/>
                <w:szCs w:val="14"/>
                <w:b w:val="1"/>
                <w:bCs w:val="1"/>
                <w:color w:val="auto"/>
                <w:w w:val="87"/>
              </w:rPr>
              <w:t>Developer and</w:t>
            </w: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center"/>
              <w:ind w:right="18"/>
              <w:spacing w:after="0" w:line="129" w:lineRule="exact"/>
              <w:rPr>
                <w:sz w:val="20"/>
                <w:szCs w:val="20"/>
                <w:color w:val="auto"/>
              </w:rPr>
            </w:pPr>
            <w:r>
              <w:rPr>
                <w:rFonts w:ascii="Arial" w:cs="Arial" w:eastAsia="Arial" w:hAnsi="Arial"/>
                <w:sz w:val="14"/>
                <w:szCs w:val="14"/>
                <w:b w:val="1"/>
                <w:bCs w:val="1"/>
                <w:color w:val="auto"/>
                <w:w w:val="90"/>
              </w:rPr>
              <w:t>Long-Term</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37"/>
              <w:spacing w:after="0" w:line="149" w:lineRule="exact"/>
              <w:rPr>
                <w:sz w:val="20"/>
                <w:szCs w:val="20"/>
                <w:color w:val="auto"/>
              </w:rPr>
            </w:pPr>
            <w:r>
              <w:rPr>
                <w:rFonts w:ascii="Arial" w:cs="Arial" w:eastAsia="Arial" w:hAnsi="Arial"/>
                <w:sz w:val="14"/>
                <w:szCs w:val="14"/>
                <w:b w:val="1"/>
                <w:bCs w:val="1"/>
                <w:color w:val="auto"/>
                <w:w w:val="88"/>
              </w:rPr>
              <w:t>Equipment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Intellectual</w:t>
            </w: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89"/>
              </w:rPr>
              <w:t>Debt</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1"/>
        </w:trPr>
        <w:tc>
          <w:tcPr>
            <w:tcW w:w="2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center"/>
              <w:ind w:right="17"/>
              <w:spacing w:after="0"/>
              <w:rPr>
                <w:sz w:val="20"/>
                <w:szCs w:val="20"/>
                <w:color w:val="auto"/>
              </w:rPr>
            </w:pPr>
            <w:r>
              <w:rPr>
                <w:rFonts w:ascii="Arial" w:cs="Arial" w:eastAsia="Arial" w:hAnsi="Arial"/>
                <w:sz w:val="14"/>
                <w:szCs w:val="14"/>
                <w:b w:val="1"/>
                <w:bCs w:val="1"/>
                <w:color w:val="auto"/>
                <w:w w:val="79"/>
              </w:rPr>
              <w:t>Leases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center"/>
              <w:ind w:right="20"/>
              <w:spacing w:after="0"/>
              <w:rPr>
                <w:sz w:val="20"/>
                <w:szCs w:val="20"/>
                <w:color w:val="auto"/>
              </w:rPr>
            </w:pPr>
            <w:r>
              <w:rPr>
                <w:rFonts w:ascii="Arial" w:cs="Arial" w:eastAsia="Arial" w:hAnsi="Arial"/>
                <w:sz w:val="14"/>
                <w:szCs w:val="14"/>
                <w:b w:val="1"/>
                <w:bCs w:val="1"/>
                <w:color w:val="auto"/>
                <w:w w:val="86"/>
              </w:rPr>
              <w:t>Properties</w:t>
            </w:r>
          </w:p>
        </w:tc>
        <w:tc>
          <w:tcPr>
            <w:tcW w:w="160" w:type="dxa"/>
            <w:vAlign w:val="bottom"/>
          </w:tcPr>
          <w:p>
            <w:pPr>
              <w:spacing w:after="0"/>
              <w:rPr>
                <w:sz w:val="14"/>
                <w:szCs w:val="14"/>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Marketing</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jc w:val="center"/>
              <w:ind w:right="18"/>
              <w:spacing w:after="0"/>
              <w:rPr>
                <w:sz w:val="20"/>
                <w:szCs w:val="20"/>
                <w:color w:val="auto"/>
              </w:rPr>
            </w:pPr>
            <w:r>
              <w:rPr>
                <w:rFonts w:ascii="Arial" w:cs="Arial" w:eastAsia="Arial" w:hAnsi="Arial"/>
                <w:sz w:val="14"/>
                <w:szCs w:val="14"/>
                <w:b w:val="1"/>
                <w:bCs w:val="1"/>
                <w:color w:val="auto"/>
                <w:w w:val="87"/>
              </w:rPr>
              <w:t>Obligations(2)</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r>
      <w:tr>
        <w:trPr>
          <w:trHeight w:val="210"/>
        </w:trPr>
        <w:tc>
          <w:tcPr>
            <w:tcW w:w="20" w:type="dxa"/>
            <w:vAlign w:val="bottom"/>
          </w:tcPr>
          <w:p>
            <w:pPr>
              <w:spacing w:after="0"/>
              <w:rPr>
                <w:sz w:val="18"/>
                <w:szCs w:val="18"/>
                <w:color w:val="auto"/>
              </w:rPr>
            </w:pPr>
          </w:p>
        </w:tc>
        <w:tc>
          <w:tcPr>
            <w:tcW w:w="4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 the years ending December 31,</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2017</w:t>
            </w:r>
          </w:p>
        </w:tc>
        <w:tc>
          <w:tcPr>
            <w:tcW w:w="208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65</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196</w:t>
            </w:r>
          </w:p>
        </w:tc>
        <w:tc>
          <w:tcPr>
            <w:tcW w:w="500" w:type="dxa"/>
            <w:vAlign w:val="bottom"/>
            <w:gridSpan w:val="2"/>
          </w:tcPr>
          <w:p>
            <w:pPr>
              <w:jc w:val="right"/>
              <w:ind w:right="188"/>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53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2018</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2019</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2020</w:t>
            </w: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00" w:type="dxa"/>
            <w:vAlign w:val="bottom"/>
          </w:tcPr>
          <w:p>
            <w:pPr>
              <w:ind w:left="160"/>
              <w:spacing w:after="0"/>
              <w:rPr>
                <w:sz w:val="20"/>
                <w:szCs w:val="20"/>
                <w:color w:val="auto"/>
              </w:rPr>
            </w:pPr>
            <w:r>
              <w:rPr>
                <w:rFonts w:ascii="Arial" w:cs="Arial" w:eastAsia="Arial" w:hAnsi="Arial"/>
                <w:sz w:val="18"/>
                <w:szCs w:val="18"/>
                <w:color w:val="auto"/>
              </w:rPr>
              <w:t>2021</w:t>
            </w: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3,133</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Thereafter</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1,907</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4080" w:type="dxa"/>
            <w:vAlign w:val="bottom"/>
            <w:gridSpan w:val="2"/>
          </w:tcPr>
          <w:p>
            <w:pPr>
              <w:ind w:left="340"/>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w:t>
            </w:r>
          </w:p>
        </w:tc>
        <w:tc>
          <w:tcPr>
            <w:tcW w:w="160" w:type="dxa"/>
            <w:vAlign w:val="bottom"/>
          </w:tcPr>
          <w:p>
            <w:pPr>
              <w:spacing w:after="0"/>
              <w:rPr>
                <w:sz w:val="18"/>
                <w:szCs w:val="18"/>
                <w:color w:val="auto"/>
              </w:rPr>
            </w:pPr>
          </w:p>
        </w:tc>
        <w:tc>
          <w:tcPr>
            <w:tcW w:w="340" w:type="dxa"/>
            <w:vAlign w:val="bottom"/>
            <w:tcBorders>
              <w:bottom w:val="single" w:sz="8" w:color="auto"/>
            </w:tcBorders>
          </w:tcPr>
          <w:p>
            <w:pPr>
              <w:jc w:val="right"/>
              <w:ind w:right="188"/>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16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5,846</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6,615</w:t>
            </w:r>
          </w:p>
        </w:tc>
        <w:tc>
          <w:tcPr>
            <w:tcW w:w="1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208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9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0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1680" w:right="20" w:hanging="531"/>
        <w:spacing w:after="0" w:line="298" w:lineRule="auto"/>
        <w:tabs>
          <w:tab w:leader="none" w:pos="1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We have omitted uncertain income tax liabilities from this table due to the inherent uncertainty regarding the timing of the potential issue resolution of the underlying matters. Specifically, either (a) the underlying positions have not been fully developed under audit to quantify at this time or, (b) the years relating to the matters for certain jurisdictions are not currently under audit. At December 31, 2016, we had $587 million of net unrecognized tax benefits included in "Other liabilities" in our consolidated balance sheet.</w:t>
      </w:r>
    </w:p>
    <w:p>
      <w:pPr>
        <w:spacing w:after="0" w:line="193" w:lineRule="exact"/>
        <w:rPr>
          <w:rFonts w:ascii="Arial" w:cs="Arial" w:eastAsia="Arial" w:hAnsi="Arial"/>
          <w:sz w:val="16"/>
          <w:szCs w:val="16"/>
          <w:color w:val="auto"/>
        </w:rPr>
      </w:pPr>
    </w:p>
    <w:p>
      <w:pPr>
        <w:ind w:left="1680" w:right="40" w:hanging="531"/>
        <w:spacing w:after="0" w:line="291" w:lineRule="auto"/>
        <w:tabs>
          <w:tab w:leader="none" w:pos="168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Long-term debt obligations represent our obligations related to the contractual principal repayments and interest payments under the 2016 TLA, 2023 Notes, and the New Notes as of December 31, 2016. There was no outstanding balance under our Revolver as of December 31, 2016. The 2023 Notes and the New Notes are subject to fixed interest rates and we have calculated the interest obligation based on the applicable rates and payment dates. The 2016 TLA bears a variable interest rate and interest is payable on a monthly basis. We have calculated the expected interest obligation based on the outstanding principal balance and interest rate applicable at December 31, 2016. Refer to Note 11 for additional information on our debt obligations.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225" w:lineRule="exact"/>
        <w:rPr>
          <w:sz w:val="20"/>
          <w:szCs w:val="20"/>
          <w:color w:val="auto"/>
        </w:rPr>
      </w:pPr>
    </w:p>
    <w:p>
      <w:pPr>
        <w:ind w:right="180" w:firstLine="348"/>
        <w:spacing w:after="0" w:line="298" w:lineRule="auto"/>
        <w:rPr>
          <w:sz w:val="20"/>
          <w:szCs w:val="20"/>
          <w:color w:val="auto"/>
        </w:rPr>
      </w:pPr>
      <w:r>
        <w:rPr>
          <w:rFonts w:ascii="Arial" w:cs="Arial" w:eastAsia="Arial" w:hAnsi="Arial"/>
          <w:sz w:val="16"/>
          <w:szCs w:val="16"/>
          <w:color w:val="auto"/>
        </w:rPr>
        <w:t>We are party to routine claims, suits, investigations, audits, and other proceedings arising from the ordinary course of business, including with respect to intellectual property rights, contractual claims, labor and employment matters, regulatory matters, tax matters, unclaimed property matters, compliance matters, and collection matters. In the opinion of management, after consultation with legal counsel, such routine claims and lawsuits are not significant and we do not expect them to have a material adverse effect on our business, financial condition, results of operations, or liquidity.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Transaction Matters</w:t>
      </w:r>
    </w:p>
    <w:p>
      <w:pPr>
        <w:spacing w:after="0" w:line="225"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In prior periods, the Company reported on litigation related to the Purchase Transaction. During the period ended June 30, 2015, the cases were resolved and dismissed with prejudice. As part of the resolution of the claims, we received a settlement payment of $202 million in July 2015 from Vivendi, ASAC LP, and our insurers. We recorded the settlement within "Shareholders' equity" in our consolidated balance sheet as of December 31, 2015.</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Vivendi and Its Affiliates</w:t>
      </w:r>
    </w:p>
    <w:p>
      <w:pPr>
        <w:spacing w:after="0" w:line="225" w:lineRule="exact"/>
        <w:rPr>
          <w:sz w:val="20"/>
          <w:szCs w:val="20"/>
          <w:color w:val="auto"/>
        </w:rPr>
      </w:pPr>
    </w:p>
    <w:p>
      <w:pPr>
        <w:ind w:firstLine="341"/>
        <w:spacing w:after="0" w:line="291" w:lineRule="auto"/>
        <w:rPr>
          <w:sz w:val="20"/>
          <w:szCs w:val="20"/>
          <w:color w:val="auto"/>
        </w:rPr>
      </w:pPr>
      <w:r>
        <w:rPr>
          <w:rFonts w:ascii="Arial" w:cs="Arial" w:eastAsia="Arial" w:hAnsi="Arial"/>
          <w:sz w:val="16"/>
          <w:szCs w:val="16"/>
          <w:color w:val="auto"/>
        </w:rPr>
        <w:t>As part of the Business Combination in 2008, we entered into various transactions and agreements, including cash management services agreements, a tax sharing agreement and an investor agreement, with Vivendi and its subsidiaries. In connection with the consummation of the Purchase Transaction, we terminated the cash management arrangements with Vivendi and amended our investor agreement with Vivendi. We are also party to a number of agreements with subsidiaries and other affiliates of Vivendi, including music licensing and distribution arrangements and promotional arrangements, none of which were impacted by the Purchase Transaction. None of these services, transactions, and agreements with Vivendi and its affiliates were material, either individually or in the aggregate, to the consolidated financial statements as a whole.</w:t>
      </w:r>
    </w:p>
    <w:p>
      <w:pPr>
        <w:spacing w:after="0" w:line="174" w:lineRule="exact"/>
        <w:rPr>
          <w:sz w:val="20"/>
          <w:szCs w:val="20"/>
          <w:color w:val="auto"/>
        </w:rPr>
      </w:pPr>
    </w:p>
    <w:p>
      <w:pPr>
        <w:ind w:right="880" w:firstLine="351"/>
        <w:spacing w:after="0" w:line="268" w:lineRule="auto"/>
        <w:rPr>
          <w:sz w:val="20"/>
          <w:szCs w:val="20"/>
          <w:color w:val="auto"/>
        </w:rPr>
      </w:pPr>
      <w:r>
        <w:rPr>
          <w:rFonts w:ascii="Arial" w:cs="Arial" w:eastAsia="Arial" w:hAnsi="Arial"/>
          <w:sz w:val="18"/>
          <w:szCs w:val="18"/>
          <w:color w:val="auto"/>
        </w:rPr>
        <w:t>On May 28, 2014, Vivendi sold 41 million shares, reducing its ownership interest below 10%, and was no longer considered a related party as of December 31, 2015. Subsequent to December 31, 2015, Vivendi sold its remaining shares of our common stock.</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ASAC's Affiliates</w:t>
      </w:r>
    </w:p>
    <w:p>
      <w:pPr>
        <w:spacing w:after="0" w:line="225" w:lineRule="exact"/>
        <w:rPr>
          <w:sz w:val="20"/>
          <w:szCs w:val="20"/>
          <w:color w:val="auto"/>
        </w:rPr>
      </w:pPr>
    </w:p>
    <w:p>
      <w:pPr>
        <w:ind w:right="200" w:firstLine="351"/>
        <w:spacing w:after="0" w:line="298" w:lineRule="auto"/>
        <w:rPr>
          <w:sz w:val="20"/>
          <w:szCs w:val="20"/>
          <w:color w:val="auto"/>
        </w:rPr>
      </w:pPr>
      <w:r>
        <w:rPr>
          <w:rFonts w:ascii="Arial" w:cs="Arial" w:eastAsia="Arial" w:hAnsi="Arial"/>
          <w:sz w:val="16"/>
          <w:szCs w:val="16"/>
          <w:color w:val="auto"/>
        </w:rPr>
        <w:t>In connection with the Purchase Transaction, on October 11, 2013, we, ASAC LP and, for the limited purposes set forth therein, Messrs. Kotick and Kelly entered into a stockholders agreement (the "Stockholders Agreement"). The Stockholders Agreement contains various agreements among the parties regarding voting rights, transfer rights, and a standstill agreement, among other things. In connection with the settlement of the litigation related to the Purchase Transaction, the parties to the Stockholders Agreement amended that agreement on May 28, 2015.</w:t>
      </w:r>
    </w:p>
    <w:p>
      <w:pPr>
        <w:spacing w:after="0" w:line="167"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As of December 31, 2015, ASAC LP, held approximately 172 million shares, or approximately 23% of the outstanding shares of our common stock at that time. Robert A. Kotick, our Chief Executive Officer, and Brian G. Kelly, Chairman of our Board of Directors, are the managers of ASAC II GP. On June 8, 2016, ASAC GP distributed the approximately 141 million shares allocable to the limited partners of ASAC LP to those limited partners. On July 7, 2016, ASAC LP distributed approximately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Related Party Transactions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18 million of its remaining approximately 31 million shares to ASAC GP. On August 15, 2016, ASAC GP sold approximately 4 million shares of our common stock and distributed 14 million shares pro rata to its members, consisting of trusts for the benefit of Messrs. Kotick and Kelly, which shares were ultimately sold on that day for financial and estate-planning purposes. On August 19, 2016, ASAC LP distributed its remaining shares of common stock to ASAC GP, leaving ASAC LP without any shares and ASAC GP with approximately 13 million shares of our common stock, which represented approximately 2% of the outstanding shares of our common stock as of December 31, 2016. On February 10, 2017, ASAC GP distributed its remaining shares. We did not receive any proceeds from any of the distributions or sales of the shares.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Acquisitions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King Digital Entertainment</w:t>
      </w:r>
    </w:p>
    <w:p>
      <w:pPr>
        <w:spacing w:after="0" w:line="225" w:lineRule="exact"/>
        <w:rPr>
          <w:sz w:val="20"/>
          <w:szCs w:val="20"/>
          <w:color w:val="auto"/>
        </w:rPr>
      </w:pPr>
    </w:p>
    <w:p>
      <w:pPr>
        <w:jc w:val="both"/>
        <w:ind w:right="80" w:firstLine="351"/>
        <w:spacing w:after="0" w:line="256" w:lineRule="auto"/>
        <w:rPr>
          <w:sz w:val="20"/>
          <w:szCs w:val="20"/>
          <w:color w:val="auto"/>
        </w:rPr>
      </w:pPr>
      <w:r>
        <w:rPr>
          <w:rFonts w:ascii="Arial" w:cs="Arial" w:eastAsia="Arial" w:hAnsi="Arial"/>
          <w:sz w:val="18"/>
          <w:szCs w:val="18"/>
          <w:color w:val="auto"/>
        </w:rPr>
        <w:t>On February 23, 2016, we completed the King Acquisition, purchasing all of its outstanding shares. As a result, King became a wholly owned subsidiary of Activision Blizzard. King is a leading global developer and publisher of interactive entertainment content and services, particularly on mobile platforms, such as Android and iOS, and on online and social platforms, such as Facebook and the king.com websites. King's results of operations since the King Closing Date are included in our consolidated financial statements.</w:t>
      </w:r>
    </w:p>
    <w:p>
      <w:pPr>
        <w:spacing w:after="0" w:line="197" w:lineRule="exact"/>
        <w:rPr>
          <w:sz w:val="20"/>
          <w:szCs w:val="20"/>
          <w:color w:val="auto"/>
        </w:rPr>
      </w:pPr>
    </w:p>
    <w:p>
      <w:pPr>
        <w:jc w:val="both"/>
        <w:ind w:right="60" w:firstLine="348"/>
        <w:spacing w:after="0" w:line="268" w:lineRule="auto"/>
        <w:rPr>
          <w:sz w:val="20"/>
          <w:szCs w:val="20"/>
          <w:color w:val="auto"/>
        </w:rPr>
      </w:pPr>
      <w:r>
        <w:rPr>
          <w:rFonts w:ascii="Arial" w:cs="Arial" w:eastAsia="Arial" w:hAnsi="Arial"/>
          <w:sz w:val="18"/>
          <w:szCs w:val="18"/>
          <w:color w:val="auto"/>
        </w:rPr>
        <w:t>We made this acquisition because we believe that the addition of King's highly-complementary mobile business positions the Company as a global leader in interactive entertainment across console, PC, and mobile platforms, as well as positioning us for future growth.</w:t>
      </w:r>
    </w:p>
    <w:p>
      <w:pPr>
        <w:spacing w:after="0" w:line="186" w:lineRule="exact"/>
        <w:rPr>
          <w:sz w:val="20"/>
          <w:szCs w:val="20"/>
          <w:color w:val="auto"/>
        </w:rPr>
      </w:pPr>
    </w:p>
    <w:p>
      <w:pPr>
        <w:ind w:right="120" w:firstLine="348"/>
        <w:spacing w:after="0" w:line="259" w:lineRule="auto"/>
        <w:rPr>
          <w:sz w:val="20"/>
          <w:szCs w:val="20"/>
          <w:color w:val="auto"/>
        </w:rPr>
      </w:pPr>
      <w:r>
        <w:rPr>
          <w:rFonts w:ascii="Arial" w:cs="Arial" w:eastAsia="Arial" w:hAnsi="Arial"/>
          <w:sz w:val="18"/>
          <w:szCs w:val="18"/>
          <w:color w:val="auto"/>
        </w:rPr>
        <w:t>The aggregate purchase price of the King Acquisition was approximately $5.8 billion, which was paid on the King Closing Date and funded primarily with $3.6 billion of existing cash and $2.2 billion of cash from new debt issued by the Company. The total aggregate purchase price for King was comprised of (amounts in millions):</w:t>
      </w:r>
    </w:p>
    <w:p>
      <w:pPr>
        <w:spacing w:after="0" w:line="203"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Cash consideration for outstanding King common stock and vested equity options and awards(1)</w:t>
            </w:r>
          </w:p>
        </w:tc>
        <w:tc>
          <w:tcPr>
            <w:tcW w:w="36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5,730</w:t>
            </w:r>
          </w:p>
        </w:tc>
      </w:tr>
      <w:tr>
        <w:trPr>
          <w:trHeight w:val="216"/>
        </w:trPr>
        <w:tc>
          <w:tcPr>
            <w:tcW w:w="7000" w:type="dxa"/>
            <w:vAlign w:val="bottom"/>
            <w:gridSpan w:val="2"/>
          </w:tcPr>
          <w:p>
            <w:pPr>
              <w:spacing w:after="0"/>
              <w:rPr>
                <w:sz w:val="20"/>
                <w:szCs w:val="20"/>
                <w:color w:val="auto"/>
              </w:rPr>
            </w:pPr>
            <w:r>
              <w:rPr>
                <w:rFonts w:ascii="Arial" w:cs="Arial" w:eastAsia="Arial" w:hAnsi="Arial"/>
                <w:sz w:val="18"/>
                <w:szCs w:val="18"/>
                <w:color w:val="auto"/>
              </w:rPr>
              <w:t>Fair value of King's existing vested and unvested stock options and awards assumed(2)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98</w:t>
            </w:r>
          </w:p>
        </w:tc>
      </w:tr>
      <w:tr>
        <w:trPr>
          <w:trHeight w:val="20"/>
        </w:trPr>
        <w:tc>
          <w:tcPr>
            <w:tcW w:w="2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7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5,828</w:t>
            </w:r>
          </w:p>
        </w:tc>
      </w:tr>
      <w:tr>
        <w:trPr>
          <w:trHeight w:val="20"/>
        </w:trPr>
        <w:tc>
          <w:tcPr>
            <w:tcW w:w="212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89"/>
        </w:trPr>
        <w:tc>
          <w:tcPr>
            <w:tcW w:w="2120" w:type="dxa"/>
            <w:vAlign w:val="bottom"/>
            <w:tcBorders>
              <w:bottom w:val="single" w:sz="8" w:color="auto"/>
            </w:tcBorders>
          </w:tcPr>
          <w:p>
            <w:pPr>
              <w:spacing w:after="0"/>
              <w:rPr>
                <w:sz w:val="7"/>
                <w:szCs w:val="7"/>
                <w:color w:val="auto"/>
              </w:rPr>
            </w:pPr>
          </w:p>
        </w:tc>
        <w:tc>
          <w:tcPr>
            <w:tcW w:w="48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460" w:type="dxa"/>
            <w:vAlign w:val="bottom"/>
          </w:tcPr>
          <w:p>
            <w:pPr>
              <w:spacing w:after="0"/>
              <w:rPr>
                <w:sz w:val="7"/>
                <w:szCs w:val="7"/>
                <w:color w:val="auto"/>
              </w:rPr>
            </w:pPr>
          </w:p>
        </w:tc>
        <w:tc>
          <w:tcPr>
            <w:tcW w:w="160" w:type="dxa"/>
            <w:vAlign w:val="bottom"/>
          </w:tcPr>
          <w:p>
            <w:pPr>
              <w:spacing w:after="0"/>
              <w:rPr>
                <w:sz w:val="7"/>
                <w:szCs w:val="7"/>
                <w:color w:val="auto"/>
              </w:rPr>
            </w:pPr>
          </w:p>
        </w:tc>
      </w:tr>
    </w:tbl>
    <w:p>
      <w:pPr>
        <w:spacing w:after="0" w:line="221" w:lineRule="exact"/>
        <w:rPr>
          <w:sz w:val="20"/>
          <w:szCs w:val="20"/>
          <w:color w:val="auto"/>
        </w:rPr>
      </w:pPr>
    </w:p>
    <w:p>
      <w:pPr>
        <w:ind w:left="2260" w:right="80" w:hanging="540"/>
        <w:spacing w:after="0" w:line="259"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the cash consideration paid based on $18.00 per share to common stock holders of King and the fair value of King's existing vested options and awards that were cash settled at the King Closing Date for the portion of the fair value related to pre-combination services. No future services are required.</w:t>
      </w:r>
    </w:p>
    <w:p>
      <w:pPr>
        <w:spacing w:after="0" w:line="221" w:lineRule="exact"/>
        <w:rPr>
          <w:rFonts w:ascii="Arial" w:cs="Arial" w:eastAsia="Arial" w:hAnsi="Arial"/>
          <w:sz w:val="18"/>
          <w:szCs w:val="18"/>
          <w:color w:val="auto"/>
        </w:rPr>
      </w:pPr>
    </w:p>
    <w:p>
      <w:pPr>
        <w:ind w:left="2260" w:right="80" w:hanging="540"/>
        <w:spacing w:after="0" w:line="255" w:lineRule="auto"/>
        <w:tabs>
          <w:tab w:leader="none" w:pos="22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the fair value of King's existing vested and unvested stock options and awards that were assumed and replaced with Activision Blizzard equity or deferred cash awards. The purchase price includes the portion of fair value related to pre-combination services. The fair value of the options and awards assumed was determined using binomial-lattice and Monte Carlo models with the following assumptions: (a) volatility of 36%, (b) time-varying risk-free interest rates based on the U.S. Treasury yield curves, (c) an expected</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Acquisitions (Continued)</w:t>
      </w:r>
    </w:p>
    <w:p>
      <w:pPr>
        <w:spacing w:after="0" w:line="231" w:lineRule="exact"/>
        <w:rPr>
          <w:sz w:val="20"/>
          <w:szCs w:val="20"/>
          <w:color w:val="auto"/>
        </w:rPr>
      </w:pPr>
    </w:p>
    <w:p>
      <w:pPr>
        <w:ind w:left="2260" w:right="320"/>
        <w:spacing w:after="0" w:line="268" w:lineRule="auto"/>
        <w:rPr>
          <w:sz w:val="20"/>
          <w:szCs w:val="20"/>
          <w:color w:val="auto"/>
        </w:rPr>
      </w:pPr>
      <w:r>
        <w:rPr>
          <w:rFonts w:ascii="Arial" w:cs="Arial" w:eastAsia="Arial" w:hAnsi="Arial"/>
          <w:sz w:val="18"/>
          <w:szCs w:val="18"/>
          <w:color w:val="auto"/>
        </w:rPr>
        <w:t>life ranging from approximately 0.1 years to 7.6 years, and (d) an expected dividend yield of 0.9%. See additional discussion under Share-Based Compensation below.</w:t>
      </w:r>
    </w:p>
    <w:p>
      <w:pPr>
        <w:spacing w:after="0" w:line="186" w:lineRule="exact"/>
        <w:rPr>
          <w:sz w:val="20"/>
          <w:szCs w:val="20"/>
          <w:color w:val="auto"/>
        </w:rPr>
      </w:pPr>
    </w:p>
    <w:p>
      <w:pPr>
        <w:ind w:right="80" w:firstLine="348"/>
        <w:spacing w:after="0" w:line="306" w:lineRule="auto"/>
        <w:rPr>
          <w:sz w:val="20"/>
          <w:szCs w:val="20"/>
          <w:color w:val="auto"/>
        </w:rPr>
      </w:pPr>
      <w:r>
        <w:rPr>
          <w:rFonts w:ascii="Arial" w:cs="Arial" w:eastAsia="Arial" w:hAnsi="Arial"/>
          <w:sz w:val="16"/>
          <w:szCs w:val="16"/>
          <w:color w:val="auto"/>
        </w:rPr>
        <w:t>We identified and recorded assets acquired and liabilities assumed at their estimated fair values at the King Closing Date, and allocated the remaining value of approximately $2.7 billion to goodwill. During the year ended December 31, 2016, we recorded certain immaterial measurement period adjustments to our preliminary purchase price allocation based on additional analysis of facts and circumstances that existed as of the King Closing Date.</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final purchase price allocation is as follows (in millions):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4"/>
          </w:tcPr>
          <w:p>
            <w:pPr>
              <w:jc w:val="right"/>
              <w:ind w:right="240"/>
              <w:spacing w:after="0"/>
              <w:rPr>
                <w:sz w:val="20"/>
                <w:szCs w:val="20"/>
                <w:color w:val="auto"/>
              </w:rPr>
            </w:pPr>
            <w:r>
              <w:rPr>
                <w:rFonts w:ascii="Arial" w:cs="Arial" w:eastAsia="Arial" w:hAnsi="Arial"/>
                <w:sz w:val="14"/>
                <w:szCs w:val="14"/>
                <w:b w:val="1"/>
                <w:bCs w:val="1"/>
                <w:color w:val="auto"/>
                <w:w w:val="93"/>
              </w:rPr>
              <w:t>February 23,</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86"/>
              </w:rPr>
              <w:t>Estimated</w:t>
            </w:r>
          </w:p>
        </w:tc>
      </w:tr>
      <w:tr>
        <w:trPr>
          <w:trHeight w:val="161"/>
        </w:trPr>
        <w:tc>
          <w:tcPr>
            <w:tcW w:w="6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useful lives</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Tangible assets and liabilities assumed:</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200" w:type="dxa"/>
            <w:vAlign w:val="bottom"/>
            <w:gridSpan w:val="2"/>
          </w:tcPr>
          <w:p>
            <w:pPr>
              <w:jc w:val="right"/>
              <w:ind w:right="62"/>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1,151</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Other current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72</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Property and equipment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2 - 7 years</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Deferred income tax assets, net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expense and other liabilities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(272)</w:t>
            </w: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Other liabilities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(110)</w:t>
            </w: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income tax liabilities, net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(52)</w:t>
            </w:r>
          </w:p>
        </w:tc>
        <w:tc>
          <w:tcPr>
            <w:tcW w:w="820" w:type="dxa"/>
            <w:vAlign w:val="bottom"/>
            <w:shd w:val="clear" w:color="auto" w:fill="CCEEFF"/>
          </w:tcPr>
          <w:p>
            <w:pPr>
              <w:spacing w:after="0"/>
              <w:rPr>
                <w:sz w:val="18"/>
                <w:szCs w:val="18"/>
                <w:color w:val="auto"/>
              </w:rPr>
            </w:pP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Intangible assets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Internally-developed franchises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3 - 5 years</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Customer base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609</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2 years</w:t>
            </w:r>
          </w:p>
        </w:tc>
      </w:tr>
      <w:tr>
        <w:trPr>
          <w:trHeight w:val="216"/>
        </w:trPr>
        <w:tc>
          <w:tcPr>
            <w:tcW w:w="6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Developed software</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580</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3 - 4 years</w:t>
            </w:r>
          </w:p>
        </w:tc>
      </w:tr>
      <w:tr>
        <w:trPr>
          <w:trHeight w:val="216"/>
        </w:trPr>
        <w:tc>
          <w:tcPr>
            <w:tcW w:w="6100" w:type="dxa"/>
            <w:vAlign w:val="bottom"/>
          </w:tcPr>
          <w:p>
            <w:pPr>
              <w:ind w:left="180"/>
              <w:spacing w:after="0"/>
              <w:rPr>
                <w:sz w:val="20"/>
                <w:szCs w:val="20"/>
                <w:color w:val="auto"/>
              </w:rPr>
            </w:pPr>
            <w:r>
              <w:rPr>
                <w:rFonts w:ascii="Arial" w:cs="Arial" w:eastAsia="Arial" w:hAnsi="Arial"/>
                <w:sz w:val="18"/>
                <w:szCs w:val="18"/>
                <w:color w:val="auto"/>
              </w:rPr>
              <w:t>Trade name</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46</w:t>
            </w:r>
          </w:p>
        </w:tc>
        <w:tc>
          <w:tcPr>
            <w:tcW w:w="140" w:type="dxa"/>
            <w:vAlign w:val="bottom"/>
          </w:tcPr>
          <w:p>
            <w:pPr>
              <w:spacing w:after="0"/>
              <w:rPr>
                <w:sz w:val="18"/>
                <w:szCs w:val="18"/>
                <w:color w:val="auto"/>
              </w:rPr>
            </w:pPr>
          </w:p>
        </w:tc>
        <w:tc>
          <w:tcPr>
            <w:tcW w:w="820" w:type="dxa"/>
            <w:vAlign w:val="bottom"/>
          </w:tcPr>
          <w:p>
            <w:pPr>
              <w:jc w:val="center"/>
              <w:spacing w:after="0"/>
              <w:rPr>
                <w:sz w:val="20"/>
                <w:szCs w:val="20"/>
                <w:color w:val="auto"/>
              </w:rPr>
            </w:pPr>
            <w:r>
              <w:rPr>
                <w:rFonts w:ascii="Arial" w:cs="Arial" w:eastAsia="Arial" w:hAnsi="Arial"/>
                <w:sz w:val="18"/>
                <w:szCs w:val="18"/>
                <w:color w:val="auto"/>
                <w:w w:val="84"/>
              </w:rPr>
              <w:t>7 years</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2,675</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0"/>
        </w:trPr>
        <w:tc>
          <w:tcPr>
            <w:tcW w:w="6100" w:type="dxa"/>
            <w:vAlign w:val="bottom"/>
          </w:tcPr>
          <w:p>
            <w:pPr>
              <w:spacing w:after="0"/>
              <w:rPr>
                <w:sz w:val="20"/>
                <w:szCs w:val="20"/>
                <w:color w:val="auto"/>
              </w:rPr>
            </w:pPr>
            <w:r>
              <w:rPr>
                <w:rFonts w:ascii="Arial" w:cs="Arial" w:eastAsia="Arial" w:hAnsi="Arial"/>
                <w:sz w:val="18"/>
                <w:szCs w:val="18"/>
                <w:color w:val="auto"/>
              </w:rPr>
              <w:t>Total purchase price</w:t>
            </w:r>
          </w:p>
        </w:tc>
        <w:tc>
          <w:tcPr>
            <w:tcW w:w="20" w:type="dxa"/>
            <w:vAlign w:val="bottom"/>
            <w:tcBorders>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5,828</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
        </w:trPr>
        <w:tc>
          <w:tcPr>
            <w:tcW w:w="6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60" w:firstLine="351"/>
        <w:spacing w:after="0" w:line="298" w:lineRule="auto"/>
        <w:rPr>
          <w:sz w:val="20"/>
          <w:szCs w:val="20"/>
          <w:color w:val="auto"/>
        </w:rPr>
      </w:pPr>
      <w:r>
        <w:rPr>
          <w:rFonts w:ascii="Arial" w:cs="Arial" w:eastAsia="Arial" w:hAnsi="Arial"/>
          <w:sz w:val="16"/>
          <w:szCs w:val="16"/>
          <w:color w:val="auto"/>
        </w:rPr>
        <w:t>During the year ended December 31, 2016, the Company incurred $38 million of expenses related to the King Acquisition, which are included within "General and administrative" in the consolidated statements of operations. In connection with the debt financing that occurred on the King Closing Date, we incurred $38 million of issuance costs that were capitalized and recorded within "Long-term debt, net" on our consolidated balance sheet. The amortization of these capitalized costs was not material to our consolidated statement of operations for the year ended December 31, 2016.</w:t>
      </w:r>
    </w:p>
    <w:p>
      <w:pPr>
        <w:spacing w:after="0" w:line="167"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In connection with the King Acquisition, a majority of the outstanding King options and awards that were unvested as of the King Closing Date were converted into equivalent options and awards with respect to shares of the Company's common stock, using an equity award exchange ratio calculated in accordance with the transaction agreement. As a result, replacement equity options and awards of 10 million and 3 million, respectively, were issued. The portion of the fair value related to</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Acquisitions (Continued)</w:t>
      </w:r>
    </w:p>
    <w:p>
      <w:pPr>
        <w:spacing w:after="0" w:line="23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pre-combination services of $76 million was included in the purchase price, while the remaining fair value will be recognized over the remaining service periods. As of December 31, 2016, the future expense for the converted King options and awards was approximately $40 million, which will be recognized over a weighted average service period of approximately 1.6 years.</w:t>
      </w:r>
    </w:p>
    <w:p>
      <w:pPr>
        <w:spacing w:after="0" w:line="194" w:lineRule="exact"/>
        <w:rPr>
          <w:sz w:val="20"/>
          <w:szCs w:val="20"/>
          <w:color w:val="auto"/>
        </w:rPr>
      </w:pPr>
    </w:p>
    <w:p>
      <w:pPr>
        <w:ind w:right="120" w:firstLine="348"/>
        <w:spacing w:after="0" w:line="254" w:lineRule="auto"/>
        <w:rPr>
          <w:sz w:val="20"/>
          <w:szCs w:val="20"/>
          <w:color w:val="auto"/>
        </w:rPr>
      </w:pPr>
      <w:r>
        <w:rPr>
          <w:rFonts w:ascii="Arial" w:cs="Arial" w:eastAsia="Arial" w:hAnsi="Arial"/>
          <w:sz w:val="18"/>
          <w:szCs w:val="18"/>
          <w:color w:val="auto"/>
        </w:rPr>
        <w:t>The remaining portion of outstanding unvested awards that were assumed were replaced with deferred cash awards. The cash proceeds were placed in an escrow-like account with the cash releases to occur based on the awards' original vesting schedule upon future service being rendered. The cash associated with these awards is recorded in "Other current assets" and "Other assets" in our consolidated balance sheet. The portion of the fair value related to pre-combination services of $22 million was included in the purchase price while the remaining fair value of approximately $9 million will be recognized over the remaining service periods. A portion of the cash proceeds placed in an escrow-like account were released to award holders over the course of 2016, but the amount was not material.</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Identifiable Intangible Assets Acquired and Goodwill</w:t>
      </w:r>
    </w:p>
    <w:p>
      <w:pPr>
        <w:spacing w:after="0" w:line="225" w:lineRule="exact"/>
        <w:rPr>
          <w:sz w:val="20"/>
          <w:szCs w:val="20"/>
          <w:color w:val="auto"/>
        </w:rPr>
      </w:pPr>
    </w:p>
    <w:p>
      <w:pPr>
        <w:ind w:right="20" w:firstLine="348"/>
        <w:spacing w:after="0" w:line="298" w:lineRule="auto"/>
        <w:rPr>
          <w:sz w:val="20"/>
          <w:szCs w:val="20"/>
          <w:color w:val="auto"/>
        </w:rPr>
      </w:pPr>
      <w:r>
        <w:rPr>
          <w:rFonts w:ascii="Arial" w:cs="Arial" w:eastAsia="Arial" w:hAnsi="Arial"/>
          <w:sz w:val="16"/>
          <w:szCs w:val="16"/>
          <w:color w:val="auto"/>
        </w:rPr>
        <w:t>The fair values of the identifiable intangible assets acquired from King were estimated using an income approach, with the exception of the customer base, which was estimated using a cost approach. The fair value of the intangibles using the income approach was determined with the following key assumptions: (a) a weighted average cost of capital of 13%, (b) long-term revenue decay rates ranging from 0% to 65%, and (c) royalty rates ranging from 0.5% to 8%. The fair value of the intangibles using the cost approach was based on amounts that would be required to replace the asset (</w:t>
      </w:r>
      <w:r>
        <w:rPr>
          <w:rFonts w:ascii="Arial" w:cs="Arial" w:eastAsia="Arial" w:hAnsi="Arial"/>
          <w:sz w:val="16"/>
          <w:szCs w:val="16"/>
          <w:i w:val="1"/>
          <w:iCs w:val="1"/>
          <w:color w:val="auto"/>
        </w:rPr>
        <w:t>i.e.,</w:t>
      </w:r>
      <w:r>
        <w:rPr>
          <w:rFonts w:ascii="Arial" w:cs="Arial" w:eastAsia="Arial" w:hAnsi="Arial"/>
          <w:sz w:val="16"/>
          <w:szCs w:val="16"/>
          <w:color w:val="auto"/>
        </w:rPr>
        <w:t xml:space="preserve"> replacement cost).</w:t>
      </w:r>
    </w:p>
    <w:p>
      <w:pPr>
        <w:spacing w:after="0" w:line="167" w:lineRule="exact"/>
        <w:rPr>
          <w:sz w:val="20"/>
          <w:szCs w:val="20"/>
          <w:color w:val="auto"/>
        </w:rPr>
      </w:pPr>
    </w:p>
    <w:p>
      <w:pPr>
        <w:ind w:right="140" w:firstLine="348"/>
        <w:spacing w:after="0" w:line="298" w:lineRule="auto"/>
        <w:rPr>
          <w:sz w:val="20"/>
          <w:szCs w:val="20"/>
          <w:color w:val="auto"/>
        </w:rPr>
      </w:pPr>
      <w:r>
        <w:rPr>
          <w:rFonts w:ascii="Arial" w:cs="Arial" w:eastAsia="Arial" w:hAnsi="Arial"/>
          <w:sz w:val="16"/>
          <w:szCs w:val="16"/>
          <w:color w:val="auto"/>
        </w:rPr>
        <w:t>The Internally-developed franchises, Customer base, Developed software, and Trade name intangible assets will be amortized to "Cost of revenues— subscription, licensing, and other revenues—software royalties, amortization, and intellectual property licenses," "Sales and marketing," "Cost of revenues— subscription, licensing, and other revenues—software royalties, amortization, and intellectual property licenses," and "General and administrative," respectively. The intangible assets will be amortized over their estimated useful lives in proportion to the economic benefits received.</w:t>
      </w:r>
    </w:p>
    <w:p>
      <w:pPr>
        <w:spacing w:after="0" w:line="167" w:lineRule="exact"/>
        <w:rPr>
          <w:sz w:val="20"/>
          <w:szCs w:val="20"/>
          <w:color w:val="auto"/>
        </w:rPr>
      </w:pPr>
    </w:p>
    <w:p>
      <w:pPr>
        <w:ind w:right="140" w:firstLine="348"/>
        <w:spacing w:after="0" w:line="306" w:lineRule="auto"/>
        <w:rPr>
          <w:sz w:val="20"/>
          <w:szCs w:val="20"/>
          <w:color w:val="auto"/>
        </w:rPr>
      </w:pPr>
      <w:r>
        <w:rPr>
          <w:rFonts w:ascii="Arial" w:cs="Arial" w:eastAsia="Arial" w:hAnsi="Arial"/>
          <w:sz w:val="16"/>
          <w:szCs w:val="16"/>
          <w:color w:val="auto"/>
        </w:rPr>
        <w:t>The $2.7 billion of goodwill recognized is primarily attributable to the benefits the Company expects to derive from accelerated expansion as an interactive entertainment provider in the mobile sector, future franchises, and technology, as well as the management team's proven ability to create future games and franchises. Approximately $620 million of the goodwill is expected to be deductible for tax purposes in the U.S.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Contingent Liabilities Assumed</w:t>
      </w:r>
    </w:p>
    <w:p>
      <w:pPr>
        <w:spacing w:after="0" w:line="225"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As a result of the King Acquisition, we assumed contingent liabilities related to contingent consideration associated with King's previous acquisitions of Nonstop Games Oy and Z2Live, Inc. The remaining contingent consideration for Non Stop Games Oy is linked to amounts generated from games launched by Nonstop Games Oy over a specified period. The range of the potential undiscounted amount of all future payments that the Company could be required to make under the contingent consideration arrangement is from $0 to $84 million. The remaining contingent consideration for Z2Live, Inc. is linked to amounts generated from specific games launched by Z2Live, Inc. within a defined period. The potential range of undiscounted future payments that the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Acquisitions (Continued)</w:t>
      </w:r>
    </w:p>
    <w:p>
      <w:pPr>
        <w:spacing w:after="0" w:line="231"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Company could be required to make under the contingent consideration arrangement is from $0 to $75 million. The fair value of the contingent consideration arrangement at the King Closing date and as of December 31, 2016, for Nonstop Games Oy and Z2Live, Inc. was immaterial.</w:t>
      </w:r>
    </w:p>
    <w:p>
      <w:pPr>
        <w:spacing w:after="0" w:line="139"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King Net Revenue and Earnings</w:t>
      </w:r>
    </w:p>
    <w:p>
      <w:pPr>
        <w:spacing w:after="0" w:line="225" w:lineRule="exact"/>
        <w:rPr>
          <w:sz w:val="20"/>
          <w:szCs w:val="20"/>
          <w:color w:val="auto"/>
        </w:rPr>
      </w:pPr>
    </w:p>
    <w:p>
      <w:pPr>
        <w:ind w:right="20" w:firstLine="348"/>
        <w:spacing w:after="0" w:line="306" w:lineRule="auto"/>
        <w:rPr>
          <w:sz w:val="20"/>
          <w:szCs w:val="20"/>
          <w:color w:val="auto"/>
        </w:rPr>
      </w:pPr>
      <w:r>
        <w:rPr>
          <w:rFonts w:ascii="Arial" w:cs="Arial" w:eastAsia="Arial" w:hAnsi="Arial"/>
          <w:sz w:val="16"/>
          <w:szCs w:val="16"/>
          <w:color w:val="auto"/>
        </w:rPr>
        <w:t>The amount of net revenue and earnings attributable to King in the Company's consolidated statement of operations during the year ended December 31, 2016, are included in the table below. The amounts presented represent the net revenues and earnings after adjustments for purchase price accounting, inclusive of amortization of intangible assets, share-based payments, and deferral of revenues and related cost of revenues.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For the Year</w:t>
            </w:r>
          </w:p>
        </w:tc>
      </w:tr>
      <w:tr>
        <w:trPr>
          <w:trHeight w:val="149"/>
        </w:trPr>
        <w:tc>
          <w:tcPr>
            <w:tcW w:w="6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61"/>
        </w:trPr>
        <w:tc>
          <w:tcPr>
            <w:tcW w:w="6540" w:type="dxa"/>
            <w:vAlign w:val="bottom"/>
          </w:tcPr>
          <w:p>
            <w:pPr>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85"/>
              </w:rPr>
              <w:t>December 31, 2016</w:t>
            </w:r>
          </w:p>
        </w:tc>
        <w:tc>
          <w:tcPr>
            <w:tcW w:w="160" w:type="dxa"/>
            <w:vAlign w:val="bottom"/>
          </w:tcPr>
          <w:p>
            <w:pPr>
              <w:spacing w:after="0"/>
              <w:rPr>
                <w:sz w:val="14"/>
                <w:szCs w:val="14"/>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1,523</w:t>
            </w:r>
          </w:p>
        </w:tc>
      </w:tr>
      <w:tr>
        <w:trPr>
          <w:trHeight w:val="222"/>
        </w:trPr>
        <w:tc>
          <w:tcPr>
            <w:tcW w:w="65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(230)</w:t>
            </w:r>
          </w:p>
        </w:tc>
      </w:tr>
    </w:tbl>
    <w:p>
      <w:pPr>
        <w:spacing w:after="0" w:line="201" w:lineRule="exact"/>
        <w:rPr>
          <w:sz w:val="20"/>
          <w:szCs w:val="20"/>
          <w:color w:val="auto"/>
        </w:rPr>
      </w:pPr>
    </w:p>
    <w:p>
      <w:pPr>
        <w:ind w:left="540"/>
        <w:spacing w:after="0"/>
        <w:rPr>
          <w:sz w:val="20"/>
          <w:szCs w:val="20"/>
          <w:color w:val="auto"/>
        </w:rPr>
      </w:pPr>
      <w:r>
        <w:rPr>
          <w:rFonts w:ascii="Arial" w:cs="Arial" w:eastAsia="Arial" w:hAnsi="Arial"/>
          <w:sz w:val="18"/>
          <w:szCs w:val="18"/>
          <w:i w:val="1"/>
          <w:iCs w:val="1"/>
          <w:color w:val="auto"/>
        </w:rPr>
        <w:t>Pro Forma Financial Information</w:t>
      </w:r>
    </w:p>
    <w:p>
      <w:pPr>
        <w:spacing w:after="0" w:line="225" w:lineRule="exact"/>
        <w:rPr>
          <w:sz w:val="20"/>
          <w:szCs w:val="20"/>
          <w:color w:val="auto"/>
        </w:rPr>
      </w:pPr>
    </w:p>
    <w:p>
      <w:pPr>
        <w:ind w:right="140" w:firstLine="348"/>
        <w:spacing w:after="0" w:line="291" w:lineRule="auto"/>
        <w:rPr>
          <w:sz w:val="20"/>
          <w:szCs w:val="20"/>
          <w:color w:val="auto"/>
        </w:rPr>
      </w:pPr>
      <w:r>
        <w:rPr>
          <w:rFonts w:ascii="Arial" w:cs="Arial" w:eastAsia="Arial" w:hAnsi="Arial"/>
          <w:sz w:val="16"/>
          <w:szCs w:val="16"/>
          <w:color w:val="auto"/>
        </w:rPr>
        <w:t>The unaudited financial information in the table below summarizes the combined results of operations of the Company and King, on a pro forma basis, as though the acquisition had occurred on January 1, 2015. The unaudited pro forma financial information presented includes the effects of adjustments related to amortization charges from acquired intangible assets, employee compensation from replacement equity awards issued in the King Acquisition and the profit sharing bonus plan established as part of the King Acquisition, and interest expense from the new debt incurred in connection with the King Acquisition, among other adjustments. We also adjusted for Activision Blizzard and King non-recurring acquisition-related costs of approximately $74 million incurred for the year ended December 31, 2016. The unaudited pro forma financial information for the year ended December 31, 2015 were adjusted to include these charges.</w:t>
      </w:r>
    </w:p>
    <w:p>
      <w:pPr>
        <w:spacing w:after="0" w:line="174" w:lineRule="exact"/>
        <w:rPr>
          <w:sz w:val="20"/>
          <w:szCs w:val="20"/>
          <w:color w:val="auto"/>
        </w:rPr>
      </w:pPr>
    </w:p>
    <w:p>
      <w:pPr>
        <w:jc w:val="both"/>
        <w:ind w:right="540" w:firstLine="348"/>
        <w:spacing w:after="0" w:line="259" w:lineRule="auto"/>
        <w:rPr>
          <w:sz w:val="20"/>
          <w:szCs w:val="20"/>
          <w:color w:val="auto"/>
        </w:rPr>
      </w:pPr>
      <w:r>
        <w:rPr>
          <w:rFonts w:ascii="Arial" w:cs="Arial" w:eastAsia="Arial" w:hAnsi="Arial"/>
          <w:sz w:val="18"/>
          <w:szCs w:val="18"/>
          <w:color w:val="auto"/>
        </w:rPr>
        <w:t>The unaudited pro forma financial information as presented below is for informational purposes only and is not necessarily indicative of the results of operations that would have been achieved if the King Acquisition, and any borrowings undertaken to finance the King Acquisition, had taken place at the beginning of the earliest period presented, nor does it intend to be a projection of future results.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6"/>
          </w:tcPr>
          <w:p>
            <w:pPr>
              <w:jc w:val="center"/>
              <w:ind w:right="2000"/>
              <w:spacing w:after="0"/>
              <w:rPr>
                <w:sz w:val="20"/>
                <w:szCs w:val="20"/>
                <w:color w:val="auto"/>
              </w:rPr>
            </w:pPr>
            <w:r>
              <w:rPr>
                <w:rFonts w:ascii="Arial" w:cs="Arial" w:eastAsia="Arial" w:hAnsi="Arial"/>
                <w:sz w:val="14"/>
                <w:szCs w:val="14"/>
                <w:b w:val="1"/>
                <w:bCs w:val="1"/>
                <w:color w:val="auto"/>
                <w:w w:val="88"/>
              </w:rPr>
              <w:t>For the Year</w:t>
            </w:r>
          </w:p>
        </w:tc>
      </w:tr>
      <w:tr>
        <w:trPr>
          <w:trHeight w:val="149"/>
        </w:trPr>
        <w:tc>
          <w:tcPr>
            <w:tcW w:w="17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3"/>
          </w:tcPr>
          <w:p>
            <w:pPr>
              <w:jc w:val="center"/>
              <w:ind w:left="282"/>
              <w:spacing w:after="0" w:line="149" w:lineRule="exact"/>
              <w:rPr>
                <w:sz w:val="20"/>
                <w:szCs w:val="20"/>
                <w:color w:val="auto"/>
              </w:rPr>
            </w:pPr>
            <w:r>
              <w:rPr>
                <w:rFonts w:ascii="Arial" w:cs="Arial" w:eastAsia="Arial" w:hAnsi="Arial"/>
                <w:sz w:val="14"/>
                <w:szCs w:val="14"/>
                <w:b w:val="1"/>
                <w:bCs w:val="1"/>
                <w:color w:val="auto"/>
                <w:w w:val="84"/>
              </w:rPr>
              <w:t>Ended</w:t>
            </w: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161"/>
        </w:trPr>
        <w:tc>
          <w:tcPr>
            <w:tcW w:w="172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3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160" w:type="dxa"/>
            <w:vAlign w:val="bottom"/>
            <w:gridSpan w:val="6"/>
          </w:tcPr>
          <w:p>
            <w:pPr>
              <w:jc w:val="center"/>
              <w:ind w:right="2000"/>
              <w:spacing w:after="0"/>
              <w:rPr>
                <w:sz w:val="20"/>
                <w:szCs w:val="20"/>
                <w:color w:val="auto"/>
              </w:rPr>
            </w:pPr>
            <w:r>
              <w:rPr>
                <w:rFonts w:ascii="Arial" w:cs="Arial" w:eastAsia="Arial" w:hAnsi="Arial"/>
                <w:sz w:val="14"/>
                <w:szCs w:val="14"/>
                <w:b w:val="1"/>
                <w:bCs w:val="1"/>
                <w:color w:val="auto"/>
                <w:w w:val="87"/>
              </w:rPr>
              <w:t>December 31,</w:t>
            </w:r>
          </w:p>
        </w:tc>
      </w:tr>
      <w:tr>
        <w:trPr>
          <w:trHeight w:val="142"/>
        </w:trPr>
        <w:tc>
          <w:tcPr>
            <w:tcW w:w="4880" w:type="dxa"/>
            <w:vAlign w:val="bottom"/>
            <w:gridSpan w:val="2"/>
          </w:tcPr>
          <w:p>
            <w:pPr>
              <w:ind w:left="1720"/>
              <w:spacing w:after="0" w:line="142" w:lineRule="exact"/>
              <w:rPr>
                <w:sz w:val="20"/>
                <w:szCs w:val="20"/>
                <w:color w:val="auto"/>
              </w:rPr>
            </w:pPr>
            <w:r>
              <w:rPr>
                <w:rFonts w:ascii="Arial" w:cs="Arial" w:eastAsia="Arial" w:hAnsi="Arial"/>
                <w:sz w:val="14"/>
                <w:szCs w:val="14"/>
                <w:b w:val="1"/>
                <w:bCs w:val="1"/>
                <w:color w:val="auto"/>
              </w:rPr>
              <w:t>(in millions)</w:t>
            </w:r>
          </w:p>
        </w:tc>
        <w:tc>
          <w:tcPr>
            <w:tcW w:w="32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w w:val="96"/>
              </w:rPr>
              <w:t>2016</w:t>
            </w:r>
          </w:p>
        </w:tc>
        <w:tc>
          <w:tcPr>
            <w:tcW w:w="1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6"/>
              <w:spacing w:after="0" w:line="142" w:lineRule="exact"/>
              <w:rPr>
                <w:sz w:val="20"/>
                <w:szCs w:val="20"/>
                <w:color w:val="auto"/>
              </w:rPr>
            </w:pPr>
            <w:r>
              <w:rPr>
                <w:rFonts w:ascii="Arial" w:cs="Arial" w:eastAsia="Arial" w:hAnsi="Arial"/>
                <w:sz w:val="14"/>
                <w:szCs w:val="14"/>
                <w:b w:val="1"/>
                <w:bCs w:val="1"/>
                <w:color w:val="auto"/>
                <w:w w:val="89"/>
              </w:rPr>
              <w:t>2015</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0"/>
        </w:trPr>
        <w:tc>
          <w:tcPr>
            <w:tcW w:w="17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3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6,888</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6,677</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Net income</w:t>
            </w:r>
          </w:p>
        </w:tc>
        <w:tc>
          <w:tcPr>
            <w:tcW w:w="3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1,005</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639</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3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0.87</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3160" w:type="dxa"/>
            <w:vAlign w:val="bottom"/>
          </w:tcPr>
          <w:p>
            <w:pPr>
              <w:spacing w:after="0"/>
              <w:rPr>
                <w:sz w:val="20"/>
                <w:szCs w:val="20"/>
                <w:color w:val="auto"/>
              </w:rPr>
            </w:pPr>
            <w:r>
              <w:rPr>
                <w:rFonts w:ascii="Arial" w:cs="Arial" w:eastAsia="Arial" w:hAnsi="Arial"/>
                <w:sz w:val="18"/>
                <w:szCs w:val="18"/>
                <w:color w:val="auto"/>
              </w:rPr>
              <w:t>Diluted earnings per common share</w:t>
            </w:r>
          </w:p>
        </w:tc>
        <w:tc>
          <w:tcPr>
            <w:tcW w:w="33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0.85</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3380" w:type="dxa"/>
            <w:vAlign w:val="bottom"/>
            <w:gridSpan w:val="2"/>
          </w:tcPr>
          <w:p>
            <w:pPr>
              <w:jc w:val="right"/>
              <w:ind w:right="2380"/>
              <w:spacing w:after="0"/>
              <w:rPr>
                <w:sz w:val="20"/>
                <w:szCs w:val="20"/>
                <w:color w:val="auto"/>
              </w:rPr>
            </w:pPr>
            <w:r>
              <w:rPr>
                <w:rFonts w:ascii="Arial" w:cs="Arial" w:eastAsia="Arial" w:hAnsi="Arial"/>
                <w:sz w:val="18"/>
                <w:szCs w:val="18"/>
                <w:color w:val="auto"/>
              </w:rPr>
              <w:t>F-54</w:t>
            </w: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3160" w:type="dxa"/>
            <w:vAlign w:val="bottom"/>
            <w:tcBorders>
              <w:bottom w:val="single" w:sz="8" w:color="808080"/>
            </w:tcBorders>
          </w:tcPr>
          <w:p>
            <w:pPr>
              <w:spacing w:after="0"/>
              <w:rPr>
                <w:sz w:val="19"/>
                <w:szCs w:val="19"/>
                <w:color w:val="auto"/>
              </w:rPr>
            </w:pPr>
          </w:p>
        </w:tc>
        <w:tc>
          <w:tcPr>
            <w:tcW w:w="32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Recently Issued Accounting Pronouncements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compensation</w:t>
      </w:r>
    </w:p>
    <w:p>
      <w:pPr>
        <w:spacing w:after="0" w:line="225" w:lineRule="exact"/>
        <w:rPr>
          <w:sz w:val="20"/>
          <w:szCs w:val="20"/>
          <w:color w:val="auto"/>
        </w:rPr>
      </w:pPr>
    </w:p>
    <w:p>
      <w:pPr>
        <w:ind w:right="140" w:firstLine="351"/>
        <w:spacing w:after="0" w:line="291" w:lineRule="auto"/>
        <w:rPr>
          <w:sz w:val="20"/>
          <w:szCs w:val="20"/>
          <w:color w:val="auto"/>
        </w:rPr>
      </w:pPr>
      <w:r>
        <w:rPr>
          <w:rFonts w:ascii="Arial" w:cs="Arial" w:eastAsia="Arial" w:hAnsi="Arial"/>
          <w:sz w:val="16"/>
          <w:szCs w:val="16"/>
          <w:color w:val="auto"/>
        </w:rPr>
        <w:t>In June 2014, the FASB issued new guidance related to share-based compensation. The new standard requires that a performance target that affects vesting, and that could be achieved after the requisite service period, be treated as a performance condition. As such, the performance target should not be reflected in estimating the grant date fair value of the award. This update further clarifies that compensation cost should be recognized in the period in which it becomes probable that the performance target will be achieved and should represent the compensation cost attributable to the periods for which the requisite service has already been rendered. We adopted this new standard as of January 1, 2016, and applied it prospectively. The adoption of this guidance did not have a material impact on our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Consolidations</w:t>
      </w:r>
    </w:p>
    <w:p>
      <w:pPr>
        <w:spacing w:after="0" w:line="225"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In February 2015, the FASB issued new guidance related to consolidations. The new standard amends certain requirements for determining whether a variable interest entity must be consolidated. We adopted this new standard as of January 1, 2016. The adoption of this guidance did not have a material impact on our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Issuance Costs</w:t>
      </w:r>
    </w:p>
    <w:p>
      <w:pPr>
        <w:spacing w:after="0" w:line="225"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color w:val="auto"/>
        </w:rPr>
        <w:t>In April 2015, the FASB issued new guidance related to the presentation of debt issuance costs in financial statements. The new standard requires an entity to present such costs in the balance sheet as a direct deduction from the related debt liability rather than as an asset. Amortization of the costs will continue to be reported as interest expense. We adopted this change in accounting principle as of January 1, 2016, and applied it retrospectively for each period presented. The adoption of this guidance did not have a material impact on our consolidated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Internal-Use Software</w:t>
      </w:r>
    </w:p>
    <w:p>
      <w:pPr>
        <w:spacing w:after="0" w:line="225" w:lineRule="exact"/>
        <w:rPr>
          <w:sz w:val="20"/>
          <w:szCs w:val="20"/>
          <w:color w:val="auto"/>
        </w:rPr>
      </w:pPr>
    </w:p>
    <w:p>
      <w:pPr>
        <w:ind w:right="140" w:firstLine="351"/>
        <w:spacing w:after="0" w:line="254" w:lineRule="auto"/>
        <w:rPr>
          <w:sz w:val="20"/>
          <w:szCs w:val="20"/>
          <w:color w:val="auto"/>
        </w:rPr>
      </w:pPr>
      <w:r>
        <w:rPr>
          <w:rFonts w:ascii="Arial" w:cs="Arial" w:eastAsia="Arial" w:hAnsi="Arial"/>
          <w:sz w:val="18"/>
          <w:szCs w:val="18"/>
          <w:color w:val="auto"/>
        </w:rPr>
        <w:t>In April 2015, the FASB issued new guidance related to internal-use software. The new standard relates to a customer's accounting for fees paid in cloud computing arrangements. The amendment provides guidance for customers to determine whether such arrangements include software licenses. If a cloud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We adopted this standard as of January 1, 2016, and applied it prospectively. The adoption of this guidance did not have a material impact on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Combinations</w:t>
      </w:r>
    </w:p>
    <w:p>
      <w:pPr>
        <w:spacing w:after="0" w:line="225" w:lineRule="exact"/>
        <w:rPr>
          <w:sz w:val="20"/>
          <w:szCs w:val="20"/>
          <w:color w:val="auto"/>
        </w:rPr>
      </w:pPr>
    </w:p>
    <w:p>
      <w:pPr>
        <w:ind w:right="660" w:firstLine="351"/>
        <w:spacing w:after="0" w:line="306" w:lineRule="auto"/>
        <w:rPr>
          <w:sz w:val="20"/>
          <w:szCs w:val="20"/>
          <w:color w:val="auto"/>
        </w:rPr>
      </w:pPr>
      <w:r>
        <w:rPr>
          <w:rFonts w:ascii="Arial" w:cs="Arial" w:eastAsia="Arial" w:hAnsi="Arial"/>
          <w:sz w:val="16"/>
          <w:szCs w:val="16"/>
          <w:color w:val="auto"/>
        </w:rPr>
        <w:t>In September 2015, the FASB issued new guidance related to business combinations. The new standard requires that the cumulative impact of a measurement period adjustment, including the impact on prior periods, on provisional amounts recorded at the acquisition date as a result of the business combination be recognized in the reporting period the adjustment is identified. The standard also</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9" w:name="page140"/>
    <w:bookmarkEnd w:id="1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Recently Issued Accounting Pronouncements (Continued)</w:t>
      </w:r>
    </w:p>
    <w:p>
      <w:pPr>
        <w:spacing w:after="0" w:line="231"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requires separate presentation on the face of the income statement, or disclosure in the notes, of the portion of the amount recorded in current period earnings by line item. Prior to the issuance of the standard, such adjustments to provisional amounts were recognized retrospectively. We adopted this new standard as of January 1, 2016, and applied it prospectively. No measurement period adjustments impacting earnings occurred as of and for the year ended December 31, 2016.</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2016, the FASB issued new guidance to simplify accounting for share-based payments. The new standard, amongst other things:</w:t>
      </w:r>
    </w:p>
    <w:p>
      <w:pPr>
        <w:spacing w:after="0" w:line="262" w:lineRule="exact"/>
        <w:rPr>
          <w:sz w:val="20"/>
          <w:szCs w:val="20"/>
          <w:color w:val="auto"/>
        </w:rPr>
      </w:pPr>
    </w:p>
    <w:p>
      <w:pPr>
        <w:ind w:left="1080" w:right="660" w:hanging="532"/>
        <w:spacing w:after="0" w:line="370" w:lineRule="auto"/>
        <w:tabs>
          <w:tab w:leader="none" w:pos="108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requires that all excess tax benefits and tax deficiencies be recorded as an income tax expense or benefit in the consolidated statement of operations and that the tax effects of exercised or vested awards be treated as discrete items in the reporting period in which they occur;</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requires excess tax benefits from share-based payments to be reported as operating activities on the statement of cash flows; and</w:t>
      </w:r>
    </w:p>
    <w:p>
      <w:pPr>
        <w:spacing w:after="0" w:line="261" w:lineRule="exact"/>
        <w:rPr>
          <w:rFonts w:ascii="Arial" w:cs="Arial" w:eastAsia="Arial" w:hAnsi="Arial"/>
          <w:sz w:val="16"/>
          <w:szCs w:val="16"/>
          <w:color w:val="auto"/>
        </w:rPr>
      </w:pPr>
    </w:p>
    <w:p>
      <w:pPr>
        <w:ind w:left="1080" w:right="460" w:hanging="532"/>
        <w:spacing w:after="0" w:line="268" w:lineRule="auto"/>
        <w:tabs>
          <w:tab w:leader="none" w:pos="10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permits an accounting policy election to either estimate the number of awards that are expected to vest using an estimated forfeiture rate, as currently required, or account for forfeitures when they occur.</w:t>
      </w:r>
    </w:p>
    <w:p>
      <w:pPr>
        <w:spacing w:after="0" w:line="186" w:lineRule="exact"/>
        <w:rPr>
          <w:sz w:val="20"/>
          <w:szCs w:val="20"/>
          <w:color w:val="auto"/>
        </w:rPr>
      </w:pPr>
    </w:p>
    <w:p>
      <w:pPr>
        <w:ind w:right="220" w:firstLine="348"/>
        <w:spacing w:after="0" w:line="268" w:lineRule="auto"/>
        <w:rPr>
          <w:sz w:val="20"/>
          <w:szCs w:val="20"/>
          <w:color w:val="auto"/>
        </w:rPr>
      </w:pPr>
      <w:r>
        <w:rPr>
          <w:rFonts w:ascii="Arial" w:cs="Arial" w:eastAsia="Arial" w:hAnsi="Arial"/>
          <w:sz w:val="18"/>
          <w:szCs w:val="18"/>
          <w:color w:val="auto"/>
        </w:rPr>
        <w:t>We elected to early adopt this new standard in the third quarter of 2016, which requires us to reflect any adjustments as of January 1, 2016. As part of the adoption, we made certain elections, including the following:</w:t>
      </w:r>
    </w:p>
    <w:p>
      <w:pPr>
        <w:spacing w:after="0" w:line="199" w:lineRule="exact"/>
        <w:rPr>
          <w:sz w:val="20"/>
          <w:szCs w:val="20"/>
          <w:color w:val="auto"/>
        </w:rPr>
      </w:pPr>
    </w:p>
    <w:p>
      <w:pPr>
        <w:ind w:left="1080" w:right="300" w:hanging="532"/>
        <w:spacing w:after="0" w:line="268" w:lineRule="auto"/>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apply the presentation requirements for our consolidated statement of cash flows related to excess tax benefits retrospectively to all periods presented;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to continue to estimate the number of awards that are expected to vest using an estimated forfeiture rate.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a result of the adoption, we recognized excess tax benefits of $81 million as a reduction to income tax expense in our consolidated statement of</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operations for the year ended December 31, 2016. Further, given our retrospective application of the presentation requirements for our consolidated statement of</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cash flows related to excess tax benefits, our net cash provided by operating activities and net cash used in financing activities increased by $67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$39 million for the years ended December 31, 2015, and December 31, 2014, respectively. The other provisions of the standard did not have a material impact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our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In August 2016, the FASB issued new guidance related to the classification of certain cash items in the statement of cash flows. The new standard requires, among other things, that cash payments for debt prepayment or debt extinguishment costs should be classified as cash outflows for financing activities, as opposed to operating activities as is required under existing guidance. We elected to early adopt this standard in the third quarter of 2016 and applied it retrospectively. As a result of the adoption of this standard, our cash flows from financing activities for the year ended December 31, 2016 included the $63 million premium payment from the October 19, 2016 redemption of our Original</w:t>
      </w:r>
    </w:p>
    <w:p>
      <w:pPr>
        <w:spacing w:after="0" w:line="17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Recently Issued Accounting Pronouncements (Continued)</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2021 Notes. The adoption of this standard did not have a material impact on our consolidated statements of cash flows upon adoption for the years ended December 31, 2015 and 2014.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not yet adopted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recognition</w:t>
      </w:r>
    </w:p>
    <w:p>
      <w:pPr>
        <w:spacing w:after="0" w:line="225" w:lineRule="exact"/>
        <w:rPr>
          <w:sz w:val="20"/>
          <w:szCs w:val="20"/>
          <w:color w:val="auto"/>
        </w:rPr>
      </w:pPr>
    </w:p>
    <w:p>
      <w:pPr>
        <w:ind w:firstLine="351"/>
        <w:spacing w:after="0" w:line="286" w:lineRule="auto"/>
        <w:rPr>
          <w:sz w:val="20"/>
          <w:szCs w:val="20"/>
          <w:color w:val="auto"/>
        </w:rPr>
      </w:pPr>
      <w:r>
        <w:rPr>
          <w:rFonts w:ascii="Arial" w:cs="Arial" w:eastAsia="Arial" w:hAnsi="Arial"/>
          <w:sz w:val="16"/>
          <w:szCs w:val="16"/>
          <w:color w:val="auto"/>
        </w:rPr>
        <w:t>In May 2014, the FASB issued new accounting guidance related to revenue recognition. The new standard will replace all current U.S. GAAP guidance on this topic and eliminate all industry-specific guidance, providing a unified model to determine when and how revenue is recognized. The core principle is that a company should recognize revenue upon the transfer of promised goods or services to customers in an amount that reflects the consideration the company expects to be entitled to in exchange for those goods or services. This guidance will be effective for fiscal years and interim periods within those years beginning after December 15, 2017, and can be applied either retrospectively to each period presented or as a cumulative-effect adjustment as of the date of adoption. We are evaluating the adoption method as well as the impact of this new accounting guidance on our financial statements and related disclosures. As previously disclosed, we believe the adoption of the new revenue recognition standard may have a significant impact on the accounting for our sales of our games with significant online functionality for which we do not have VSOE for unspecified future updates and ongoing online services provided. Under the current accounting standards, VSOE for undelivered elements is required. This requirement will be eliminated under the new standard. Accordingly, we may be required to recognize as revenue a portion of the sales price upon delivery of the software, as compared to the current requirement of recognizing the entire sales price ratably over an estimated offering period. This potential difference may have a material impact on our consolidated financial statements upon adoption of this new guidance. As accounting implementation guidance and clarifications regarding this matter is still evolving, we continue to evaluate the impact this guidance will have on our consolidated financial statements and related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In February 2016, the FASB issued new guidance related to the accounting for leases. The new standard will replace all current U.S. GAAP guidance on this topic. The new standard, among other things, requires a lessee to classify a lease as either an operating or financing lease and lessees will need to recognize a lease liability and a right-of-use asset for their leases. The liability will be equal to the present value of lease payments. The asset will be based on the liability, subject to adjustment for initial direct costs, lease incentives received and any prepaid lease payments. Operating leases will result in straight-line expense, while finance leases will result in a front-loaded expense pattern. Classification will be based on criteria that are largely similar to those applied in current lease accounting. The standard is effective for fiscal years, and interim periods within those fiscal years, beginning after December 15, 2018. Early adoption is permitted. The new standard must be adopted using a modified retrospective transition and will require application of the new guidance at the beginning of the earliest comparative period presented. We are evaluating the impact of this new accounting guidance on our consolidated financial statements.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Recently Issued Accounting Pronouncements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w:t>
      </w:r>
    </w:p>
    <w:p>
      <w:pPr>
        <w:spacing w:after="0" w:line="225" w:lineRule="exact"/>
        <w:rPr>
          <w:sz w:val="20"/>
          <w:szCs w:val="20"/>
          <w:color w:val="auto"/>
        </w:rPr>
      </w:pPr>
    </w:p>
    <w:p>
      <w:pPr>
        <w:ind w:right="20" w:firstLine="351"/>
        <w:spacing w:after="0" w:line="255" w:lineRule="auto"/>
        <w:rPr>
          <w:sz w:val="20"/>
          <w:szCs w:val="20"/>
          <w:color w:val="auto"/>
        </w:rPr>
      </w:pPr>
      <w:r>
        <w:rPr>
          <w:rFonts w:ascii="Arial" w:cs="Arial" w:eastAsia="Arial" w:hAnsi="Arial"/>
          <w:sz w:val="18"/>
          <w:szCs w:val="18"/>
          <w:color w:val="auto"/>
        </w:rPr>
        <w:t>In July 2015, the FASB issued new guidance related to the measurement of inventory which requires inventory within the scope of the guidance to be measured at the lower of cost and net realizable value. Net realizable value is defined as the estimated selling prices in the ordinary course of business, less reasonably predictable costs of completion, disposal, and transportation. The new standard is effective for fiscal years beginning after December 15, 2016 and should be applied prospectively. Early adoption is permitted. The impact this new standard is not expected to have a material impact on our consolidated financial statements.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w:t>
      </w:r>
    </w:p>
    <w:p>
      <w:pPr>
        <w:spacing w:after="0" w:line="225"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In January 2016, the FASB issued new guidance related to the recognition and measurement of financial assets and financial liabilities. The new standard, amongst other things, generally requires companies to measure investments in other entities, except those accounted for under the equity method, at fair value and recognize any changes in fair value in net income. The new standard also simplifies the impairment assessment of equity investments without readily determinable fair values. The new standard is effective for fiscal years beginning after December 15, 2017, and the guidance should be applied by means of a cumulative-effect adjustment to the balance sheet as of the beginning of the fiscal year of adoption. The amendments related to equity investments without readily determinable fair values (including disclosure requirements) should be applied prospectively to equity investments that exist as of the date of adoption. We are evaluating the impact, if any, of adopting this new accounting guidance on our financial statements.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Flows—Restricted Cash</w:t>
      </w:r>
    </w:p>
    <w:p>
      <w:pPr>
        <w:spacing w:after="0" w:line="225"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In November 2016, the FASB issued new guidance related to the classification of restricted cash in the statement of cash flows. The new standard requires that a statement of cash flows explain any change during the period in total cash, cash equivalents, and restricted cash. Therefore, restricted cash will be included with cash and cash equivalents when reconciling the beginning-of-period and end-of-period total amounts shown on the statement of cash flows. The new standard is effective for fiscal years beginning after December 15, 2018 and should be applied retrospectively. Early adoption is permitted.</w:t>
      </w:r>
    </w:p>
    <w:p>
      <w:pPr>
        <w:spacing w:after="0" w:line="167"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We are evaluating the impact, if any, of adopting this new accounting guidance on our financial statements. We expect there would be a significant impact to the consolidated statements of cash flows for the years ended December 31, 2015 and 2016, as those years include, as an investing activity, the $3.6 billion movement in restricted cash as a result of transferring cash into escrow at December 31, 2015 to facilitate the King Acquisition and the subsequent release of that cash in 2016 in connection with the King Acquisition. Under this new standard, the restricted cash balance would be included in the beginning and ending total cash, cash equivalents, and restricted cash balances and hence would not be included as an investing activity in the statement of cash flows.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ind w:right="220" w:firstLine="351"/>
        <w:spacing w:after="0" w:line="332" w:lineRule="auto"/>
        <w:rPr>
          <w:sz w:val="20"/>
          <w:szCs w:val="20"/>
          <w:color w:val="auto"/>
        </w:rPr>
      </w:pPr>
      <w:r>
        <w:rPr>
          <w:rFonts w:ascii="Arial" w:cs="Arial" w:eastAsia="Arial" w:hAnsi="Arial"/>
          <w:sz w:val="16"/>
          <w:szCs w:val="16"/>
          <w:color w:val="auto"/>
        </w:rPr>
        <w:t>In January 2017, the FASB issued new guidance which eliminates Step 2 from the goodwill impairment test. Instead, if any entity forgoes a Step 0 test, an entity will be required to perform its annual or interim goodwill impairment test by comparing the fair value of a reporting unit, as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ind w:left="3600"/>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Recently Issued Accounting Pronouncements (Continued)</w:t>
      </w:r>
    </w:p>
    <w:p>
      <w:pPr>
        <w:spacing w:after="0" w:line="231"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determined in Step 1 from the goodwill impairment test, with its carrying amount and recognize an impairment charge, if any, for the amount by which the carrying amount exceeds the reporting unit's fair value, not to exceed the total amount of goodwill allocated to the reporting unit. The new standard is effective for fiscal years beginning after December 15, 2019 and should be applied prospectively. Early adoption is permitted. We are evaluating the impact, if any, of adopting this new accounting guidance on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Quarterly Financial Information (Unaudited)</w:t>
      </w:r>
    </w:p>
    <w:p>
      <w:pPr>
        <w:spacing w:after="0" w:line="28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9"/>
              </w:rPr>
              <w:t>For the Quarters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29"/>
        </w:trPr>
        <w:tc>
          <w:tcPr>
            <w:tcW w:w="21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6"/>
              </w:rPr>
              <w:t>June 30,</w:t>
            </w:r>
          </w:p>
        </w:tc>
        <w:tc>
          <w:tcPr>
            <w:tcW w:w="8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60" w:type="dxa"/>
            <w:vAlign w:val="bottom"/>
          </w:tcPr>
          <w:p>
            <w:pPr>
              <w:spacing w:after="0"/>
              <w:rPr>
                <w:sz w:val="11"/>
                <w:szCs w:val="11"/>
                <w:color w:val="auto"/>
              </w:rPr>
            </w:pPr>
          </w:p>
        </w:tc>
      </w:tr>
      <w:tr>
        <w:trPr>
          <w:trHeight w:val="161"/>
        </w:trPr>
        <w:tc>
          <w:tcPr>
            <w:tcW w:w="212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2016</w:t>
            </w:r>
          </w:p>
        </w:tc>
        <w:tc>
          <w:tcPr>
            <w:tcW w:w="160" w:type="dxa"/>
            <w:vAlign w:val="bottom"/>
          </w:tcPr>
          <w:p>
            <w:pPr>
              <w:spacing w:after="0"/>
              <w:rPr>
                <w:sz w:val="14"/>
                <w:szCs w:val="14"/>
                <w:color w:val="auto"/>
              </w:rPr>
            </w:pPr>
          </w:p>
        </w:tc>
      </w:tr>
      <w:tr>
        <w:trPr>
          <w:trHeight w:val="142"/>
        </w:trPr>
        <w:tc>
          <w:tcPr>
            <w:tcW w:w="21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(Amounts in millions,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1,570</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1,455</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Cost of revenues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776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529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598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491</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461</w:t>
            </w:r>
          </w:p>
        </w:tc>
      </w:tr>
      <w:tr>
        <w:trPr>
          <w:trHeight w:val="216"/>
        </w:trPr>
        <w:tc>
          <w:tcPr>
            <w:tcW w:w="3980" w:type="dxa"/>
            <w:vAlign w:val="bottom"/>
            <w:gridSpan w:val="2"/>
          </w:tcPr>
          <w:p>
            <w:pPr>
              <w:spacing w:after="0"/>
              <w:rPr>
                <w:sz w:val="20"/>
                <w:szCs w:val="20"/>
                <w:color w:val="auto"/>
              </w:rPr>
            </w:pPr>
            <w:r>
              <w:rPr>
                <w:rFonts w:ascii="Arial" w:cs="Arial" w:eastAsia="Arial" w:hAnsi="Arial"/>
                <w:sz w:val="18"/>
                <w:szCs w:val="18"/>
                <w:color w:val="auto"/>
              </w:rPr>
              <w:t>Net income(1)</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199</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363</w:t>
            </w:r>
          </w:p>
        </w:tc>
      </w:tr>
      <w:tr>
        <w:trPr>
          <w:trHeight w:val="216"/>
        </w:trPr>
        <w:tc>
          <w:tcPr>
            <w:tcW w:w="3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earnings per share(1)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0.49</w:t>
            </w:r>
          </w:p>
        </w:tc>
      </w:tr>
      <w:tr>
        <w:trPr>
          <w:trHeight w:val="222"/>
        </w:trPr>
        <w:tc>
          <w:tcPr>
            <w:tcW w:w="3980" w:type="dxa"/>
            <w:vAlign w:val="bottom"/>
            <w:gridSpan w:val="2"/>
          </w:tcPr>
          <w:p>
            <w:pPr>
              <w:spacing w:after="0"/>
              <w:rPr>
                <w:sz w:val="20"/>
                <w:szCs w:val="20"/>
                <w:color w:val="auto"/>
              </w:rPr>
            </w:pPr>
            <w:r>
              <w:rPr>
                <w:rFonts w:ascii="Arial" w:cs="Arial" w:eastAsia="Arial" w:hAnsi="Arial"/>
                <w:sz w:val="18"/>
                <w:szCs w:val="18"/>
                <w:color w:val="auto"/>
              </w:rPr>
              <w:t>Diluted earnings per share(1)</w:t>
            </w: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0.33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0.20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0.48</w:t>
            </w:r>
          </w:p>
        </w:tc>
      </w:tr>
      <w:tr>
        <w:trPr>
          <w:trHeight w:val="102"/>
        </w:trPr>
        <w:tc>
          <w:tcPr>
            <w:tcW w:w="212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2260" w:right="100" w:hanging="540"/>
        <w:spacing w:after="0" w:line="314" w:lineRule="auto"/>
        <w:tabs>
          <w:tab w:leader="none" w:pos="2260" w:val="left"/>
        </w:tabs>
        <w:numPr>
          <w:ilvl w:val="0"/>
          <w:numId w:val="104"/>
        </w:numPr>
        <w:rPr>
          <w:rFonts w:ascii="Arial" w:cs="Arial" w:eastAsia="Arial" w:hAnsi="Arial"/>
          <w:sz w:val="15"/>
          <w:szCs w:val="15"/>
          <w:color w:val="auto"/>
        </w:rPr>
      </w:pPr>
      <w:r>
        <w:rPr>
          <w:rFonts w:ascii="Arial" w:cs="Arial" w:eastAsia="Arial" w:hAnsi="Arial"/>
          <w:sz w:val="15"/>
          <w:szCs w:val="15"/>
          <w:color w:val="auto"/>
        </w:rPr>
        <w:t>During the third quarter of 2016, we early adopted an accounting standard which simplifies the accounting for share-based payments. The standard, among other things, requires all excess tax benefits and tax deficiencies to be recorded as an income tax expense or benefit in the consolidated statement of operations (see Note 22). The adoption of the standard impacted our previously reported results for the quarters ended June 30, 2016 and March 31, 2016. As a result of the adoption of this standard, our net income, basic earnings per share, and diluted earnings per share increased by $24 million, $0.03, and $0.03, respectively, for the quarter ended June 30, 2016, and $27 million, $0.04, and $0.03, respectively, for the quarter ended March 31, 2016.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ind w:right="380"/>
              <w:spacing w:after="0"/>
              <w:rPr>
                <w:sz w:val="20"/>
                <w:szCs w:val="20"/>
                <w:color w:val="auto"/>
              </w:rPr>
            </w:pPr>
            <w:r>
              <w:rPr>
                <w:rFonts w:ascii="Arial" w:cs="Arial" w:eastAsia="Arial" w:hAnsi="Arial"/>
                <w:sz w:val="14"/>
                <w:szCs w:val="14"/>
                <w:b w:val="1"/>
                <w:bCs w:val="1"/>
                <w:color w:val="auto"/>
                <w:w w:val="89"/>
              </w:rPr>
              <w:t>For the Quarters Ended</w:t>
            </w: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29"/>
        </w:trPr>
        <w:tc>
          <w:tcPr>
            <w:tcW w:w="17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December 31,</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jc w:val="right"/>
              <w:ind w:right="19"/>
              <w:spacing w:after="0" w:line="129" w:lineRule="exact"/>
              <w:rPr>
                <w:sz w:val="20"/>
                <w:szCs w:val="20"/>
                <w:color w:val="auto"/>
              </w:rPr>
            </w:pPr>
            <w:r>
              <w:rPr>
                <w:rFonts w:ascii="Arial" w:cs="Arial" w:eastAsia="Arial" w:hAnsi="Arial"/>
                <w:sz w:val="14"/>
                <w:szCs w:val="14"/>
                <w:b w:val="1"/>
                <w:bCs w:val="1"/>
                <w:color w:val="auto"/>
                <w:w w:val="83"/>
              </w:rPr>
              <w:t>September 30,</w:t>
            </w:r>
          </w:p>
        </w:tc>
        <w:tc>
          <w:tcPr>
            <w:tcW w:w="160" w:type="dxa"/>
            <w:vAlign w:val="bottom"/>
          </w:tcPr>
          <w:p>
            <w:pPr>
              <w:spacing w:after="0"/>
              <w:rPr>
                <w:sz w:val="11"/>
                <w:szCs w:val="11"/>
                <w:color w:val="auto"/>
              </w:rPr>
            </w:pPr>
          </w:p>
        </w:tc>
        <w:tc>
          <w:tcPr>
            <w:tcW w:w="720" w:type="dxa"/>
            <w:vAlign w:val="bottom"/>
            <w:gridSpan w:val="2"/>
          </w:tcPr>
          <w:p>
            <w:pPr>
              <w:jc w:val="right"/>
              <w:ind w:right="160"/>
              <w:spacing w:after="0" w:line="129" w:lineRule="exact"/>
              <w:rPr>
                <w:sz w:val="20"/>
                <w:szCs w:val="20"/>
                <w:color w:val="auto"/>
              </w:rPr>
            </w:pPr>
            <w:r>
              <w:rPr>
                <w:rFonts w:ascii="Arial" w:cs="Arial" w:eastAsia="Arial" w:hAnsi="Arial"/>
                <w:sz w:val="14"/>
                <w:szCs w:val="14"/>
                <w:b w:val="1"/>
                <w:bCs w:val="1"/>
                <w:color w:val="auto"/>
                <w:w w:val="96"/>
              </w:rPr>
              <w:t>June 30,</w:t>
            </w:r>
          </w:p>
        </w:tc>
        <w:tc>
          <w:tcPr>
            <w:tcW w:w="80" w:type="dxa"/>
            <w:vAlign w:val="bottom"/>
          </w:tcPr>
          <w:p>
            <w:pPr>
              <w:spacing w:after="0"/>
              <w:rPr>
                <w:sz w:val="11"/>
                <w:szCs w:val="11"/>
                <w:color w:val="auto"/>
              </w:rPr>
            </w:pPr>
          </w:p>
        </w:tc>
        <w:tc>
          <w:tcPr>
            <w:tcW w:w="7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2"/>
              </w:rPr>
              <w:t>March 31,</w:t>
            </w:r>
          </w:p>
        </w:tc>
        <w:tc>
          <w:tcPr>
            <w:tcW w:w="1880" w:type="dxa"/>
            <w:vAlign w:val="bottom"/>
            <w:gridSpan w:val="2"/>
          </w:tcPr>
          <w:p>
            <w:pPr>
              <w:spacing w:after="0"/>
              <w:rPr>
                <w:sz w:val="11"/>
                <w:szCs w:val="11"/>
                <w:color w:val="auto"/>
              </w:rPr>
            </w:pPr>
          </w:p>
        </w:tc>
      </w:tr>
      <w:tr>
        <w:trPr>
          <w:trHeight w:val="161"/>
        </w:trPr>
        <w:tc>
          <w:tcPr>
            <w:tcW w:w="17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r>
      <w:tr>
        <w:trPr>
          <w:trHeight w:val="142"/>
        </w:trPr>
        <w:tc>
          <w:tcPr>
            <w:tcW w:w="17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180" w:type="dxa"/>
            <w:vAlign w:val="bottom"/>
            <w:gridSpan w:val="9"/>
          </w:tcPr>
          <w:p>
            <w:pPr>
              <w:jc w:val="right"/>
              <w:spacing w:after="0" w:line="142" w:lineRule="exact"/>
              <w:rPr>
                <w:sz w:val="20"/>
                <w:szCs w:val="20"/>
                <w:color w:val="auto"/>
              </w:rPr>
            </w:pPr>
            <w:r>
              <w:rPr>
                <w:rFonts w:ascii="Arial" w:cs="Arial" w:eastAsia="Arial" w:hAnsi="Arial"/>
                <w:sz w:val="14"/>
                <w:szCs w:val="14"/>
                <w:b w:val="1"/>
                <w:bCs w:val="1"/>
                <w:color w:val="auto"/>
              </w:rPr>
              <w:t>(Amounts in millions, except per share data)</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r>
      <w:tr>
        <w:trPr>
          <w:trHeight w:val="216"/>
        </w:trPr>
        <w:tc>
          <w:tcPr>
            <w:tcW w:w="17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  1,044</w:t>
            </w:r>
          </w:p>
        </w:tc>
        <w:tc>
          <w:tcPr>
            <w:tcW w:w="26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1,278</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Cost of revenues</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337</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297</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413</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332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Net income</w:t>
            </w: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127</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394</w:t>
            </w:r>
          </w:p>
        </w:tc>
        <w:tc>
          <w:tcPr>
            <w:tcW w:w="1720" w:type="dxa"/>
            <w:vAlign w:val="bottom"/>
          </w:tcPr>
          <w:p>
            <w:pPr>
              <w:spacing w:after="0"/>
              <w:rPr>
                <w:sz w:val="18"/>
                <w:szCs w:val="18"/>
                <w:color w:val="auto"/>
              </w:rPr>
            </w:pPr>
          </w:p>
        </w:tc>
      </w:tr>
      <w:tr>
        <w:trPr>
          <w:trHeight w:val="216"/>
        </w:trPr>
        <w:tc>
          <w:tcPr>
            <w:tcW w:w="17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0.54</w:t>
            </w:r>
          </w:p>
        </w:tc>
        <w:tc>
          <w:tcPr>
            <w:tcW w:w="1720" w:type="dxa"/>
            <w:vAlign w:val="bottom"/>
          </w:tcPr>
          <w:p>
            <w:pPr>
              <w:spacing w:after="0"/>
              <w:rPr>
                <w:sz w:val="18"/>
                <w:szCs w:val="18"/>
                <w:color w:val="auto"/>
              </w:rPr>
            </w:pPr>
          </w:p>
        </w:tc>
      </w:tr>
      <w:tr>
        <w:trPr>
          <w:trHeight w:val="222"/>
        </w:trPr>
        <w:tc>
          <w:tcPr>
            <w:tcW w:w="1720" w:type="dxa"/>
            <w:vAlign w:val="bottom"/>
          </w:tcPr>
          <w:p>
            <w:pPr>
              <w:spacing w:after="0"/>
              <w:rPr>
                <w:sz w:val="19"/>
                <w:szCs w:val="19"/>
                <w:color w:val="auto"/>
              </w:rPr>
            </w:pPr>
          </w:p>
        </w:tc>
        <w:tc>
          <w:tcPr>
            <w:tcW w:w="28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0.17</w:t>
            </w:r>
          </w:p>
        </w:tc>
        <w:tc>
          <w:tcPr>
            <w:tcW w:w="880" w:type="dxa"/>
            <w:vAlign w:val="bottom"/>
            <w:gridSpan w:val="3"/>
          </w:tcPr>
          <w:p>
            <w:pPr>
              <w:jc w:val="right"/>
              <w:ind w:right="80"/>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0.53</w:t>
            </w:r>
          </w:p>
        </w:tc>
        <w:tc>
          <w:tcPr>
            <w:tcW w:w="1720" w:type="dxa"/>
            <w:vAlign w:val="bottom"/>
          </w:tcPr>
          <w:p>
            <w:pPr>
              <w:spacing w:after="0"/>
              <w:rPr>
                <w:sz w:val="19"/>
                <w:szCs w:val="19"/>
                <w:color w:val="auto"/>
              </w:rPr>
            </w:pPr>
          </w:p>
        </w:tc>
      </w:tr>
      <w:tr>
        <w:trPr>
          <w:trHeight w:val="424"/>
        </w:trPr>
        <w:tc>
          <w:tcPr>
            <w:tcW w:w="17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2100" w:type="dxa"/>
            <w:vAlign w:val="bottom"/>
            <w:gridSpan w:val="3"/>
          </w:tcPr>
          <w:p>
            <w:pPr>
              <w:jc w:val="right"/>
              <w:ind w:right="699"/>
              <w:spacing w:after="0"/>
              <w:rPr>
                <w:sz w:val="20"/>
                <w:szCs w:val="20"/>
                <w:color w:val="auto"/>
              </w:rPr>
            </w:pPr>
            <w:r>
              <w:rPr>
                <w:rFonts w:ascii="Arial" w:cs="Arial" w:eastAsia="Arial" w:hAnsi="Arial"/>
                <w:sz w:val="18"/>
                <w:szCs w:val="18"/>
                <w:color w:val="auto"/>
              </w:rPr>
              <w:t>F-59</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284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SCHEDULE II</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ACTIVISION BLIZZARD, INC. AND SUBSIDIARIES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VALUATION AND QUALIFYING ACCOUNTS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(Amounts in millions)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88"/>
              </w:rPr>
              <w:t>Col. B</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Balance at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Col. 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84"/>
              </w:rPr>
              <w:t>Beginning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ind w:right="175"/>
              <w:spacing w:after="0" w:line="149" w:lineRule="exact"/>
              <w:rPr>
                <w:sz w:val="20"/>
                <w:szCs w:val="20"/>
                <w:color w:val="auto"/>
              </w:rPr>
            </w:pPr>
            <w:r>
              <w:rPr>
                <w:rFonts w:ascii="Arial" w:cs="Arial" w:eastAsia="Arial" w:hAnsi="Arial"/>
                <w:sz w:val="14"/>
                <w:szCs w:val="14"/>
                <w:b w:val="1"/>
                <w:bCs w:val="1"/>
                <w:color w:val="auto"/>
              </w:rPr>
              <w:t>Col. C</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Col. D</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Balance at End</w:t>
            </w:r>
          </w:p>
        </w:tc>
        <w:tc>
          <w:tcPr>
            <w:tcW w:w="0" w:type="dxa"/>
            <w:vAlign w:val="bottom"/>
          </w:tcPr>
          <w:p>
            <w:pPr>
              <w:spacing w:after="0"/>
              <w:rPr>
                <w:sz w:val="1"/>
                <w:szCs w:val="1"/>
                <w:color w:val="auto"/>
              </w:rPr>
            </w:pPr>
          </w:p>
        </w:tc>
      </w:tr>
      <w:tr>
        <w:trPr>
          <w:trHeight w:val="161"/>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Col. A Description</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Period</w:t>
            </w:r>
          </w:p>
        </w:tc>
        <w:tc>
          <w:tcPr>
            <w:tcW w:w="160" w:type="dxa"/>
            <w:vAlign w:val="bottom"/>
          </w:tcPr>
          <w:p>
            <w:pPr>
              <w:spacing w:after="0"/>
              <w:rPr>
                <w:sz w:val="14"/>
                <w:szCs w:val="14"/>
                <w:color w:val="auto"/>
              </w:rPr>
            </w:pPr>
          </w:p>
        </w:tc>
        <w:tc>
          <w:tcPr>
            <w:tcW w:w="9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Additions(A)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Deductions(B)</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of Period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December 31, 2016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w w:val="90"/>
              </w:rPr>
              <w:t>Allowances for sales returns and price protection and 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3"/>
          </w:tcPr>
          <w:p>
            <w:pPr>
              <w:ind w:left="340"/>
              <w:spacing w:after="0"/>
              <w:rPr>
                <w:sz w:val="20"/>
                <w:szCs w:val="20"/>
                <w:color w:val="auto"/>
              </w:rPr>
            </w:pPr>
            <w:r>
              <w:rPr>
                <w:rFonts w:ascii="Arial" w:cs="Arial" w:eastAsia="Arial" w:hAnsi="Arial"/>
                <w:sz w:val="18"/>
                <w:szCs w:val="18"/>
                <w:color w:val="auto"/>
              </w:rPr>
              <w:t>allowances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339</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(201)</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spacing w:after="0"/>
              <w:rPr>
                <w:sz w:val="20"/>
                <w:szCs w:val="20"/>
                <w:color w:val="auto"/>
              </w:rPr>
            </w:pPr>
            <w:r>
              <w:rPr>
                <w:rFonts w:ascii="Arial" w:cs="Arial" w:eastAsia="Arial" w:hAnsi="Arial"/>
                <w:sz w:val="18"/>
                <w:szCs w:val="18"/>
                <w:color w:val="auto"/>
              </w:rPr>
              <w:t>At December 31, 2015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0"/>
              </w:rPr>
              <w:t>Allowances for sales returns and price protection and other</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44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allowances</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34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(154)</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rPr>
              <w:t>Allowance for doubtful accounts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At December 31, 2014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440" w:type="dxa"/>
            <w:vAlign w:val="bottom"/>
            <w:gridSpan w:val="3"/>
          </w:tcPr>
          <w:p>
            <w:pPr>
              <w:ind w:left="160"/>
              <w:spacing w:after="0"/>
              <w:rPr>
                <w:sz w:val="20"/>
                <w:szCs w:val="20"/>
                <w:color w:val="auto"/>
              </w:rPr>
            </w:pPr>
            <w:r>
              <w:rPr>
                <w:rFonts w:ascii="Arial" w:cs="Arial" w:eastAsia="Arial" w:hAnsi="Arial"/>
                <w:sz w:val="18"/>
                <w:szCs w:val="18"/>
                <w:color w:val="auto"/>
                <w:w w:val="90"/>
              </w:rPr>
              <w:t>Allowances for sales returns and price protection and other</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40" w:type="dxa"/>
            <w:vAlign w:val="bottom"/>
            <w:gridSpan w:val="3"/>
          </w:tcPr>
          <w:p>
            <w:pPr>
              <w:ind w:left="340"/>
              <w:spacing w:after="0"/>
              <w:rPr>
                <w:sz w:val="20"/>
                <w:szCs w:val="20"/>
                <w:color w:val="auto"/>
              </w:rPr>
            </w:pPr>
            <w:r>
              <w:rPr>
                <w:rFonts w:ascii="Arial" w:cs="Arial" w:eastAsia="Arial" w:hAnsi="Arial"/>
                <w:sz w:val="18"/>
                <w:szCs w:val="18"/>
                <w:color w:val="auto"/>
              </w:rPr>
              <w:t>allowances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376</w:t>
            </w:r>
          </w:p>
        </w:tc>
        <w:tc>
          <w:tcPr>
            <w:tcW w:w="340" w:type="dxa"/>
            <w:vAlign w:val="bottom"/>
            <w:gridSpan w:val="2"/>
          </w:tcPr>
          <w:p>
            <w:pPr>
              <w:jc w:val="right"/>
              <w:ind w:right="32"/>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(209)</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379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Allowance for doubtful accounts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Includes increases and reversals of allowances for sales returns, price protection, and doubtful accounts due to normal reserving terms.</w:t>
      </w:r>
    </w:p>
    <w:p>
      <w:pPr>
        <w:spacing w:after="0" w:line="275" w:lineRule="exact"/>
        <w:rPr>
          <w:rFonts w:ascii="Arial" w:cs="Arial" w:eastAsia="Arial" w:hAnsi="Arial"/>
          <w:sz w:val="16"/>
          <w:szCs w:val="16"/>
          <w:color w:val="auto"/>
        </w:rPr>
      </w:pPr>
    </w:p>
    <w:p>
      <w:pPr>
        <w:ind w:left="1680" w:right="340" w:hanging="531"/>
        <w:spacing w:after="0" w:line="268" w:lineRule="auto"/>
        <w:tabs>
          <w:tab w:leader="none" w:pos="1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Includes actual write-offs and utilization of allowances for sales returns, price protection and uncollectible accounts receivable, net of recoveries, and foreign currency translation and other adjustments.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EXHIBIT INDEX</w:t>
      </w:r>
    </w:p>
    <w:p>
      <w:pPr>
        <w:spacing w:after="0" w:line="231" w:lineRule="exact"/>
        <w:rPr>
          <w:sz w:val="20"/>
          <w:szCs w:val="20"/>
          <w:color w:val="auto"/>
        </w:rPr>
      </w:pPr>
    </w:p>
    <w:p>
      <w:pPr>
        <w:ind w:right="100" w:firstLine="351"/>
        <w:spacing w:after="0" w:line="290" w:lineRule="auto"/>
        <w:rPr>
          <w:sz w:val="20"/>
          <w:szCs w:val="20"/>
          <w:color w:val="auto"/>
        </w:rPr>
      </w:pPr>
      <w:r>
        <w:rPr>
          <w:rFonts w:ascii="Arial" w:cs="Arial" w:eastAsia="Arial" w:hAnsi="Arial"/>
          <w:sz w:val="16"/>
          <w:szCs w:val="16"/>
          <w:color w:val="auto"/>
        </w:rPr>
        <w:t>Pursuant to the rules and regulations of the SEC, the Company has filed certain agreements as exhibits to this Annual Report on Form 10-K. These agreements may contain representations and warranties by the parties. These representations and warranties have been made solely for the benefit of the other party or parties to such agreements and (i) may have been qualified by disclosures made to such other party or parties, (ii) were made only as of the date of such agreements or such other date(s) as may be specified in such agreements and are subject to more recent developments, which may not be fully reflected in the Company's public disclosure, (iii) may reflect the allocation of risk among the parties to such agreements and (iv) may apply materiality standards different from what may be viewed as material to investors. Accordingly, these representations and warranties may not describe the Company's actual state of affairs at the date hereof and should not be relied upon.</w:t>
      </w:r>
    </w:p>
    <w:p>
      <w:pPr>
        <w:spacing w:after="0" w:line="168"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880" w:hanging="381"/>
        <w:spacing w:after="0" w:line="321" w:lineRule="auto"/>
        <w:tabs>
          <w:tab w:leader="none" w:pos="12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Transaction Agreement, dated November 2, 2015, by and among King Digital Entertainment plc, ABS Partners C.V. and Activision Blizzard, Inc. (incorporated by reference to Exhibit 2.1 of the Company's Form 8-K, filed November 3, 2015).</w:t>
      </w:r>
    </w:p>
    <w:p>
      <w:pPr>
        <w:spacing w:after="0" w:line="175" w:lineRule="exact"/>
        <w:rPr>
          <w:sz w:val="20"/>
          <w:szCs w:val="20"/>
          <w:color w:val="auto"/>
        </w:rPr>
      </w:pPr>
    </w:p>
    <w:p>
      <w:pPr>
        <w:ind w:left="1280" w:right="120" w:hanging="381"/>
        <w:spacing w:after="0" w:line="268" w:lineRule="auto"/>
        <w:tabs>
          <w:tab w:leader="none" w:pos="1260" w:val="left"/>
        </w:tabs>
        <w:rPr>
          <w:sz w:val="20"/>
          <w:szCs w:val="20"/>
          <w:color w:val="auto"/>
        </w:rPr>
      </w:pPr>
      <w:r>
        <w:rPr>
          <w:rFonts w:ascii="Arial" w:cs="Arial" w:eastAsia="Arial" w:hAnsi="Arial"/>
          <w:sz w:val="18"/>
          <w:szCs w:val="18"/>
          <w:color w:val="auto"/>
        </w:rPr>
        <w:t>2.2</w:t>
        <w:tab/>
        <w:t>Appendix I to the Rule 2.5 Announcement (Conditions Appendix) (incorporated by reference to Exhibit 2.2 of the Company's Form 8-K, filed November 3, 2015).</w:t>
      </w:r>
    </w:p>
    <w:p>
      <w:pPr>
        <w:spacing w:after="0" w:line="213" w:lineRule="exact"/>
        <w:rPr>
          <w:sz w:val="20"/>
          <w:szCs w:val="20"/>
          <w:color w:val="auto"/>
        </w:rPr>
      </w:pPr>
    </w:p>
    <w:p>
      <w:pPr>
        <w:ind w:left="1280" w:right="640" w:hanging="381"/>
        <w:spacing w:after="0" w:line="268" w:lineRule="auto"/>
        <w:tabs>
          <w:tab w:leader="none" w:pos="1260" w:val="left"/>
        </w:tabs>
        <w:rPr>
          <w:sz w:val="20"/>
          <w:szCs w:val="20"/>
          <w:color w:val="auto"/>
        </w:rPr>
      </w:pPr>
      <w:r>
        <w:rPr>
          <w:rFonts w:ascii="Arial" w:cs="Arial" w:eastAsia="Arial" w:hAnsi="Arial"/>
          <w:sz w:val="18"/>
          <w:szCs w:val="18"/>
          <w:color w:val="auto"/>
        </w:rPr>
        <w:t>3.1</w:t>
        <w:tab/>
        <w:t>Third Amended and Restated Certificate of Incorporation of Activision Blizzard, Inc., dated June 5, 2014 (incorporated by reference to Exhibit 3.1 of the Company's Form 8-K, filed June 6, 2014).</w:t>
      </w:r>
    </w:p>
    <w:p>
      <w:pPr>
        <w:spacing w:after="0" w:line="213" w:lineRule="exact"/>
        <w:rPr>
          <w:sz w:val="20"/>
          <w:szCs w:val="20"/>
          <w:color w:val="auto"/>
        </w:rPr>
      </w:pPr>
    </w:p>
    <w:p>
      <w:pPr>
        <w:ind w:left="1280" w:right="160" w:hanging="381"/>
        <w:spacing w:after="0" w:line="268" w:lineRule="auto"/>
        <w:tabs>
          <w:tab w:leader="none" w:pos="1260" w:val="left"/>
        </w:tabs>
        <w:rPr>
          <w:sz w:val="20"/>
          <w:szCs w:val="20"/>
          <w:color w:val="auto"/>
        </w:rPr>
      </w:pPr>
      <w:r>
        <w:rPr>
          <w:rFonts w:ascii="Arial" w:cs="Arial" w:eastAsia="Arial" w:hAnsi="Arial"/>
          <w:sz w:val="18"/>
          <w:szCs w:val="18"/>
          <w:color w:val="auto"/>
        </w:rPr>
        <w:t>3.2</w:t>
        <w:tab/>
        <w:t>Third Amended and Restated Bylaws of Activision Blizzard, Inc., adopted as of February 2, 2016 (incorporated by reference to Exhibit 3.1 of the Company's Form 8-K, filed February 8, 2016).</w:t>
      </w:r>
    </w:p>
    <w:p>
      <w:pPr>
        <w:spacing w:after="0" w:line="213" w:lineRule="exact"/>
        <w:rPr>
          <w:sz w:val="20"/>
          <w:szCs w:val="20"/>
          <w:color w:val="auto"/>
        </w:rPr>
      </w:pPr>
    </w:p>
    <w:p>
      <w:pPr>
        <w:ind w:left="1280" w:right="380" w:hanging="381"/>
        <w:spacing w:after="0" w:line="332" w:lineRule="auto"/>
        <w:tabs>
          <w:tab w:leader="none" w:pos="126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Indenture, dated as of September 19, 2013, among Activision Blizzard, Inc., the guarantors named therein and Wells Fargo Bank, National Association, as trustee (incorporated by reference to Exhibit 4.1 of the Company's Form 8-K, filed September 19, 2013).</w:t>
      </w:r>
    </w:p>
    <w:p>
      <w:pPr>
        <w:spacing w:after="0" w:line="166" w:lineRule="exact"/>
        <w:rPr>
          <w:sz w:val="20"/>
          <w:szCs w:val="20"/>
          <w:color w:val="auto"/>
        </w:rPr>
      </w:pPr>
    </w:p>
    <w:p>
      <w:pPr>
        <w:ind w:left="1280" w:right="380" w:hanging="381"/>
        <w:spacing w:after="0" w:line="332" w:lineRule="auto"/>
        <w:tabs>
          <w:tab w:leader="none" w:pos="126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color w:val="auto"/>
        </w:rPr>
        <w:t>Indenture, dated as of September 19, 2016, among Activision Blizzard, Inc., the guarantors named therein and Wells Fargo Bank, National Association, as trustee (incorporated by reference to Exhibit 4.1 of the Company's Form 8-K, filed September 19, 2016).</w:t>
      </w:r>
    </w:p>
    <w:p>
      <w:pPr>
        <w:spacing w:after="0" w:line="166" w:lineRule="exact"/>
        <w:rPr>
          <w:sz w:val="20"/>
          <w:szCs w:val="20"/>
          <w:color w:val="auto"/>
        </w:rPr>
      </w:pPr>
    </w:p>
    <w:p>
      <w:pPr>
        <w:ind w:left="1280" w:right="60" w:hanging="556"/>
        <w:spacing w:after="0" w:line="268" w:lineRule="auto"/>
        <w:tabs>
          <w:tab w:leader="none" w:pos="1260" w:val="left"/>
        </w:tabs>
        <w:rPr>
          <w:sz w:val="20"/>
          <w:szCs w:val="20"/>
          <w:color w:val="auto"/>
        </w:rPr>
      </w:pPr>
      <w:r>
        <w:rPr>
          <w:rFonts w:ascii="Arial" w:cs="Arial" w:eastAsia="Arial" w:hAnsi="Arial"/>
          <w:sz w:val="18"/>
          <w:szCs w:val="18"/>
          <w:color w:val="auto"/>
        </w:rPr>
        <w:t>10.1*</w:t>
        <w:tab/>
        <w:t>Activision, Inc. 1999 Incentive Plan, as amended (incorporated by reference to Exhibit 10.1 of the Company's Form 10-Q for the quarter ended June 30, 2002).</w:t>
      </w:r>
    </w:p>
    <w:p>
      <w:pPr>
        <w:spacing w:after="0" w:line="213" w:lineRule="exact"/>
        <w:rPr>
          <w:sz w:val="20"/>
          <w:szCs w:val="20"/>
          <w:color w:val="auto"/>
        </w:rPr>
      </w:pPr>
    </w:p>
    <w:p>
      <w:pPr>
        <w:ind w:left="1280" w:hanging="556"/>
        <w:spacing w:after="0" w:line="268" w:lineRule="auto"/>
        <w:tabs>
          <w:tab w:leader="none" w:pos="1260" w:val="left"/>
        </w:tabs>
        <w:rPr>
          <w:sz w:val="20"/>
          <w:szCs w:val="20"/>
          <w:color w:val="auto"/>
        </w:rPr>
      </w:pPr>
      <w:r>
        <w:rPr>
          <w:rFonts w:ascii="Arial" w:cs="Arial" w:eastAsia="Arial" w:hAnsi="Arial"/>
          <w:sz w:val="18"/>
          <w:szCs w:val="18"/>
          <w:color w:val="auto"/>
        </w:rPr>
        <w:t>10.2*</w:t>
        <w:tab/>
        <w:t>Amendment, dated as of September 14, 2006, to the 1999 Incentive Plan (incorporated by reference to Exhibit 10.3 of the Company's Form 8-K filed September 20, 2006).</w:t>
      </w:r>
    </w:p>
    <w:p>
      <w:pPr>
        <w:spacing w:after="0" w:line="213" w:lineRule="exact"/>
        <w:rPr>
          <w:sz w:val="20"/>
          <w:szCs w:val="20"/>
          <w:color w:val="auto"/>
        </w:rPr>
      </w:pPr>
    </w:p>
    <w:p>
      <w:pPr>
        <w:ind w:left="1280" w:right="60" w:hanging="556"/>
        <w:spacing w:after="0" w:line="268" w:lineRule="auto"/>
        <w:tabs>
          <w:tab w:leader="none" w:pos="1260" w:val="left"/>
        </w:tabs>
        <w:rPr>
          <w:sz w:val="20"/>
          <w:szCs w:val="20"/>
          <w:color w:val="auto"/>
        </w:rPr>
      </w:pPr>
      <w:r>
        <w:rPr>
          <w:rFonts w:ascii="Arial" w:cs="Arial" w:eastAsia="Arial" w:hAnsi="Arial"/>
          <w:sz w:val="18"/>
          <w:szCs w:val="18"/>
          <w:color w:val="auto"/>
        </w:rPr>
        <w:t>10.3*</w:t>
        <w:tab/>
        <w:t>Activision, Inc. 2001 Incentive Plan, as amended (incorporated by reference to Exhibit 10.2 of the Company's Form 10-Q for the quarter ended June 30, 2002).</w:t>
      </w:r>
    </w:p>
    <w:p>
      <w:pPr>
        <w:spacing w:after="0" w:line="213" w:lineRule="exact"/>
        <w:rPr>
          <w:sz w:val="20"/>
          <w:szCs w:val="20"/>
          <w:color w:val="auto"/>
        </w:rPr>
      </w:pPr>
    </w:p>
    <w:p>
      <w:pPr>
        <w:ind w:left="1280" w:hanging="556"/>
        <w:spacing w:after="0" w:line="268" w:lineRule="auto"/>
        <w:tabs>
          <w:tab w:leader="none" w:pos="1260" w:val="left"/>
        </w:tabs>
        <w:rPr>
          <w:sz w:val="20"/>
          <w:szCs w:val="20"/>
          <w:color w:val="auto"/>
        </w:rPr>
      </w:pPr>
      <w:r>
        <w:rPr>
          <w:rFonts w:ascii="Arial" w:cs="Arial" w:eastAsia="Arial" w:hAnsi="Arial"/>
          <w:sz w:val="18"/>
          <w:szCs w:val="18"/>
          <w:color w:val="auto"/>
        </w:rPr>
        <w:t>10.4*</w:t>
        <w:tab/>
        <w:t>Amendment, dated as of September 14, 2006, to the 2001 Incentive Plan (incorporated by reference to Exhibit 10.4 of the Company's Form 8-K filed September 20, 2006).</w:t>
      </w:r>
    </w:p>
    <w:p>
      <w:pPr>
        <w:spacing w:after="0" w:line="213" w:lineRule="exact"/>
        <w:rPr>
          <w:sz w:val="20"/>
          <w:szCs w:val="20"/>
          <w:color w:val="auto"/>
        </w:rPr>
      </w:pPr>
    </w:p>
    <w:p>
      <w:pPr>
        <w:ind w:left="1280" w:right="60" w:hanging="556"/>
        <w:spacing w:after="0" w:line="268" w:lineRule="auto"/>
        <w:tabs>
          <w:tab w:leader="none" w:pos="1260" w:val="left"/>
        </w:tabs>
        <w:rPr>
          <w:sz w:val="20"/>
          <w:szCs w:val="20"/>
          <w:color w:val="auto"/>
        </w:rPr>
      </w:pPr>
      <w:r>
        <w:rPr>
          <w:rFonts w:ascii="Arial" w:cs="Arial" w:eastAsia="Arial" w:hAnsi="Arial"/>
          <w:sz w:val="18"/>
          <w:szCs w:val="18"/>
          <w:color w:val="auto"/>
        </w:rPr>
        <w:t>10.5*</w:t>
        <w:tab/>
        <w:t>Activision, Inc. 2002 Incentive Plan, as amended (incorporated by reference to Exhibit 10.1 of the Company's Form 10-Q for the quarter ended June 30, 2003).</w:t>
      </w:r>
    </w:p>
    <w:p>
      <w:pPr>
        <w:spacing w:after="0" w:line="213" w:lineRule="exact"/>
        <w:rPr>
          <w:sz w:val="20"/>
          <w:szCs w:val="20"/>
          <w:color w:val="auto"/>
        </w:rPr>
      </w:pPr>
    </w:p>
    <w:p>
      <w:pPr>
        <w:ind w:left="1280" w:hanging="556"/>
        <w:spacing w:after="0" w:line="268" w:lineRule="auto"/>
        <w:tabs>
          <w:tab w:leader="none" w:pos="1260" w:val="left"/>
        </w:tabs>
        <w:rPr>
          <w:sz w:val="20"/>
          <w:szCs w:val="20"/>
          <w:color w:val="auto"/>
        </w:rPr>
      </w:pPr>
      <w:r>
        <w:rPr>
          <w:rFonts w:ascii="Arial" w:cs="Arial" w:eastAsia="Arial" w:hAnsi="Arial"/>
          <w:sz w:val="18"/>
          <w:szCs w:val="18"/>
          <w:color w:val="auto"/>
        </w:rPr>
        <w:t>10.6*</w:t>
        <w:tab/>
        <w:t>Amendment, dated as of September 14, 2006, to the 2002 Incentive Plan (incorporated by reference to Exhibit 10.5 of the Company's Form 8-K filed September 20, 2006).</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660" w:hanging="556"/>
        <w:spacing w:after="0" w:line="259" w:lineRule="auto"/>
        <w:tabs>
          <w:tab w:leader="none" w:pos="1260" w:val="left"/>
        </w:tabs>
        <w:rPr>
          <w:sz w:val="20"/>
          <w:szCs w:val="20"/>
          <w:color w:val="auto"/>
        </w:rPr>
      </w:pPr>
      <w:r>
        <w:rPr>
          <w:rFonts w:ascii="Arial" w:cs="Arial" w:eastAsia="Arial" w:hAnsi="Arial"/>
          <w:sz w:val="18"/>
          <w:szCs w:val="18"/>
          <w:color w:val="auto"/>
        </w:rPr>
        <w:t>10.7*</w:t>
        <w:tab/>
        <w:t>Activision, Inc. 2002 Studio Employee Retention Incentive Plan (incorporated by reference to Exhibit 4.1 of the Company's Form S-8, Registration No. 333-103323 filed February 19, 2003).</w:t>
      </w:r>
    </w:p>
    <w:p>
      <w:pPr>
        <w:spacing w:after="0" w:line="221" w:lineRule="exact"/>
        <w:rPr>
          <w:sz w:val="20"/>
          <w:szCs w:val="20"/>
          <w:color w:val="auto"/>
        </w:rPr>
      </w:pPr>
    </w:p>
    <w:p>
      <w:pPr>
        <w:ind w:left="1280" w:right="40" w:hanging="556"/>
        <w:spacing w:after="0" w:line="268" w:lineRule="auto"/>
        <w:tabs>
          <w:tab w:leader="none" w:pos="1260" w:val="left"/>
        </w:tabs>
        <w:rPr>
          <w:sz w:val="20"/>
          <w:szCs w:val="20"/>
          <w:color w:val="auto"/>
        </w:rPr>
      </w:pPr>
      <w:r>
        <w:rPr>
          <w:rFonts w:ascii="Arial" w:cs="Arial" w:eastAsia="Arial" w:hAnsi="Arial"/>
          <w:sz w:val="18"/>
          <w:szCs w:val="18"/>
          <w:color w:val="auto"/>
        </w:rPr>
        <w:t>10.8*</w:t>
        <w:tab/>
        <w:t>Amendment, dated as of September 14, 2006, to the 2002 Studio Employee Retention Incentive Plan (incorporated by reference to Exhibit 10.7 of the Company's Form 8-K filed September 20, 2006).</w:t>
      </w:r>
    </w:p>
    <w:p>
      <w:pPr>
        <w:spacing w:after="0" w:line="213" w:lineRule="exact"/>
        <w:rPr>
          <w:sz w:val="20"/>
          <w:szCs w:val="20"/>
          <w:color w:val="auto"/>
        </w:rPr>
      </w:pPr>
    </w:p>
    <w:p>
      <w:pPr>
        <w:ind w:left="1280" w:right="300" w:hanging="556"/>
        <w:spacing w:after="0" w:line="268" w:lineRule="auto"/>
        <w:tabs>
          <w:tab w:leader="none" w:pos="1260" w:val="left"/>
        </w:tabs>
        <w:rPr>
          <w:sz w:val="20"/>
          <w:szCs w:val="20"/>
          <w:color w:val="auto"/>
        </w:rPr>
      </w:pPr>
      <w:r>
        <w:rPr>
          <w:rFonts w:ascii="Arial" w:cs="Arial" w:eastAsia="Arial" w:hAnsi="Arial"/>
          <w:sz w:val="18"/>
          <w:szCs w:val="18"/>
          <w:color w:val="auto"/>
        </w:rPr>
        <w:t>10.9*</w:t>
        <w:tab/>
        <w:t>Activision, Inc. Amended and Restated 2003 Incentive Plan (incorporated by reference to Exhibit 10.1 of the Company's Form 10-Q for the quarter ended June 30, 2005).</w:t>
      </w:r>
    </w:p>
    <w:p>
      <w:pPr>
        <w:spacing w:after="0" w:line="213" w:lineRule="exact"/>
        <w:rPr>
          <w:sz w:val="20"/>
          <w:szCs w:val="20"/>
          <w:color w:val="auto"/>
        </w:rPr>
      </w:pPr>
    </w:p>
    <w:p>
      <w:pPr>
        <w:ind w:left="1280" w:hanging="644"/>
        <w:spacing w:after="0" w:line="268" w:lineRule="auto"/>
        <w:tabs>
          <w:tab w:leader="none" w:pos="1260" w:val="left"/>
        </w:tabs>
        <w:rPr>
          <w:sz w:val="20"/>
          <w:szCs w:val="20"/>
          <w:color w:val="auto"/>
        </w:rPr>
      </w:pPr>
      <w:r>
        <w:rPr>
          <w:rFonts w:ascii="Arial" w:cs="Arial" w:eastAsia="Arial" w:hAnsi="Arial"/>
          <w:sz w:val="18"/>
          <w:szCs w:val="18"/>
          <w:color w:val="auto"/>
        </w:rPr>
        <w:t>10.10*</w:t>
        <w:tab/>
        <w:t>Amendment, dated as of September 14, 2006, to the 2003 Incentive Plan (incorporated by reference to Exhibit 10.9 of the Company's Form 8-K filed September 20, 2006).</w:t>
      </w:r>
    </w:p>
    <w:p>
      <w:pPr>
        <w:spacing w:after="0" w:line="213" w:lineRule="exact"/>
        <w:rPr>
          <w:sz w:val="20"/>
          <w:szCs w:val="20"/>
          <w:color w:val="auto"/>
        </w:rPr>
      </w:pPr>
    </w:p>
    <w:p>
      <w:pPr>
        <w:ind w:left="1280" w:right="680" w:hanging="637"/>
        <w:spacing w:after="0" w:line="268" w:lineRule="auto"/>
        <w:tabs>
          <w:tab w:leader="none" w:pos="1260" w:val="left"/>
        </w:tabs>
        <w:rPr>
          <w:sz w:val="20"/>
          <w:szCs w:val="20"/>
          <w:color w:val="auto"/>
        </w:rPr>
      </w:pPr>
      <w:r>
        <w:rPr>
          <w:rFonts w:ascii="Arial" w:cs="Arial" w:eastAsia="Arial" w:hAnsi="Arial"/>
          <w:sz w:val="18"/>
          <w:szCs w:val="18"/>
          <w:color w:val="auto"/>
        </w:rPr>
        <w:t>10.11*</w:t>
        <w:tab/>
        <w:t>Activision, Inc. 2007 Incentive Plan (incorporated by reference to Exhibit 99.1 of the Company's Registration Statement on Form S-8, Registration No. 333-146431, filed October 1, 2007).</w:t>
      </w:r>
    </w:p>
    <w:p>
      <w:pPr>
        <w:spacing w:after="0" w:line="213" w:lineRule="exact"/>
        <w:rPr>
          <w:sz w:val="20"/>
          <w:szCs w:val="20"/>
          <w:color w:val="auto"/>
        </w:rPr>
      </w:pPr>
    </w:p>
    <w:p>
      <w:pPr>
        <w:ind w:left="1280" w:right="20" w:hanging="644"/>
        <w:spacing w:after="0" w:line="268" w:lineRule="auto"/>
        <w:tabs>
          <w:tab w:leader="none" w:pos="1260" w:val="left"/>
        </w:tabs>
        <w:rPr>
          <w:sz w:val="20"/>
          <w:szCs w:val="20"/>
          <w:color w:val="auto"/>
        </w:rPr>
      </w:pPr>
      <w:r>
        <w:rPr>
          <w:rFonts w:ascii="Arial" w:cs="Arial" w:eastAsia="Arial" w:hAnsi="Arial"/>
          <w:sz w:val="18"/>
          <w:szCs w:val="18"/>
          <w:color w:val="auto"/>
        </w:rPr>
        <w:t>10.12*</w:t>
        <w:tab/>
        <w:t>Activision Blizzard, Inc. Amended and Restated 2008 Incentive Plan, as amended and restated (incorporated by reference to Exhibit 10.1 of the Company's Form 8-K filed June 12, 2012).</w:t>
      </w:r>
    </w:p>
    <w:p>
      <w:pPr>
        <w:spacing w:after="0" w:line="21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10.13*</w:t>
      </w:r>
      <w:r>
        <w:rPr>
          <w:sz w:val="20"/>
          <w:szCs w:val="20"/>
          <w:color w:val="auto"/>
        </w:rPr>
        <w:tab/>
      </w:r>
      <w:r>
        <w:rPr>
          <w:rFonts w:ascii="Arial" w:cs="Arial" w:eastAsia="Arial" w:hAnsi="Arial"/>
          <w:sz w:val="16"/>
          <w:szCs w:val="16"/>
          <w:color w:val="auto"/>
        </w:rPr>
        <w:t>Activision Blizzard, Inc. 2014 Incentive Plan (incorporated by reference to Exhibit 10.1 of the Company's Form 8-K filed June 6, 2014).</w:t>
      </w:r>
    </w:p>
    <w:p>
      <w:pPr>
        <w:spacing w:after="0" w:line="2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Activision Blizzard, Inc. KDE Equity Incentive Plan, amended as of November 1, 2016.</w:t>
      </w:r>
    </w:p>
    <w:p>
      <w:pPr>
        <w:spacing w:after="0" w:line="252" w:lineRule="exact"/>
        <w:rPr>
          <w:sz w:val="20"/>
          <w:szCs w:val="20"/>
          <w:color w:val="auto"/>
        </w:rPr>
      </w:pPr>
    </w:p>
    <w:p>
      <w:pPr>
        <w:ind w:left="1280" w:right="180" w:hanging="644"/>
        <w:spacing w:after="0" w:line="268" w:lineRule="auto"/>
        <w:tabs>
          <w:tab w:leader="none" w:pos="1260" w:val="left"/>
        </w:tabs>
        <w:rPr>
          <w:sz w:val="20"/>
          <w:szCs w:val="20"/>
          <w:color w:val="auto"/>
        </w:rPr>
      </w:pPr>
      <w:r>
        <w:rPr>
          <w:rFonts w:ascii="Arial" w:cs="Arial" w:eastAsia="Arial" w:hAnsi="Arial"/>
          <w:sz w:val="18"/>
          <w:szCs w:val="18"/>
          <w:color w:val="auto"/>
        </w:rPr>
        <w:t>10.15*</w:t>
        <w:tab/>
        <w:t>Form of Stock Option Certificate for grants to persons other than non-employee directors pursuant to the Activision, Inc. 1999 Incentive Plan (incorporated by reference to Exhibit 10.2 of the Company's Form 8-K, filed May 31, 2005).</w:t>
      </w:r>
    </w:p>
    <w:p>
      <w:pPr>
        <w:spacing w:after="0" w:line="213" w:lineRule="exact"/>
        <w:rPr>
          <w:sz w:val="20"/>
          <w:szCs w:val="20"/>
          <w:color w:val="auto"/>
        </w:rPr>
      </w:pPr>
    </w:p>
    <w:p>
      <w:pPr>
        <w:ind w:left="1280" w:right="140" w:hanging="644"/>
        <w:spacing w:after="0" w:line="268" w:lineRule="auto"/>
        <w:tabs>
          <w:tab w:leader="none" w:pos="1260" w:val="left"/>
        </w:tabs>
        <w:rPr>
          <w:sz w:val="20"/>
          <w:szCs w:val="20"/>
          <w:color w:val="auto"/>
        </w:rPr>
      </w:pPr>
      <w:r>
        <w:rPr>
          <w:rFonts w:ascii="Arial" w:cs="Arial" w:eastAsia="Arial" w:hAnsi="Arial"/>
          <w:sz w:val="18"/>
          <w:szCs w:val="18"/>
          <w:color w:val="auto"/>
        </w:rPr>
        <w:t>10.16*</w:t>
        <w:tab/>
        <w:t>Form of Stock Option Agreement for grants to persons other than non-employee directors pursuant to the Activision, Inc. 2001 Incentive Plan (incorporated by reference to Exhibit 10.3 of the Company's Form 8-K, filed May 31, 2005).</w:t>
      </w:r>
    </w:p>
    <w:p>
      <w:pPr>
        <w:spacing w:after="0" w:line="213" w:lineRule="exact"/>
        <w:rPr>
          <w:sz w:val="20"/>
          <w:szCs w:val="20"/>
          <w:color w:val="auto"/>
        </w:rPr>
      </w:pPr>
    </w:p>
    <w:p>
      <w:pPr>
        <w:ind w:left="1280" w:right="160" w:hanging="644"/>
        <w:spacing w:after="0" w:line="259" w:lineRule="auto"/>
        <w:tabs>
          <w:tab w:leader="none" w:pos="1260" w:val="left"/>
        </w:tabs>
        <w:rPr>
          <w:sz w:val="20"/>
          <w:szCs w:val="20"/>
          <w:color w:val="auto"/>
        </w:rPr>
      </w:pPr>
      <w:r>
        <w:rPr>
          <w:rFonts w:ascii="Arial" w:cs="Arial" w:eastAsia="Arial" w:hAnsi="Arial"/>
          <w:sz w:val="18"/>
          <w:szCs w:val="18"/>
          <w:color w:val="auto"/>
        </w:rPr>
        <w:t>10.17*</w:t>
        <w:tab/>
        <w:t>Form of Non-Executive Stock Option Agreement for grants to persons other than Robert A. Kotick or Brian G. Kelly and non-employee directors pursuant to the Activision, Inc. 2003 Incentive Plan (effective as of July 26, 2005) (incorporated by reference to Exhibit 10.41 of the Company's Form 10-K for the year ended March 31, 2005).</w:t>
      </w:r>
    </w:p>
    <w:p>
      <w:pPr>
        <w:spacing w:after="0" w:line="221" w:lineRule="exact"/>
        <w:rPr>
          <w:sz w:val="20"/>
          <w:szCs w:val="20"/>
          <w:color w:val="auto"/>
        </w:rPr>
      </w:pPr>
    </w:p>
    <w:p>
      <w:pPr>
        <w:ind w:left="1280" w:right="120" w:hanging="644"/>
        <w:spacing w:after="0" w:line="259" w:lineRule="auto"/>
        <w:tabs>
          <w:tab w:leader="none" w:pos="1260" w:val="left"/>
        </w:tabs>
        <w:rPr>
          <w:sz w:val="20"/>
          <w:szCs w:val="20"/>
          <w:color w:val="auto"/>
        </w:rPr>
      </w:pPr>
      <w:r>
        <w:rPr>
          <w:rFonts w:ascii="Arial" w:cs="Arial" w:eastAsia="Arial" w:hAnsi="Arial"/>
          <w:sz w:val="18"/>
          <w:szCs w:val="18"/>
          <w:color w:val="auto"/>
        </w:rPr>
        <w:t>10.18*</w:t>
        <w:tab/>
        <w:t>Form of Notice of Share Option Award for grants to persons other than non-employee directors pursuant to the Activision, Inc. 2003 Incentive Plan (effective as of June 13, 2007) (incorporated by reference to Exhibit 10.18 of the Company's Form 10-K for the year ended March 31, 2007).</w:t>
      </w:r>
    </w:p>
    <w:p>
      <w:pPr>
        <w:spacing w:after="0" w:line="221" w:lineRule="exact"/>
        <w:rPr>
          <w:sz w:val="20"/>
          <w:szCs w:val="20"/>
          <w:color w:val="auto"/>
        </w:rPr>
      </w:pPr>
    </w:p>
    <w:p>
      <w:pPr>
        <w:ind w:left="1280" w:right="240" w:hanging="644"/>
        <w:spacing w:after="0" w:line="332" w:lineRule="auto"/>
        <w:tabs>
          <w:tab w:leader="none" w:pos="1260" w:val="left"/>
        </w:tabs>
        <w:rPr>
          <w:sz w:val="20"/>
          <w:szCs w:val="20"/>
          <w:color w:val="auto"/>
        </w:rPr>
      </w:pPr>
      <w:r>
        <w:rPr>
          <w:rFonts w:ascii="Arial" w:cs="Arial" w:eastAsia="Arial" w:hAnsi="Arial"/>
          <w:sz w:val="18"/>
          <w:szCs w:val="18"/>
          <w:color w:val="auto"/>
        </w:rPr>
        <w:t>10.19*</w:t>
      </w:r>
      <w:r>
        <w:rPr>
          <w:sz w:val="20"/>
          <w:szCs w:val="20"/>
          <w:color w:val="auto"/>
        </w:rPr>
        <w:tab/>
      </w:r>
      <w:r>
        <w:rPr>
          <w:rFonts w:ascii="Arial" w:cs="Arial" w:eastAsia="Arial" w:hAnsi="Arial"/>
          <w:sz w:val="16"/>
          <w:szCs w:val="16"/>
          <w:color w:val="auto"/>
        </w:rPr>
        <w:t>Form of Notice of Restricted Share Unit Award for grants to persons other than non-employee directors pursuant to the Activision, Inc. 2003 Incentive Plan (incorporated by reference to Exhibit 10.21 of the Company's Form 10-K for the year ended March 31, 2007).</w:t>
      </w:r>
    </w:p>
    <w:p>
      <w:pPr>
        <w:spacing w:after="0" w:line="166" w:lineRule="exact"/>
        <w:rPr>
          <w:sz w:val="20"/>
          <w:szCs w:val="20"/>
          <w:color w:val="auto"/>
        </w:rPr>
      </w:pPr>
    </w:p>
    <w:p>
      <w:pPr>
        <w:ind w:left="1280" w:right="600" w:hanging="644"/>
        <w:spacing w:after="0" w:line="332" w:lineRule="auto"/>
        <w:tabs>
          <w:tab w:leader="none" w:pos="1260" w:val="left"/>
        </w:tabs>
        <w:rPr>
          <w:sz w:val="20"/>
          <w:szCs w:val="20"/>
          <w:color w:val="auto"/>
        </w:rPr>
      </w:pPr>
      <w:r>
        <w:rPr>
          <w:rFonts w:ascii="Arial" w:cs="Arial" w:eastAsia="Arial" w:hAnsi="Arial"/>
          <w:sz w:val="18"/>
          <w:szCs w:val="18"/>
          <w:color w:val="auto"/>
        </w:rPr>
        <w:t>10.20*</w:t>
      </w:r>
      <w:r>
        <w:rPr>
          <w:sz w:val="20"/>
          <w:szCs w:val="20"/>
          <w:color w:val="auto"/>
        </w:rPr>
        <w:tab/>
      </w:r>
      <w:r>
        <w:rPr>
          <w:rFonts w:ascii="Arial" w:cs="Arial" w:eastAsia="Arial" w:hAnsi="Arial"/>
          <w:sz w:val="16"/>
          <w:szCs w:val="16"/>
          <w:color w:val="auto"/>
        </w:rPr>
        <w:t>Form of Notice of Restricted Share Award for grants to persons other than non-employee directors pursuant to the Activision, Inc. 2003 Incentive Plan (incorporated by reference to Exhibit 10.20 of the Company's Form 10-K for the year ended March 31, 2007).</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120" w:hanging="644"/>
        <w:spacing w:after="0" w:line="259" w:lineRule="auto"/>
        <w:tabs>
          <w:tab w:leader="none" w:pos="1260" w:val="left"/>
        </w:tabs>
        <w:rPr>
          <w:sz w:val="20"/>
          <w:szCs w:val="20"/>
          <w:color w:val="auto"/>
        </w:rPr>
      </w:pPr>
      <w:r>
        <w:rPr>
          <w:rFonts w:ascii="Arial" w:cs="Arial" w:eastAsia="Arial" w:hAnsi="Arial"/>
          <w:sz w:val="18"/>
          <w:szCs w:val="18"/>
          <w:color w:val="auto"/>
        </w:rPr>
        <w:t>10.21*</w:t>
        <w:tab/>
        <w:t>Form of Notice of Stock Option Award for grants to non-employee directors pursuant to the Activision, Inc. 2007 Incentive Plan (incorporated by reference to Exhibit 10.1 of the Company's Form 10-Q for the quarter ended September 30, 2008).</w:t>
      </w:r>
    </w:p>
    <w:p>
      <w:pPr>
        <w:spacing w:after="0" w:line="221" w:lineRule="exact"/>
        <w:rPr>
          <w:sz w:val="20"/>
          <w:szCs w:val="20"/>
          <w:color w:val="auto"/>
        </w:rPr>
      </w:pPr>
    </w:p>
    <w:p>
      <w:pPr>
        <w:ind w:left="1280" w:right="140" w:hanging="644"/>
        <w:spacing w:after="0" w:line="332" w:lineRule="auto"/>
        <w:tabs>
          <w:tab w:leader="none" w:pos="1260" w:val="left"/>
        </w:tabs>
        <w:rPr>
          <w:sz w:val="20"/>
          <w:szCs w:val="20"/>
          <w:color w:val="auto"/>
        </w:rPr>
      </w:pPr>
      <w:r>
        <w:rPr>
          <w:rFonts w:ascii="Arial" w:cs="Arial" w:eastAsia="Arial" w:hAnsi="Arial"/>
          <w:sz w:val="18"/>
          <w:szCs w:val="18"/>
          <w:color w:val="auto"/>
        </w:rPr>
        <w:t>10.22*</w:t>
      </w:r>
      <w:r>
        <w:rPr>
          <w:sz w:val="20"/>
          <w:szCs w:val="20"/>
          <w:color w:val="auto"/>
        </w:rPr>
        <w:tab/>
      </w:r>
      <w:r>
        <w:rPr>
          <w:rFonts w:ascii="Arial" w:cs="Arial" w:eastAsia="Arial" w:hAnsi="Arial"/>
          <w:sz w:val="16"/>
          <w:szCs w:val="16"/>
          <w:color w:val="auto"/>
        </w:rPr>
        <w:t>Form of Notice of Stock Option Award for grants to persons other than non-employee directors pursuant to the Activision, Inc. 2007 Incentive Plan (incorporated by reference to Exhibit 10.2 of the Company's Form 10-Q for the quarter ended September 30, 2008).</w:t>
      </w:r>
    </w:p>
    <w:p>
      <w:pPr>
        <w:spacing w:after="0" w:line="166" w:lineRule="exact"/>
        <w:rPr>
          <w:sz w:val="20"/>
          <w:szCs w:val="20"/>
          <w:color w:val="auto"/>
        </w:rPr>
      </w:pPr>
    </w:p>
    <w:p>
      <w:pPr>
        <w:ind w:left="1280" w:right="460" w:hanging="644"/>
        <w:spacing w:after="0" w:line="268" w:lineRule="auto"/>
        <w:tabs>
          <w:tab w:leader="none" w:pos="1260" w:val="left"/>
        </w:tabs>
        <w:rPr>
          <w:sz w:val="20"/>
          <w:szCs w:val="20"/>
          <w:color w:val="auto"/>
        </w:rPr>
      </w:pPr>
      <w:r>
        <w:rPr>
          <w:rFonts w:ascii="Arial" w:cs="Arial" w:eastAsia="Arial" w:hAnsi="Arial"/>
          <w:sz w:val="18"/>
          <w:szCs w:val="18"/>
          <w:color w:val="auto"/>
        </w:rPr>
        <w:t>10.23*</w:t>
        <w:tab/>
        <w:t>Form of Notice of Restricted Share Unit Award for grants to officers pursuant to the Activision, Inc. 2007 Incentive Plan (incorporated by reference to Exhibit 10.4 of the Company's Form 10-Q for the quarter ended September 30, 2008).</w:t>
      </w:r>
    </w:p>
    <w:p>
      <w:pPr>
        <w:spacing w:after="0" w:line="213" w:lineRule="exact"/>
        <w:rPr>
          <w:sz w:val="20"/>
          <w:szCs w:val="20"/>
          <w:color w:val="auto"/>
        </w:rPr>
      </w:pPr>
    </w:p>
    <w:p>
      <w:pPr>
        <w:ind w:left="1280" w:right="540" w:hanging="644"/>
        <w:spacing w:after="0" w:line="332" w:lineRule="auto"/>
        <w:tabs>
          <w:tab w:leader="none" w:pos="1260" w:val="left"/>
        </w:tabs>
        <w:rPr>
          <w:sz w:val="20"/>
          <w:szCs w:val="20"/>
          <w:color w:val="auto"/>
        </w:rPr>
      </w:pPr>
      <w:r>
        <w:rPr>
          <w:rFonts w:ascii="Arial" w:cs="Arial" w:eastAsia="Arial" w:hAnsi="Arial"/>
          <w:sz w:val="18"/>
          <w:szCs w:val="18"/>
          <w:color w:val="auto"/>
        </w:rPr>
        <w:t>10.24*</w:t>
      </w:r>
      <w:r>
        <w:rPr>
          <w:sz w:val="20"/>
          <w:szCs w:val="20"/>
          <w:color w:val="auto"/>
        </w:rPr>
        <w:tab/>
      </w:r>
      <w:r>
        <w:rPr>
          <w:rFonts w:ascii="Arial" w:cs="Arial" w:eastAsia="Arial" w:hAnsi="Arial"/>
          <w:sz w:val="16"/>
          <w:szCs w:val="16"/>
          <w:color w:val="auto"/>
        </w:rPr>
        <w:t>Form of Notice of Restricted Share Unit Award for grants to persons other than officers or directors pursuant to the Activision, Inc. 2007 Incentive Plan (incorporated by reference to Exhibit 10.8 of the Company's Form 10-Q for the quarter ended September 30, 2008).</w:t>
      </w:r>
    </w:p>
    <w:p>
      <w:pPr>
        <w:spacing w:after="0" w:line="166" w:lineRule="exact"/>
        <w:rPr>
          <w:sz w:val="20"/>
          <w:szCs w:val="20"/>
          <w:color w:val="auto"/>
        </w:rPr>
      </w:pPr>
    </w:p>
    <w:p>
      <w:pPr>
        <w:ind w:left="1280" w:right="620" w:hanging="644"/>
        <w:spacing w:after="0" w:line="370" w:lineRule="auto"/>
        <w:tabs>
          <w:tab w:leader="none" w:pos="1260" w:val="left"/>
        </w:tabs>
        <w:rPr>
          <w:sz w:val="20"/>
          <w:szCs w:val="20"/>
          <w:color w:val="auto"/>
        </w:rPr>
      </w:pPr>
      <w:r>
        <w:rPr>
          <w:rFonts w:ascii="Arial" w:cs="Arial" w:eastAsia="Arial" w:hAnsi="Arial"/>
          <w:sz w:val="18"/>
          <w:szCs w:val="18"/>
          <w:color w:val="auto"/>
        </w:rPr>
        <w:t>10.25*</w:t>
      </w:r>
      <w:r>
        <w:rPr>
          <w:sz w:val="20"/>
          <w:szCs w:val="20"/>
          <w:color w:val="auto"/>
        </w:rPr>
        <w:tab/>
      </w:r>
      <w:r>
        <w:rPr>
          <w:rFonts w:ascii="Arial" w:cs="Arial" w:eastAsia="Arial" w:hAnsi="Arial"/>
          <w:sz w:val="15"/>
          <w:szCs w:val="15"/>
          <w:color w:val="auto"/>
        </w:rPr>
        <w:t>Form of Notice of Restricted Share Award for grants to persons other than non-employee directors pursuant to the Activision, Inc. 2007 Incentive Plan (incorporated by reference to Exhibit 10.3 of the Company's Form 10-Q for the quarter ended September 30, 2008).</w:t>
      </w:r>
    </w:p>
    <w:p>
      <w:pPr>
        <w:spacing w:after="0" w:line="143" w:lineRule="exact"/>
        <w:rPr>
          <w:sz w:val="20"/>
          <w:szCs w:val="20"/>
          <w:color w:val="auto"/>
        </w:rPr>
      </w:pPr>
    </w:p>
    <w:p>
      <w:pPr>
        <w:ind w:left="1280" w:right="60" w:hanging="644"/>
        <w:spacing w:after="0" w:line="259" w:lineRule="auto"/>
        <w:tabs>
          <w:tab w:leader="none" w:pos="1260" w:val="left"/>
        </w:tabs>
        <w:rPr>
          <w:sz w:val="20"/>
          <w:szCs w:val="20"/>
          <w:color w:val="auto"/>
        </w:rPr>
      </w:pPr>
      <w:r>
        <w:rPr>
          <w:rFonts w:ascii="Arial" w:cs="Arial" w:eastAsia="Arial" w:hAnsi="Arial"/>
          <w:sz w:val="18"/>
          <w:szCs w:val="18"/>
          <w:color w:val="auto"/>
        </w:rPr>
        <w:t>10.26*</w:t>
        <w:tab/>
        <w:t>Form of Notice of Stock Option Award for grants to unaffiliated directors pursuant to the Activision Blizzard, Inc. 2008 Incentive Plan (effective as of November 12, 2008) (incorporated by reference to Exhibit 10.44 of the Company's Form 10-K for the year ended December 31, 2008).</w:t>
      </w:r>
    </w:p>
    <w:p>
      <w:pPr>
        <w:spacing w:after="0" w:line="221" w:lineRule="exact"/>
        <w:rPr>
          <w:sz w:val="20"/>
          <w:szCs w:val="20"/>
          <w:color w:val="auto"/>
        </w:rPr>
      </w:pPr>
    </w:p>
    <w:p>
      <w:pPr>
        <w:ind w:left="1280" w:right="60" w:hanging="644"/>
        <w:spacing w:after="0" w:line="259" w:lineRule="auto"/>
        <w:tabs>
          <w:tab w:leader="none" w:pos="1260" w:val="left"/>
        </w:tabs>
        <w:rPr>
          <w:sz w:val="20"/>
          <w:szCs w:val="20"/>
          <w:color w:val="auto"/>
        </w:rPr>
      </w:pPr>
      <w:r>
        <w:rPr>
          <w:rFonts w:ascii="Arial" w:cs="Arial" w:eastAsia="Arial" w:hAnsi="Arial"/>
          <w:sz w:val="18"/>
          <w:szCs w:val="18"/>
          <w:color w:val="auto"/>
        </w:rPr>
        <w:t>10.27*</w:t>
        <w:tab/>
        <w:t>Form of Notice of Stock Option Award for grants to persons other than directors pursuant to the Activision Blizzard, Inc. 2008 Incentive Plan (effective as of November 12, 2008) (incorporated by reference to Exhibit 10.45 of the Company's Form 10-K for the year ended December 31, 2008).</w:t>
      </w:r>
    </w:p>
    <w:p>
      <w:pPr>
        <w:spacing w:after="0" w:line="221" w:lineRule="exact"/>
        <w:rPr>
          <w:sz w:val="20"/>
          <w:szCs w:val="20"/>
          <w:color w:val="auto"/>
        </w:rPr>
      </w:pPr>
    </w:p>
    <w:p>
      <w:pPr>
        <w:ind w:left="1280" w:right="40" w:hanging="644"/>
        <w:spacing w:after="0" w:line="259" w:lineRule="auto"/>
        <w:tabs>
          <w:tab w:leader="none" w:pos="1260" w:val="left"/>
        </w:tabs>
        <w:rPr>
          <w:sz w:val="20"/>
          <w:szCs w:val="20"/>
          <w:color w:val="auto"/>
        </w:rPr>
      </w:pPr>
      <w:r>
        <w:rPr>
          <w:rFonts w:ascii="Arial" w:cs="Arial" w:eastAsia="Arial" w:hAnsi="Arial"/>
          <w:sz w:val="18"/>
          <w:szCs w:val="18"/>
          <w:color w:val="auto"/>
        </w:rPr>
        <w:t>10.28*</w:t>
        <w:tab/>
        <w:t>Form of Notice of Restricted Share Unit Award for grants to persons other than directors pursuant to the Activision Blizzard, Inc. 2008 Incentive Plan (effective as of November 12, 2008) (incorporated by reference to Exhibit 10.49 of the Company's Form 10-K for the year ended December 31, 2008).</w:t>
      </w:r>
    </w:p>
    <w:p>
      <w:pPr>
        <w:spacing w:after="0" w:line="221" w:lineRule="exact"/>
        <w:rPr>
          <w:sz w:val="20"/>
          <w:szCs w:val="20"/>
          <w:color w:val="auto"/>
        </w:rPr>
      </w:pPr>
    </w:p>
    <w:p>
      <w:pPr>
        <w:ind w:left="1280" w:right="320" w:hanging="644"/>
        <w:spacing w:after="0" w:line="259" w:lineRule="auto"/>
        <w:tabs>
          <w:tab w:leader="none" w:pos="1260" w:val="left"/>
        </w:tabs>
        <w:rPr>
          <w:sz w:val="20"/>
          <w:szCs w:val="20"/>
          <w:color w:val="auto"/>
        </w:rPr>
      </w:pPr>
      <w:r>
        <w:rPr>
          <w:rFonts w:ascii="Arial" w:cs="Arial" w:eastAsia="Arial" w:hAnsi="Arial"/>
          <w:sz w:val="18"/>
          <w:szCs w:val="18"/>
          <w:color w:val="auto"/>
        </w:rPr>
        <w:t>10.29*</w:t>
        <w:tab/>
        <w:t>Form of Notice of Restricted Share Award for grants to persons other than directors pursuant to the Activision Blizzard, Inc. 2008 Incentive Plan (effective as of November 12, 2008) (incorporated by reference to Exhibit 10.50 of the Company's Form 10-K for the year ended December 31, 2008).</w:t>
      </w:r>
    </w:p>
    <w:p>
      <w:pPr>
        <w:spacing w:after="0" w:line="221" w:lineRule="exact"/>
        <w:rPr>
          <w:sz w:val="20"/>
          <w:szCs w:val="20"/>
          <w:color w:val="auto"/>
        </w:rPr>
      </w:pPr>
    </w:p>
    <w:p>
      <w:pPr>
        <w:ind w:left="1280" w:right="520" w:hanging="644"/>
        <w:spacing w:after="0" w:line="332" w:lineRule="auto"/>
        <w:tabs>
          <w:tab w:leader="none" w:pos="1260" w:val="left"/>
        </w:tabs>
        <w:rPr>
          <w:sz w:val="20"/>
          <w:szCs w:val="20"/>
          <w:color w:val="auto"/>
        </w:rPr>
      </w:pPr>
      <w:r>
        <w:rPr>
          <w:rFonts w:ascii="Arial" w:cs="Arial" w:eastAsia="Arial" w:hAnsi="Arial"/>
          <w:sz w:val="18"/>
          <w:szCs w:val="18"/>
          <w:color w:val="auto"/>
        </w:rPr>
        <w:t>10.30*</w:t>
      </w:r>
      <w:r>
        <w:rPr>
          <w:sz w:val="20"/>
          <w:szCs w:val="20"/>
          <w:color w:val="auto"/>
        </w:rPr>
        <w:tab/>
      </w:r>
      <w:r>
        <w:rPr>
          <w:rFonts w:ascii="Arial" w:cs="Arial" w:eastAsia="Arial" w:hAnsi="Arial"/>
          <w:sz w:val="16"/>
          <w:szCs w:val="16"/>
          <w:color w:val="auto"/>
        </w:rPr>
        <w:t>Form of Notice of Restricted Share Unit Award for grants under the Company's 2008 Incentive Plan (effective as of November 12, 2008) (incorporated by reference to Exhibit 10.12 of the Company's Form 10-Q for the quarter ended March 31, 2012).</w:t>
      </w:r>
    </w:p>
    <w:p>
      <w:pPr>
        <w:spacing w:after="0" w:line="166" w:lineRule="exact"/>
        <w:rPr>
          <w:sz w:val="20"/>
          <w:szCs w:val="20"/>
          <w:color w:val="auto"/>
        </w:rPr>
      </w:pPr>
    </w:p>
    <w:p>
      <w:pPr>
        <w:ind w:left="1280" w:hanging="644"/>
        <w:spacing w:after="0" w:line="268" w:lineRule="auto"/>
        <w:tabs>
          <w:tab w:leader="none" w:pos="1260" w:val="left"/>
        </w:tabs>
        <w:rPr>
          <w:sz w:val="20"/>
          <w:szCs w:val="20"/>
          <w:color w:val="auto"/>
        </w:rPr>
      </w:pPr>
      <w:r>
        <w:rPr>
          <w:rFonts w:ascii="Arial" w:cs="Arial" w:eastAsia="Arial" w:hAnsi="Arial"/>
          <w:sz w:val="18"/>
          <w:szCs w:val="18"/>
          <w:color w:val="auto"/>
        </w:rPr>
        <w:t>10.31*</w:t>
        <w:tab/>
        <w:t>Form of Notice of Performance Share Award for grants under the Company's 2008 Incentive Plan (incorporated by reference to Exhibit 10.13 of the Company's Form 10-Q for the quarter ended March 31, 2012).</w:t>
      </w:r>
    </w:p>
    <w:p>
      <w:pPr>
        <w:spacing w:after="0" w:line="213" w:lineRule="exact"/>
        <w:rPr>
          <w:sz w:val="20"/>
          <w:szCs w:val="20"/>
          <w:color w:val="auto"/>
        </w:rPr>
      </w:pPr>
    </w:p>
    <w:p>
      <w:pPr>
        <w:ind w:left="1280" w:right="80" w:hanging="644"/>
        <w:spacing w:after="0" w:line="332" w:lineRule="auto"/>
        <w:tabs>
          <w:tab w:leader="none" w:pos="1260" w:val="left"/>
        </w:tabs>
        <w:rPr>
          <w:sz w:val="20"/>
          <w:szCs w:val="20"/>
          <w:color w:val="auto"/>
        </w:rPr>
      </w:pPr>
      <w:r>
        <w:rPr>
          <w:rFonts w:ascii="Arial" w:cs="Arial" w:eastAsia="Arial" w:hAnsi="Arial"/>
          <w:sz w:val="18"/>
          <w:szCs w:val="18"/>
          <w:color w:val="auto"/>
        </w:rPr>
        <w:t>10.32*</w:t>
      </w:r>
      <w:r>
        <w:rPr>
          <w:sz w:val="20"/>
          <w:szCs w:val="20"/>
          <w:color w:val="auto"/>
        </w:rPr>
        <w:tab/>
      </w:r>
      <w:r>
        <w:rPr>
          <w:rFonts w:ascii="Arial" w:cs="Arial" w:eastAsia="Arial" w:hAnsi="Arial"/>
          <w:sz w:val="16"/>
          <w:szCs w:val="16"/>
          <w:color w:val="auto"/>
        </w:rPr>
        <w:t>Form of Notice of Stock Option Award for grants to unaffiliated directors pursuant to the Activision Blizzard, Inc. 2008 Incentive Plan (effective as of March 6, 2013) (incorporated by reference to Exhibit 10.5 of the Company's Form 10-Q for the quarter ended March 31, 2013).</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120" w:hanging="644"/>
        <w:spacing w:after="0" w:line="321" w:lineRule="auto"/>
        <w:tabs>
          <w:tab w:leader="none" w:pos="1260" w:val="left"/>
        </w:tabs>
        <w:rPr>
          <w:sz w:val="20"/>
          <w:szCs w:val="20"/>
          <w:color w:val="auto"/>
        </w:rPr>
      </w:pPr>
      <w:r>
        <w:rPr>
          <w:rFonts w:ascii="Arial" w:cs="Arial" w:eastAsia="Arial" w:hAnsi="Arial"/>
          <w:sz w:val="18"/>
          <w:szCs w:val="18"/>
          <w:color w:val="auto"/>
        </w:rPr>
        <w:t>10.33*</w:t>
      </w:r>
      <w:r>
        <w:rPr>
          <w:sz w:val="20"/>
          <w:szCs w:val="20"/>
          <w:color w:val="auto"/>
        </w:rPr>
        <w:tab/>
      </w:r>
      <w:r>
        <w:rPr>
          <w:rFonts w:ascii="Arial" w:cs="Arial" w:eastAsia="Arial" w:hAnsi="Arial"/>
          <w:sz w:val="16"/>
          <w:szCs w:val="16"/>
          <w:color w:val="auto"/>
        </w:rPr>
        <w:t>Form of Notice of Stock Option Award for grants to persons other than directors pursuant to the Activision Blizzard, Inc. 2008 Incentive Plan (effective as of March 6, 2013) (incorporated by reference to Exhibit 10.6 of the Company's Form10-Q for the quarter ended March 31, 2013).</w:t>
      </w:r>
    </w:p>
    <w:p>
      <w:pPr>
        <w:spacing w:after="0" w:line="175" w:lineRule="exact"/>
        <w:rPr>
          <w:sz w:val="20"/>
          <w:szCs w:val="20"/>
          <w:color w:val="auto"/>
        </w:rPr>
      </w:pPr>
    </w:p>
    <w:p>
      <w:pPr>
        <w:ind w:left="1280" w:hanging="644"/>
        <w:spacing w:after="0" w:line="256" w:lineRule="auto"/>
        <w:tabs>
          <w:tab w:leader="none" w:pos="1260" w:val="left"/>
        </w:tabs>
        <w:rPr>
          <w:sz w:val="20"/>
          <w:szCs w:val="20"/>
          <w:color w:val="auto"/>
        </w:rPr>
      </w:pPr>
      <w:r>
        <w:rPr>
          <w:rFonts w:ascii="Arial" w:cs="Arial" w:eastAsia="Arial" w:hAnsi="Arial"/>
          <w:sz w:val="18"/>
          <w:szCs w:val="18"/>
          <w:color w:val="auto"/>
        </w:rPr>
        <w:t>10.34*</w:t>
        <w:tab/>
        <w:t>Form of Notice of Restricted Share Unit Award for grants to affiliated non-employee directors and to unaffiliated directors upon their re-election to the board (other than in connection with 10 years of continuous service) pursuant to the Activision Blizzard, Inc. 2008 Incentive Plan (effective as of November 12, 2008) (incorporated by reference to Exhibit 10.8 of the Company's Form 10-Q for the quarter ended March 31, 2013).</w:t>
      </w:r>
    </w:p>
    <w:p>
      <w:pPr>
        <w:spacing w:after="0" w:line="224" w:lineRule="exact"/>
        <w:rPr>
          <w:sz w:val="20"/>
          <w:szCs w:val="20"/>
          <w:color w:val="auto"/>
        </w:rPr>
      </w:pPr>
    </w:p>
    <w:p>
      <w:pPr>
        <w:ind w:left="1280" w:right="300" w:hanging="644"/>
        <w:spacing w:after="0" w:line="259" w:lineRule="auto"/>
        <w:tabs>
          <w:tab w:leader="none" w:pos="1260" w:val="left"/>
        </w:tabs>
        <w:rPr>
          <w:sz w:val="20"/>
          <w:szCs w:val="20"/>
          <w:color w:val="auto"/>
        </w:rPr>
      </w:pPr>
      <w:r>
        <w:rPr>
          <w:rFonts w:ascii="Arial" w:cs="Arial" w:eastAsia="Arial" w:hAnsi="Arial"/>
          <w:sz w:val="18"/>
          <w:szCs w:val="18"/>
          <w:color w:val="auto"/>
        </w:rPr>
        <w:t>10.35*</w:t>
        <w:tab/>
        <w:t>Form of Notice of Restricted Share Unit Award for grants to persons other than directors pursuant to the Activision Blizzard, Inc. 2008 Incentive Plan (effective as of March 6, 2013) (incorporated by reference to Exhibit 10.9 of the Company's Form 10-Q for the quarter ended March 31, 2013).</w:t>
      </w:r>
    </w:p>
    <w:p>
      <w:pPr>
        <w:spacing w:after="0" w:line="221" w:lineRule="exact"/>
        <w:rPr>
          <w:sz w:val="20"/>
          <w:szCs w:val="20"/>
          <w:color w:val="auto"/>
        </w:rPr>
      </w:pPr>
    </w:p>
    <w:p>
      <w:pPr>
        <w:ind w:left="1280" w:right="140" w:hanging="644"/>
        <w:spacing w:after="0" w:line="259" w:lineRule="auto"/>
        <w:tabs>
          <w:tab w:leader="none" w:pos="1260" w:val="left"/>
        </w:tabs>
        <w:rPr>
          <w:sz w:val="20"/>
          <w:szCs w:val="20"/>
          <w:color w:val="auto"/>
        </w:rPr>
      </w:pPr>
      <w:r>
        <w:rPr>
          <w:rFonts w:ascii="Arial" w:cs="Arial" w:eastAsia="Arial" w:hAnsi="Arial"/>
          <w:sz w:val="18"/>
          <w:szCs w:val="18"/>
          <w:color w:val="auto"/>
        </w:rPr>
        <w:t>10.36*</w:t>
        <w:tab/>
        <w:t>Form of Notice of Restricted Share Award for grants to persons other than directors pursuant to the Activision Blizzard, Inc. 2008 Incentive Plan (effective as of March 6, 2013) (incorporated by reference to Exhibit 10.10 of the Company's Form 10-Q for the quarter ended March 31, 2013).</w:t>
      </w:r>
    </w:p>
    <w:p>
      <w:pPr>
        <w:spacing w:after="0" w:line="221" w:lineRule="exact"/>
        <w:rPr>
          <w:sz w:val="20"/>
          <w:szCs w:val="20"/>
          <w:color w:val="auto"/>
        </w:rPr>
      </w:pPr>
    </w:p>
    <w:p>
      <w:pPr>
        <w:ind w:left="1280" w:right="280" w:hanging="644"/>
        <w:spacing w:after="0" w:line="268" w:lineRule="auto"/>
        <w:tabs>
          <w:tab w:leader="none" w:pos="1260" w:val="left"/>
        </w:tabs>
        <w:rPr>
          <w:sz w:val="20"/>
          <w:szCs w:val="20"/>
          <w:color w:val="auto"/>
        </w:rPr>
      </w:pPr>
      <w:r>
        <w:rPr>
          <w:rFonts w:ascii="Arial" w:cs="Arial" w:eastAsia="Arial" w:hAnsi="Arial"/>
          <w:sz w:val="18"/>
          <w:szCs w:val="18"/>
          <w:color w:val="auto"/>
        </w:rPr>
        <w:t>10.37*</w:t>
        <w:tab/>
        <w:t>Form of Notice of Stock Option Award for grants pursuant to the Activision Blizzard, Inc. 2014 Incentive Plan (effective as of June 5, 2013) (incorporated by reference to Exhibit 10.1 of the Company's Form 10-Q for the quarter ended June 30, 2014).</w:t>
      </w:r>
    </w:p>
    <w:p>
      <w:pPr>
        <w:spacing w:after="0" w:line="213" w:lineRule="exact"/>
        <w:rPr>
          <w:sz w:val="20"/>
          <w:szCs w:val="20"/>
          <w:color w:val="auto"/>
        </w:rPr>
      </w:pPr>
    </w:p>
    <w:p>
      <w:pPr>
        <w:jc w:val="both"/>
        <w:ind w:left="1280" w:right="40" w:hanging="644"/>
        <w:spacing w:after="0" w:line="259" w:lineRule="auto"/>
        <w:tabs>
          <w:tab w:leader="none" w:pos="1260" w:val="left"/>
        </w:tabs>
        <w:rPr>
          <w:sz w:val="20"/>
          <w:szCs w:val="20"/>
          <w:color w:val="auto"/>
        </w:rPr>
      </w:pPr>
      <w:r>
        <w:rPr>
          <w:rFonts w:ascii="Arial" w:cs="Arial" w:eastAsia="Arial" w:hAnsi="Arial"/>
          <w:sz w:val="18"/>
          <w:szCs w:val="18"/>
          <w:color w:val="auto"/>
        </w:rPr>
        <w:t>10.38*</w:t>
        <w:tab/>
        <w:t>Form of Notice of Restricted Share Unit Award for grants to persons other than non-affiliated directors pursuant to the Activision Blizzard, Inc. 2014 Incentive Plan (effective as of June 5, 2014) (incorporated by reference to Exhibit 10.2 of the Company's Form 10-Q for the quarter ended June 30, 2014).</w:t>
      </w:r>
    </w:p>
    <w:p>
      <w:pPr>
        <w:spacing w:after="0" w:line="221" w:lineRule="exact"/>
        <w:rPr>
          <w:sz w:val="20"/>
          <w:szCs w:val="20"/>
          <w:color w:val="auto"/>
        </w:rPr>
      </w:pPr>
    </w:p>
    <w:p>
      <w:pPr>
        <w:ind w:left="1280" w:right="260" w:hanging="644"/>
        <w:spacing w:after="0" w:line="332" w:lineRule="auto"/>
        <w:tabs>
          <w:tab w:leader="none" w:pos="1260" w:val="left"/>
        </w:tabs>
        <w:rPr>
          <w:sz w:val="20"/>
          <w:szCs w:val="20"/>
          <w:color w:val="auto"/>
        </w:rPr>
      </w:pPr>
      <w:r>
        <w:rPr>
          <w:rFonts w:ascii="Arial" w:cs="Arial" w:eastAsia="Arial" w:hAnsi="Arial"/>
          <w:sz w:val="18"/>
          <w:szCs w:val="18"/>
          <w:color w:val="auto"/>
        </w:rPr>
        <w:t>10.39*</w:t>
      </w:r>
      <w:r>
        <w:rPr>
          <w:sz w:val="20"/>
          <w:szCs w:val="20"/>
          <w:color w:val="auto"/>
        </w:rPr>
        <w:tab/>
      </w:r>
      <w:r>
        <w:rPr>
          <w:rFonts w:ascii="Arial" w:cs="Arial" w:eastAsia="Arial" w:hAnsi="Arial"/>
          <w:sz w:val="16"/>
          <w:szCs w:val="16"/>
          <w:color w:val="auto"/>
        </w:rPr>
        <w:t>Form of Notice of Performance-Vesting Restricted Share Unit Award for grants pursuant to the Activision Blizzard, Inc. 2014 Incentive Plan (effective as of June 5, 2014) (incorporated by reference to Exhibit 10.4 of the Company's Form 10-Q for the quarter ended June 30, 2014).</w:t>
      </w:r>
    </w:p>
    <w:p>
      <w:pPr>
        <w:spacing w:after="0" w:line="166" w:lineRule="exact"/>
        <w:rPr>
          <w:sz w:val="20"/>
          <w:szCs w:val="20"/>
          <w:color w:val="auto"/>
        </w:rPr>
      </w:pPr>
    </w:p>
    <w:p>
      <w:pPr>
        <w:ind w:left="1280" w:right="40" w:hanging="644"/>
        <w:spacing w:after="0" w:line="268" w:lineRule="auto"/>
        <w:tabs>
          <w:tab w:leader="none" w:pos="1260" w:val="left"/>
        </w:tabs>
        <w:rPr>
          <w:sz w:val="20"/>
          <w:szCs w:val="20"/>
          <w:color w:val="auto"/>
        </w:rPr>
      </w:pPr>
      <w:r>
        <w:rPr>
          <w:rFonts w:ascii="Arial" w:cs="Arial" w:eastAsia="Arial" w:hAnsi="Arial"/>
          <w:sz w:val="18"/>
          <w:szCs w:val="18"/>
          <w:color w:val="auto"/>
        </w:rPr>
        <w:t>10.40*</w:t>
        <w:tab/>
        <w:t>Form of Notice of Restricted Share Award for grants pursuant to the Activision Blizzard, Inc. 2014 Incentive Plan (effective as of June 5, 2014) (incorporated by reference to Exhibit 10.5 of the Company's Form 10-Q for the quarter ended June 30, 2014).</w:t>
      </w:r>
    </w:p>
    <w:p>
      <w:pPr>
        <w:spacing w:after="0" w:line="213" w:lineRule="exact"/>
        <w:rPr>
          <w:sz w:val="20"/>
          <w:szCs w:val="20"/>
          <w:color w:val="auto"/>
        </w:rPr>
      </w:pPr>
    </w:p>
    <w:p>
      <w:pPr>
        <w:ind w:left="1280" w:right="60" w:hanging="644"/>
        <w:spacing w:after="0" w:line="259" w:lineRule="auto"/>
        <w:tabs>
          <w:tab w:leader="none" w:pos="1260" w:val="left"/>
        </w:tabs>
        <w:rPr>
          <w:sz w:val="20"/>
          <w:szCs w:val="20"/>
          <w:color w:val="auto"/>
        </w:rPr>
      </w:pPr>
      <w:r>
        <w:rPr>
          <w:rFonts w:ascii="Arial" w:cs="Arial" w:eastAsia="Arial" w:hAnsi="Arial"/>
          <w:sz w:val="18"/>
          <w:szCs w:val="18"/>
          <w:color w:val="auto"/>
        </w:rPr>
        <w:t>10.41*</w:t>
        <w:tab/>
        <w:t>Form of Notice of Restricted Share Unit Award for grants to persons other than non-affiliated directors pursuant to the Activision Blizzard, Inc. 2014 Incentive Plan (effective as of July 29, 2014) (incorporated by reference to Exhibit 10.1 of the Company's Form 10-Q for the quarter ended September 30, 2014).</w:t>
      </w:r>
    </w:p>
    <w:p>
      <w:pPr>
        <w:spacing w:after="0" w:line="221" w:lineRule="exact"/>
        <w:rPr>
          <w:sz w:val="20"/>
          <w:szCs w:val="20"/>
          <w:color w:val="auto"/>
        </w:rPr>
      </w:pPr>
    </w:p>
    <w:p>
      <w:pPr>
        <w:ind w:left="1280" w:right="20" w:hanging="644"/>
        <w:spacing w:after="0" w:line="259" w:lineRule="auto"/>
        <w:tabs>
          <w:tab w:leader="none" w:pos="1260" w:val="left"/>
        </w:tabs>
        <w:rPr>
          <w:sz w:val="20"/>
          <w:szCs w:val="20"/>
          <w:color w:val="auto"/>
        </w:rPr>
      </w:pPr>
      <w:r>
        <w:rPr>
          <w:rFonts w:ascii="Arial" w:cs="Arial" w:eastAsia="Arial" w:hAnsi="Arial"/>
          <w:sz w:val="18"/>
          <w:szCs w:val="18"/>
          <w:color w:val="auto"/>
        </w:rPr>
        <w:t>10.42*</w:t>
        <w:tab/>
        <w:t>Form of Notice of Restricted Share Unit Award for grants to non-affiliated directors pursuant to the Activision Blizzard, Inc. 2014 Incentive Plan (effective as of July 29, 2014) (incorporated by reference to Exhibit 10.2 of the Company's Form 10-Q for the quarter ended September 30, 2014).</w:t>
      </w:r>
    </w:p>
    <w:p>
      <w:pPr>
        <w:spacing w:after="0" w:line="221" w:lineRule="exact"/>
        <w:rPr>
          <w:sz w:val="20"/>
          <w:szCs w:val="20"/>
          <w:color w:val="auto"/>
        </w:rPr>
      </w:pPr>
    </w:p>
    <w:p>
      <w:pPr>
        <w:ind w:left="1280" w:right="260" w:hanging="644"/>
        <w:spacing w:after="0" w:line="259" w:lineRule="auto"/>
        <w:tabs>
          <w:tab w:leader="none" w:pos="1260" w:val="left"/>
        </w:tabs>
        <w:rPr>
          <w:sz w:val="20"/>
          <w:szCs w:val="20"/>
          <w:color w:val="auto"/>
        </w:rPr>
      </w:pPr>
      <w:r>
        <w:rPr>
          <w:rFonts w:ascii="Arial" w:cs="Arial" w:eastAsia="Arial" w:hAnsi="Arial"/>
          <w:sz w:val="18"/>
          <w:szCs w:val="18"/>
          <w:color w:val="auto"/>
        </w:rPr>
        <w:t>10.43*</w:t>
        <w:tab/>
        <w:t>Form of Notice of Performance-Vesting Restricted Share Unit Award for grants pursuant to the Activision Blizzard, Inc. 2014 Incentive Plan (effective as of July 29, 2014) (incorporated by reference to Exhibit 10.3 of the Company's Form 10-Q for the quarter ended September 30, 2014).</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60" w:hanging="644"/>
        <w:spacing w:after="0" w:line="259" w:lineRule="auto"/>
        <w:tabs>
          <w:tab w:leader="none" w:pos="1260" w:val="left"/>
        </w:tabs>
        <w:rPr>
          <w:sz w:val="20"/>
          <w:szCs w:val="20"/>
          <w:color w:val="auto"/>
        </w:rPr>
      </w:pPr>
      <w:r>
        <w:rPr>
          <w:rFonts w:ascii="Arial" w:cs="Arial" w:eastAsia="Arial" w:hAnsi="Arial"/>
          <w:sz w:val="18"/>
          <w:szCs w:val="18"/>
          <w:color w:val="auto"/>
        </w:rPr>
        <w:t>10.44*</w:t>
        <w:tab/>
        <w:t>Form of Notice of Stock Option Award for grants to U.S. employees pursuant to the Activision Blizzard, Inc. 2014 Incentive Plan (effective as of November 1, 2016).</w:t>
      </w:r>
    </w:p>
    <w:p>
      <w:pPr>
        <w:spacing w:after="0" w:line="221" w:lineRule="exact"/>
        <w:rPr>
          <w:sz w:val="20"/>
          <w:szCs w:val="20"/>
          <w:color w:val="auto"/>
        </w:rPr>
      </w:pPr>
    </w:p>
    <w:p>
      <w:pPr>
        <w:ind w:left="1280" w:right="640" w:hanging="644"/>
        <w:spacing w:after="0" w:line="268" w:lineRule="auto"/>
        <w:tabs>
          <w:tab w:leader="none" w:pos="1260" w:val="left"/>
        </w:tabs>
        <w:rPr>
          <w:sz w:val="20"/>
          <w:szCs w:val="20"/>
          <w:color w:val="auto"/>
        </w:rPr>
      </w:pPr>
      <w:r>
        <w:rPr>
          <w:rFonts w:ascii="Arial" w:cs="Arial" w:eastAsia="Arial" w:hAnsi="Arial"/>
          <w:sz w:val="18"/>
          <w:szCs w:val="18"/>
          <w:color w:val="auto"/>
        </w:rPr>
        <w:t>10.45*</w:t>
        <w:tab/>
        <w:t>Form of Notice of Stock Option Award for grants to non-U.S. employees pursuant to the Activision Blizzard, Inc. 2014 Incentive Plan (effective as of November 1, 2016).</w:t>
      </w:r>
    </w:p>
    <w:p>
      <w:pPr>
        <w:spacing w:after="0" w:line="21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10.46*</w:t>
      </w:r>
      <w:r>
        <w:rPr>
          <w:sz w:val="20"/>
          <w:szCs w:val="20"/>
          <w:color w:val="auto"/>
        </w:rPr>
        <w:tab/>
      </w:r>
      <w:r>
        <w:rPr>
          <w:rFonts w:ascii="Arial" w:cs="Arial" w:eastAsia="Arial" w:hAnsi="Arial"/>
          <w:sz w:val="16"/>
          <w:szCs w:val="16"/>
          <w:color w:val="auto"/>
        </w:rPr>
        <w:t>Form of Notice of Performance-Vesting Restricted Share Unit Award for grants to non-U.S. employees pursuant to the Activision Blizzard, Inc.</w:t>
      </w:r>
    </w:p>
    <w:p>
      <w:pPr>
        <w:spacing w:after="0" w:line="15" w:lineRule="exact"/>
        <w:rPr>
          <w:sz w:val="20"/>
          <w:szCs w:val="20"/>
          <w:color w:val="auto"/>
        </w:rPr>
      </w:pPr>
    </w:p>
    <w:p>
      <w:pPr>
        <w:ind w:left="1280"/>
        <w:spacing w:after="0"/>
        <w:rPr>
          <w:sz w:val="20"/>
          <w:szCs w:val="20"/>
          <w:color w:val="auto"/>
        </w:rPr>
      </w:pPr>
      <w:r>
        <w:rPr>
          <w:rFonts w:ascii="Arial" w:cs="Arial" w:eastAsia="Arial" w:hAnsi="Arial"/>
          <w:sz w:val="18"/>
          <w:szCs w:val="18"/>
          <w:color w:val="auto"/>
        </w:rPr>
        <w:t>2014 Incentive Plan (effective as of November 1, 2016).</w:t>
      </w:r>
    </w:p>
    <w:p>
      <w:pPr>
        <w:spacing w:after="0" w:line="246" w:lineRule="exact"/>
        <w:rPr>
          <w:sz w:val="20"/>
          <w:szCs w:val="20"/>
          <w:color w:val="auto"/>
        </w:rPr>
      </w:pPr>
    </w:p>
    <w:p>
      <w:pPr>
        <w:ind w:left="1280" w:right="360" w:hanging="644"/>
        <w:spacing w:after="0" w:line="268" w:lineRule="auto"/>
        <w:tabs>
          <w:tab w:leader="none" w:pos="1260" w:val="left"/>
        </w:tabs>
        <w:rPr>
          <w:sz w:val="20"/>
          <w:szCs w:val="20"/>
          <w:color w:val="auto"/>
        </w:rPr>
      </w:pPr>
      <w:r>
        <w:rPr>
          <w:rFonts w:ascii="Arial" w:cs="Arial" w:eastAsia="Arial" w:hAnsi="Arial"/>
          <w:sz w:val="18"/>
          <w:szCs w:val="18"/>
          <w:color w:val="auto"/>
        </w:rPr>
        <w:t>10.47*</w:t>
        <w:tab/>
        <w:t>Amended and Restated CEO Recognition Program (incorporated by reference to Exhibit 10.6 of the Company's Form 10-Q for the quarter ended June 30, 2014).</w:t>
      </w:r>
    </w:p>
    <w:p>
      <w:pPr>
        <w:spacing w:after="0" w:line="213" w:lineRule="exact"/>
        <w:rPr>
          <w:sz w:val="20"/>
          <w:szCs w:val="20"/>
          <w:color w:val="auto"/>
        </w:rPr>
      </w:pPr>
    </w:p>
    <w:p>
      <w:pPr>
        <w:ind w:left="1280" w:right="380" w:hanging="644"/>
        <w:spacing w:after="0" w:line="268" w:lineRule="auto"/>
        <w:tabs>
          <w:tab w:leader="none" w:pos="1260" w:val="left"/>
        </w:tabs>
        <w:rPr>
          <w:sz w:val="20"/>
          <w:szCs w:val="20"/>
          <w:color w:val="auto"/>
        </w:rPr>
      </w:pPr>
      <w:r>
        <w:rPr>
          <w:rFonts w:ascii="Arial" w:cs="Arial" w:eastAsia="Arial" w:hAnsi="Arial"/>
          <w:sz w:val="18"/>
          <w:szCs w:val="18"/>
          <w:color w:val="auto"/>
        </w:rPr>
        <w:t>10.48*</w:t>
        <w:tab/>
        <w:t>Activision Blizzard, Inc. Corporate Annual Incentive Plan (incorporated by reference to Exhibit 10.1 of the Company's Form 10-Q for the quarter ended September 30, 2015).</w:t>
      </w:r>
    </w:p>
    <w:p>
      <w:pPr>
        <w:spacing w:after="0" w:line="213" w:lineRule="exact"/>
        <w:rPr>
          <w:sz w:val="20"/>
          <w:szCs w:val="20"/>
          <w:color w:val="auto"/>
        </w:rPr>
      </w:pPr>
    </w:p>
    <w:p>
      <w:pPr>
        <w:ind w:left="1280" w:right="500" w:hanging="644"/>
        <w:spacing w:after="0" w:line="268" w:lineRule="auto"/>
        <w:tabs>
          <w:tab w:leader="none" w:pos="1260" w:val="left"/>
        </w:tabs>
        <w:rPr>
          <w:sz w:val="20"/>
          <w:szCs w:val="20"/>
          <w:color w:val="auto"/>
        </w:rPr>
      </w:pPr>
      <w:r>
        <w:rPr>
          <w:rFonts w:ascii="Arial" w:cs="Arial" w:eastAsia="Arial" w:hAnsi="Arial"/>
          <w:sz w:val="18"/>
          <w:szCs w:val="18"/>
          <w:color w:val="auto"/>
        </w:rPr>
        <w:t>10.49*</w:t>
        <w:tab/>
        <w:t>Employment Agreement, dated September 9, 2005, between Thomas Tippl and Activision Publishing, Inc. (incorporated by reference to Exhibit 10.1 of the Company's Form 10-Q for the quarter ended September 30, 2005).</w:t>
      </w:r>
    </w:p>
    <w:p>
      <w:pPr>
        <w:spacing w:after="0" w:line="213" w:lineRule="exact"/>
        <w:rPr>
          <w:sz w:val="20"/>
          <w:szCs w:val="20"/>
          <w:color w:val="auto"/>
        </w:rPr>
      </w:pPr>
    </w:p>
    <w:p>
      <w:pPr>
        <w:ind w:left="1280" w:right="80" w:hanging="644"/>
        <w:spacing w:after="0" w:line="268" w:lineRule="auto"/>
        <w:tabs>
          <w:tab w:leader="none" w:pos="1260" w:val="left"/>
        </w:tabs>
        <w:rPr>
          <w:sz w:val="20"/>
          <w:szCs w:val="20"/>
          <w:color w:val="auto"/>
        </w:rPr>
      </w:pPr>
      <w:r>
        <w:rPr>
          <w:rFonts w:ascii="Arial" w:cs="Arial" w:eastAsia="Arial" w:hAnsi="Arial"/>
          <w:sz w:val="18"/>
          <w:szCs w:val="18"/>
          <w:color w:val="auto"/>
        </w:rPr>
        <w:t>10.50*</w:t>
        <w:tab/>
        <w:t>Amendment, dated as of December 15, 2008, to Employment Agreement between Thomas Tippl and Activision Publishing, Inc. (incorporated by reference to Exhibit 10.59 of the Company's Form 10-K for the year ended December 31, 2008).</w:t>
      </w:r>
    </w:p>
    <w:p>
      <w:pPr>
        <w:spacing w:after="0" w:line="213" w:lineRule="exact"/>
        <w:rPr>
          <w:sz w:val="20"/>
          <w:szCs w:val="20"/>
          <w:color w:val="auto"/>
        </w:rPr>
      </w:pPr>
    </w:p>
    <w:p>
      <w:pPr>
        <w:ind w:left="1280" w:right="200" w:hanging="644"/>
        <w:spacing w:after="0" w:line="268" w:lineRule="auto"/>
        <w:tabs>
          <w:tab w:leader="none" w:pos="1260" w:val="left"/>
        </w:tabs>
        <w:rPr>
          <w:sz w:val="20"/>
          <w:szCs w:val="20"/>
          <w:color w:val="auto"/>
        </w:rPr>
      </w:pPr>
      <w:r>
        <w:rPr>
          <w:rFonts w:ascii="Arial" w:cs="Arial" w:eastAsia="Arial" w:hAnsi="Arial"/>
          <w:sz w:val="18"/>
          <w:szCs w:val="18"/>
          <w:color w:val="auto"/>
        </w:rPr>
        <w:t>10.51*</w:t>
        <w:tab/>
        <w:t>Amendment, dated as of April 15, 2009, to Employment Agreement between Thomas Tippl and Activision Publishing, Inc. (incorporated by reference to Exhibit 10.1 of the Company's Form 10-Q for the quarter ended June 30, 2009).</w:t>
      </w:r>
    </w:p>
    <w:p>
      <w:pPr>
        <w:spacing w:after="0" w:line="213" w:lineRule="exact"/>
        <w:rPr>
          <w:sz w:val="20"/>
          <w:szCs w:val="20"/>
          <w:color w:val="auto"/>
        </w:rPr>
      </w:pPr>
    </w:p>
    <w:p>
      <w:pPr>
        <w:ind w:left="1280" w:right="280" w:hanging="644"/>
        <w:spacing w:after="0" w:line="268" w:lineRule="auto"/>
        <w:tabs>
          <w:tab w:leader="none" w:pos="1260" w:val="left"/>
        </w:tabs>
        <w:rPr>
          <w:sz w:val="20"/>
          <w:szCs w:val="20"/>
          <w:color w:val="auto"/>
        </w:rPr>
      </w:pPr>
      <w:r>
        <w:rPr>
          <w:rFonts w:ascii="Arial" w:cs="Arial" w:eastAsia="Arial" w:hAnsi="Arial"/>
          <w:sz w:val="18"/>
          <w:szCs w:val="18"/>
          <w:color w:val="auto"/>
        </w:rPr>
        <w:t>10.52*</w:t>
        <w:tab/>
        <w:t>Amendment, dated as of March 23, 2010, to Employment Agreement between Thomas Tippl and Activision Blizzard, Inc. (incorporated by reference to Exhibit 10.5 of the Company's Form 10-Q for the quarter ended March 31, 2010).</w:t>
      </w:r>
    </w:p>
    <w:p>
      <w:pPr>
        <w:spacing w:after="0" w:line="213" w:lineRule="exact"/>
        <w:rPr>
          <w:sz w:val="20"/>
          <w:szCs w:val="20"/>
          <w:color w:val="auto"/>
        </w:rPr>
      </w:pPr>
    </w:p>
    <w:p>
      <w:pPr>
        <w:ind w:left="1280" w:right="100" w:hanging="644"/>
        <w:spacing w:after="0" w:line="268" w:lineRule="auto"/>
        <w:tabs>
          <w:tab w:leader="none" w:pos="1260" w:val="left"/>
        </w:tabs>
        <w:rPr>
          <w:sz w:val="20"/>
          <w:szCs w:val="20"/>
          <w:color w:val="auto"/>
        </w:rPr>
      </w:pPr>
      <w:r>
        <w:rPr>
          <w:rFonts w:ascii="Arial" w:cs="Arial" w:eastAsia="Arial" w:hAnsi="Arial"/>
          <w:sz w:val="18"/>
          <w:szCs w:val="18"/>
          <w:color w:val="auto"/>
        </w:rPr>
        <w:t>10.53*</w:t>
        <w:tab/>
        <w:t>Amendment, dated as of December 5, 2013, to Employment Agreement between Thomas Tippl and Activision Blizzard, Inc. (incorporated by reference to Exhibit 10.57 of the Company's Form 10-K for the year ended December 31, 2013).</w:t>
      </w:r>
    </w:p>
    <w:p>
      <w:pPr>
        <w:spacing w:after="0" w:line="213" w:lineRule="exact"/>
        <w:rPr>
          <w:sz w:val="20"/>
          <w:szCs w:val="20"/>
          <w:color w:val="auto"/>
        </w:rPr>
      </w:pPr>
    </w:p>
    <w:p>
      <w:pPr>
        <w:ind w:left="1280" w:right="400" w:hanging="644"/>
        <w:spacing w:after="0" w:line="268" w:lineRule="auto"/>
        <w:tabs>
          <w:tab w:leader="none" w:pos="1260" w:val="left"/>
        </w:tabs>
        <w:rPr>
          <w:sz w:val="20"/>
          <w:szCs w:val="20"/>
          <w:color w:val="auto"/>
        </w:rPr>
      </w:pPr>
      <w:r>
        <w:rPr>
          <w:rFonts w:ascii="Arial" w:cs="Arial" w:eastAsia="Arial" w:hAnsi="Arial"/>
          <w:sz w:val="18"/>
          <w:szCs w:val="18"/>
          <w:color w:val="auto"/>
        </w:rPr>
        <w:t>10.54*</w:t>
        <w:tab/>
        <w:t>Notice of Restricted Share Unit Award, dated as of February 10, 2014, to Thomas Tippl (incorporated by reference to Exhibit 10.68 of the Company's Form 10-K for the year ended December 31, 2013).</w:t>
      </w:r>
    </w:p>
    <w:p>
      <w:pPr>
        <w:spacing w:after="0" w:line="213" w:lineRule="exact"/>
        <w:rPr>
          <w:sz w:val="20"/>
          <w:szCs w:val="20"/>
          <w:color w:val="auto"/>
        </w:rPr>
      </w:pPr>
    </w:p>
    <w:p>
      <w:pPr>
        <w:ind w:left="1280" w:right="380" w:hanging="644"/>
        <w:spacing w:after="0" w:line="268" w:lineRule="auto"/>
        <w:tabs>
          <w:tab w:leader="none" w:pos="1260" w:val="left"/>
        </w:tabs>
        <w:rPr>
          <w:sz w:val="20"/>
          <w:szCs w:val="20"/>
          <w:color w:val="auto"/>
        </w:rPr>
      </w:pPr>
      <w:r>
        <w:rPr>
          <w:rFonts w:ascii="Arial" w:cs="Arial" w:eastAsia="Arial" w:hAnsi="Arial"/>
          <w:sz w:val="18"/>
          <w:szCs w:val="18"/>
          <w:color w:val="auto"/>
        </w:rPr>
        <w:t>10.55*</w:t>
        <w:tab/>
        <w:t>Employment Agreement, dated June 30, 2012, between Brian G. Kelly and the Company (incorporated by reference to Exhibit 10.2 of the Company's Form 10-Q for the quarter ended June 30, 2012).</w:t>
      </w:r>
    </w:p>
    <w:p>
      <w:pPr>
        <w:spacing w:after="0" w:line="21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10.56*</w:t>
      </w:r>
      <w:r>
        <w:rPr>
          <w:sz w:val="20"/>
          <w:szCs w:val="20"/>
          <w:color w:val="auto"/>
        </w:rPr>
        <w:tab/>
      </w:r>
      <w:r>
        <w:rPr>
          <w:rFonts w:ascii="Arial" w:cs="Arial" w:eastAsia="Arial" w:hAnsi="Arial"/>
          <w:sz w:val="15"/>
          <w:szCs w:val="15"/>
          <w:color w:val="auto"/>
        </w:rPr>
        <w:t>Transition Agreement, dated November 22, 2016, between the Company and Brian G. Kelly.</w:t>
      </w:r>
    </w:p>
    <w:p>
      <w:pPr>
        <w:spacing w:after="0" w:line="252" w:lineRule="exact"/>
        <w:rPr>
          <w:sz w:val="20"/>
          <w:szCs w:val="20"/>
          <w:color w:val="auto"/>
        </w:rPr>
      </w:pPr>
    </w:p>
    <w:p>
      <w:pPr>
        <w:ind w:left="1280" w:right="440" w:hanging="644"/>
        <w:spacing w:after="0" w:line="268" w:lineRule="auto"/>
        <w:tabs>
          <w:tab w:leader="none" w:pos="1260" w:val="left"/>
        </w:tabs>
        <w:rPr>
          <w:sz w:val="20"/>
          <w:szCs w:val="20"/>
          <w:color w:val="auto"/>
        </w:rPr>
      </w:pPr>
      <w:r>
        <w:rPr>
          <w:rFonts w:ascii="Arial" w:cs="Arial" w:eastAsia="Arial" w:hAnsi="Arial"/>
          <w:sz w:val="18"/>
          <w:szCs w:val="18"/>
          <w:color w:val="auto"/>
        </w:rPr>
        <w:t>10.57*</w:t>
        <w:tab/>
        <w:t>Notice of Stock Option Award, dated as of August 6, 2015 to Brian G. Kelly (incorporated by reference to Exhibit 10.2 of the Company's Form 10-Q for the quarter ended September 30, 2015).</w:t>
      </w:r>
    </w:p>
    <w:p>
      <w:pPr>
        <w:spacing w:after="0" w:line="213" w:lineRule="exact"/>
        <w:rPr>
          <w:sz w:val="20"/>
          <w:szCs w:val="20"/>
          <w:color w:val="auto"/>
        </w:rPr>
      </w:pPr>
    </w:p>
    <w:p>
      <w:pPr>
        <w:ind w:left="1280" w:right="240" w:hanging="644"/>
        <w:spacing w:after="0" w:line="268" w:lineRule="auto"/>
        <w:tabs>
          <w:tab w:leader="none" w:pos="1260" w:val="left"/>
        </w:tabs>
        <w:rPr>
          <w:sz w:val="20"/>
          <w:szCs w:val="20"/>
          <w:color w:val="auto"/>
        </w:rPr>
      </w:pPr>
      <w:r>
        <w:rPr>
          <w:rFonts w:ascii="Arial" w:cs="Arial" w:eastAsia="Arial" w:hAnsi="Arial"/>
          <w:sz w:val="18"/>
          <w:szCs w:val="18"/>
          <w:color w:val="auto"/>
        </w:rPr>
        <w:t>10.58*</w:t>
        <w:tab/>
        <w:t>Employment Agreement, dated as of December 1, 2007, between Michael Morhaime and Vivendi Games, Inc. (incorporated by reference to Exhibit 10.19 of the Company's Form 10-Q for the quarter ended September 30, 2008).</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160" w:hanging="644"/>
        <w:spacing w:after="0" w:line="321" w:lineRule="auto"/>
        <w:tabs>
          <w:tab w:leader="none" w:pos="1260" w:val="left"/>
        </w:tabs>
        <w:rPr>
          <w:sz w:val="20"/>
          <w:szCs w:val="20"/>
          <w:color w:val="auto"/>
        </w:rPr>
      </w:pPr>
      <w:r>
        <w:rPr>
          <w:rFonts w:ascii="Arial" w:cs="Arial" w:eastAsia="Arial" w:hAnsi="Arial"/>
          <w:sz w:val="18"/>
          <w:szCs w:val="18"/>
          <w:color w:val="auto"/>
        </w:rPr>
        <w:t>10.59*</w:t>
      </w:r>
      <w:r>
        <w:rPr>
          <w:sz w:val="20"/>
          <w:szCs w:val="20"/>
          <w:color w:val="auto"/>
        </w:rPr>
        <w:tab/>
      </w:r>
      <w:r>
        <w:rPr>
          <w:rFonts w:ascii="Arial" w:cs="Arial" w:eastAsia="Arial" w:hAnsi="Arial"/>
          <w:sz w:val="16"/>
          <w:szCs w:val="16"/>
          <w:color w:val="auto"/>
        </w:rPr>
        <w:t>Assignment and Assumption of Morhaime Employment Agreement, dated as of July 9, 2008, between Vivendi Games. Inc. and the Company (incorporated by reference to Exhibit 10.20 of the Company's Form 10-Q for the quarter ended September 30, 2008).</w:t>
      </w:r>
    </w:p>
    <w:p>
      <w:pPr>
        <w:spacing w:after="0" w:line="175" w:lineRule="exact"/>
        <w:rPr>
          <w:sz w:val="20"/>
          <w:szCs w:val="20"/>
          <w:color w:val="auto"/>
        </w:rPr>
      </w:pPr>
    </w:p>
    <w:p>
      <w:pPr>
        <w:ind w:left="1280" w:right="460" w:hanging="644"/>
        <w:spacing w:after="0" w:line="268" w:lineRule="auto"/>
        <w:tabs>
          <w:tab w:leader="none" w:pos="1260" w:val="left"/>
        </w:tabs>
        <w:rPr>
          <w:sz w:val="20"/>
          <w:szCs w:val="20"/>
          <w:color w:val="auto"/>
        </w:rPr>
      </w:pPr>
      <w:r>
        <w:rPr>
          <w:rFonts w:ascii="Arial" w:cs="Arial" w:eastAsia="Arial" w:hAnsi="Arial"/>
          <w:sz w:val="18"/>
          <w:szCs w:val="18"/>
          <w:color w:val="auto"/>
        </w:rPr>
        <w:t>10.60*</w:t>
        <w:tab/>
        <w:t>Amendment, dated as of December 15, 2008, to Employment Agreement between Michael Morhaime and the Company (incorporated by reference to Exhibit 10.94 of the Company's Form 10-K for the year ended December 31, 2008).</w:t>
      </w:r>
    </w:p>
    <w:p>
      <w:pPr>
        <w:spacing w:after="0" w:line="213" w:lineRule="exact"/>
        <w:rPr>
          <w:sz w:val="20"/>
          <w:szCs w:val="20"/>
          <w:color w:val="auto"/>
        </w:rPr>
      </w:pPr>
    </w:p>
    <w:p>
      <w:pPr>
        <w:ind w:left="1280" w:right="40" w:hanging="644"/>
        <w:spacing w:after="0" w:line="268" w:lineRule="auto"/>
        <w:tabs>
          <w:tab w:leader="none" w:pos="1260" w:val="left"/>
        </w:tabs>
        <w:rPr>
          <w:sz w:val="20"/>
          <w:szCs w:val="20"/>
          <w:color w:val="auto"/>
        </w:rPr>
      </w:pPr>
      <w:r>
        <w:rPr>
          <w:rFonts w:ascii="Arial" w:cs="Arial" w:eastAsia="Arial" w:hAnsi="Arial"/>
          <w:sz w:val="18"/>
          <w:szCs w:val="18"/>
          <w:color w:val="auto"/>
        </w:rPr>
        <w:t>10.61*</w:t>
        <w:tab/>
        <w:t>Amendment, dated as of March 31, 2009, to Employment Agreement between Michael Morhaime and the Company (incorporated by reference to Exhibit 10.1 of the Company's Form 10-Q for the quarter ended March 31, 2009).</w:t>
      </w:r>
    </w:p>
    <w:p>
      <w:pPr>
        <w:spacing w:after="0" w:line="213" w:lineRule="exact"/>
        <w:rPr>
          <w:sz w:val="20"/>
          <w:szCs w:val="20"/>
          <w:color w:val="auto"/>
        </w:rPr>
      </w:pPr>
    </w:p>
    <w:p>
      <w:pPr>
        <w:ind w:left="1280" w:right="540" w:hanging="644"/>
        <w:spacing w:after="0" w:line="268" w:lineRule="auto"/>
        <w:tabs>
          <w:tab w:leader="none" w:pos="1260" w:val="left"/>
        </w:tabs>
        <w:rPr>
          <w:sz w:val="20"/>
          <w:szCs w:val="20"/>
          <w:color w:val="auto"/>
        </w:rPr>
      </w:pPr>
      <w:r>
        <w:rPr>
          <w:rFonts w:ascii="Arial" w:cs="Arial" w:eastAsia="Arial" w:hAnsi="Arial"/>
          <w:sz w:val="18"/>
          <w:szCs w:val="18"/>
          <w:color w:val="auto"/>
        </w:rPr>
        <w:t>10.62*</w:t>
        <w:tab/>
        <w:t>Amendment, dated as of November 4, 2009, to Employment Agreement between Michael Morhaime and the Company (incorporated by reference to Exhibit 10.92 of the Company's Form 10-K for the year ended December 31, 2009).</w:t>
      </w:r>
    </w:p>
    <w:p>
      <w:pPr>
        <w:spacing w:after="0" w:line="213" w:lineRule="exact"/>
        <w:rPr>
          <w:sz w:val="20"/>
          <w:szCs w:val="20"/>
          <w:color w:val="auto"/>
        </w:rPr>
      </w:pPr>
    </w:p>
    <w:p>
      <w:pPr>
        <w:ind w:left="1280" w:right="620" w:hanging="644"/>
        <w:spacing w:after="0" w:line="268" w:lineRule="auto"/>
        <w:tabs>
          <w:tab w:leader="none" w:pos="1260" w:val="left"/>
        </w:tabs>
        <w:rPr>
          <w:sz w:val="20"/>
          <w:szCs w:val="20"/>
          <w:color w:val="auto"/>
        </w:rPr>
      </w:pPr>
      <w:r>
        <w:rPr>
          <w:rFonts w:ascii="Arial" w:cs="Arial" w:eastAsia="Arial" w:hAnsi="Arial"/>
          <w:sz w:val="18"/>
          <w:szCs w:val="18"/>
          <w:color w:val="auto"/>
        </w:rPr>
        <w:t>10.63*</w:t>
        <w:tab/>
        <w:t>Amendment, dated as of October 26, 2010, to Employment Agreement between Michael Morhaime and the Company (incorporated by reference to Exhibit 10.86 of the Company's Form 10-K for the year ended December 31, 2010).</w:t>
      </w:r>
    </w:p>
    <w:p>
      <w:pPr>
        <w:spacing w:after="0" w:line="213" w:lineRule="exact"/>
        <w:rPr>
          <w:sz w:val="20"/>
          <w:szCs w:val="20"/>
          <w:color w:val="auto"/>
        </w:rPr>
      </w:pPr>
    </w:p>
    <w:p>
      <w:pPr>
        <w:ind w:left="1280" w:right="580" w:hanging="644"/>
        <w:spacing w:after="0" w:line="268" w:lineRule="auto"/>
        <w:tabs>
          <w:tab w:leader="none" w:pos="1260" w:val="left"/>
        </w:tabs>
        <w:rPr>
          <w:sz w:val="20"/>
          <w:szCs w:val="20"/>
          <w:color w:val="auto"/>
        </w:rPr>
      </w:pPr>
      <w:r>
        <w:rPr>
          <w:rFonts w:ascii="Arial" w:cs="Arial" w:eastAsia="Arial" w:hAnsi="Arial"/>
          <w:sz w:val="18"/>
          <w:szCs w:val="18"/>
          <w:color w:val="auto"/>
        </w:rPr>
        <w:t>10.64*</w:t>
        <w:tab/>
        <w:t>Notice of Stock Option Award, dated as of November 14 2014, to Michael Morhaime (incorporated by reference to Exhibit 10.66 of the Company's Form 10-K for the year ended December 31, 2014).</w:t>
      </w:r>
    </w:p>
    <w:p>
      <w:pPr>
        <w:spacing w:after="0" w:line="213" w:lineRule="exact"/>
        <w:rPr>
          <w:sz w:val="20"/>
          <w:szCs w:val="20"/>
          <w:color w:val="auto"/>
        </w:rPr>
      </w:pPr>
    </w:p>
    <w:p>
      <w:pPr>
        <w:ind w:left="1280" w:hanging="644"/>
        <w:spacing w:after="0" w:line="268" w:lineRule="auto"/>
        <w:tabs>
          <w:tab w:leader="none" w:pos="1260" w:val="left"/>
        </w:tabs>
        <w:rPr>
          <w:sz w:val="20"/>
          <w:szCs w:val="20"/>
          <w:color w:val="auto"/>
        </w:rPr>
      </w:pPr>
      <w:r>
        <w:rPr>
          <w:rFonts w:ascii="Arial" w:cs="Arial" w:eastAsia="Arial" w:hAnsi="Arial"/>
          <w:sz w:val="18"/>
          <w:szCs w:val="18"/>
          <w:color w:val="auto"/>
        </w:rPr>
        <w:t>10.65*</w:t>
        <w:tab/>
        <w:t>Notice of Restricted Share Unit Award, dated as of November 14 2014, to Michael Morhaime (incorporated by reference to Exhibit 10.67 of the Company's Form 10-K for the year ended December 31, 2014).</w:t>
      </w:r>
    </w:p>
    <w:p>
      <w:pPr>
        <w:spacing w:after="0" w:line="213" w:lineRule="exact"/>
        <w:rPr>
          <w:sz w:val="20"/>
          <w:szCs w:val="20"/>
          <w:color w:val="auto"/>
        </w:rPr>
      </w:pPr>
    </w:p>
    <w:p>
      <w:pPr>
        <w:ind w:left="1280" w:right="540" w:hanging="644"/>
        <w:spacing w:after="0" w:line="268" w:lineRule="auto"/>
        <w:tabs>
          <w:tab w:leader="none" w:pos="1260" w:val="left"/>
        </w:tabs>
        <w:rPr>
          <w:sz w:val="20"/>
          <w:szCs w:val="20"/>
          <w:color w:val="auto"/>
        </w:rPr>
      </w:pPr>
      <w:r>
        <w:rPr>
          <w:rFonts w:ascii="Arial" w:cs="Arial" w:eastAsia="Arial" w:hAnsi="Arial"/>
          <w:sz w:val="18"/>
          <w:szCs w:val="18"/>
          <w:color w:val="auto"/>
        </w:rPr>
        <w:t>10.66*</w:t>
        <w:tab/>
        <w:t>Notice of Stock Option Award, dated as of November 13, 2015, to Michael Morhaime (incorporated by reference to Exhibit 10.85 of the Company's Form 10-K for the year ended December 31, 2015).</w:t>
      </w:r>
    </w:p>
    <w:p>
      <w:pPr>
        <w:spacing w:after="0" w:line="213" w:lineRule="exact"/>
        <w:rPr>
          <w:sz w:val="20"/>
          <w:szCs w:val="20"/>
          <w:color w:val="auto"/>
        </w:rPr>
      </w:pPr>
    </w:p>
    <w:p>
      <w:pPr>
        <w:ind w:left="1280" w:right="220" w:hanging="644"/>
        <w:spacing w:after="0" w:line="268" w:lineRule="auto"/>
        <w:tabs>
          <w:tab w:leader="none" w:pos="1260" w:val="left"/>
        </w:tabs>
        <w:rPr>
          <w:sz w:val="20"/>
          <w:szCs w:val="20"/>
          <w:color w:val="auto"/>
        </w:rPr>
      </w:pPr>
      <w:r>
        <w:rPr>
          <w:rFonts w:ascii="Arial" w:cs="Arial" w:eastAsia="Arial" w:hAnsi="Arial"/>
          <w:sz w:val="18"/>
          <w:szCs w:val="18"/>
          <w:color w:val="auto"/>
        </w:rPr>
        <w:t>10.67*</w:t>
        <w:tab/>
        <w:t>Notice of Restricted Share Unit Award, dated as of November 13, 2015, to Michael Morhaime (incorporated by reference to Exhibit 10.86 of the Company's Form 10-K for the year ended December 31, 2015).</w:t>
      </w:r>
    </w:p>
    <w:p>
      <w:pPr>
        <w:spacing w:after="0" w:line="213"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10.68*</w:t>
      </w:r>
      <w:r>
        <w:rPr>
          <w:sz w:val="20"/>
          <w:szCs w:val="20"/>
          <w:color w:val="auto"/>
        </w:rPr>
        <w:tab/>
      </w:r>
      <w:r>
        <w:rPr>
          <w:rFonts w:ascii="Arial" w:cs="Arial" w:eastAsia="Arial" w:hAnsi="Arial"/>
          <w:sz w:val="16"/>
          <w:szCs w:val="16"/>
          <w:color w:val="auto"/>
        </w:rPr>
        <w:t>Notice of Stock Option Award, dated as of November 7, 2016, to Michael Morhaime.</w:t>
      </w:r>
    </w:p>
    <w:p>
      <w:pPr>
        <w:spacing w:after="0" w:line="252"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10.69*</w:t>
      </w:r>
      <w:r>
        <w:rPr>
          <w:sz w:val="20"/>
          <w:szCs w:val="20"/>
          <w:color w:val="auto"/>
        </w:rPr>
        <w:tab/>
      </w:r>
      <w:r>
        <w:rPr>
          <w:rFonts w:ascii="Arial" w:cs="Arial" w:eastAsia="Arial" w:hAnsi="Arial"/>
          <w:sz w:val="16"/>
          <w:szCs w:val="16"/>
          <w:color w:val="auto"/>
        </w:rPr>
        <w:t>Notice of Restricted Share Unit Award, dated as of November 07, 2016, to Michael Morhaime.</w:t>
      </w:r>
    </w:p>
    <w:p>
      <w:pPr>
        <w:spacing w:after="0" w:line="252" w:lineRule="exact"/>
        <w:rPr>
          <w:sz w:val="20"/>
          <w:szCs w:val="20"/>
          <w:color w:val="auto"/>
        </w:rPr>
      </w:pPr>
    </w:p>
    <w:p>
      <w:pPr>
        <w:ind w:left="1280" w:right="580" w:hanging="644"/>
        <w:spacing w:after="0" w:line="268" w:lineRule="auto"/>
        <w:tabs>
          <w:tab w:leader="none" w:pos="1260" w:val="left"/>
        </w:tabs>
        <w:rPr>
          <w:sz w:val="20"/>
          <w:szCs w:val="20"/>
          <w:color w:val="auto"/>
        </w:rPr>
      </w:pPr>
      <w:r>
        <w:rPr>
          <w:rFonts w:ascii="Arial" w:cs="Arial" w:eastAsia="Arial" w:hAnsi="Arial"/>
          <w:sz w:val="18"/>
          <w:szCs w:val="18"/>
          <w:color w:val="auto"/>
        </w:rPr>
        <w:t>10.70*</w:t>
        <w:tab/>
        <w:t>Employment Agreement, dated as of July 6, 2010, between Eric Hirshberg and Activision Publishing, Inc. (incorporated by reference to Exhibit 10.1 of the Company's Form 10-Q for the quarter ended March 31, 2011).</w:t>
      </w:r>
    </w:p>
    <w:p>
      <w:pPr>
        <w:spacing w:after="0" w:line="213" w:lineRule="exact"/>
        <w:rPr>
          <w:sz w:val="20"/>
          <w:szCs w:val="20"/>
          <w:color w:val="auto"/>
        </w:rPr>
      </w:pPr>
    </w:p>
    <w:p>
      <w:pPr>
        <w:ind w:left="1280" w:hanging="644"/>
        <w:spacing w:after="0" w:line="268" w:lineRule="auto"/>
        <w:tabs>
          <w:tab w:leader="none" w:pos="1260" w:val="left"/>
        </w:tabs>
        <w:rPr>
          <w:sz w:val="20"/>
          <w:szCs w:val="20"/>
          <w:color w:val="auto"/>
        </w:rPr>
      </w:pPr>
      <w:r>
        <w:rPr>
          <w:rFonts w:ascii="Arial" w:cs="Arial" w:eastAsia="Arial" w:hAnsi="Arial"/>
          <w:sz w:val="18"/>
          <w:szCs w:val="18"/>
          <w:color w:val="auto"/>
        </w:rPr>
        <w:t>10.71*</w:t>
        <w:tab/>
        <w:t>Amendment, dated as of October 15, 2015, to Employment Agreement between Eric Hirshberg and Activision Publishing, Inc. (incorporated by reference to Exhibit 10.3 of the Company's Form 10-Q for the quarter ended March 31, 2016).</w:t>
      </w:r>
    </w:p>
    <w:p>
      <w:pPr>
        <w:spacing w:after="0" w:line="213" w:lineRule="exact"/>
        <w:rPr>
          <w:sz w:val="20"/>
          <w:szCs w:val="20"/>
          <w:color w:val="auto"/>
        </w:rPr>
      </w:pPr>
    </w:p>
    <w:p>
      <w:pPr>
        <w:ind w:left="1280" w:hanging="644"/>
        <w:spacing w:after="0" w:line="268" w:lineRule="auto"/>
        <w:tabs>
          <w:tab w:leader="none" w:pos="1260" w:val="left"/>
        </w:tabs>
        <w:rPr>
          <w:sz w:val="20"/>
          <w:szCs w:val="20"/>
          <w:color w:val="auto"/>
        </w:rPr>
      </w:pPr>
      <w:r>
        <w:rPr>
          <w:rFonts w:ascii="Arial" w:cs="Arial" w:eastAsia="Arial" w:hAnsi="Arial"/>
          <w:sz w:val="18"/>
          <w:szCs w:val="18"/>
          <w:color w:val="auto"/>
        </w:rPr>
        <w:t>10.72*</w:t>
        <w:tab/>
        <w:t>Notice of Assignment of Hirshberg Employment Agreement to Activision Blizzard, Inc. dated December 22, 2011 (incorporated by reference to Exhibit 10.97 of the Company's Form 10-K for the year ended December 31, 2011).</w:t>
      </w:r>
    </w:p>
    <w:p>
      <w:pPr>
        <w:spacing w:after="0" w:line="213" w:lineRule="exact"/>
        <w:rPr>
          <w:sz w:val="20"/>
          <w:szCs w:val="20"/>
          <w:color w:val="auto"/>
        </w:rPr>
      </w:pPr>
    </w:p>
    <w:p>
      <w:pPr>
        <w:ind w:left="1280" w:right="120" w:hanging="644"/>
        <w:spacing w:after="0" w:line="268" w:lineRule="auto"/>
        <w:tabs>
          <w:tab w:leader="none" w:pos="1260" w:val="left"/>
        </w:tabs>
        <w:rPr>
          <w:sz w:val="20"/>
          <w:szCs w:val="20"/>
          <w:color w:val="auto"/>
        </w:rPr>
      </w:pPr>
      <w:r>
        <w:rPr>
          <w:rFonts w:ascii="Arial" w:cs="Arial" w:eastAsia="Arial" w:hAnsi="Arial"/>
          <w:sz w:val="18"/>
          <w:szCs w:val="18"/>
          <w:color w:val="auto"/>
        </w:rPr>
        <w:t>10.73*</w:t>
        <w:tab/>
        <w:t>Notice of Stock Option Award, dated as of November 13, 2015, to Eric Hirshberg (incorporated by reference to Exhibit 10.4 of the Company's Form 10-Q for the quarter ended March 31, 2016).</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60" w:hanging="644"/>
        <w:spacing w:after="0" w:line="259" w:lineRule="auto"/>
        <w:tabs>
          <w:tab w:leader="none" w:pos="1260" w:val="left"/>
        </w:tabs>
        <w:rPr>
          <w:sz w:val="20"/>
          <w:szCs w:val="20"/>
          <w:color w:val="auto"/>
        </w:rPr>
      </w:pPr>
      <w:r>
        <w:rPr>
          <w:rFonts w:ascii="Arial" w:cs="Arial" w:eastAsia="Arial" w:hAnsi="Arial"/>
          <w:sz w:val="18"/>
          <w:szCs w:val="18"/>
          <w:color w:val="auto"/>
        </w:rPr>
        <w:t>10.74*</w:t>
        <w:tab/>
        <w:t>Employment Agreement, dated February 29, 2012, between Dennis Durkin and the Company (incorporated by reference to Exhibit 10.5 of the Company's Form 10-Q for the quarter ended March 31, 2012).</w:t>
      </w:r>
    </w:p>
    <w:p>
      <w:pPr>
        <w:spacing w:after="0" w:line="221" w:lineRule="exact"/>
        <w:rPr>
          <w:sz w:val="20"/>
          <w:szCs w:val="20"/>
          <w:color w:val="auto"/>
        </w:rPr>
      </w:pPr>
    </w:p>
    <w:p>
      <w:pPr>
        <w:ind w:left="1280" w:right="440" w:hanging="644"/>
        <w:spacing w:after="0" w:line="268" w:lineRule="auto"/>
        <w:tabs>
          <w:tab w:leader="none" w:pos="1260" w:val="left"/>
        </w:tabs>
        <w:rPr>
          <w:sz w:val="20"/>
          <w:szCs w:val="20"/>
          <w:color w:val="auto"/>
        </w:rPr>
      </w:pPr>
      <w:r>
        <w:rPr>
          <w:rFonts w:ascii="Arial" w:cs="Arial" w:eastAsia="Arial" w:hAnsi="Arial"/>
          <w:sz w:val="18"/>
          <w:szCs w:val="18"/>
          <w:color w:val="auto"/>
        </w:rPr>
        <w:t>10.75*</w:t>
        <w:tab/>
        <w:t>Notice of Stock Option Award, dated as of March 6, 2012, to Dennis Durkin (incorporated by reference to Exhibit 10.6 of the Company's Form 10-Q for the quarter ended March 31, 2012).</w:t>
      </w:r>
    </w:p>
    <w:p>
      <w:pPr>
        <w:spacing w:after="0" w:line="213" w:lineRule="exact"/>
        <w:rPr>
          <w:sz w:val="20"/>
          <w:szCs w:val="20"/>
          <w:color w:val="auto"/>
        </w:rPr>
      </w:pPr>
    </w:p>
    <w:p>
      <w:pPr>
        <w:ind w:left="1280" w:right="680" w:hanging="644"/>
        <w:spacing w:after="0" w:line="268" w:lineRule="auto"/>
        <w:tabs>
          <w:tab w:leader="none" w:pos="1260" w:val="left"/>
        </w:tabs>
        <w:rPr>
          <w:sz w:val="20"/>
          <w:szCs w:val="20"/>
          <w:color w:val="auto"/>
        </w:rPr>
      </w:pPr>
      <w:r>
        <w:rPr>
          <w:rFonts w:ascii="Arial" w:cs="Arial" w:eastAsia="Arial" w:hAnsi="Arial"/>
          <w:sz w:val="18"/>
          <w:szCs w:val="18"/>
          <w:color w:val="auto"/>
        </w:rPr>
        <w:t>10.76*</w:t>
        <w:tab/>
        <w:t>Notice of Restricted Share Unit Award, dated as of March 6, 2012, to Dennis Durkin (incorporated by reference to Exhibit 10.8 of the Company's Form 10-Q for the quarter ended March 31, 2012).</w:t>
      </w:r>
    </w:p>
    <w:p>
      <w:pPr>
        <w:spacing w:after="0" w:line="213" w:lineRule="exact"/>
        <w:rPr>
          <w:sz w:val="20"/>
          <w:szCs w:val="20"/>
          <w:color w:val="auto"/>
        </w:rPr>
      </w:pPr>
    </w:p>
    <w:p>
      <w:pPr>
        <w:ind w:left="1280" w:right="40" w:hanging="644"/>
        <w:spacing w:after="0" w:line="268" w:lineRule="auto"/>
        <w:tabs>
          <w:tab w:leader="none" w:pos="1260" w:val="left"/>
        </w:tabs>
        <w:rPr>
          <w:sz w:val="20"/>
          <w:szCs w:val="20"/>
          <w:color w:val="auto"/>
        </w:rPr>
      </w:pPr>
      <w:r>
        <w:rPr>
          <w:rFonts w:ascii="Arial" w:cs="Arial" w:eastAsia="Arial" w:hAnsi="Arial"/>
          <w:sz w:val="18"/>
          <w:szCs w:val="18"/>
          <w:color w:val="auto"/>
        </w:rPr>
        <w:t>10.77*</w:t>
        <w:tab/>
        <w:t>Employment Agreement, dated November 22, 2016, between Robert A. Kotick and the Company (incorporated by reference to Exhibit 10.1 of the Company's Form 8-K, filed November 25, 2016).</w:t>
      </w:r>
    </w:p>
    <w:p>
      <w:pPr>
        <w:spacing w:after="0" w:line="213" w:lineRule="exact"/>
        <w:rPr>
          <w:sz w:val="20"/>
          <w:szCs w:val="20"/>
          <w:color w:val="auto"/>
        </w:rPr>
      </w:pPr>
    </w:p>
    <w:p>
      <w:pPr>
        <w:ind w:left="1280" w:right="340" w:hanging="644"/>
        <w:spacing w:after="0" w:line="268" w:lineRule="auto"/>
        <w:tabs>
          <w:tab w:leader="none" w:pos="1260" w:val="left"/>
        </w:tabs>
        <w:rPr>
          <w:sz w:val="20"/>
          <w:szCs w:val="20"/>
          <w:color w:val="auto"/>
        </w:rPr>
      </w:pPr>
      <w:r>
        <w:rPr>
          <w:rFonts w:ascii="Arial" w:cs="Arial" w:eastAsia="Arial" w:hAnsi="Arial"/>
          <w:sz w:val="18"/>
          <w:szCs w:val="18"/>
          <w:color w:val="auto"/>
        </w:rPr>
        <w:t>10.78*</w:t>
        <w:tab/>
        <w:t>Notice of Performance Share Unit Award, dated November 22, 2016, to Robert A. Kotick (incorporated by reference to Exhibit 10.1 of the Company's Form 8-K, filed November 25, 2016).</w:t>
      </w:r>
    </w:p>
    <w:p>
      <w:pPr>
        <w:spacing w:after="0" w:line="213" w:lineRule="exact"/>
        <w:rPr>
          <w:sz w:val="20"/>
          <w:szCs w:val="20"/>
          <w:color w:val="auto"/>
        </w:rPr>
      </w:pPr>
    </w:p>
    <w:p>
      <w:pPr>
        <w:ind w:left="1280" w:right="580" w:hanging="556"/>
        <w:spacing w:after="0" w:line="268" w:lineRule="auto"/>
        <w:tabs>
          <w:tab w:leader="none" w:pos="1260" w:val="left"/>
        </w:tabs>
        <w:rPr>
          <w:sz w:val="20"/>
          <w:szCs w:val="20"/>
          <w:color w:val="auto"/>
        </w:rPr>
      </w:pPr>
      <w:r>
        <w:rPr>
          <w:rFonts w:ascii="Arial" w:cs="Arial" w:eastAsia="Arial" w:hAnsi="Arial"/>
          <w:sz w:val="18"/>
          <w:szCs w:val="18"/>
          <w:color w:val="auto"/>
        </w:rPr>
        <w:t>10.79</w:t>
        <w:tab/>
        <w:t>Tax Sharing Agreement, dated as of July 9, 2008, among the Company, Vivendi Holding I Corp., Vivendi Games, Inc. (incorporated by reference to Exhibit 10.2 of the Company's Form 8-K, filed July 15, 2008).</w:t>
      </w:r>
    </w:p>
    <w:p>
      <w:pPr>
        <w:spacing w:after="0" w:line="213" w:lineRule="exact"/>
        <w:rPr>
          <w:sz w:val="20"/>
          <w:szCs w:val="20"/>
          <w:color w:val="auto"/>
        </w:rPr>
      </w:pPr>
    </w:p>
    <w:p>
      <w:pPr>
        <w:ind w:left="1280" w:hanging="556"/>
        <w:spacing w:after="0" w:line="259" w:lineRule="auto"/>
        <w:tabs>
          <w:tab w:leader="none" w:pos="1260" w:val="left"/>
        </w:tabs>
        <w:rPr>
          <w:sz w:val="20"/>
          <w:szCs w:val="20"/>
          <w:color w:val="auto"/>
        </w:rPr>
      </w:pPr>
      <w:r>
        <w:rPr>
          <w:rFonts w:ascii="Arial" w:cs="Arial" w:eastAsia="Arial" w:hAnsi="Arial"/>
          <w:sz w:val="18"/>
          <w:szCs w:val="18"/>
          <w:color w:val="auto"/>
        </w:rPr>
        <w:t>10.80</w:t>
        <w:tab/>
        <w:t>ASAC Stockholders Agreement, dated as of October 11, 2013, among the Company, ASAC and, for the limited purposes set forth in the ASAC Stockholders Agreement, Mr. Kotick and Mr. Kelly (incorporated by reference to Exhibit 10.4 of the Company's Form 8-K, filed October 18, 2013).</w:t>
      </w:r>
    </w:p>
    <w:p>
      <w:pPr>
        <w:spacing w:after="0" w:line="221" w:lineRule="exact"/>
        <w:rPr>
          <w:sz w:val="20"/>
          <w:szCs w:val="20"/>
          <w:color w:val="auto"/>
        </w:rPr>
      </w:pPr>
    </w:p>
    <w:p>
      <w:pPr>
        <w:ind w:left="1280" w:right="200" w:hanging="556"/>
        <w:spacing w:after="0" w:line="332" w:lineRule="auto"/>
        <w:tabs>
          <w:tab w:leader="none" w:pos="1260" w:val="left"/>
        </w:tabs>
        <w:rPr>
          <w:sz w:val="20"/>
          <w:szCs w:val="20"/>
          <w:color w:val="auto"/>
        </w:rPr>
      </w:pPr>
      <w:r>
        <w:rPr>
          <w:rFonts w:ascii="Arial" w:cs="Arial" w:eastAsia="Arial" w:hAnsi="Arial"/>
          <w:sz w:val="18"/>
          <w:szCs w:val="18"/>
          <w:color w:val="auto"/>
        </w:rPr>
        <w:t>10.81</w:t>
      </w:r>
      <w:r>
        <w:rPr>
          <w:sz w:val="20"/>
          <w:szCs w:val="20"/>
          <w:color w:val="auto"/>
        </w:rPr>
        <w:tab/>
      </w:r>
      <w:r>
        <w:rPr>
          <w:rFonts w:ascii="Arial" w:cs="Arial" w:eastAsia="Arial" w:hAnsi="Arial"/>
          <w:sz w:val="16"/>
          <w:szCs w:val="16"/>
          <w:color w:val="auto"/>
        </w:rPr>
        <w:t>Amendment, dated May 28, 2015, to the ASAC Stockholders Agreement among the Company, ASAC and, for the limited purposes set forth therein, Mr. Kotick and Mr. Kelly (incorporated by reference to Exhibit 10.2 of the Company's Form 8-K filed June 2, 2015).</w:t>
      </w:r>
    </w:p>
    <w:p>
      <w:pPr>
        <w:spacing w:after="0" w:line="166" w:lineRule="exact"/>
        <w:rPr>
          <w:sz w:val="20"/>
          <w:szCs w:val="20"/>
          <w:color w:val="auto"/>
        </w:rPr>
      </w:pPr>
    </w:p>
    <w:p>
      <w:pPr>
        <w:ind w:left="1280" w:right="20" w:hanging="556"/>
        <w:spacing w:after="0" w:line="303" w:lineRule="auto"/>
        <w:tabs>
          <w:tab w:leader="none" w:pos="1260" w:val="left"/>
        </w:tabs>
        <w:rPr>
          <w:sz w:val="20"/>
          <w:szCs w:val="20"/>
          <w:color w:val="auto"/>
        </w:rPr>
      </w:pPr>
      <w:r>
        <w:rPr>
          <w:rFonts w:ascii="Arial" w:cs="Arial" w:eastAsia="Arial" w:hAnsi="Arial"/>
          <w:sz w:val="18"/>
          <w:szCs w:val="18"/>
          <w:color w:val="auto"/>
        </w:rPr>
        <w:t>10.82</w:t>
      </w:r>
      <w:r>
        <w:rPr>
          <w:sz w:val="20"/>
          <w:szCs w:val="20"/>
          <w:color w:val="auto"/>
        </w:rPr>
        <w:tab/>
      </w:r>
      <w:r>
        <w:rPr>
          <w:rFonts w:ascii="Arial" w:cs="Arial" w:eastAsia="Arial" w:hAnsi="Arial"/>
          <w:sz w:val="15"/>
          <w:szCs w:val="15"/>
          <w:color w:val="auto"/>
        </w:rPr>
        <w:t>Credit Agreement, dated as of October 11, 2013, among the Company, as borrower, certain subsidiaries of the Company, as guarantors, a group of lenders, Bank of America, N.A., as administrative agent and collateral agent for the lenders, J.P. Morgan Securities LLC, as syndication agent, Bank of America Merrill Lynch and J.P. Morgan Securities LLC, as joint lead arrangers and joint bookrunners, and Goldman</w:t>
      </w:r>
    </w:p>
    <w:p>
      <w:pPr>
        <w:spacing w:after="0" w:line="1" w:lineRule="exact"/>
        <w:rPr>
          <w:sz w:val="20"/>
          <w:szCs w:val="20"/>
          <w:color w:val="auto"/>
        </w:rPr>
      </w:pPr>
    </w:p>
    <w:p>
      <w:pPr>
        <w:ind w:left="1280" w:right="120"/>
        <w:spacing w:after="0" w:line="255" w:lineRule="auto"/>
        <w:rPr>
          <w:sz w:val="20"/>
          <w:szCs w:val="20"/>
          <w:color w:val="auto"/>
        </w:rPr>
      </w:pPr>
      <w:r>
        <w:rPr>
          <w:rFonts w:ascii="Arial" w:cs="Arial" w:eastAsia="Arial" w:hAnsi="Arial"/>
          <w:sz w:val="18"/>
          <w:szCs w:val="18"/>
          <w:color w:val="auto"/>
        </w:rPr>
        <w:t>Sachs &amp; Co., HSBC Securities (USA) Inc., Mistubishi UFJ Securities (USA), Inc., Mizuho Securities USA Inc., RBC Capital Markets, SunTrust Bank and U.S. Bank National Association, as co-documentation agents (incorporated by reference to Exhibit 10.1 of the Company's Form 8-K, filed October 18, 2013).</w:t>
      </w:r>
    </w:p>
    <w:p>
      <w:pPr>
        <w:spacing w:after="0" w:line="225" w:lineRule="exact"/>
        <w:rPr>
          <w:sz w:val="20"/>
          <w:szCs w:val="20"/>
          <w:color w:val="auto"/>
        </w:rPr>
      </w:pPr>
    </w:p>
    <w:p>
      <w:pPr>
        <w:ind w:left="1280" w:right="140" w:hanging="556"/>
        <w:spacing w:after="0" w:line="306" w:lineRule="auto"/>
        <w:tabs>
          <w:tab w:leader="none" w:pos="1260" w:val="left"/>
        </w:tabs>
        <w:rPr>
          <w:sz w:val="20"/>
          <w:szCs w:val="20"/>
          <w:color w:val="auto"/>
        </w:rPr>
      </w:pPr>
      <w:r>
        <w:rPr>
          <w:rFonts w:ascii="Arial" w:cs="Arial" w:eastAsia="Arial" w:hAnsi="Arial"/>
          <w:sz w:val="18"/>
          <w:szCs w:val="18"/>
          <w:color w:val="auto"/>
        </w:rPr>
        <w:t>10.83</w:t>
      </w:r>
      <w:r>
        <w:rPr>
          <w:sz w:val="20"/>
          <w:szCs w:val="20"/>
          <w:color w:val="auto"/>
        </w:rPr>
        <w:tab/>
      </w:r>
      <w:r>
        <w:rPr>
          <w:rFonts w:ascii="Arial" w:cs="Arial" w:eastAsia="Arial" w:hAnsi="Arial"/>
          <w:sz w:val="16"/>
          <w:szCs w:val="16"/>
          <w:color w:val="auto"/>
        </w:rPr>
        <w:t>First Amendment to the Credit Agreement, dated as of October 11, 2013, by and among Activision Blizzard, Inc., the guarantors from time to time party thereto, the lenders from time to time party thereto, Bank of America, N.A., as administrative agent and collateral agent, and the several other agents party thereto (incorporated by reference to Exhibit 10.1 of the Company's Form 8-K, filed November 3, 2015).</w:t>
      </w:r>
    </w:p>
    <w:p>
      <w:pPr>
        <w:spacing w:after="0" w:line="188" w:lineRule="exact"/>
        <w:rPr>
          <w:sz w:val="20"/>
          <w:szCs w:val="20"/>
          <w:color w:val="auto"/>
        </w:rPr>
      </w:pPr>
    </w:p>
    <w:p>
      <w:pPr>
        <w:jc w:val="both"/>
        <w:ind w:left="1280" w:right="120" w:hanging="556"/>
        <w:spacing w:after="0" w:line="306" w:lineRule="auto"/>
        <w:tabs>
          <w:tab w:leader="none" w:pos="1260" w:val="left"/>
        </w:tabs>
        <w:rPr>
          <w:sz w:val="20"/>
          <w:szCs w:val="20"/>
          <w:color w:val="auto"/>
        </w:rPr>
      </w:pPr>
      <w:r>
        <w:rPr>
          <w:rFonts w:ascii="Arial" w:cs="Arial" w:eastAsia="Arial" w:hAnsi="Arial"/>
          <w:sz w:val="18"/>
          <w:szCs w:val="18"/>
          <w:color w:val="auto"/>
        </w:rPr>
        <w:t>10.84</w:t>
      </w:r>
      <w:r>
        <w:rPr>
          <w:sz w:val="20"/>
          <w:szCs w:val="20"/>
          <w:color w:val="auto"/>
        </w:rPr>
        <w:tab/>
      </w:r>
      <w:r>
        <w:rPr>
          <w:rFonts w:ascii="Arial" w:cs="Arial" w:eastAsia="Arial" w:hAnsi="Arial"/>
          <w:sz w:val="16"/>
          <w:szCs w:val="16"/>
          <w:color w:val="auto"/>
        </w:rPr>
        <w:t>Second Amendment to the Credit Agreement, dated as of October 11, 2013, by and among Activision Blizzard, Inc., the guarantors from time to time party thereto, the lenders from time to time party thereto, Bank of America, N.A., as administrative agent and collateral agent, and the several other agents party thereto (incorporated by reference to Exhibit 10.1 of the Company's Form 8-K, filed November 17, 2015).</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100"/>
        <w:spacing w:after="0"/>
        <w:tabs>
          <w:tab w:leader="none" w:pos="6120" w:val="left"/>
        </w:tabs>
        <w:rPr>
          <w:sz w:val="20"/>
          <w:szCs w:val="20"/>
          <w:color w:val="auto"/>
        </w:rPr>
      </w:pPr>
      <w:r>
        <w:rPr>
          <w:rFonts w:ascii="Arial" w:cs="Arial" w:eastAsia="Arial" w:hAnsi="Arial"/>
          <w:sz w:val="14"/>
          <w:szCs w:val="14"/>
          <w:b w:val="1"/>
          <w:bCs w:val="1"/>
          <w:color w:val="auto"/>
        </w:rPr>
        <w:t>Exhibit Number</w:t>
      </w:r>
      <w:r>
        <w:rPr>
          <w:sz w:val="20"/>
          <w:szCs w:val="20"/>
          <w:color w:val="auto"/>
        </w:rPr>
        <w:tab/>
      </w:r>
      <w:r>
        <w:rPr>
          <w:rFonts w:ascii="Arial" w:cs="Arial" w:eastAsia="Arial" w:hAnsi="Arial"/>
          <w:sz w:val="12"/>
          <w:szCs w:val="12"/>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ind w:left="1280" w:right="120" w:hanging="556"/>
        <w:spacing w:after="0" w:line="301" w:lineRule="auto"/>
        <w:tabs>
          <w:tab w:leader="none" w:pos="1260" w:val="left"/>
        </w:tabs>
        <w:rPr>
          <w:sz w:val="20"/>
          <w:szCs w:val="20"/>
          <w:color w:val="auto"/>
        </w:rPr>
      </w:pPr>
      <w:r>
        <w:rPr>
          <w:rFonts w:ascii="Arial" w:cs="Arial" w:eastAsia="Arial" w:hAnsi="Arial"/>
          <w:sz w:val="18"/>
          <w:szCs w:val="18"/>
          <w:color w:val="auto"/>
        </w:rPr>
        <w:t>10.85</w:t>
      </w:r>
      <w:r>
        <w:rPr>
          <w:sz w:val="20"/>
          <w:szCs w:val="20"/>
          <w:color w:val="auto"/>
        </w:rPr>
        <w:tab/>
      </w:r>
      <w:r>
        <w:rPr>
          <w:rFonts w:ascii="Arial" w:cs="Arial" w:eastAsia="Arial" w:hAnsi="Arial"/>
          <w:sz w:val="16"/>
          <w:szCs w:val="16"/>
          <w:color w:val="auto"/>
        </w:rPr>
        <w:t>Third Amendment to the Credit Agreement, dated as of October 11, 2013, by and among Activision Blizzard, Inc., the guarantors from time to time party thereto, the lenders from time to time party thereto, Bank of America, N.A., as administrative agent and collateral agent, and the several other agents party thereto (incorporated by reference to Exhibit 10.1 of the Company's form 8-K, filed December 14, 2015).</w:t>
      </w:r>
    </w:p>
    <w:p>
      <w:pPr>
        <w:spacing w:after="0" w:line="191" w:lineRule="exact"/>
        <w:rPr>
          <w:sz w:val="20"/>
          <w:szCs w:val="20"/>
          <w:color w:val="auto"/>
        </w:rPr>
      </w:pPr>
    </w:p>
    <w:p>
      <w:pPr>
        <w:ind w:left="1280" w:right="40" w:hanging="556"/>
        <w:spacing w:after="0" w:line="306" w:lineRule="auto"/>
        <w:tabs>
          <w:tab w:leader="none" w:pos="1260" w:val="left"/>
        </w:tabs>
        <w:rPr>
          <w:sz w:val="20"/>
          <w:szCs w:val="20"/>
          <w:color w:val="auto"/>
        </w:rPr>
      </w:pPr>
      <w:r>
        <w:rPr>
          <w:rFonts w:ascii="Arial" w:cs="Arial" w:eastAsia="Arial" w:hAnsi="Arial"/>
          <w:sz w:val="18"/>
          <w:szCs w:val="18"/>
          <w:color w:val="auto"/>
        </w:rPr>
        <w:t>10.86</w:t>
      </w:r>
      <w:r>
        <w:rPr>
          <w:sz w:val="20"/>
          <w:szCs w:val="20"/>
          <w:color w:val="auto"/>
        </w:rPr>
        <w:tab/>
      </w:r>
      <w:r>
        <w:rPr>
          <w:rFonts w:ascii="Arial" w:cs="Arial" w:eastAsia="Arial" w:hAnsi="Arial"/>
          <w:sz w:val="16"/>
          <w:szCs w:val="16"/>
          <w:color w:val="auto"/>
        </w:rPr>
        <w:t>Fourth Amendment to the Credit Agreement, dated as of October 11, 2013, by and among Activision Blizzard, Inc., the guarantors from time to time party thereto, the lenders from time to time party thereto, Bank of America, N.A., as administrative agent and collateral agent, and the several other agents party thereto (incorporated by reference to Exhibit 10.1 of the Company's Form 8-K, filed April 1, 2016).</w:t>
      </w:r>
    </w:p>
    <w:p>
      <w:pPr>
        <w:spacing w:after="0" w:line="188" w:lineRule="exact"/>
        <w:rPr>
          <w:sz w:val="20"/>
          <w:szCs w:val="20"/>
          <w:color w:val="auto"/>
        </w:rPr>
      </w:pPr>
    </w:p>
    <w:p>
      <w:pPr>
        <w:ind w:left="1280" w:right="180" w:hanging="556"/>
        <w:spacing w:after="0" w:line="306" w:lineRule="auto"/>
        <w:tabs>
          <w:tab w:leader="none" w:pos="1260" w:val="left"/>
        </w:tabs>
        <w:rPr>
          <w:sz w:val="20"/>
          <w:szCs w:val="20"/>
          <w:color w:val="auto"/>
        </w:rPr>
      </w:pPr>
      <w:r>
        <w:rPr>
          <w:rFonts w:ascii="Arial" w:cs="Arial" w:eastAsia="Arial" w:hAnsi="Arial"/>
          <w:sz w:val="18"/>
          <w:szCs w:val="18"/>
          <w:color w:val="auto"/>
        </w:rPr>
        <w:t>10.87</w:t>
      </w:r>
      <w:r>
        <w:rPr>
          <w:sz w:val="20"/>
          <w:szCs w:val="20"/>
          <w:color w:val="auto"/>
        </w:rPr>
        <w:tab/>
      </w:r>
      <w:r>
        <w:rPr>
          <w:rFonts w:ascii="Arial" w:cs="Arial" w:eastAsia="Arial" w:hAnsi="Arial"/>
          <w:sz w:val="16"/>
          <w:szCs w:val="16"/>
          <w:color w:val="auto"/>
        </w:rPr>
        <w:t>Fifth Amendment to the Credit Agreement, dated as of October 11, 2013, by and among Activision Blizzard, Inc., the guarantors from time to time party thereto, the lenders from time to time party thereto, Bank of America, N.A., as administrative agent and collateral agent, and the several other agents party thereto (incorporated by reference to Exhibit 10.1 of the Company's Form 8-K, filed August 24, 2016).</w:t>
      </w:r>
    </w:p>
    <w:p>
      <w:pPr>
        <w:spacing w:after="0" w:line="188" w:lineRule="exact"/>
        <w:rPr>
          <w:sz w:val="20"/>
          <w:szCs w:val="20"/>
          <w:color w:val="auto"/>
        </w:rPr>
      </w:pPr>
    </w:p>
    <w:p>
      <w:pPr>
        <w:ind w:left="1280" w:right="140" w:hanging="556"/>
        <w:spacing w:after="0" w:line="306" w:lineRule="auto"/>
        <w:tabs>
          <w:tab w:leader="none" w:pos="1260" w:val="left"/>
        </w:tabs>
        <w:rPr>
          <w:sz w:val="20"/>
          <w:szCs w:val="20"/>
          <w:color w:val="auto"/>
        </w:rPr>
      </w:pPr>
      <w:r>
        <w:rPr>
          <w:rFonts w:ascii="Arial" w:cs="Arial" w:eastAsia="Arial" w:hAnsi="Arial"/>
          <w:sz w:val="18"/>
          <w:szCs w:val="18"/>
          <w:color w:val="auto"/>
        </w:rPr>
        <w:t>10.88</w:t>
      </w:r>
      <w:r>
        <w:rPr>
          <w:sz w:val="20"/>
          <w:szCs w:val="20"/>
          <w:color w:val="auto"/>
        </w:rPr>
        <w:tab/>
      </w:r>
      <w:r>
        <w:rPr>
          <w:rFonts w:ascii="Arial" w:cs="Arial" w:eastAsia="Arial" w:hAnsi="Arial"/>
          <w:sz w:val="16"/>
          <w:szCs w:val="16"/>
          <w:color w:val="auto"/>
        </w:rPr>
        <w:t>Sixth Amendment to the Credit Agreement, dated as of October 11, 2013, by and among Activision Blizzard, Inc., the guarantors from time to time party thereto, the lenders from time to time party thereto, Bank of America, N.A., as administrative agent and collateral agent, and the several other agents party thereto (incorporated by reference to Exhibit 10.1 of the Company's Form 8-K, filed February 6, 2017).</w:t>
      </w:r>
    </w:p>
    <w:p>
      <w:pPr>
        <w:spacing w:after="0" w:line="188" w:lineRule="exact"/>
        <w:rPr>
          <w:sz w:val="20"/>
          <w:szCs w:val="20"/>
          <w:color w:val="auto"/>
        </w:rPr>
      </w:pPr>
    </w:p>
    <w:p>
      <w:pPr>
        <w:ind w:left="1280" w:hanging="556"/>
        <w:spacing w:after="0" w:line="259" w:lineRule="auto"/>
        <w:tabs>
          <w:tab w:leader="none" w:pos="1260" w:val="left"/>
        </w:tabs>
        <w:rPr>
          <w:sz w:val="20"/>
          <w:szCs w:val="20"/>
          <w:color w:val="auto"/>
        </w:rPr>
      </w:pPr>
      <w:r>
        <w:rPr>
          <w:rFonts w:ascii="Arial" w:cs="Arial" w:eastAsia="Arial" w:hAnsi="Arial"/>
          <w:sz w:val="18"/>
          <w:szCs w:val="18"/>
          <w:color w:val="auto"/>
        </w:rPr>
        <w:t>10.89</w:t>
        <w:tab/>
        <w:t>Registration Rights Agreement, dated as of September 19, 2016, among Activision Blizzard, Inc., the guarantors named therein and the representatives of the initial purchasers of the Notes (incorporated by reference to Exhibit 10.1 of the Company's Form 8-K, filed September 19, 2016).</w:t>
      </w:r>
    </w:p>
    <w:p>
      <w:pPr>
        <w:spacing w:after="0" w:line="221" w:lineRule="exact"/>
        <w:rPr>
          <w:sz w:val="20"/>
          <w:szCs w:val="20"/>
          <w:color w:val="auto"/>
        </w:rPr>
      </w:pPr>
    </w:p>
    <w:p>
      <w:pPr>
        <w:ind w:left="640"/>
        <w:spacing w:after="0"/>
        <w:tabs>
          <w:tab w:leader="none" w:pos="1260" w:val="left"/>
        </w:tabs>
        <w:rPr>
          <w:sz w:val="20"/>
          <w:szCs w:val="20"/>
          <w:color w:val="auto"/>
        </w:rPr>
      </w:pPr>
      <w:r>
        <w:rPr>
          <w:rFonts w:ascii="Arial" w:cs="Arial" w:eastAsia="Arial" w:hAnsi="Arial"/>
          <w:sz w:val="18"/>
          <w:szCs w:val="18"/>
          <w:color w:val="auto"/>
        </w:rPr>
        <w:t>10.90*</w:t>
      </w:r>
      <w:r>
        <w:rPr>
          <w:sz w:val="20"/>
          <w:szCs w:val="20"/>
          <w:color w:val="auto"/>
        </w:rPr>
        <w:tab/>
      </w:r>
      <w:r>
        <w:rPr>
          <w:rFonts w:ascii="Arial" w:cs="Arial" w:eastAsia="Arial" w:hAnsi="Arial"/>
          <w:sz w:val="15"/>
          <w:szCs w:val="15"/>
          <w:color w:val="auto"/>
        </w:rPr>
        <w:t>Non-Affiliated Director Compensation Program and Stock Ownership Guidelines, as amended and restated as of November 22, 2016.</w:t>
      </w:r>
    </w:p>
    <w:p>
      <w:pPr>
        <w:spacing w:after="0" w:line="252" w:lineRule="exact"/>
        <w:rPr>
          <w:sz w:val="20"/>
          <w:szCs w:val="20"/>
          <w:color w:val="auto"/>
        </w:rPr>
      </w:pPr>
    </w:p>
    <w:p>
      <w:pPr>
        <w:ind w:left="1280" w:right="600" w:hanging="556"/>
        <w:spacing w:after="0" w:line="268" w:lineRule="auto"/>
        <w:tabs>
          <w:tab w:leader="none" w:pos="1260" w:val="left"/>
        </w:tabs>
        <w:rPr>
          <w:sz w:val="20"/>
          <w:szCs w:val="20"/>
          <w:color w:val="auto"/>
        </w:rPr>
      </w:pPr>
      <w:r>
        <w:rPr>
          <w:rFonts w:ascii="Arial" w:cs="Arial" w:eastAsia="Arial" w:hAnsi="Arial"/>
          <w:sz w:val="18"/>
          <w:szCs w:val="18"/>
          <w:color w:val="auto"/>
        </w:rPr>
        <w:t>10.91</w:t>
        <w:tab/>
        <w:t>Stipulation of Compromise and Settlement, dated as of December 19, 2014 (incorporated by reference to Exhibit 10.1 of the Company's Form 8-K, filed December 29, 2014).</w:t>
      </w:r>
    </w:p>
    <w:p>
      <w:pPr>
        <w:spacing w:after="0" w:line="213" w:lineRule="exact"/>
        <w:rPr>
          <w:sz w:val="20"/>
          <w:szCs w:val="20"/>
          <w:color w:val="auto"/>
        </w:rPr>
      </w:pPr>
    </w:p>
    <w:p>
      <w:pPr>
        <w:ind w:left="80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5"/>
          <w:szCs w:val="15"/>
          <w:color w:val="auto"/>
        </w:rPr>
        <w:t>Subsidiaries of the Company.</w:t>
      </w:r>
    </w:p>
    <w:p>
      <w:pPr>
        <w:spacing w:after="0" w:line="252" w:lineRule="exact"/>
        <w:rPr>
          <w:sz w:val="20"/>
          <w:szCs w:val="20"/>
          <w:color w:val="auto"/>
        </w:rPr>
      </w:pPr>
    </w:p>
    <w:p>
      <w:pPr>
        <w:ind w:left="800"/>
        <w:spacing w:after="0"/>
        <w:tabs>
          <w:tab w:leader="none" w:pos="12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Independent Registered Public Accounting Firm (PricewaterhouseCoopers LLP).</w:t>
      </w:r>
    </w:p>
    <w:p>
      <w:pPr>
        <w:spacing w:after="0" w:line="252" w:lineRule="exact"/>
        <w:rPr>
          <w:sz w:val="20"/>
          <w:szCs w:val="20"/>
          <w:color w:val="auto"/>
        </w:rPr>
      </w:pPr>
    </w:p>
    <w:p>
      <w:pPr>
        <w:ind w:left="800"/>
        <w:spacing w:after="0"/>
        <w:tabs>
          <w:tab w:leader="none" w:pos="126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6"/>
          <w:szCs w:val="16"/>
          <w:color w:val="auto"/>
        </w:rPr>
        <w:t>Consent of PricewaterhouseCoopers LLP, Independent Registered Public Accounting Firm for King Digital Entertainment plc.</w:t>
      </w:r>
    </w:p>
    <w:p>
      <w:pPr>
        <w:spacing w:after="0" w:line="252" w:lineRule="exact"/>
        <w:rPr>
          <w:sz w:val="20"/>
          <w:szCs w:val="20"/>
          <w:color w:val="auto"/>
        </w:rPr>
      </w:pPr>
    </w:p>
    <w:p>
      <w:pPr>
        <w:ind w:left="800"/>
        <w:spacing w:after="0"/>
        <w:tabs>
          <w:tab w:leader="none" w:pos="126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 of Attorney of each Executive Officer and Director signing this report (included in the signature page hereto).</w:t>
      </w:r>
    </w:p>
    <w:p>
      <w:pPr>
        <w:spacing w:after="0" w:line="252" w:lineRule="exact"/>
        <w:rPr>
          <w:sz w:val="20"/>
          <w:szCs w:val="20"/>
          <w:color w:val="auto"/>
        </w:rPr>
      </w:pPr>
    </w:p>
    <w:p>
      <w:pPr>
        <w:ind w:left="1280" w:right="860" w:hanging="468"/>
        <w:spacing w:after="0" w:line="268" w:lineRule="auto"/>
        <w:tabs>
          <w:tab w:leader="none" w:pos="1260" w:val="left"/>
        </w:tabs>
        <w:rPr>
          <w:sz w:val="20"/>
          <w:szCs w:val="20"/>
          <w:color w:val="auto"/>
        </w:rPr>
      </w:pPr>
      <w:r>
        <w:rPr>
          <w:rFonts w:ascii="Arial" w:cs="Arial" w:eastAsia="Arial" w:hAnsi="Arial"/>
          <w:sz w:val="18"/>
          <w:szCs w:val="18"/>
          <w:color w:val="auto"/>
        </w:rPr>
        <w:t>31.1</w:t>
        <w:tab/>
        <w:t>Certification of Robert A. Kotick pursuant to Rule 13a-14(a) under the Securities and Exchange Act of 1934, as adopted pursuant to Section 302 of the Sarbanes-Oxley Act of 2002.</w:t>
      </w:r>
    </w:p>
    <w:p>
      <w:pPr>
        <w:spacing w:after="0" w:line="213" w:lineRule="exact"/>
        <w:rPr>
          <w:sz w:val="20"/>
          <w:szCs w:val="20"/>
          <w:color w:val="auto"/>
        </w:rPr>
      </w:pPr>
    </w:p>
    <w:p>
      <w:pPr>
        <w:ind w:left="1280" w:right="160" w:hanging="468"/>
        <w:spacing w:after="0" w:line="268" w:lineRule="auto"/>
        <w:tabs>
          <w:tab w:leader="none" w:pos="1260" w:val="left"/>
        </w:tabs>
        <w:rPr>
          <w:sz w:val="20"/>
          <w:szCs w:val="20"/>
          <w:color w:val="auto"/>
        </w:rPr>
      </w:pPr>
      <w:r>
        <w:rPr>
          <w:rFonts w:ascii="Arial" w:cs="Arial" w:eastAsia="Arial" w:hAnsi="Arial"/>
          <w:sz w:val="18"/>
          <w:szCs w:val="18"/>
          <w:color w:val="auto"/>
        </w:rPr>
        <w:t>31.2</w:t>
        <w:tab/>
        <w:t>Certification of Dennis Durkin pursuant to Rule 13a-14(a) under the Securities and Exchange Act of 1934, as adopted pursuant to Section 302 of the Sarbanes-Oxley Act of 2002.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Exhibit Number</w:t>
            </w:r>
          </w:p>
        </w:tc>
        <w:tc>
          <w:tcPr>
            <w:tcW w:w="1720" w:type="dxa"/>
            <w:vAlign w:val="bottom"/>
          </w:tcPr>
          <w:p>
            <w:pPr>
              <w:spacing w:after="0"/>
              <w:rPr>
                <w:sz w:val="14"/>
                <w:szCs w:val="14"/>
                <w:color w:val="auto"/>
              </w:rPr>
            </w:pPr>
          </w:p>
        </w:tc>
        <w:tc>
          <w:tcPr>
            <w:tcW w:w="8420" w:type="dxa"/>
            <w:vAlign w:val="bottom"/>
          </w:tcPr>
          <w:p>
            <w:pPr>
              <w:ind w:left="3140"/>
              <w:spacing w:after="0"/>
              <w:rPr>
                <w:sz w:val="20"/>
                <w:szCs w:val="20"/>
                <w:color w:val="auto"/>
              </w:rPr>
            </w:pPr>
            <w:r>
              <w:rPr>
                <w:rFonts w:ascii="Arial" w:cs="Arial" w:eastAsia="Arial" w:hAnsi="Arial"/>
                <w:sz w:val="14"/>
                <w:szCs w:val="14"/>
                <w:b w:val="1"/>
                <w:bCs w:val="1"/>
                <w:color w:val="auto"/>
              </w:rPr>
              <w:t>Exhibit</w:t>
            </w:r>
          </w:p>
        </w:tc>
      </w:tr>
      <w:tr>
        <w:trPr>
          <w:trHeight w:val="216"/>
        </w:trPr>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160" w:type="dxa"/>
            <w:vAlign w:val="bottom"/>
          </w:tcPr>
          <w:p>
            <w:pPr>
              <w:spacing w:after="0"/>
              <w:rPr>
                <w:sz w:val="18"/>
                <w:szCs w:val="18"/>
                <w:color w:val="auto"/>
              </w:rPr>
            </w:pPr>
          </w:p>
        </w:tc>
        <w:tc>
          <w:tcPr>
            <w:tcW w:w="101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Certification of Robert A. Kotick pursuant to Section 906 of the Sarbanes-Oxley Act of 2002.</w:t>
            </w:r>
          </w:p>
        </w:tc>
      </w:tr>
      <w:tr>
        <w:trPr>
          <w:trHeight w:val="451"/>
        </w:trPr>
        <w:tc>
          <w:tcPr>
            <w:tcW w:w="1120" w:type="dxa"/>
            <w:vAlign w:val="bottom"/>
          </w:tcPr>
          <w:p>
            <w:pPr>
              <w:jc w:val="right"/>
              <w:spacing w:after="0"/>
              <w:rPr>
                <w:sz w:val="20"/>
                <w:szCs w:val="20"/>
                <w:color w:val="auto"/>
              </w:rPr>
            </w:pPr>
            <w:r>
              <w:rPr>
                <w:rFonts w:ascii="Arial" w:cs="Arial" w:eastAsia="Arial" w:hAnsi="Arial"/>
                <w:sz w:val="18"/>
                <w:szCs w:val="18"/>
                <w:color w:val="auto"/>
              </w:rPr>
              <w:t>32.2</w:t>
            </w:r>
          </w:p>
        </w:tc>
        <w:tc>
          <w:tcPr>
            <w:tcW w:w="16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Arial" w:cs="Arial" w:eastAsia="Arial" w:hAnsi="Arial"/>
                <w:sz w:val="18"/>
                <w:szCs w:val="18"/>
                <w:color w:val="auto"/>
              </w:rPr>
              <w:t>Certification of Dennis Durkin pursuant to Section 906 of the Sarbanes-Oxley Act of 2002.</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101.INS</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Instance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101.SCH</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Extension Schema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101.CAL</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Calculation Linkbase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101.LAB</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Label Linkbase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101.PRE</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Presentation Linkbase Document.</w:t>
            </w:r>
          </w:p>
        </w:tc>
      </w:tr>
      <w:tr>
        <w:trPr>
          <w:trHeight w:val="459"/>
        </w:trPr>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101.DEF</w:t>
            </w:r>
          </w:p>
        </w:tc>
        <w:tc>
          <w:tcPr>
            <w:tcW w:w="10140" w:type="dxa"/>
            <w:vAlign w:val="bottom"/>
            <w:gridSpan w:val="2"/>
          </w:tcPr>
          <w:p>
            <w:pPr>
              <w:spacing w:after="0"/>
              <w:rPr>
                <w:sz w:val="20"/>
                <w:szCs w:val="20"/>
                <w:color w:val="auto"/>
              </w:rPr>
            </w:pPr>
            <w:r>
              <w:rPr>
                <w:rFonts w:ascii="Arial" w:cs="Arial" w:eastAsia="Arial" w:hAnsi="Arial"/>
                <w:sz w:val="18"/>
                <w:szCs w:val="18"/>
                <w:color w:val="auto"/>
              </w:rPr>
              <w:t>XBRL Taxonomy Extension Definition Document.</w:t>
            </w:r>
          </w:p>
        </w:tc>
      </w:tr>
      <w:tr>
        <w:trPr>
          <w:trHeight w:val="110"/>
        </w:trPr>
        <w:tc>
          <w:tcPr>
            <w:tcW w:w="112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720" w:type="dxa"/>
            <w:vAlign w:val="bottom"/>
            <w:tcBorders>
              <w:bottom w:val="single" w:sz="8" w:color="auto"/>
            </w:tcBorders>
          </w:tcPr>
          <w:p>
            <w:pPr>
              <w:spacing w:after="0"/>
              <w:rPr>
                <w:sz w:val="9"/>
                <w:szCs w:val="9"/>
                <w:color w:val="auto"/>
              </w:rPr>
            </w:pPr>
          </w:p>
        </w:tc>
        <w:tc>
          <w:tcPr>
            <w:tcW w:w="8420" w:type="dxa"/>
            <w:vAlign w:val="bottom"/>
          </w:tcPr>
          <w:p>
            <w:pPr>
              <w:spacing w:after="0"/>
              <w:rPr>
                <w:sz w:val="9"/>
                <w:szCs w:val="9"/>
                <w:color w:val="auto"/>
              </w:rPr>
            </w:pPr>
          </w:p>
        </w:tc>
      </w:tr>
    </w:tbl>
    <w:p>
      <w:pPr>
        <w:spacing w:after="0" w:line="221" w:lineRule="exact"/>
        <w:rPr>
          <w:sz w:val="20"/>
          <w:szCs w:val="20"/>
          <w:color w:val="auto"/>
        </w:rPr>
      </w:pPr>
    </w:p>
    <w:p>
      <w:pPr>
        <w:ind w:left="540" w:hanging="532"/>
        <w:spacing w:after="0"/>
        <w:tabs>
          <w:tab w:leader="none" w:pos="5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contract or arrangement in which a director or executive officer of the Company participates.</w:t>
      </w:r>
    </w:p>
    <w:p>
      <w:pPr>
        <w:spacing w:after="0" w:line="248" w:lineRule="exact"/>
        <w:rPr>
          <w:rFonts w:ascii="Arial" w:cs="Arial" w:eastAsia="Arial" w:hAnsi="Arial"/>
          <w:sz w:val="16"/>
          <w:szCs w:val="16"/>
          <w:color w:val="auto"/>
        </w:rPr>
      </w:pPr>
    </w:p>
    <w:p>
      <w:pPr>
        <w:ind w:left="5580"/>
        <w:spacing w:after="0"/>
        <w:rPr>
          <w:rFonts w:ascii="Arial" w:cs="Arial" w:eastAsia="Arial" w:hAnsi="Arial"/>
          <w:sz w:val="16"/>
          <w:szCs w:val="16"/>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3" w:name="page154"/>
    <w:bookmarkEnd w:id="153"/>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10.14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KDE EQUITY INCENTIVE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As Assumed by Activision Blizzard Inc. in Connection with</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Acquisition of King Digital Entertainment plc.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Approved by the Shareholders of King Digital Entertainment plc on 6 March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Initial Effective Date: 25 March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as of 29 April 2015</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Acquisition Effective Date: 23 February 2016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Amended as of November 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6540" w:type="dxa"/>
            <w:vAlign w:val="bottom"/>
          </w:tcPr>
          <w:p>
            <w:pPr>
              <w:jc w:val="right"/>
              <w:ind w:right="5130"/>
              <w:spacing w:after="0"/>
              <w:rPr>
                <w:sz w:val="20"/>
                <w:szCs w:val="20"/>
                <w:color w:val="auto"/>
              </w:rPr>
            </w:pPr>
            <w:r>
              <w:rPr>
                <w:rFonts w:ascii="Arial" w:cs="Arial" w:eastAsia="Arial" w:hAnsi="Arial"/>
                <w:sz w:val="18"/>
                <w:szCs w:val="18"/>
                <w:b w:val="1"/>
                <w:bCs w:val="1"/>
                <w:color w:val="auto"/>
              </w:rPr>
              <w:t>CONTENTS</w:t>
            </w:r>
          </w:p>
        </w:tc>
      </w:tr>
      <w:tr>
        <w:trPr>
          <w:trHeight w:val="864"/>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SECTION 1.0 - GENERAL</w:t>
            </w:r>
          </w:p>
        </w:tc>
        <w:tc>
          <w:tcPr>
            <w:tcW w:w="654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1.1</w:t>
            </w:r>
          </w:p>
        </w:tc>
        <w:tc>
          <w:tcPr>
            <w:tcW w:w="4120" w:type="dxa"/>
            <w:vAlign w:val="bottom"/>
          </w:tcPr>
          <w:p>
            <w:pPr>
              <w:ind w:left="120"/>
              <w:spacing w:after="0"/>
              <w:rPr>
                <w:sz w:val="20"/>
                <w:szCs w:val="20"/>
                <w:color w:val="auto"/>
              </w:rPr>
            </w:pPr>
            <w:r>
              <w:rPr>
                <w:rFonts w:ascii="Arial" w:cs="Arial" w:eastAsia="Arial" w:hAnsi="Arial"/>
                <w:sz w:val="18"/>
                <w:szCs w:val="18"/>
                <w:color w:val="auto"/>
              </w:rPr>
              <w:t>Purpose of the Plan</w:t>
            </w:r>
          </w:p>
        </w:tc>
        <w:tc>
          <w:tcPr>
            <w:tcW w:w="6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1.2</w:t>
            </w:r>
          </w:p>
        </w:tc>
        <w:tc>
          <w:tcPr>
            <w:tcW w:w="4120" w:type="dxa"/>
            <w:vAlign w:val="bottom"/>
          </w:tcPr>
          <w:p>
            <w:pPr>
              <w:ind w:left="120"/>
              <w:spacing w:after="0"/>
              <w:rPr>
                <w:sz w:val="20"/>
                <w:szCs w:val="20"/>
                <w:color w:val="auto"/>
              </w:rPr>
            </w:pPr>
            <w:r>
              <w:rPr>
                <w:rFonts w:ascii="Arial" w:cs="Arial" w:eastAsia="Arial" w:hAnsi="Arial"/>
                <w:sz w:val="18"/>
                <w:szCs w:val="18"/>
                <w:color w:val="auto"/>
              </w:rPr>
              <w:t>Types of Awards</w:t>
            </w:r>
          </w:p>
        </w:tc>
        <w:tc>
          <w:tcPr>
            <w:tcW w:w="6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1.3</w:t>
            </w:r>
          </w:p>
        </w:tc>
        <w:tc>
          <w:tcPr>
            <w:tcW w:w="4120" w:type="dxa"/>
            <w:vAlign w:val="bottom"/>
          </w:tcPr>
          <w:p>
            <w:pPr>
              <w:ind w:left="120"/>
              <w:spacing w:after="0"/>
              <w:rPr>
                <w:sz w:val="20"/>
                <w:szCs w:val="20"/>
                <w:color w:val="auto"/>
              </w:rPr>
            </w:pPr>
            <w:r>
              <w:rPr>
                <w:rFonts w:ascii="Arial" w:cs="Arial" w:eastAsia="Arial" w:hAnsi="Arial"/>
                <w:sz w:val="18"/>
                <w:szCs w:val="18"/>
                <w:color w:val="auto"/>
              </w:rPr>
              <w:t>Effective Date</w:t>
            </w:r>
          </w:p>
        </w:tc>
        <w:tc>
          <w:tcPr>
            <w:tcW w:w="6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1.4</w:t>
            </w:r>
          </w:p>
        </w:tc>
        <w:tc>
          <w:tcPr>
            <w:tcW w:w="4120" w:type="dxa"/>
            <w:vAlign w:val="bottom"/>
          </w:tcPr>
          <w:p>
            <w:pPr>
              <w:ind w:left="120"/>
              <w:spacing w:after="0"/>
              <w:rPr>
                <w:sz w:val="20"/>
                <w:szCs w:val="20"/>
                <w:color w:val="auto"/>
              </w:rPr>
            </w:pPr>
            <w:r>
              <w:rPr>
                <w:rFonts w:ascii="Arial" w:cs="Arial" w:eastAsia="Arial" w:hAnsi="Arial"/>
                <w:sz w:val="18"/>
                <w:szCs w:val="18"/>
                <w:color w:val="auto"/>
              </w:rPr>
              <w:t>Capitalized Terms</w:t>
            </w:r>
          </w:p>
        </w:tc>
        <w:tc>
          <w:tcPr>
            <w:tcW w:w="65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SECTION 2.0 - SHARES SUBJECT TO THE PLAN</w:t>
            </w:r>
          </w:p>
        </w:tc>
        <w:tc>
          <w:tcPr>
            <w:tcW w:w="6540" w:type="dxa"/>
            <w:vAlign w:val="bottom"/>
          </w:tcPr>
          <w:p>
            <w:pPr>
              <w:jc w:val="right"/>
              <w:spacing w:after="0"/>
              <w:rPr>
                <w:sz w:val="20"/>
                <w:szCs w:val="20"/>
                <w:color w:val="auto"/>
              </w:rPr>
            </w:pPr>
            <w:r>
              <w:rPr>
                <w:rFonts w:ascii="Arial" w:cs="Arial" w:eastAsia="Arial" w:hAnsi="Arial"/>
                <w:sz w:val="18"/>
                <w:szCs w:val="18"/>
                <w:b w:val="1"/>
                <w:bCs w:val="1"/>
                <w:color w:val="auto"/>
              </w:rPr>
              <w:t>2</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2.1</w:t>
            </w:r>
          </w:p>
        </w:tc>
        <w:tc>
          <w:tcPr>
            <w:tcW w:w="4120" w:type="dxa"/>
            <w:vAlign w:val="bottom"/>
          </w:tcPr>
          <w:p>
            <w:pPr>
              <w:ind w:left="120"/>
              <w:spacing w:after="0"/>
              <w:rPr>
                <w:sz w:val="20"/>
                <w:szCs w:val="20"/>
                <w:color w:val="auto"/>
              </w:rPr>
            </w:pPr>
            <w:r>
              <w:rPr>
                <w:rFonts w:ascii="Arial" w:cs="Arial" w:eastAsia="Arial" w:hAnsi="Arial"/>
                <w:sz w:val="18"/>
                <w:szCs w:val="18"/>
                <w:color w:val="auto"/>
              </w:rPr>
              <w:t>Number of Shares</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2.2</w:t>
            </w:r>
          </w:p>
        </w:tc>
        <w:tc>
          <w:tcPr>
            <w:tcW w:w="4120" w:type="dxa"/>
            <w:vAlign w:val="bottom"/>
          </w:tcPr>
          <w:p>
            <w:pPr>
              <w:ind w:left="120"/>
              <w:spacing w:after="0"/>
              <w:rPr>
                <w:sz w:val="20"/>
                <w:szCs w:val="20"/>
                <w:color w:val="auto"/>
              </w:rPr>
            </w:pPr>
            <w:r>
              <w:rPr>
                <w:rFonts w:ascii="Arial" w:cs="Arial" w:eastAsia="Arial" w:hAnsi="Arial"/>
                <w:sz w:val="18"/>
                <w:szCs w:val="18"/>
                <w:color w:val="auto"/>
              </w:rPr>
              <w:t>Lapsed, Returned Awards</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2.3</w:t>
            </w:r>
          </w:p>
        </w:tc>
        <w:tc>
          <w:tcPr>
            <w:tcW w:w="4120" w:type="dxa"/>
            <w:vAlign w:val="bottom"/>
          </w:tcPr>
          <w:p>
            <w:pPr>
              <w:ind w:left="120"/>
              <w:spacing w:after="0"/>
              <w:rPr>
                <w:sz w:val="20"/>
                <w:szCs w:val="20"/>
                <w:color w:val="auto"/>
              </w:rPr>
            </w:pPr>
            <w:r>
              <w:rPr>
                <w:rFonts w:ascii="Arial" w:cs="Arial" w:eastAsia="Arial" w:hAnsi="Arial"/>
                <w:sz w:val="18"/>
                <w:szCs w:val="18"/>
                <w:color w:val="auto"/>
              </w:rPr>
              <w:t>Substitute Awards — Acquisition by the Company</w:t>
            </w:r>
          </w:p>
        </w:tc>
        <w:tc>
          <w:tcPr>
            <w:tcW w:w="654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4120" w:type="dxa"/>
            <w:vAlign w:val="bottom"/>
          </w:tcPr>
          <w:p>
            <w:pPr>
              <w:ind w:left="120"/>
              <w:spacing w:after="0"/>
              <w:rPr>
                <w:sz w:val="20"/>
                <w:szCs w:val="20"/>
                <w:color w:val="auto"/>
              </w:rPr>
            </w:pPr>
            <w:r>
              <w:rPr>
                <w:rFonts w:ascii="Arial" w:cs="Arial" w:eastAsia="Arial" w:hAnsi="Arial"/>
                <w:sz w:val="18"/>
                <w:szCs w:val="18"/>
                <w:color w:val="auto"/>
              </w:rPr>
              <w:t>Minimum Share Reserve</w:t>
            </w:r>
          </w:p>
        </w:tc>
        <w:tc>
          <w:tcPr>
            <w:tcW w:w="6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2.5</w:t>
            </w:r>
          </w:p>
        </w:tc>
        <w:tc>
          <w:tcPr>
            <w:tcW w:w="4120" w:type="dxa"/>
            <w:vAlign w:val="bottom"/>
          </w:tcPr>
          <w:p>
            <w:pPr>
              <w:ind w:left="120"/>
              <w:spacing w:after="0"/>
              <w:rPr>
                <w:sz w:val="20"/>
                <w:szCs w:val="20"/>
                <w:color w:val="auto"/>
              </w:rPr>
            </w:pPr>
            <w:r>
              <w:rPr>
                <w:rFonts w:ascii="Arial" w:cs="Arial" w:eastAsia="Arial" w:hAnsi="Arial"/>
                <w:sz w:val="18"/>
                <w:szCs w:val="18"/>
                <w:color w:val="auto"/>
              </w:rPr>
              <w:t>Individual Limit</w:t>
            </w:r>
          </w:p>
        </w:tc>
        <w:tc>
          <w:tcPr>
            <w:tcW w:w="6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4120" w:type="dxa"/>
            <w:vAlign w:val="bottom"/>
          </w:tcPr>
          <w:p>
            <w:pPr>
              <w:ind w:left="120"/>
              <w:spacing w:after="0"/>
              <w:rPr>
                <w:sz w:val="20"/>
                <w:szCs w:val="20"/>
                <w:color w:val="auto"/>
              </w:rPr>
            </w:pPr>
            <w:r>
              <w:rPr>
                <w:rFonts w:ascii="Arial" w:cs="Arial" w:eastAsia="Arial" w:hAnsi="Arial"/>
                <w:sz w:val="18"/>
                <w:szCs w:val="18"/>
                <w:color w:val="auto"/>
              </w:rPr>
              <w:t>Variation in Share Capital</w:t>
            </w:r>
          </w:p>
        </w:tc>
        <w:tc>
          <w:tcPr>
            <w:tcW w:w="65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2.7</w:t>
            </w:r>
          </w:p>
        </w:tc>
        <w:tc>
          <w:tcPr>
            <w:tcW w:w="4120" w:type="dxa"/>
            <w:vAlign w:val="bottom"/>
          </w:tcPr>
          <w:p>
            <w:pPr>
              <w:ind w:left="120"/>
              <w:spacing w:after="0"/>
              <w:rPr>
                <w:sz w:val="20"/>
                <w:szCs w:val="20"/>
                <w:color w:val="auto"/>
              </w:rPr>
            </w:pPr>
            <w:r>
              <w:rPr>
                <w:rFonts w:ascii="Arial" w:cs="Arial" w:eastAsia="Arial" w:hAnsi="Arial"/>
                <w:sz w:val="18"/>
                <w:szCs w:val="18"/>
                <w:color w:val="auto"/>
              </w:rPr>
              <w:t>Source of Shares</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4120" w:type="dxa"/>
            <w:vAlign w:val="bottom"/>
          </w:tcPr>
          <w:p>
            <w:pPr>
              <w:ind w:left="120"/>
              <w:spacing w:after="0"/>
              <w:rPr>
                <w:sz w:val="20"/>
                <w:szCs w:val="20"/>
                <w:color w:val="auto"/>
              </w:rPr>
            </w:pPr>
            <w:r>
              <w:rPr>
                <w:rFonts w:ascii="Arial" w:cs="Arial" w:eastAsia="Arial" w:hAnsi="Arial"/>
                <w:sz w:val="18"/>
                <w:szCs w:val="18"/>
                <w:color w:val="auto"/>
              </w:rPr>
              <w:t>Shares Acquired by the Employee Benefit Trust</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SECTION 3.0 - GRANT OF AWARDS</w:t>
            </w:r>
          </w:p>
        </w:tc>
        <w:tc>
          <w:tcPr>
            <w:tcW w:w="65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SECTION 4.0 - APPLICABILITY</w:t>
            </w:r>
          </w:p>
        </w:tc>
        <w:tc>
          <w:tcPr>
            <w:tcW w:w="65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SECTION 5.0 - ADMINISTRATION</w:t>
            </w:r>
          </w:p>
        </w:tc>
        <w:tc>
          <w:tcPr>
            <w:tcW w:w="6540" w:type="dxa"/>
            <w:vAlign w:val="bottom"/>
          </w:tcPr>
          <w:p>
            <w:pPr>
              <w:jc w:val="right"/>
              <w:spacing w:after="0"/>
              <w:rPr>
                <w:sz w:val="20"/>
                <w:szCs w:val="20"/>
                <w:color w:val="auto"/>
              </w:rPr>
            </w:pPr>
            <w:r>
              <w:rPr>
                <w:rFonts w:ascii="Arial" w:cs="Arial" w:eastAsia="Arial" w:hAnsi="Arial"/>
                <w:sz w:val="18"/>
                <w:szCs w:val="18"/>
                <w:b w:val="1"/>
                <w:bCs w:val="1"/>
                <w:color w:val="auto"/>
              </w:rPr>
              <w:t>4</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5.1</w:t>
            </w:r>
          </w:p>
        </w:tc>
        <w:tc>
          <w:tcPr>
            <w:tcW w:w="4120" w:type="dxa"/>
            <w:vAlign w:val="bottom"/>
          </w:tcPr>
          <w:p>
            <w:pPr>
              <w:ind w:left="120"/>
              <w:spacing w:after="0"/>
              <w:rPr>
                <w:sz w:val="20"/>
                <w:szCs w:val="20"/>
                <w:color w:val="auto"/>
              </w:rPr>
            </w:pPr>
            <w:r>
              <w:rPr>
                <w:rFonts w:ascii="Arial" w:cs="Arial" w:eastAsia="Arial" w:hAnsi="Arial"/>
                <w:sz w:val="18"/>
                <w:szCs w:val="18"/>
                <w:color w:val="auto"/>
              </w:rPr>
              <w:t>Committee</w:t>
            </w:r>
          </w:p>
        </w:tc>
        <w:tc>
          <w:tcPr>
            <w:tcW w:w="65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5.2</w:t>
            </w:r>
          </w:p>
        </w:tc>
        <w:tc>
          <w:tcPr>
            <w:tcW w:w="4120" w:type="dxa"/>
            <w:vAlign w:val="bottom"/>
          </w:tcPr>
          <w:p>
            <w:pPr>
              <w:ind w:left="120"/>
              <w:spacing w:after="0"/>
              <w:rPr>
                <w:sz w:val="20"/>
                <w:szCs w:val="20"/>
                <w:color w:val="auto"/>
              </w:rPr>
            </w:pPr>
            <w:r>
              <w:rPr>
                <w:rFonts w:ascii="Arial" w:cs="Arial" w:eastAsia="Arial" w:hAnsi="Arial"/>
                <w:sz w:val="18"/>
                <w:szCs w:val="18"/>
                <w:color w:val="auto"/>
              </w:rPr>
              <w:t>Authority of Committee</w:t>
            </w:r>
          </w:p>
        </w:tc>
        <w:tc>
          <w:tcPr>
            <w:tcW w:w="65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5.3</w:t>
            </w:r>
          </w:p>
        </w:tc>
        <w:tc>
          <w:tcPr>
            <w:tcW w:w="4120" w:type="dxa"/>
            <w:vAlign w:val="bottom"/>
          </w:tcPr>
          <w:p>
            <w:pPr>
              <w:ind w:left="120"/>
              <w:spacing w:after="0"/>
              <w:rPr>
                <w:sz w:val="20"/>
                <w:szCs w:val="20"/>
                <w:color w:val="auto"/>
              </w:rPr>
            </w:pPr>
            <w:r>
              <w:rPr>
                <w:rFonts w:ascii="Arial" w:cs="Arial" w:eastAsia="Arial" w:hAnsi="Arial"/>
                <w:sz w:val="18"/>
                <w:szCs w:val="18"/>
                <w:color w:val="auto"/>
              </w:rPr>
              <w:t>Committee Discretion and Disputes</w:t>
            </w:r>
          </w:p>
        </w:tc>
        <w:tc>
          <w:tcPr>
            <w:tcW w:w="65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5.4</w:t>
            </w:r>
          </w:p>
        </w:tc>
        <w:tc>
          <w:tcPr>
            <w:tcW w:w="4120" w:type="dxa"/>
            <w:vAlign w:val="bottom"/>
          </w:tcPr>
          <w:p>
            <w:pPr>
              <w:ind w:left="120"/>
              <w:spacing w:after="0"/>
              <w:rPr>
                <w:sz w:val="20"/>
                <w:szCs w:val="20"/>
                <w:color w:val="auto"/>
              </w:rPr>
            </w:pPr>
            <w:r>
              <w:rPr>
                <w:rFonts w:ascii="Arial" w:cs="Arial" w:eastAsia="Arial" w:hAnsi="Arial"/>
                <w:sz w:val="18"/>
                <w:szCs w:val="18"/>
                <w:color w:val="auto"/>
              </w:rPr>
              <w:t>Delivery of Documentation</w:t>
            </w:r>
          </w:p>
        </w:tc>
        <w:tc>
          <w:tcPr>
            <w:tcW w:w="6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5.5</w:t>
            </w:r>
          </w:p>
        </w:tc>
        <w:tc>
          <w:tcPr>
            <w:tcW w:w="4120" w:type="dxa"/>
            <w:vAlign w:val="bottom"/>
          </w:tcPr>
          <w:p>
            <w:pPr>
              <w:ind w:left="120"/>
              <w:spacing w:after="0"/>
              <w:rPr>
                <w:sz w:val="20"/>
                <w:szCs w:val="20"/>
                <w:color w:val="auto"/>
              </w:rPr>
            </w:pPr>
            <w:r>
              <w:rPr>
                <w:rFonts w:ascii="Arial" w:cs="Arial" w:eastAsia="Arial" w:hAnsi="Arial"/>
                <w:sz w:val="18"/>
                <w:szCs w:val="18"/>
                <w:color w:val="auto"/>
              </w:rPr>
              <w:t>Award Recipients in Various Countries</w:t>
            </w:r>
          </w:p>
        </w:tc>
        <w:tc>
          <w:tcPr>
            <w:tcW w:w="65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5.6</w:t>
            </w:r>
          </w:p>
        </w:tc>
        <w:tc>
          <w:tcPr>
            <w:tcW w:w="4120" w:type="dxa"/>
            <w:vAlign w:val="bottom"/>
          </w:tcPr>
          <w:p>
            <w:pPr>
              <w:ind w:left="120"/>
              <w:spacing w:after="0"/>
              <w:rPr>
                <w:sz w:val="20"/>
                <w:szCs w:val="20"/>
                <w:color w:val="auto"/>
              </w:rPr>
            </w:pPr>
            <w:r>
              <w:rPr>
                <w:rFonts w:ascii="Arial" w:cs="Arial" w:eastAsia="Arial" w:hAnsi="Arial"/>
                <w:sz w:val="18"/>
                <w:szCs w:val="18"/>
                <w:color w:val="auto"/>
              </w:rPr>
              <w:t>Section 162(m) of the Code</w:t>
            </w:r>
          </w:p>
        </w:tc>
        <w:tc>
          <w:tcPr>
            <w:tcW w:w="65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32"/>
        </w:trPr>
        <w:tc>
          <w:tcPr>
            <w:tcW w:w="4880" w:type="dxa"/>
            <w:vAlign w:val="bottom"/>
            <w:gridSpan w:val="2"/>
          </w:tcPr>
          <w:p>
            <w:pPr>
              <w:spacing w:after="0"/>
              <w:rPr>
                <w:sz w:val="20"/>
                <w:szCs w:val="20"/>
                <w:color w:val="auto"/>
              </w:rPr>
            </w:pPr>
            <w:r>
              <w:rPr>
                <w:rFonts w:ascii="Arial" w:cs="Arial" w:eastAsia="Arial" w:hAnsi="Arial"/>
                <w:sz w:val="18"/>
                <w:szCs w:val="18"/>
                <w:b w:val="1"/>
                <w:bCs w:val="1"/>
                <w:color w:val="auto"/>
              </w:rPr>
              <w:t>SECTION 6.0 - OPTIONS</w:t>
            </w:r>
          </w:p>
        </w:tc>
        <w:tc>
          <w:tcPr>
            <w:tcW w:w="6540" w:type="dxa"/>
            <w:vAlign w:val="bottom"/>
          </w:tcPr>
          <w:p>
            <w:pPr>
              <w:jc w:val="right"/>
              <w:spacing w:after="0"/>
              <w:rPr>
                <w:sz w:val="20"/>
                <w:szCs w:val="20"/>
                <w:color w:val="auto"/>
              </w:rPr>
            </w:pPr>
            <w:r>
              <w:rPr>
                <w:rFonts w:ascii="Arial" w:cs="Arial" w:eastAsia="Arial" w:hAnsi="Arial"/>
                <w:sz w:val="18"/>
                <w:szCs w:val="18"/>
                <w:b w:val="1"/>
                <w:bCs w:val="1"/>
                <w:color w:val="auto"/>
              </w:rPr>
              <w:t>8</w:t>
            </w:r>
          </w:p>
        </w:tc>
      </w:tr>
      <w:tr>
        <w:trPr>
          <w:trHeight w:val="432"/>
        </w:trPr>
        <w:tc>
          <w:tcPr>
            <w:tcW w:w="760" w:type="dxa"/>
            <w:vAlign w:val="bottom"/>
          </w:tcPr>
          <w:p>
            <w:pPr>
              <w:jc w:val="right"/>
              <w:ind w:right="50"/>
              <w:spacing w:after="0"/>
              <w:rPr>
                <w:sz w:val="20"/>
                <w:szCs w:val="20"/>
                <w:color w:val="auto"/>
              </w:rPr>
            </w:pPr>
            <w:r>
              <w:rPr>
                <w:rFonts w:ascii="Arial" w:cs="Arial" w:eastAsia="Arial" w:hAnsi="Arial"/>
                <w:sz w:val="18"/>
                <w:szCs w:val="18"/>
                <w:color w:val="auto"/>
              </w:rPr>
              <w:t>6.1</w:t>
            </w:r>
          </w:p>
        </w:tc>
        <w:tc>
          <w:tcPr>
            <w:tcW w:w="4120" w:type="dxa"/>
            <w:vAlign w:val="bottom"/>
          </w:tcPr>
          <w:p>
            <w:pPr>
              <w:ind w:left="120"/>
              <w:spacing w:after="0"/>
              <w:rPr>
                <w:sz w:val="20"/>
                <w:szCs w:val="20"/>
                <w:color w:val="auto"/>
              </w:rPr>
            </w:pPr>
            <w:r>
              <w:rPr>
                <w:rFonts w:ascii="Arial" w:cs="Arial" w:eastAsia="Arial" w:hAnsi="Arial"/>
                <w:sz w:val="18"/>
                <w:szCs w:val="18"/>
                <w:color w:val="auto"/>
              </w:rPr>
              <w:t>General</w:t>
            </w:r>
          </w:p>
        </w:tc>
        <w:tc>
          <w:tcPr>
            <w:tcW w:w="6540" w:type="dxa"/>
            <w:vAlign w:val="bottom"/>
          </w:tcPr>
          <w:p>
            <w:pPr>
              <w:jc w:val="right"/>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420"/>
          </w:cols>
          <w:pgMar w:left="240" w:top="364" w:right="239" w:bottom="0" w:gutter="0" w:footer="0" w:header="0"/>
        </w:sectPr>
      </w:pPr>
    </w:p>
    <w:bookmarkStart w:id="155" w:name="page156"/>
    <w:bookmarkEnd w:id="155"/>
    <w:p>
      <w:pPr>
        <w:spacing w:after="0" w:line="1" w:lineRule="exact"/>
        <w:rPr>
          <w:sz w:val="20"/>
          <w:szCs w:val="20"/>
          <w:color w:val="auto"/>
        </w:rPr>
      </w:pPr>
    </w:p>
    <w:tbl>
      <w:tblPr>
        <w:tblLayout w:type="fixed"/>
        <w:tblInd w:w="400" w:type="dxa"/>
        <w:tblCellMar>
          <w:top w:w="0" w:type="dxa"/>
          <w:left w:w="0" w:type="dxa"/>
          <w:bottom w:w="0" w:type="dxa"/>
          <w:right w:w="0" w:type="dxa"/>
        </w:tblCellMar>
      </w:tblPr>
      <w:tr>
        <w:trPr>
          <w:trHeight w:val="230"/>
        </w:trPr>
        <w:tc>
          <w:tcPr>
            <w:tcW w:w="6220" w:type="dxa"/>
            <w:vAlign w:val="bottom"/>
          </w:tcPr>
          <w:p>
            <w:pPr>
              <w:spacing w:after="0"/>
              <w:rPr>
                <w:sz w:val="20"/>
                <w:szCs w:val="20"/>
                <w:color w:val="auto"/>
              </w:rPr>
            </w:pPr>
            <w:r>
              <w:rPr>
                <w:rFonts w:ascii="Arial" w:cs="Arial" w:eastAsia="Arial" w:hAnsi="Arial"/>
                <w:sz w:val="18"/>
                <w:szCs w:val="18"/>
                <w:color w:val="auto"/>
              </w:rPr>
              <w:t>6.2   Exercise Price</w:t>
            </w:r>
          </w:p>
        </w:tc>
        <w:tc>
          <w:tcPr>
            <w:tcW w:w="4800" w:type="dxa"/>
            <w:vAlign w:val="bottom"/>
          </w:tcPr>
          <w:p>
            <w:pPr>
              <w:jc w:val="right"/>
              <w:spacing w:after="0"/>
              <w:rPr>
                <w:sz w:val="20"/>
                <w:szCs w:val="20"/>
                <w:color w:val="auto"/>
              </w:rPr>
            </w:pPr>
            <w:r>
              <w:rPr>
                <w:rFonts w:ascii="Arial" w:cs="Arial" w:eastAsia="Arial" w:hAnsi="Arial"/>
                <w:sz w:val="18"/>
                <w:szCs w:val="18"/>
                <w:color w:val="auto"/>
              </w:rPr>
              <w:t>9</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0" w:type="dxa"/>
            <w:vAlign w:val="bottom"/>
          </w:tcPr>
          <w:p>
            <w:pPr>
              <w:ind w:left="400"/>
              <w:spacing w:after="0"/>
              <w:rPr>
                <w:sz w:val="20"/>
                <w:szCs w:val="20"/>
                <w:color w:val="auto"/>
              </w:rPr>
            </w:pPr>
            <w:r>
              <w:rPr>
                <w:rFonts w:ascii="Arial" w:cs="Arial" w:eastAsia="Arial" w:hAnsi="Arial"/>
                <w:sz w:val="18"/>
                <w:szCs w:val="18"/>
                <w:color w:val="auto"/>
              </w:rPr>
              <w:t>6.3</w:t>
            </w:r>
          </w:p>
        </w:tc>
        <w:tc>
          <w:tcPr>
            <w:tcW w:w="4500" w:type="dxa"/>
            <w:vAlign w:val="bottom"/>
          </w:tcPr>
          <w:p>
            <w:pPr>
              <w:ind w:left="100"/>
              <w:spacing w:after="0"/>
              <w:rPr>
                <w:sz w:val="20"/>
                <w:szCs w:val="20"/>
                <w:color w:val="auto"/>
              </w:rPr>
            </w:pPr>
            <w:r>
              <w:rPr>
                <w:rFonts w:ascii="Arial" w:cs="Arial" w:eastAsia="Arial" w:hAnsi="Arial"/>
                <w:sz w:val="18"/>
                <w:szCs w:val="18"/>
                <w:color w:val="auto"/>
              </w:rPr>
              <w:t>Performance Factors</w:t>
            </w:r>
          </w:p>
        </w:tc>
        <w:tc>
          <w:tcPr>
            <w:tcW w:w="6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6.4</w:t>
            </w:r>
          </w:p>
        </w:tc>
        <w:tc>
          <w:tcPr>
            <w:tcW w:w="4500" w:type="dxa"/>
            <w:vAlign w:val="bottom"/>
          </w:tcPr>
          <w:p>
            <w:pPr>
              <w:ind w:left="100"/>
              <w:spacing w:after="0"/>
              <w:rPr>
                <w:sz w:val="20"/>
                <w:szCs w:val="20"/>
                <w:color w:val="auto"/>
              </w:rPr>
            </w:pPr>
            <w:r>
              <w:rPr>
                <w:rFonts w:ascii="Arial" w:cs="Arial" w:eastAsia="Arial" w:hAnsi="Arial"/>
                <w:sz w:val="18"/>
                <w:szCs w:val="18"/>
                <w:color w:val="auto"/>
              </w:rPr>
              <w:t>Exercise Period</w:t>
            </w:r>
          </w:p>
        </w:tc>
        <w:tc>
          <w:tcPr>
            <w:tcW w:w="6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6.5</w:t>
            </w:r>
          </w:p>
        </w:tc>
        <w:tc>
          <w:tcPr>
            <w:tcW w:w="4500" w:type="dxa"/>
            <w:vAlign w:val="bottom"/>
          </w:tcPr>
          <w:p>
            <w:pPr>
              <w:ind w:left="100"/>
              <w:spacing w:after="0"/>
              <w:rPr>
                <w:sz w:val="20"/>
                <w:szCs w:val="20"/>
                <w:color w:val="auto"/>
              </w:rPr>
            </w:pPr>
            <w:r>
              <w:rPr>
                <w:rFonts w:ascii="Arial" w:cs="Arial" w:eastAsia="Arial" w:hAnsi="Arial"/>
                <w:sz w:val="18"/>
                <w:szCs w:val="18"/>
                <w:color w:val="auto"/>
              </w:rPr>
              <w:t>Method of Exercise</w:t>
            </w:r>
          </w:p>
        </w:tc>
        <w:tc>
          <w:tcPr>
            <w:tcW w:w="61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6.6</w:t>
            </w:r>
          </w:p>
        </w:tc>
        <w:tc>
          <w:tcPr>
            <w:tcW w:w="4500" w:type="dxa"/>
            <w:vAlign w:val="bottom"/>
          </w:tcPr>
          <w:p>
            <w:pPr>
              <w:ind w:left="100"/>
              <w:spacing w:after="0"/>
              <w:rPr>
                <w:sz w:val="20"/>
                <w:szCs w:val="20"/>
                <w:color w:val="auto"/>
              </w:rPr>
            </w:pPr>
            <w:r>
              <w:rPr>
                <w:rFonts w:ascii="Arial" w:cs="Arial" w:eastAsia="Arial" w:hAnsi="Arial"/>
                <w:sz w:val="18"/>
                <w:szCs w:val="18"/>
                <w:color w:val="auto"/>
              </w:rPr>
              <w:t>Termination of Service</w:t>
            </w:r>
          </w:p>
        </w:tc>
        <w:tc>
          <w:tcPr>
            <w:tcW w:w="61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6.7</w:t>
            </w:r>
          </w:p>
        </w:tc>
        <w:tc>
          <w:tcPr>
            <w:tcW w:w="4500" w:type="dxa"/>
            <w:vAlign w:val="bottom"/>
          </w:tcPr>
          <w:p>
            <w:pPr>
              <w:ind w:left="100"/>
              <w:spacing w:after="0"/>
              <w:rPr>
                <w:sz w:val="20"/>
                <w:szCs w:val="20"/>
                <w:color w:val="auto"/>
              </w:rPr>
            </w:pPr>
            <w:r>
              <w:rPr>
                <w:rFonts w:ascii="Arial" w:cs="Arial" w:eastAsia="Arial" w:hAnsi="Arial"/>
                <w:sz w:val="18"/>
                <w:szCs w:val="18"/>
                <w:color w:val="auto"/>
              </w:rPr>
              <w:t>Limitations on Exercise</w:t>
            </w:r>
          </w:p>
        </w:tc>
        <w:tc>
          <w:tcPr>
            <w:tcW w:w="6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6.8</w:t>
            </w:r>
          </w:p>
        </w:tc>
        <w:tc>
          <w:tcPr>
            <w:tcW w:w="4500" w:type="dxa"/>
            <w:vAlign w:val="bottom"/>
          </w:tcPr>
          <w:p>
            <w:pPr>
              <w:ind w:left="100"/>
              <w:spacing w:after="0"/>
              <w:rPr>
                <w:sz w:val="20"/>
                <w:szCs w:val="20"/>
                <w:color w:val="auto"/>
              </w:rPr>
            </w:pPr>
            <w:r>
              <w:rPr>
                <w:rFonts w:ascii="Arial" w:cs="Arial" w:eastAsia="Arial" w:hAnsi="Arial"/>
                <w:sz w:val="18"/>
                <w:szCs w:val="18"/>
                <w:color w:val="auto"/>
              </w:rPr>
              <w:t>Modification, Extension or Renewal</w:t>
            </w:r>
          </w:p>
        </w:tc>
        <w:tc>
          <w:tcPr>
            <w:tcW w:w="61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6.9</w:t>
            </w:r>
          </w:p>
        </w:tc>
        <w:tc>
          <w:tcPr>
            <w:tcW w:w="4500" w:type="dxa"/>
            <w:vAlign w:val="bottom"/>
          </w:tcPr>
          <w:p>
            <w:pPr>
              <w:ind w:left="100"/>
              <w:spacing w:after="0"/>
              <w:rPr>
                <w:sz w:val="20"/>
                <w:szCs w:val="20"/>
                <w:color w:val="auto"/>
              </w:rPr>
            </w:pPr>
            <w:r>
              <w:rPr>
                <w:rFonts w:ascii="Arial" w:cs="Arial" w:eastAsia="Arial" w:hAnsi="Arial"/>
                <w:sz w:val="18"/>
                <w:szCs w:val="18"/>
                <w:color w:val="auto"/>
              </w:rPr>
              <w:t>Extension of Option Term where Exercise Is Prohibited</w:t>
            </w:r>
          </w:p>
        </w:tc>
        <w:tc>
          <w:tcPr>
            <w:tcW w:w="6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6.10</w:t>
            </w:r>
          </w:p>
        </w:tc>
        <w:tc>
          <w:tcPr>
            <w:tcW w:w="4500" w:type="dxa"/>
            <w:vAlign w:val="bottom"/>
          </w:tcPr>
          <w:p>
            <w:pPr>
              <w:ind w:left="100"/>
              <w:spacing w:after="0"/>
              <w:rPr>
                <w:sz w:val="20"/>
                <w:szCs w:val="20"/>
                <w:color w:val="auto"/>
              </w:rPr>
            </w:pPr>
            <w:r>
              <w:rPr>
                <w:rFonts w:ascii="Arial" w:cs="Arial" w:eastAsia="Arial" w:hAnsi="Arial"/>
                <w:sz w:val="18"/>
                <w:szCs w:val="18"/>
                <w:color w:val="auto"/>
              </w:rPr>
              <w:t>Potential Termination for Cause</w:t>
            </w:r>
          </w:p>
        </w:tc>
        <w:tc>
          <w:tcPr>
            <w:tcW w:w="6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SECTION 7.0 - STOCK APPRECIATION RIGHTS</w:t>
            </w:r>
          </w:p>
        </w:tc>
        <w:tc>
          <w:tcPr>
            <w:tcW w:w="6180" w:type="dxa"/>
            <w:vAlign w:val="bottom"/>
          </w:tcPr>
          <w:p>
            <w:pPr>
              <w:jc w:val="right"/>
              <w:spacing w:after="0"/>
              <w:rPr>
                <w:sz w:val="20"/>
                <w:szCs w:val="20"/>
                <w:color w:val="auto"/>
              </w:rPr>
            </w:pPr>
            <w:r>
              <w:rPr>
                <w:rFonts w:ascii="Arial" w:cs="Arial" w:eastAsia="Arial" w:hAnsi="Arial"/>
                <w:sz w:val="18"/>
                <w:szCs w:val="18"/>
                <w:b w:val="1"/>
                <w:bCs w:val="1"/>
                <w:color w:val="auto"/>
              </w:rPr>
              <w:t>12</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7.1</w:t>
            </w:r>
          </w:p>
        </w:tc>
        <w:tc>
          <w:tcPr>
            <w:tcW w:w="4500" w:type="dxa"/>
            <w:vAlign w:val="bottom"/>
          </w:tcPr>
          <w:p>
            <w:pPr>
              <w:ind w:left="100"/>
              <w:spacing w:after="0"/>
              <w:rPr>
                <w:sz w:val="20"/>
                <w:szCs w:val="20"/>
                <w:color w:val="auto"/>
              </w:rPr>
            </w:pPr>
            <w:r>
              <w:rPr>
                <w:rFonts w:ascii="Arial" w:cs="Arial" w:eastAsia="Arial" w:hAnsi="Arial"/>
                <w:sz w:val="18"/>
                <w:szCs w:val="18"/>
                <w:color w:val="auto"/>
              </w:rPr>
              <w:t>General</w:t>
            </w:r>
          </w:p>
        </w:tc>
        <w:tc>
          <w:tcPr>
            <w:tcW w:w="6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7.2</w:t>
            </w:r>
          </w:p>
        </w:tc>
        <w:tc>
          <w:tcPr>
            <w:tcW w:w="4500" w:type="dxa"/>
            <w:vAlign w:val="bottom"/>
          </w:tcPr>
          <w:p>
            <w:pPr>
              <w:ind w:left="100"/>
              <w:spacing w:after="0"/>
              <w:rPr>
                <w:sz w:val="20"/>
                <w:szCs w:val="20"/>
                <w:color w:val="auto"/>
              </w:rPr>
            </w:pPr>
            <w:r>
              <w:rPr>
                <w:rFonts w:ascii="Arial" w:cs="Arial" w:eastAsia="Arial" w:hAnsi="Arial"/>
                <w:sz w:val="18"/>
                <w:szCs w:val="18"/>
                <w:color w:val="auto"/>
              </w:rPr>
              <w:t>Terms of SARs</w:t>
            </w:r>
          </w:p>
        </w:tc>
        <w:tc>
          <w:tcPr>
            <w:tcW w:w="61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7.3</w:t>
            </w:r>
          </w:p>
        </w:tc>
        <w:tc>
          <w:tcPr>
            <w:tcW w:w="4500" w:type="dxa"/>
            <w:vAlign w:val="bottom"/>
          </w:tcPr>
          <w:p>
            <w:pPr>
              <w:ind w:left="100"/>
              <w:spacing w:after="0"/>
              <w:rPr>
                <w:sz w:val="20"/>
                <w:szCs w:val="20"/>
                <w:color w:val="auto"/>
              </w:rPr>
            </w:pPr>
            <w:r>
              <w:rPr>
                <w:rFonts w:ascii="Arial" w:cs="Arial" w:eastAsia="Arial" w:hAnsi="Arial"/>
                <w:sz w:val="18"/>
                <w:szCs w:val="18"/>
                <w:color w:val="auto"/>
              </w:rPr>
              <w:t>Exercise Period and Expiration Date</w:t>
            </w:r>
          </w:p>
        </w:tc>
        <w:tc>
          <w:tcPr>
            <w:tcW w:w="6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7.4</w:t>
            </w:r>
          </w:p>
        </w:tc>
        <w:tc>
          <w:tcPr>
            <w:tcW w:w="4500" w:type="dxa"/>
            <w:vAlign w:val="bottom"/>
          </w:tcPr>
          <w:p>
            <w:pPr>
              <w:ind w:left="100"/>
              <w:spacing w:after="0"/>
              <w:rPr>
                <w:sz w:val="20"/>
                <w:szCs w:val="20"/>
                <w:color w:val="auto"/>
              </w:rPr>
            </w:pPr>
            <w:r>
              <w:rPr>
                <w:rFonts w:ascii="Arial" w:cs="Arial" w:eastAsia="Arial" w:hAnsi="Arial"/>
                <w:sz w:val="18"/>
                <w:szCs w:val="18"/>
                <w:color w:val="auto"/>
              </w:rPr>
              <w:t>Form and Timing of Settlement</w:t>
            </w:r>
          </w:p>
        </w:tc>
        <w:tc>
          <w:tcPr>
            <w:tcW w:w="6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7.5</w:t>
            </w:r>
          </w:p>
        </w:tc>
        <w:tc>
          <w:tcPr>
            <w:tcW w:w="4500" w:type="dxa"/>
            <w:vAlign w:val="bottom"/>
          </w:tcPr>
          <w:p>
            <w:pPr>
              <w:ind w:left="100"/>
              <w:spacing w:after="0"/>
              <w:rPr>
                <w:sz w:val="20"/>
                <w:szCs w:val="20"/>
                <w:color w:val="auto"/>
              </w:rPr>
            </w:pPr>
            <w:r>
              <w:rPr>
                <w:rFonts w:ascii="Arial" w:cs="Arial" w:eastAsia="Arial" w:hAnsi="Arial"/>
                <w:sz w:val="18"/>
                <w:szCs w:val="18"/>
                <w:color w:val="auto"/>
              </w:rPr>
              <w:t>Termination of Service</w:t>
            </w:r>
          </w:p>
        </w:tc>
        <w:tc>
          <w:tcPr>
            <w:tcW w:w="61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SECTION 8.0 - RESTRICTED SHARE AWARDS</w:t>
            </w:r>
          </w:p>
        </w:tc>
        <w:tc>
          <w:tcPr>
            <w:tcW w:w="6180" w:type="dxa"/>
            <w:vAlign w:val="bottom"/>
          </w:tcPr>
          <w:p>
            <w:pPr>
              <w:jc w:val="right"/>
              <w:spacing w:after="0"/>
              <w:rPr>
                <w:sz w:val="20"/>
                <w:szCs w:val="20"/>
                <w:color w:val="auto"/>
              </w:rPr>
            </w:pPr>
            <w:r>
              <w:rPr>
                <w:rFonts w:ascii="Arial" w:cs="Arial" w:eastAsia="Arial" w:hAnsi="Arial"/>
                <w:sz w:val="18"/>
                <w:szCs w:val="18"/>
                <w:b w:val="1"/>
                <w:bCs w:val="1"/>
                <w:color w:val="auto"/>
              </w:rPr>
              <w:t>14</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8.1</w:t>
            </w:r>
          </w:p>
        </w:tc>
        <w:tc>
          <w:tcPr>
            <w:tcW w:w="4500" w:type="dxa"/>
            <w:vAlign w:val="bottom"/>
          </w:tcPr>
          <w:p>
            <w:pPr>
              <w:ind w:left="100"/>
              <w:spacing w:after="0"/>
              <w:rPr>
                <w:sz w:val="20"/>
                <w:szCs w:val="20"/>
                <w:color w:val="auto"/>
              </w:rPr>
            </w:pPr>
            <w:r>
              <w:rPr>
                <w:rFonts w:ascii="Arial" w:cs="Arial" w:eastAsia="Arial" w:hAnsi="Arial"/>
                <w:sz w:val="18"/>
                <w:szCs w:val="18"/>
                <w:color w:val="auto"/>
              </w:rPr>
              <w:t>General</w:t>
            </w:r>
          </w:p>
        </w:tc>
        <w:tc>
          <w:tcPr>
            <w:tcW w:w="6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8.2</w:t>
            </w:r>
          </w:p>
        </w:tc>
        <w:tc>
          <w:tcPr>
            <w:tcW w:w="4500" w:type="dxa"/>
            <w:vAlign w:val="bottom"/>
          </w:tcPr>
          <w:p>
            <w:pPr>
              <w:ind w:left="100"/>
              <w:spacing w:after="0"/>
              <w:rPr>
                <w:sz w:val="20"/>
                <w:szCs w:val="20"/>
                <w:color w:val="auto"/>
              </w:rPr>
            </w:pPr>
            <w:r>
              <w:rPr>
                <w:rFonts w:ascii="Arial" w:cs="Arial" w:eastAsia="Arial" w:hAnsi="Arial"/>
                <w:sz w:val="18"/>
                <w:szCs w:val="18"/>
                <w:color w:val="auto"/>
              </w:rPr>
              <w:t>Restricted Share Award Agreement</w:t>
            </w:r>
          </w:p>
        </w:tc>
        <w:tc>
          <w:tcPr>
            <w:tcW w:w="6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8.3</w:t>
            </w:r>
          </w:p>
        </w:tc>
        <w:tc>
          <w:tcPr>
            <w:tcW w:w="4500" w:type="dxa"/>
            <w:vAlign w:val="bottom"/>
          </w:tcPr>
          <w:p>
            <w:pPr>
              <w:ind w:left="100"/>
              <w:spacing w:after="0"/>
              <w:rPr>
                <w:sz w:val="20"/>
                <w:szCs w:val="20"/>
                <w:color w:val="auto"/>
              </w:rPr>
            </w:pPr>
            <w:r>
              <w:rPr>
                <w:rFonts w:ascii="Arial" w:cs="Arial" w:eastAsia="Arial" w:hAnsi="Arial"/>
                <w:sz w:val="18"/>
                <w:szCs w:val="18"/>
                <w:color w:val="auto"/>
              </w:rPr>
              <w:t>Purchase Price</w:t>
            </w:r>
          </w:p>
        </w:tc>
        <w:tc>
          <w:tcPr>
            <w:tcW w:w="6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8.4</w:t>
            </w:r>
          </w:p>
        </w:tc>
        <w:tc>
          <w:tcPr>
            <w:tcW w:w="4500" w:type="dxa"/>
            <w:vAlign w:val="bottom"/>
          </w:tcPr>
          <w:p>
            <w:pPr>
              <w:ind w:left="100"/>
              <w:spacing w:after="0"/>
              <w:rPr>
                <w:sz w:val="20"/>
                <w:szCs w:val="20"/>
                <w:color w:val="auto"/>
              </w:rPr>
            </w:pPr>
            <w:r>
              <w:rPr>
                <w:rFonts w:ascii="Arial" w:cs="Arial" w:eastAsia="Arial" w:hAnsi="Arial"/>
                <w:sz w:val="18"/>
                <w:szCs w:val="18"/>
                <w:color w:val="auto"/>
              </w:rPr>
              <w:t>Terms of Restricted Share Awards</w:t>
            </w:r>
          </w:p>
        </w:tc>
        <w:tc>
          <w:tcPr>
            <w:tcW w:w="61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8.5</w:t>
            </w:r>
          </w:p>
        </w:tc>
        <w:tc>
          <w:tcPr>
            <w:tcW w:w="4500" w:type="dxa"/>
            <w:vAlign w:val="bottom"/>
          </w:tcPr>
          <w:p>
            <w:pPr>
              <w:ind w:left="100"/>
              <w:spacing w:after="0"/>
              <w:rPr>
                <w:sz w:val="20"/>
                <w:szCs w:val="20"/>
                <w:color w:val="auto"/>
              </w:rPr>
            </w:pPr>
            <w:r>
              <w:rPr>
                <w:rFonts w:ascii="Arial" w:cs="Arial" w:eastAsia="Arial" w:hAnsi="Arial"/>
                <w:sz w:val="18"/>
                <w:szCs w:val="18"/>
                <w:color w:val="auto"/>
              </w:rPr>
              <w:t>Termination of Service</w:t>
            </w:r>
          </w:p>
        </w:tc>
        <w:tc>
          <w:tcPr>
            <w:tcW w:w="6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8.6</w:t>
            </w:r>
          </w:p>
        </w:tc>
        <w:tc>
          <w:tcPr>
            <w:tcW w:w="4500" w:type="dxa"/>
            <w:vAlign w:val="bottom"/>
          </w:tcPr>
          <w:p>
            <w:pPr>
              <w:ind w:left="100"/>
              <w:spacing w:after="0"/>
              <w:rPr>
                <w:sz w:val="20"/>
                <w:szCs w:val="20"/>
                <w:color w:val="auto"/>
              </w:rPr>
            </w:pPr>
            <w:r>
              <w:rPr>
                <w:rFonts w:ascii="Arial" w:cs="Arial" w:eastAsia="Arial" w:hAnsi="Arial"/>
                <w:sz w:val="18"/>
                <w:szCs w:val="18"/>
                <w:color w:val="auto"/>
              </w:rPr>
              <w:t>Issuance or Delivery of Restricted Shares</w:t>
            </w:r>
          </w:p>
        </w:tc>
        <w:tc>
          <w:tcPr>
            <w:tcW w:w="6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8.7</w:t>
            </w:r>
          </w:p>
        </w:tc>
        <w:tc>
          <w:tcPr>
            <w:tcW w:w="4500" w:type="dxa"/>
            <w:vAlign w:val="bottom"/>
          </w:tcPr>
          <w:p>
            <w:pPr>
              <w:ind w:left="100"/>
              <w:spacing w:after="0"/>
              <w:rPr>
                <w:sz w:val="20"/>
                <w:szCs w:val="20"/>
                <w:color w:val="auto"/>
              </w:rPr>
            </w:pPr>
            <w:r>
              <w:rPr>
                <w:rFonts w:ascii="Arial" w:cs="Arial" w:eastAsia="Arial" w:hAnsi="Arial"/>
                <w:sz w:val="18"/>
                <w:szCs w:val="18"/>
                <w:color w:val="auto"/>
              </w:rPr>
              <w:t>Release of Shares upon Vesting</w:t>
            </w:r>
          </w:p>
        </w:tc>
        <w:tc>
          <w:tcPr>
            <w:tcW w:w="6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SECTION 9.0 - RESTRICTED STOCK UNIT (RSU) AWARDS</w:t>
            </w:r>
          </w:p>
        </w:tc>
        <w:tc>
          <w:tcPr>
            <w:tcW w:w="6180" w:type="dxa"/>
            <w:vAlign w:val="bottom"/>
          </w:tcPr>
          <w:p>
            <w:pPr>
              <w:jc w:val="right"/>
              <w:spacing w:after="0"/>
              <w:rPr>
                <w:sz w:val="20"/>
                <w:szCs w:val="20"/>
                <w:color w:val="auto"/>
              </w:rPr>
            </w:pPr>
            <w:r>
              <w:rPr>
                <w:rFonts w:ascii="Arial" w:cs="Arial" w:eastAsia="Arial" w:hAnsi="Arial"/>
                <w:sz w:val="18"/>
                <w:szCs w:val="18"/>
                <w:b w:val="1"/>
                <w:bCs w:val="1"/>
                <w:color w:val="auto"/>
              </w:rPr>
              <w:t>15</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9.1</w:t>
            </w:r>
          </w:p>
        </w:tc>
        <w:tc>
          <w:tcPr>
            <w:tcW w:w="4500" w:type="dxa"/>
            <w:vAlign w:val="bottom"/>
          </w:tcPr>
          <w:p>
            <w:pPr>
              <w:ind w:left="100"/>
              <w:spacing w:after="0"/>
              <w:rPr>
                <w:sz w:val="20"/>
                <w:szCs w:val="20"/>
                <w:color w:val="auto"/>
              </w:rPr>
            </w:pPr>
            <w:r>
              <w:rPr>
                <w:rFonts w:ascii="Arial" w:cs="Arial" w:eastAsia="Arial" w:hAnsi="Arial"/>
                <w:sz w:val="18"/>
                <w:szCs w:val="18"/>
                <w:color w:val="auto"/>
              </w:rPr>
              <w:t>General</w:t>
            </w:r>
          </w:p>
        </w:tc>
        <w:tc>
          <w:tcPr>
            <w:tcW w:w="61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9.2</w:t>
            </w:r>
          </w:p>
        </w:tc>
        <w:tc>
          <w:tcPr>
            <w:tcW w:w="4500" w:type="dxa"/>
            <w:vAlign w:val="bottom"/>
          </w:tcPr>
          <w:p>
            <w:pPr>
              <w:ind w:left="100"/>
              <w:spacing w:after="0"/>
              <w:rPr>
                <w:sz w:val="20"/>
                <w:szCs w:val="20"/>
                <w:color w:val="auto"/>
              </w:rPr>
            </w:pPr>
            <w:r>
              <w:rPr>
                <w:rFonts w:ascii="Arial" w:cs="Arial" w:eastAsia="Arial" w:hAnsi="Arial"/>
                <w:sz w:val="18"/>
                <w:szCs w:val="18"/>
                <w:color w:val="auto"/>
              </w:rPr>
              <w:t>Terms of RSU Awards</w:t>
            </w:r>
          </w:p>
        </w:tc>
        <w:tc>
          <w:tcPr>
            <w:tcW w:w="6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9.3</w:t>
            </w:r>
          </w:p>
        </w:tc>
        <w:tc>
          <w:tcPr>
            <w:tcW w:w="4500" w:type="dxa"/>
            <w:vAlign w:val="bottom"/>
          </w:tcPr>
          <w:p>
            <w:pPr>
              <w:ind w:left="100"/>
              <w:spacing w:after="0"/>
              <w:rPr>
                <w:sz w:val="20"/>
                <w:szCs w:val="20"/>
                <w:color w:val="auto"/>
              </w:rPr>
            </w:pPr>
            <w:r>
              <w:rPr>
                <w:rFonts w:ascii="Arial" w:cs="Arial" w:eastAsia="Arial" w:hAnsi="Arial"/>
                <w:sz w:val="18"/>
                <w:szCs w:val="18"/>
                <w:color w:val="auto"/>
              </w:rPr>
              <w:t>Purchase Price</w:t>
            </w:r>
          </w:p>
        </w:tc>
        <w:tc>
          <w:tcPr>
            <w:tcW w:w="6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9.4</w:t>
            </w:r>
          </w:p>
        </w:tc>
        <w:tc>
          <w:tcPr>
            <w:tcW w:w="4500" w:type="dxa"/>
            <w:vAlign w:val="bottom"/>
          </w:tcPr>
          <w:p>
            <w:pPr>
              <w:ind w:left="100"/>
              <w:spacing w:after="0"/>
              <w:rPr>
                <w:sz w:val="20"/>
                <w:szCs w:val="20"/>
                <w:color w:val="auto"/>
              </w:rPr>
            </w:pPr>
            <w:r>
              <w:rPr>
                <w:rFonts w:ascii="Arial" w:cs="Arial" w:eastAsia="Arial" w:hAnsi="Arial"/>
                <w:sz w:val="18"/>
                <w:szCs w:val="18"/>
                <w:color w:val="auto"/>
              </w:rPr>
              <w:t>Form and Timing of Settlement</w:t>
            </w:r>
          </w:p>
        </w:tc>
        <w:tc>
          <w:tcPr>
            <w:tcW w:w="6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9.5</w:t>
            </w:r>
          </w:p>
        </w:tc>
        <w:tc>
          <w:tcPr>
            <w:tcW w:w="4500" w:type="dxa"/>
            <w:vAlign w:val="bottom"/>
          </w:tcPr>
          <w:p>
            <w:pPr>
              <w:ind w:left="100"/>
              <w:spacing w:after="0"/>
              <w:rPr>
                <w:sz w:val="20"/>
                <w:szCs w:val="20"/>
                <w:color w:val="auto"/>
              </w:rPr>
            </w:pPr>
            <w:r>
              <w:rPr>
                <w:rFonts w:ascii="Arial" w:cs="Arial" w:eastAsia="Arial" w:hAnsi="Arial"/>
                <w:sz w:val="18"/>
                <w:szCs w:val="18"/>
                <w:color w:val="auto"/>
              </w:rPr>
              <w:t>Termination of Service</w:t>
            </w:r>
          </w:p>
        </w:tc>
        <w:tc>
          <w:tcPr>
            <w:tcW w:w="61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432"/>
        </w:trPr>
        <w:tc>
          <w:tcPr>
            <w:tcW w:w="7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6180" w:type="dxa"/>
            <w:vAlign w:val="bottom"/>
          </w:tcPr>
          <w:p>
            <w:pPr>
              <w:jc w:val="right"/>
              <w:ind w:right="5610"/>
              <w:spacing w:after="0"/>
              <w:rPr>
                <w:sz w:val="20"/>
                <w:szCs w:val="20"/>
                <w:color w:val="auto"/>
              </w:rPr>
            </w:pPr>
            <w:r>
              <w:rPr>
                <w:rFonts w:ascii="Arial" w:cs="Arial" w:eastAsia="Arial" w:hAnsi="Arial"/>
                <w:sz w:val="18"/>
                <w:szCs w:val="18"/>
                <w:color w:val="auto"/>
              </w:rPr>
              <w:t>ii</w:t>
            </w:r>
          </w:p>
        </w:tc>
      </w:tr>
      <w:tr>
        <w:trPr>
          <w:trHeight w:val="132"/>
        </w:trPr>
        <w:tc>
          <w:tcPr>
            <w:tcW w:w="5280" w:type="dxa"/>
            <w:vAlign w:val="bottom"/>
            <w:tcBorders>
              <w:bottom w:val="single" w:sz="8" w:color="808080"/>
            </w:tcBorders>
            <w:gridSpan w:val="2"/>
          </w:tcPr>
          <w:p>
            <w:pPr>
              <w:spacing w:after="0"/>
              <w:rPr>
                <w:sz w:val="11"/>
                <w:szCs w:val="11"/>
                <w:color w:val="auto"/>
              </w:rPr>
            </w:pPr>
          </w:p>
        </w:tc>
        <w:tc>
          <w:tcPr>
            <w:tcW w:w="6180" w:type="dxa"/>
            <w:vAlign w:val="bottom"/>
            <w:tcBorders>
              <w:bottom w:val="single" w:sz="8" w:color="808080"/>
            </w:tcBorders>
          </w:tcPr>
          <w:p>
            <w:pPr>
              <w:spacing w:after="0"/>
              <w:rPr>
                <w:sz w:val="11"/>
                <w:szCs w:val="11"/>
                <w:color w:val="auto"/>
              </w:rPr>
            </w:pPr>
          </w:p>
        </w:tc>
      </w:tr>
      <w:tr>
        <w:trPr>
          <w:trHeight w:val="780"/>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SECTION 10.0 - UNRESTRICTED STOCK UNIT AWARDS</w:t>
            </w:r>
          </w:p>
        </w:tc>
        <w:tc>
          <w:tcPr>
            <w:tcW w:w="61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b w:val="1"/>
                <w:bCs w:val="1"/>
                <w:color w:val="auto"/>
              </w:rPr>
              <w:t>SECTION 11.0 - PERFORMANCE AWARDS</w:t>
            </w:r>
          </w:p>
        </w:tc>
        <w:tc>
          <w:tcPr>
            <w:tcW w:w="6180" w:type="dxa"/>
            <w:vAlign w:val="bottom"/>
          </w:tcPr>
          <w:p>
            <w:pPr>
              <w:jc w:val="right"/>
              <w:spacing w:after="0"/>
              <w:rPr>
                <w:sz w:val="20"/>
                <w:szCs w:val="20"/>
                <w:color w:val="auto"/>
              </w:rPr>
            </w:pPr>
            <w:r>
              <w:rPr>
                <w:rFonts w:ascii="Arial" w:cs="Arial" w:eastAsia="Arial" w:hAnsi="Arial"/>
                <w:sz w:val="18"/>
                <w:szCs w:val="18"/>
                <w:b w:val="1"/>
                <w:bCs w:val="1"/>
                <w:color w:val="auto"/>
              </w:rPr>
              <w:t>17</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11.1</w:t>
            </w:r>
          </w:p>
        </w:tc>
        <w:tc>
          <w:tcPr>
            <w:tcW w:w="4500" w:type="dxa"/>
            <w:vAlign w:val="bottom"/>
          </w:tcPr>
          <w:p>
            <w:pPr>
              <w:ind w:left="60"/>
              <w:spacing w:after="0"/>
              <w:rPr>
                <w:sz w:val="20"/>
                <w:szCs w:val="20"/>
                <w:color w:val="auto"/>
              </w:rPr>
            </w:pPr>
            <w:r>
              <w:rPr>
                <w:rFonts w:ascii="Arial" w:cs="Arial" w:eastAsia="Arial" w:hAnsi="Arial"/>
                <w:sz w:val="18"/>
                <w:szCs w:val="18"/>
                <w:color w:val="auto"/>
              </w:rPr>
              <w:t>General</w:t>
            </w:r>
          </w:p>
        </w:tc>
        <w:tc>
          <w:tcPr>
            <w:tcW w:w="6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11.2  Terms of Performance Awards</w:t>
            </w:r>
          </w:p>
        </w:tc>
        <w:tc>
          <w:tcPr>
            <w:tcW w:w="61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5280" w:type="dxa"/>
            <w:vAlign w:val="bottom"/>
            <w:gridSpan w:val="2"/>
          </w:tcPr>
          <w:p>
            <w:pPr>
              <w:ind w:left="380"/>
              <w:spacing w:after="0"/>
              <w:rPr>
                <w:sz w:val="20"/>
                <w:szCs w:val="20"/>
                <w:color w:val="auto"/>
              </w:rPr>
            </w:pPr>
            <w:r>
              <w:rPr>
                <w:rFonts w:ascii="Arial" w:cs="Arial" w:eastAsia="Arial" w:hAnsi="Arial"/>
                <w:sz w:val="18"/>
                <w:szCs w:val="18"/>
                <w:color w:val="auto"/>
              </w:rPr>
              <w:t>11.3  Value, Earning and Timing of Performance Shares</w:t>
            </w:r>
          </w:p>
        </w:tc>
        <w:tc>
          <w:tcPr>
            <w:tcW w:w="6180" w:type="dxa"/>
            <w:vAlign w:val="bottom"/>
          </w:tcPr>
          <w:p>
            <w:pPr>
              <w:jc w:val="right"/>
              <w:spacing w:after="0"/>
              <w:rPr>
                <w:sz w:val="20"/>
                <w:szCs w:val="20"/>
                <w:color w:val="auto"/>
              </w:rPr>
            </w:pPr>
            <w:r>
              <w:rPr>
                <w:rFonts w:ascii="Arial" w:cs="Arial" w:eastAsia="Arial" w:hAnsi="Arial"/>
                <w:sz w:val="18"/>
                <w:szCs w:val="18"/>
                <w:color w:val="auto"/>
              </w:rPr>
              <w:t>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-1622425</wp:posOffset>
            </wp:positionV>
            <wp:extent cx="1270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-1622425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56" w:name="page157"/>
    <w:bookmarkEnd w:id="156"/>
    <w:tbl>
      <w:tblPr>
        <w:tblLayout w:type="fixed"/>
        <w:tblInd w:w="0" w:type="dxa"/>
        <w:tblCellMar>
          <w:top w:w="0" w:type="dxa"/>
          <w:left w:w="0" w:type="dxa"/>
          <w:bottom w:w="0" w:type="dxa"/>
          <w:right w:w="0" w:type="dxa"/>
        </w:tblCellMar>
      </w:tblPr>
      <w:tr>
        <w:trPr>
          <w:trHeight w:val="230"/>
        </w:trPr>
        <w:tc>
          <w:tcPr>
            <w:tcW w:w="780" w:type="dxa"/>
            <w:vAlign w:val="bottom"/>
          </w:tcPr>
          <w:p>
            <w:pPr>
              <w:ind w:left="380"/>
              <w:spacing w:after="0"/>
              <w:rPr>
                <w:sz w:val="20"/>
                <w:szCs w:val="20"/>
                <w:color w:val="auto"/>
              </w:rPr>
            </w:pPr>
            <w:r>
              <w:rPr>
                <w:rFonts w:ascii="Arial" w:cs="Arial" w:eastAsia="Arial" w:hAnsi="Arial"/>
                <w:sz w:val="18"/>
                <w:szCs w:val="18"/>
                <w:color w:val="auto"/>
              </w:rPr>
              <w:t>11.4</w:t>
            </w:r>
          </w:p>
        </w:tc>
        <w:tc>
          <w:tcPr>
            <w:tcW w:w="4680" w:type="dxa"/>
            <w:vAlign w:val="bottom"/>
          </w:tcPr>
          <w:p>
            <w:pPr>
              <w:ind w:left="60"/>
              <w:spacing w:after="0"/>
              <w:rPr>
                <w:sz w:val="20"/>
                <w:szCs w:val="20"/>
                <w:color w:val="auto"/>
              </w:rPr>
            </w:pPr>
            <w:r>
              <w:rPr>
                <w:rFonts w:ascii="Arial" w:cs="Arial" w:eastAsia="Arial" w:hAnsi="Arial"/>
                <w:sz w:val="18"/>
                <w:szCs w:val="18"/>
                <w:color w:val="auto"/>
              </w:rPr>
              <w:t>Termination of Service</w:t>
            </w:r>
          </w:p>
        </w:tc>
        <w:tc>
          <w:tcPr>
            <w:tcW w:w="6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12.0 - AWARDS TO NON-EMPLOYEE DIRECTORS</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12.1</w:t>
            </w:r>
          </w:p>
        </w:tc>
        <w:tc>
          <w:tcPr>
            <w:tcW w:w="4680" w:type="dxa"/>
            <w:vAlign w:val="bottom"/>
          </w:tcPr>
          <w:p>
            <w:pPr>
              <w:ind w:left="60"/>
              <w:spacing w:after="0"/>
              <w:rPr>
                <w:sz w:val="20"/>
                <w:szCs w:val="20"/>
                <w:color w:val="auto"/>
              </w:rPr>
            </w:pPr>
            <w:r>
              <w:rPr>
                <w:rFonts w:ascii="Arial" w:cs="Arial" w:eastAsia="Arial" w:hAnsi="Arial"/>
                <w:sz w:val="18"/>
                <w:szCs w:val="18"/>
                <w:color w:val="auto"/>
              </w:rPr>
              <w:t>General</w:t>
            </w:r>
          </w:p>
        </w:tc>
        <w:tc>
          <w:tcPr>
            <w:tcW w:w="6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12.2</w:t>
            </w:r>
          </w:p>
        </w:tc>
        <w:tc>
          <w:tcPr>
            <w:tcW w:w="4680" w:type="dxa"/>
            <w:vAlign w:val="bottom"/>
          </w:tcPr>
          <w:p>
            <w:pPr>
              <w:ind w:left="60"/>
              <w:spacing w:after="0"/>
              <w:rPr>
                <w:sz w:val="20"/>
                <w:szCs w:val="20"/>
                <w:color w:val="auto"/>
              </w:rPr>
            </w:pPr>
            <w:r>
              <w:rPr>
                <w:rFonts w:ascii="Arial" w:cs="Arial" w:eastAsia="Arial" w:hAnsi="Arial"/>
                <w:sz w:val="18"/>
                <w:szCs w:val="18"/>
                <w:color w:val="auto"/>
              </w:rPr>
              <w:t>Annual Individual Limit</w:t>
            </w:r>
          </w:p>
        </w:tc>
        <w:tc>
          <w:tcPr>
            <w:tcW w:w="6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13.0 - DIVIDEND EQUIVALENTS</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18</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13.1</w:t>
            </w:r>
          </w:p>
        </w:tc>
        <w:tc>
          <w:tcPr>
            <w:tcW w:w="4680" w:type="dxa"/>
            <w:vAlign w:val="bottom"/>
          </w:tcPr>
          <w:p>
            <w:pPr>
              <w:ind w:left="60"/>
              <w:spacing w:after="0"/>
              <w:rPr>
                <w:sz w:val="20"/>
                <w:szCs w:val="20"/>
                <w:color w:val="auto"/>
              </w:rPr>
            </w:pPr>
            <w:r>
              <w:rPr>
                <w:rFonts w:ascii="Arial" w:cs="Arial" w:eastAsia="Arial" w:hAnsi="Arial"/>
                <w:sz w:val="18"/>
                <w:szCs w:val="18"/>
                <w:color w:val="auto"/>
              </w:rPr>
              <w:t>Option and SARs</w:t>
            </w:r>
          </w:p>
        </w:tc>
        <w:tc>
          <w:tcPr>
            <w:tcW w:w="6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13.2</w:t>
            </w:r>
          </w:p>
        </w:tc>
        <w:tc>
          <w:tcPr>
            <w:tcW w:w="4680" w:type="dxa"/>
            <w:vAlign w:val="bottom"/>
          </w:tcPr>
          <w:p>
            <w:pPr>
              <w:ind w:left="60"/>
              <w:spacing w:after="0"/>
              <w:rPr>
                <w:sz w:val="20"/>
                <w:szCs w:val="20"/>
                <w:color w:val="auto"/>
              </w:rPr>
            </w:pPr>
            <w:r>
              <w:rPr>
                <w:rFonts w:ascii="Arial" w:cs="Arial" w:eastAsia="Arial" w:hAnsi="Arial"/>
                <w:sz w:val="18"/>
                <w:szCs w:val="18"/>
                <w:color w:val="auto"/>
              </w:rPr>
              <w:t>Other Awards</w:t>
            </w:r>
          </w:p>
        </w:tc>
        <w:tc>
          <w:tcPr>
            <w:tcW w:w="60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14.0 - PAYMENT FOR SHARES</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19</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14.1</w:t>
            </w:r>
          </w:p>
        </w:tc>
        <w:tc>
          <w:tcPr>
            <w:tcW w:w="4680" w:type="dxa"/>
            <w:vAlign w:val="bottom"/>
          </w:tcPr>
          <w:p>
            <w:pPr>
              <w:ind w:left="60"/>
              <w:spacing w:after="0"/>
              <w:rPr>
                <w:sz w:val="20"/>
                <w:szCs w:val="20"/>
                <w:color w:val="auto"/>
              </w:rPr>
            </w:pPr>
            <w:r>
              <w:rPr>
                <w:rFonts w:ascii="Arial" w:cs="Arial" w:eastAsia="Arial" w:hAnsi="Arial"/>
                <w:sz w:val="18"/>
                <w:szCs w:val="18"/>
                <w:color w:val="auto"/>
              </w:rPr>
              <w:t>General</w:t>
            </w:r>
          </w:p>
        </w:tc>
        <w:tc>
          <w:tcPr>
            <w:tcW w:w="6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14.2</w:t>
            </w:r>
          </w:p>
        </w:tc>
        <w:tc>
          <w:tcPr>
            <w:tcW w:w="4680" w:type="dxa"/>
            <w:vAlign w:val="bottom"/>
          </w:tcPr>
          <w:p>
            <w:pPr>
              <w:ind w:left="60"/>
              <w:spacing w:after="0"/>
              <w:rPr>
                <w:sz w:val="20"/>
                <w:szCs w:val="20"/>
                <w:color w:val="auto"/>
              </w:rPr>
            </w:pPr>
            <w:r>
              <w:rPr>
                <w:rFonts w:ascii="Arial" w:cs="Arial" w:eastAsia="Arial" w:hAnsi="Arial"/>
                <w:sz w:val="18"/>
                <w:szCs w:val="18"/>
                <w:color w:val="auto"/>
              </w:rPr>
              <w:t>Payment Methods</w:t>
            </w:r>
          </w:p>
        </w:tc>
        <w:tc>
          <w:tcPr>
            <w:tcW w:w="60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15.0 - TAXES</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20</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15.1</w:t>
            </w:r>
          </w:p>
        </w:tc>
        <w:tc>
          <w:tcPr>
            <w:tcW w:w="4680" w:type="dxa"/>
            <w:vAlign w:val="bottom"/>
          </w:tcPr>
          <w:p>
            <w:pPr>
              <w:ind w:left="60"/>
              <w:spacing w:after="0"/>
              <w:rPr>
                <w:sz w:val="20"/>
                <w:szCs w:val="20"/>
                <w:color w:val="auto"/>
              </w:rPr>
            </w:pPr>
            <w:r>
              <w:rPr>
                <w:rFonts w:ascii="Arial" w:cs="Arial" w:eastAsia="Arial" w:hAnsi="Arial"/>
                <w:sz w:val="18"/>
                <w:szCs w:val="18"/>
                <w:color w:val="auto"/>
              </w:rPr>
              <w:t>Withholding/Deduction Generally</w:t>
            </w:r>
          </w:p>
        </w:tc>
        <w:tc>
          <w:tcPr>
            <w:tcW w:w="6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15.2</w:t>
            </w:r>
          </w:p>
        </w:tc>
        <w:tc>
          <w:tcPr>
            <w:tcW w:w="4680" w:type="dxa"/>
            <w:vAlign w:val="bottom"/>
          </w:tcPr>
          <w:p>
            <w:pPr>
              <w:ind w:left="60"/>
              <w:spacing w:after="0"/>
              <w:rPr>
                <w:sz w:val="20"/>
                <w:szCs w:val="20"/>
                <w:color w:val="auto"/>
              </w:rPr>
            </w:pPr>
            <w:r>
              <w:rPr>
                <w:rFonts w:ascii="Arial" w:cs="Arial" w:eastAsia="Arial" w:hAnsi="Arial"/>
                <w:sz w:val="18"/>
                <w:szCs w:val="18"/>
                <w:color w:val="auto"/>
              </w:rPr>
              <w:t>Transfer of Employer Liability to Employee</w:t>
            </w:r>
          </w:p>
        </w:tc>
        <w:tc>
          <w:tcPr>
            <w:tcW w:w="6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15.3</w:t>
            </w:r>
          </w:p>
        </w:tc>
        <w:tc>
          <w:tcPr>
            <w:tcW w:w="4680" w:type="dxa"/>
            <w:vAlign w:val="bottom"/>
          </w:tcPr>
          <w:p>
            <w:pPr>
              <w:ind w:left="60"/>
              <w:spacing w:after="0"/>
              <w:rPr>
                <w:sz w:val="20"/>
                <w:szCs w:val="20"/>
                <w:color w:val="auto"/>
              </w:rPr>
            </w:pPr>
            <w:r>
              <w:rPr>
                <w:rFonts w:ascii="Arial" w:cs="Arial" w:eastAsia="Arial" w:hAnsi="Arial"/>
                <w:sz w:val="18"/>
                <w:szCs w:val="18"/>
                <w:color w:val="auto"/>
              </w:rPr>
              <w:t>Share Withholding</w:t>
            </w:r>
          </w:p>
        </w:tc>
        <w:tc>
          <w:tcPr>
            <w:tcW w:w="60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16.0 - TRANSFERABILITY</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21</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16.1</w:t>
            </w:r>
          </w:p>
        </w:tc>
        <w:tc>
          <w:tcPr>
            <w:tcW w:w="4680" w:type="dxa"/>
            <w:vAlign w:val="bottom"/>
          </w:tcPr>
          <w:p>
            <w:pPr>
              <w:ind w:left="60"/>
              <w:spacing w:after="0"/>
              <w:rPr>
                <w:sz w:val="20"/>
                <w:szCs w:val="20"/>
                <w:color w:val="auto"/>
              </w:rPr>
            </w:pPr>
            <w:r>
              <w:rPr>
                <w:rFonts w:ascii="Arial" w:cs="Arial" w:eastAsia="Arial" w:hAnsi="Arial"/>
                <w:sz w:val="18"/>
                <w:szCs w:val="18"/>
                <w:color w:val="auto"/>
              </w:rPr>
              <w:t>No Transfer Generally</w:t>
            </w:r>
          </w:p>
        </w:tc>
        <w:tc>
          <w:tcPr>
            <w:tcW w:w="6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16.2</w:t>
            </w:r>
          </w:p>
        </w:tc>
        <w:tc>
          <w:tcPr>
            <w:tcW w:w="4680" w:type="dxa"/>
            <w:vAlign w:val="bottom"/>
          </w:tcPr>
          <w:p>
            <w:pPr>
              <w:ind w:left="60"/>
              <w:spacing w:after="0"/>
              <w:rPr>
                <w:sz w:val="20"/>
                <w:szCs w:val="20"/>
                <w:color w:val="auto"/>
              </w:rPr>
            </w:pPr>
            <w:r>
              <w:rPr>
                <w:rFonts w:ascii="Arial" w:cs="Arial" w:eastAsia="Arial" w:hAnsi="Arial"/>
                <w:sz w:val="18"/>
                <w:szCs w:val="18"/>
                <w:color w:val="auto"/>
              </w:rPr>
              <w:t>Award Transfer Program</w:t>
            </w:r>
          </w:p>
        </w:tc>
        <w:tc>
          <w:tcPr>
            <w:tcW w:w="60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17.0 - SHARE OWNERSHIP</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22</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17.1</w:t>
            </w:r>
          </w:p>
        </w:tc>
        <w:tc>
          <w:tcPr>
            <w:tcW w:w="4680" w:type="dxa"/>
            <w:vAlign w:val="bottom"/>
          </w:tcPr>
          <w:p>
            <w:pPr>
              <w:ind w:left="60"/>
              <w:spacing w:after="0"/>
              <w:rPr>
                <w:sz w:val="20"/>
                <w:szCs w:val="20"/>
                <w:color w:val="auto"/>
              </w:rPr>
            </w:pPr>
            <w:r>
              <w:rPr>
                <w:rFonts w:ascii="Arial" w:cs="Arial" w:eastAsia="Arial" w:hAnsi="Arial"/>
                <w:sz w:val="18"/>
                <w:szCs w:val="18"/>
                <w:color w:val="auto"/>
              </w:rPr>
              <w:t>Privileges of Share Ownership</w:t>
            </w:r>
          </w:p>
        </w:tc>
        <w:tc>
          <w:tcPr>
            <w:tcW w:w="6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780" w:type="dxa"/>
            <w:vAlign w:val="bottom"/>
          </w:tcPr>
          <w:p>
            <w:pPr>
              <w:ind w:left="380"/>
              <w:spacing w:after="0"/>
              <w:rPr>
                <w:sz w:val="20"/>
                <w:szCs w:val="20"/>
                <w:color w:val="auto"/>
              </w:rPr>
            </w:pPr>
            <w:r>
              <w:rPr>
                <w:rFonts w:ascii="Arial" w:cs="Arial" w:eastAsia="Arial" w:hAnsi="Arial"/>
                <w:sz w:val="18"/>
                <w:szCs w:val="18"/>
                <w:color w:val="auto"/>
              </w:rPr>
              <w:t>17.2</w:t>
            </w:r>
          </w:p>
        </w:tc>
        <w:tc>
          <w:tcPr>
            <w:tcW w:w="4680" w:type="dxa"/>
            <w:vAlign w:val="bottom"/>
          </w:tcPr>
          <w:p>
            <w:pPr>
              <w:ind w:left="60"/>
              <w:spacing w:after="0"/>
              <w:rPr>
                <w:sz w:val="20"/>
                <w:szCs w:val="20"/>
                <w:color w:val="auto"/>
              </w:rPr>
            </w:pPr>
            <w:r>
              <w:rPr>
                <w:rFonts w:ascii="Arial" w:cs="Arial" w:eastAsia="Arial" w:hAnsi="Arial"/>
                <w:sz w:val="18"/>
                <w:szCs w:val="18"/>
                <w:color w:val="auto"/>
              </w:rPr>
              <w:t>Certificates</w:t>
            </w:r>
          </w:p>
        </w:tc>
        <w:tc>
          <w:tcPr>
            <w:tcW w:w="600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432"/>
        </w:trPr>
        <w:tc>
          <w:tcPr>
            <w:tcW w:w="78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6000" w:type="dxa"/>
            <w:vAlign w:val="bottom"/>
          </w:tcPr>
          <w:p>
            <w:pPr>
              <w:jc w:val="right"/>
              <w:ind w:right="5590"/>
              <w:spacing w:after="0"/>
              <w:rPr>
                <w:sz w:val="20"/>
                <w:szCs w:val="20"/>
                <w:color w:val="auto"/>
              </w:rPr>
            </w:pPr>
            <w:r>
              <w:rPr>
                <w:rFonts w:ascii="Arial" w:cs="Arial" w:eastAsia="Arial" w:hAnsi="Arial"/>
                <w:sz w:val="18"/>
                <w:szCs w:val="18"/>
                <w:color w:val="auto"/>
              </w:rPr>
              <w:t>iii</w:t>
            </w:r>
          </w:p>
        </w:tc>
      </w:tr>
      <w:tr>
        <w:trPr>
          <w:trHeight w:val="132"/>
        </w:trPr>
        <w:tc>
          <w:tcPr>
            <w:tcW w:w="5460" w:type="dxa"/>
            <w:vAlign w:val="bottom"/>
            <w:tcBorders>
              <w:bottom w:val="single" w:sz="8" w:color="808080"/>
            </w:tcBorders>
            <w:gridSpan w:val="2"/>
          </w:tcPr>
          <w:p>
            <w:pPr>
              <w:spacing w:after="0"/>
              <w:rPr>
                <w:sz w:val="11"/>
                <w:szCs w:val="11"/>
                <w:color w:val="auto"/>
              </w:rPr>
            </w:pPr>
          </w:p>
        </w:tc>
        <w:tc>
          <w:tcPr>
            <w:tcW w:w="6000" w:type="dxa"/>
            <w:vAlign w:val="bottom"/>
            <w:tcBorders>
              <w:bottom w:val="single" w:sz="8" w:color="808080"/>
            </w:tcBorders>
          </w:tcPr>
          <w:p>
            <w:pPr>
              <w:spacing w:after="0"/>
              <w:rPr>
                <w:sz w:val="11"/>
                <w:szCs w:val="11"/>
                <w:color w:val="auto"/>
              </w:rPr>
            </w:pPr>
          </w:p>
        </w:tc>
      </w:tr>
      <w:tr>
        <w:trPr>
          <w:trHeight w:val="780"/>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18.0 - RESERVED</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19.0 - SECURITIES LAW AND OTHER COMPLIANCE</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23</w:t>
            </w:r>
          </w:p>
        </w:tc>
      </w:tr>
      <w:tr>
        <w:trPr>
          <w:trHeight w:val="432"/>
        </w:trPr>
        <w:tc>
          <w:tcPr>
            <w:tcW w:w="5460" w:type="dxa"/>
            <w:vAlign w:val="bottom"/>
            <w:gridSpan w:val="2"/>
          </w:tcPr>
          <w:p>
            <w:pPr>
              <w:ind w:left="400"/>
              <w:spacing w:after="0"/>
              <w:rPr>
                <w:sz w:val="20"/>
                <w:szCs w:val="20"/>
                <w:color w:val="auto"/>
              </w:rPr>
            </w:pPr>
            <w:r>
              <w:rPr>
                <w:rFonts w:ascii="Arial" w:cs="Arial" w:eastAsia="Arial" w:hAnsi="Arial"/>
                <w:sz w:val="18"/>
                <w:szCs w:val="18"/>
                <w:color w:val="auto"/>
              </w:rPr>
              <w:t>19.1  Compliance with Applicable Laws</w:t>
            </w:r>
          </w:p>
        </w:tc>
        <w:tc>
          <w:tcPr>
            <w:tcW w:w="6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19.2</w:t>
            </w:r>
          </w:p>
        </w:tc>
        <w:tc>
          <w:tcPr>
            <w:tcW w:w="4680" w:type="dxa"/>
            <w:vAlign w:val="bottom"/>
          </w:tcPr>
          <w:p>
            <w:pPr>
              <w:ind w:left="100"/>
              <w:spacing w:after="0"/>
              <w:rPr>
                <w:sz w:val="20"/>
                <w:szCs w:val="20"/>
                <w:color w:val="auto"/>
              </w:rPr>
            </w:pPr>
            <w:r>
              <w:rPr>
                <w:rFonts w:ascii="Arial" w:cs="Arial" w:eastAsia="Arial" w:hAnsi="Arial"/>
                <w:sz w:val="18"/>
                <w:szCs w:val="18"/>
                <w:color w:val="auto"/>
              </w:rPr>
              <w:t>Insider Trading Policy</w:t>
            </w:r>
          </w:p>
        </w:tc>
        <w:tc>
          <w:tcPr>
            <w:tcW w:w="6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5460" w:type="dxa"/>
            <w:vAlign w:val="bottom"/>
            <w:gridSpan w:val="2"/>
          </w:tcPr>
          <w:p>
            <w:pPr>
              <w:ind w:left="400"/>
              <w:spacing w:after="0"/>
              <w:rPr>
                <w:sz w:val="20"/>
                <w:szCs w:val="20"/>
                <w:color w:val="auto"/>
              </w:rPr>
            </w:pPr>
            <w:r>
              <w:rPr>
                <w:rFonts w:ascii="Arial" w:cs="Arial" w:eastAsia="Arial" w:hAnsi="Arial"/>
                <w:sz w:val="18"/>
                <w:szCs w:val="18"/>
                <w:color w:val="auto"/>
              </w:rPr>
              <w:t>19.3  Malus and Clawback Policy</w:t>
            </w:r>
          </w:p>
        </w:tc>
        <w:tc>
          <w:tcPr>
            <w:tcW w:w="60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19.4</w:t>
            </w:r>
          </w:p>
        </w:tc>
        <w:tc>
          <w:tcPr>
            <w:tcW w:w="4680" w:type="dxa"/>
            <w:vAlign w:val="bottom"/>
          </w:tcPr>
          <w:p>
            <w:pPr>
              <w:ind w:left="100"/>
              <w:spacing w:after="0"/>
              <w:rPr>
                <w:sz w:val="20"/>
                <w:szCs w:val="20"/>
                <w:color w:val="auto"/>
              </w:rPr>
            </w:pPr>
            <w:r>
              <w:rPr>
                <w:rFonts w:ascii="Arial" w:cs="Arial" w:eastAsia="Arial" w:hAnsi="Arial"/>
                <w:sz w:val="18"/>
                <w:szCs w:val="18"/>
                <w:color w:val="auto"/>
              </w:rPr>
              <w:t>Data Protection</w:t>
            </w:r>
          </w:p>
        </w:tc>
        <w:tc>
          <w:tcPr>
            <w:tcW w:w="6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20.0 - EMPLOYMENT RELATIONSHIP</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24</w:t>
            </w:r>
          </w:p>
        </w:tc>
      </w:tr>
      <w:tr>
        <w:trPr>
          <w:trHeight w:val="432"/>
        </w:trPr>
        <w:tc>
          <w:tcPr>
            <w:tcW w:w="5460" w:type="dxa"/>
            <w:vAlign w:val="bottom"/>
            <w:gridSpan w:val="2"/>
          </w:tcPr>
          <w:p>
            <w:pPr>
              <w:ind w:left="400"/>
              <w:spacing w:after="0"/>
              <w:rPr>
                <w:sz w:val="20"/>
                <w:szCs w:val="20"/>
                <w:color w:val="auto"/>
              </w:rPr>
            </w:pPr>
            <w:r>
              <w:rPr>
                <w:rFonts w:ascii="Arial" w:cs="Arial" w:eastAsia="Arial" w:hAnsi="Arial"/>
                <w:sz w:val="18"/>
                <w:szCs w:val="18"/>
                <w:color w:val="auto"/>
              </w:rPr>
              <w:t>20.1  No Obligation to Employ/ Right to Compensation</w:t>
            </w:r>
          </w:p>
        </w:tc>
        <w:tc>
          <w:tcPr>
            <w:tcW w:w="60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432"/>
        </w:trPr>
        <w:tc>
          <w:tcPr>
            <w:tcW w:w="5460" w:type="dxa"/>
            <w:vAlign w:val="bottom"/>
            <w:gridSpan w:val="2"/>
          </w:tcPr>
          <w:p>
            <w:pPr>
              <w:ind w:left="400"/>
              <w:spacing w:after="0"/>
              <w:rPr>
                <w:sz w:val="20"/>
                <w:szCs w:val="20"/>
                <w:color w:val="auto"/>
              </w:rPr>
            </w:pPr>
            <w:r>
              <w:rPr>
                <w:rFonts w:ascii="Arial" w:cs="Arial" w:eastAsia="Arial" w:hAnsi="Arial"/>
                <w:sz w:val="18"/>
                <w:szCs w:val="18"/>
                <w:color w:val="auto"/>
              </w:rPr>
              <w:t>20.2  No Obligation to Notify or Minimize Taxes</w:t>
            </w:r>
          </w:p>
        </w:tc>
        <w:tc>
          <w:tcPr>
            <w:tcW w:w="6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21.0 - CORPORATE TRANSACTION</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25</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21.1</w:t>
            </w:r>
          </w:p>
        </w:tc>
        <w:tc>
          <w:tcPr>
            <w:tcW w:w="4680" w:type="dxa"/>
            <w:vAlign w:val="bottom"/>
          </w:tcPr>
          <w:p>
            <w:pPr>
              <w:ind w:left="100"/>
              <w:spacing w:after="0"/>
              <w:rPr>
                <w:sz w:val="20"/>
                <w:szCs w:val="20"/>
                <w:color w:val="auto"/>
              </w:rPr>
            </w:pPr>
            <w:r>
              <w:rPr>
                <w:rFonts w:ascii="Arial" w:cs="Arial" w:eastAsia="Arial" w:hAnsi="Arial"/>
                <w:sz w:val="18"/>
                <w:szCs w:val="18"/>
                <w:color w:val="auto"/>
              </w:rPr>
              <w:t>Treatment of Awards</w:t>
            </w:r>
          </w:p>
        </w:tc>
        <w:tc>
          <w:tcPr>
            <w:tcW w:w="60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432"/>
        </w:trPr>
        <w:tc>
          <w:tcPr>
            <w:tcW w:w="5460" w:type="dxa"/>
            <w:vAlign w:val="bottom"/>
            <w:gridSpan w:val="2"/>
          </w:tcPr>
          <w:p>
            <w:pPr>
              <w:ind w:left="400"/>
              <w:spacing w:after="0"/>
              <w:rPr>
                <w:sz w:val="20"/>
                <w:szCs w:val="20"/>
                <w:color w:val="auto"/>
              </w:rPr>
            </w:pPr>
            <w:r>
              <w:rPr>
                <w:rFonts w:ascii="Arial" w:cs="Arial" w:eastAsia="Arial" w:hAnsi="Arial"/>
                <w:sz w:val="18"/>
                <w:szCs w:val="18"/>
                <w:color w:val="auto"/>
              </w:rPr>
              <w:t>21.2  Involuntary Termination following Corporate Transaction</w:t>
            </w:r>
          </w:p>
        </w:tc>
        <w:tc>
          <w:tcPr>
            <w:tcW w:w="60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22.0 - DISSOLUTION OR LIQUIDATION</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32"/>
        </w:trPr>
        <w:tc>
          <w:tcPr>
            <w:tcW w:w="5460" w:type="dxa"/>
            <w:vAlign w:val="bottom"/>
            <w:gridSpan w:val="2"/>
          </w:tcPr>
          <w:p>
            <w:pPr>
              <w:spacing w:after="0"/>
              <w:rPr>
                <w:sz w:val="20"/>
                <w:szCs w:val="20"/>
                <w:color w:val="auto"/>
              </w:rPr>
            </w:pPr>
            <w:r>
              <w:rPr>
                <w:rFonts w:ascii="Arial" w:cs="Arial" w:eastAsia="Arial" w:hAnsi="Arial"/>
                <w:sz w:val="18"/>
                <w:szCs w:val="18"/>
                <w:b w:val="1"/>
                <w:bCs w:val="1"/>
                <w:color w:val="auto"/>
              </w:rPr>
              <w:t>SECTION 23.0 - TERM AND AMENDMENT OF PLAN</w:t>
            </w:r>
          </w:p>
        </w:tc>
        <w:tc>
          <w:tcPr>
            <w:tcW w:w="6000" w:type="dxa"/>
            <w:vAlign w:val="bottom"/>
          </w:tcPr>
          <w:p>
            <w:pPr>
              <w:jc w:val="right"/>
              <w:spacing w:after="0"/>
              <w:rPr>
                <w:sz w:val="20"/>
                <w:szCs w:val="20"/>
                <w:color w:val="auto"/>
              </w:rPr>
            </w:pPr>
            <w:r>
              <w:rPr>
                <w:rFonts w:ascii="Arial" w:cs="Arial" w:eastAsia="Arial" w:hAnsi="Arial"/>
                <w:sz w:val="18"/>
                <w:szCs w:val="18"/>
                <w:b w:val="1"/>
                <w:bCs w:val="1"/>
                <w:color w:val="auto"/>
              </w:rPr>
              <w:t>28</w:t>
            </w:r>
          </w:p>
        </w:tc>
      </w:tr>
      <w:tr>
        <w:trPr>
          <w:trHeight w:val="432"/>
        </w:trPr>
        <w:tc>
          <w:tcPr>
            <w:tcW w:w="780" w:type="dxa"/>
            <w:vAlign w:val="bottom"/>
          </w:tcPr>
          <w:p>
            <w:pPr>
              <w:ind w:left="400"/>
              <w:spacing w:after="0"/>
              <w:rPr>
                <w:sz w:val="20"/>
                <w:szCs w:val="20"/>
                <w:color w:val="auto"/>
              </w:rPr>
            </w:pPr>
            <w:r>
              <w:rPr>
                <w:rFonts w:ascii="Arial" w:cs="Arial" w:eastAsia="Arial" w:hAnsi="Arial"/>
                <w:sz w:val="18"/>
                <w:szCs w:val="18"/>
                <w:color w:val="auto"/>
              </w:rPr>
              <w:t>23.1</w:t>
            </w:r>
          </w:p>
        </w:tc>
        <w:tc>
          <w:tcPr>
            <w:tcW w:w="4680" w:type="dxa"/>
            <w:vAlign w:val="bottom"/>
          </w:tcPr>
          <w:p>
            <w:pPr>
              <w:ind w:left="100"/>
              <w:spacing w:after="0"/>
              <w:rPr>
                <w:sz w:val="20"/>
                <w:szCs w:val="20"/>
                <w:color w:val="auto"/>
              </w:rPr>
            </w:pPr>
            <w:r>
              <w:rPr>
                <w:rFonts w:ascii="Arial" w:cs="Arial" w:eastAsia="Arial" w:hAnsi="Arial"/>
                <w:sz w:val="18"/>
                <w:szCs w:val="18"/>
                <w:color w:val="auto"/>
              </w:rPr>
              <w:t>Term of Plan</w:t>
            </w:r>
          </w:p>
        </w:tc>
        <w:tc>
          <w:tcPr>
            <w:tcW w:w="600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432"/>
        </w:trPr>
        <w:tc>
          <w:tcPr>
            <w:tcW w:w="5460" w:type="dxa"/>
            <w:vAlign w:val="bottom"/>
            <w:gridSpan w:val="2"/>
          </w:tcPr>
          <w:p>
            <w:pPr>
              <w:ind w:left="400"/>
              <w:spacing w:after="0"/>
              <w:rPr>
                <w:sz w:val="20"/>
                <w:szCs w:val="20"/>
                <w:color w:val="auto"/>
              </w:rPr>
            </w:pPr>
            <w:r>
              <w:rPr>
                <w:rFonts w:ascii="Arial" w:cs="Arial" w:eastAsia="Arial" w:hAnsi="Arial"/>
                <w:sz w:val="18"/>
                <w:szCs w:val="18"/>
                <w:color w:val="auto"/>
              </w:rPr>
              <w:t>23.2  Amendment or Termination of the Plan</w:t>
            </w:r>
          </w:p>
        </w:tc>
        <w:tc>
          <w:tcPr>
            <w:tcW w:w="600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-4641215</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-4641215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57" w:name="page158"/>
    <w:bookmarkEnd w:id="157"/>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SECTION 24.0 - OTHER PROVISIONS</w:t>
            </w:r>
          </w:p>
        </w:tc>
        <w:tc>
          <w:tcPr>
            <w:tcW w:w="63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24.1</w:t>
            </w:r>
          </w:p>
        </w:tc>
        <w:tc>
          <w:tcPr>
            <w:tcW w:w="4320" w:type="dxa"/>
            <w:vAlign w:val="bottom"/>
          </w:tcPr>
          <w:p>
            <w:pPr>
              <w:ind w:left="80"/>
              <w:spacing w:after="0"/>
              <w:rPr>
                <w:sz w:val="20"/>
                <w:szCs w:val="20"/>
                <w:color w:val="auto"/>
              </w:rPr>
            </w:pPr>
            <w:r>
              <w:rPr>
                <w:rFonts w:ascii="Arial" w:cs="Arial" w:eastAsia="Arial" w:hAnsi="Arial"/>
                <w:sz w:val="18"/>
                <w:szCs w:val="18"/>
                <w:color w:val="auto"/>
              </w:rPr>
              <w:t>Governing Law</w:t>
            </w:r>
          </w:p>
        </w:tc>
        <w:tc>
          <w:tcPr>
            <w:tcW w:w="6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24.2</w:t>
            </w:r>
          </w:p>
        </w:tc>
        <w:tc>
          <w:tcPr>
            <w:tcW w:w="4320" w:type="dxa"/>
            <w:vAlign w:val="bottom"/>
          </w:tcPr>
          <w:p>
            <w:pPr>
              <w:ind w:left="80"/>
              <w:spacing w:after="0"/>
              <w:rPr>
                <w:sz w:val="20"/>
                <w:szCs w:val="20"/>
                <w:color w:val="auto"/>
              </w:rPr>
            </w:pPr>
            <w:r>
              <w:rPr>
                <w:rFonts w:ascii="Arial" w:cs="Arial" w:eastAsia="Arial" w:hAnsi="Arial"/>
                <w:sz w:val="18"/>
                <w:szCs w:val="18"/>
                <w:color w:val="auto"/>
              </w:rPr>
              <w:t>Jurisdiction</w:t>
            </w:r>
          </w:p>
        </w:tc>
        <w:tc>
          <w:tcPr>
            <w:tcW w:w="6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24.3</w:t>
            </w:r>
          </w:p>
        </w:tc>
        <w:tc>
          <w:tcPr>
            <w:tcW w:w="4320" w:type="dxa"/>
            <w:vAlign w:val="bottom"/>
          </w:tcPr>
          <w:p>
            <w:pPr>
              <w:ind w:left="80"/>
              <w:spacing w:after="0"/>
              <w:rPr>
                <w:sz w:val="20"/>
                <w:szCs w:val="20"/>
                <w:color w:val="auto"/>
              </w:rPr>
            </w:pPr>
            <w:r>
              <w:rPr>
                <w:rFonts w:ascii="Arial" w:cs="Arial" w:eastAsia="Arial" w:hAnsi="Arial"/>
                <w:sz w:val="18"/>
                <w:szCs w:val="18"/>
                <w:color w:val="auto"/>
              </w:rPr>
              <w:t>Non-Exclusivity of the Plan</w:t>
            </w:r>
          </w:p>
        </w:tc>
        <w:tc>
          <w:tcPr>
            <w:tcW w:w="6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SECTION 25.0 - DEFINITIONS AND INTERPRETATION</w:t>
            </w:r>
          </w:p>
        </w:tc>
        <w:tc>
          <w:tcPr>
            <w:tcW w:w="6340" w:type="dxa"/>
            <w:vAlign w:val="bottom"/>
          </w:tcPr>
          <w:p>
            <w:pPr>
              <w:jc w:val="right"/>
              <w:spacing w:after="0"/>
              <w:rPr>
                <w:sz w:val="20"/>
                <w:szCs w:val="20"/>
                <w:color w:val="auto"/>
              </w:rPr>
            </w:pPr>
            <w:r>
              <w:rPr>
                <w:rFonts w:ascii="Arial" w:cs="Arial" w:eastAsia="Arial" w:hAnsi="Arial"/>
                <w:sz w:val="18"/>
                <w:szCs w:val="18"/>
                <w:b w:val="1"/>
                <w:bCs w:val="1"/>
                <w:color w:val="auto"/>
              </w:rPr>
              <w:t>29</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25.1</w:t>
            </w:r>
          </w:p>
        </w:tc>
        <w:tc>
          <w:tcPr>
            <w:tcW w:w="4320" w:type="dxa"/>
            <w:vAlign w:val="bottom"/>
          </w:tcPr>
          <w:p>
            <w:pPr>
              <w:ind w:left="80"/>
              <w:spacing w:after="0"/>
              <w:rPr>
                <w:sz w:val="20"/>
                <w:szCs w:val="20"/>
                <w:color w:val="auto"/>
              </w:rPr>
            </w:pPr>
            <w:r>
              <w:rPr>
                <w:rFonts w:ascii="Arial" w:cs="Arial" w:eastAsia="Arial" w:hAnsi="Arial"/>
                <w:sz w:val="18"/>
                <w:szCs w:val="18"/>
                <w:color w:val="auto"/>
              </w:rPr>
              <w:t>Definitions</w:t>
            </w:r>
          </w:p>
        </w:tc>
        <w:tc>
          <w:tcPr>
            <w:tcW w:w="634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800" w:type="dxa"/>
            <w:vAlign w:val="bottom"/>
          </w:tcPr>
          <w:p>
            <w:pPr>
              <w:jc w:val="right"/>
              <w:spacing w:after="0"/>
              <w:rPr>
                <w:sz w:val="20"/>
                <w:szCs w:val="20"/>
                <w:color w:val="auto"/>
              </w:rPr>
            </w:pPr>
            <w:r>
              <w:rPr>
                <w:rFonts w:ascii="Arial" w:cs="Arial" w:eastAsia="Arial" w:hAnsi="Arial"/>
                <w:sz w:val="18"/>
                <w:szCs w:val="18"/>
                <w:color w:val="auto"/>
              </w:rPr>
              <w:t>25.2</w:t>
            </w:r>
          </w:p>
        </w:tc>
        <w:tc>
          <w:tcPr>
            <w:tcW w:w="4320" w:type="dxa"/>
            <w:vAlign w:val="bottom"/>
          </w:tcPr>
          <w:p>
            <w:pPr>
              <w:ind w:left="80"/>
              <w:spacing w:after="0"/>
              <w:rPr>
                <w:sz w:val="20"/>
                <w:szCs w:val="20"/>
                <w:color w:val="auto"/>
              </w:rPr>
            </w:pPr>
            <w:r>
              <w:rPr>
                <w:rFonts w:ascii="Arial" w:cs="Arial" w:eastAsia="Arial" w:hAnsi="Arial"/>
                <w:sz w:val="18"/>
                <w:szCs w:val="18"/>
                <w:color w:val="auto"/>
              </w:rPr>
              <w:t>Interpretation</w:t>
            </w:r>
          </w:p>
        </w:tc>
        <w:tc>
          <w:tcPr>
            <w:tcW w:w="634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80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6340" w:type="dxa"/>
            <w:vAlign w:val="bottom"/>
          </w:tcPr>
          <w:p>
            <w:pPr>
              <w:jc w:val="right"/>
              <w:ind w:right="5590"/>
              <w:spacing w:after="0"/>
              <w:rPr>
                <w:sz w:val="20"/>
                <w:szCs w:val="20"/>
                <w:color w:val="auto"/>
              </w:rPr>
            </w:pPr>
            <w:r>
              <w:rPr>
                <w:rFonts w:ascii="Arial" w:cs="Arial" w:eastAsia="Arial" w:hAnsi="Arial"/>
                <w:sz w:val="18"/>
                <w:szCs w:val="18"/>
                <w:color w:val="auto"/>
              </w:rPr>
              <w:t>iv</w:t>
            </w:r>
          </w:p>
        </w:tc>
      </w:tr>
      <w:tr>
        <w:trPr>
          <w:trHeight w:val="132"/>
        </w:trPr>
        <w:tc>
          <w:tcPr>
            <w:tcW w:w="800" w:type="dxa"/>
            <w:vAlign w:val="bottom"/>
            <w:tcBorders>
              <w:bottom w:val="single" w:sz="8" w:color="808080"/>
            </w:tcBorders>
          </w:tcPr>
          <w:p>
            <w:pPr>
              <w:spacing w:after="0"/>
              <w:rPr>
                <w:sz w:val="11"/>
                <w:szCs w:val="11"/>
                <w:color w:val="auto"/>
              </w:rPr>
            </w:pPr>
          </w:p>
        </w:tc>
        <w:tc>
          <w:tcPr>
            <w:tcW w:w="4320" w:type="dxa"/>
            <w:vAlign w:val="bottom"/>
            <w:tcBorders>
              <w:bottom w:val="single" w:sz="8" w:color="808080"/>
            </w:tcBorders>
          </w:tcPr>
          <w:p>
            <w:pPr>
              <w:spacing w:after="0"/>
              <w:rPr>
                <w:sz w:val="11"/>
                <w:szCs w:val="11"/>
                <w:color w:val="auto"/>
              </w:rPr>
            </w:pPr>
          </w:p>
        </w:tc>
        <w:tc>
          <w:tcPr>
            <w:tcW w:w="63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1.0 - GENERAL</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Purpose of the Plan</w:t>
      </w:r>
    </w:p>
    <w:p>
      <w:pPr>
        <w:spacing w:after="0" w:line="229" w:lineRule="exact"/>
        <w:rPr>
          <w:sz w:val="20"/>
          <w:szCs w:val="20"/>
          <w:color w:val="auto"/>
        </w:rPr>
      </w:pPr>
    </w:p>
    <w:p>
      <w:pPr>
        <w:ind w:left="660" w:right="40"/>
        <w:spacing w:after="0" w:line="254" w:lineRule="auto"/>
        <w:rPr>
          <w:sz w:val="20"/>
          <w:szCs w:val="20"/>
          <w:color w:val="auto"/>
        </w:rPr>
      </w:pPr>
      <w:r>
        <w:rPr>
          <w:rFonts w:ascii="Arial" w:cs="Arial" w:eastAsia="Arial" w:hAnsi="Arial"/>
          <w:sz w:val="18"/>
          <w:szCs w:val="18"/>
          <w:color w:val="auto"/>
        </w:rPr>
        <w:t>King adopted this Plan, before it became a separate publicly traded company, to aid it in attracting, retaining and motivating employees, directors and consultants of King and the Associated Companies who were expected to contribute to the success of such entities by offering them incentives that allowed them to participate in future growth in value of Ordinary Shares. The Plan was assumed by the Company, as of the Acquisition Effective Time, in connection with the Transaction Agreement and is being continued by the Company after the consummation of the transactions contemplated in the Transaction Agreement solely in respect of awards in respect of Ordinary Shares outstanding immediately prior to the Acquisition Effective Time which are assumed by the Company and converted into Awards in respect of the Company’s Common Stock in accordance with the provisions of the Transaction Agreement. No new awards will be made following the Acquisition Effective Time notwithstanding any other term set forth herein.</w:t>
      </w:r>
    </w:p>
    <w:p>
      <w:pPr>
        <w:spacing w:after="0" w:line="18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Types of Awards</w:t>
      </w:r>
    </w:p>
    <w:p>
      <w:pPr>
        <w:spacing w:after="0" w:line="229"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The Plan allowed for the grant of the following Awards: Options, Stock Appreciation Rights (SARs), Restricted Share Awards, Restricted Stock Units (RSU) Awards, Unrestricted Stock Unit Awards and Performance Awards.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Effective Date</w:t>
      </w:r>
    </w:p>
    <w:p>
      <w:pPr>
        <w:spacing w:after="0" w:line="229" w:lineRule="exact"/>
        <w:rPr>
          <w:sz w:val="20"/>
          <w:szCs w:val="20"/>
          <w:color w:val="auto"/>
        </w:rPr>
      </w:pPr>
    </w:p>
    <w:p>
      <w:pPr>
        <w:ind w:left="660" w:right="100"/>
        <w:spacing w:after="0" w:line="255" w:lineRule="auto"/>
        <w:rPr>
          <w:sz w:val="20"/>
          <w:szCs w:val="20"/>
          <w:color w:val="auto"/>
        </w:rPr>
      </w:pPr>
      <w:r>
        <w:rPr>
          <w:rFonts w:ascii="Arial" w:cs="Arial" w:eastAsia="Arial" w:hAnsi="Arial"/>
          <w:sz w:val="18"/>
          <w:szCs w:val="18"/>
          <w:color w:val="auto"/>
        </w:rPr>
        <w:t>The Plan was approved by the board of directors of King and by its shareholders on 6 March 2014 and became effective on the Effective Date. The Plan was assumed by the Company as of the Acquisition Effective Time. From and after the Acquisition Effective Time, the Shares available for issuance in respect of Awards granted hereunder (including Substitute Awards) are shares of Common Stock, and sections 3.0. 4.0, and 6.0 through 13.0 of the Plan are retained solely to the extent necessary or appropriate to understand and administer the terms of the Awards related to King awards in respect of Ordinary Shares outstanding immediately prior to the Acquisition Effective Time, which are assumed by the Company pursuant to the terms of the Transaction Agreement.</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6"/>
          <w:szCs w:val="16"/>
          <w:b w:val="1"/>
          <w:bCs w:val="1"/>
          <w:color w:val="auto"/>
        </w:rPr>
        <w:t>Capitalized Terms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Capitalized terms not defined elsewhere in the text are defined in Section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SECTION 2.0 - SHARES SUBJECT TO THE PLAN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Number of Shares</w:t>
      </w:r>
    </w:p>
    <w:p>
      <w:pPr>
        <w:spacing w:after="0" w:line="229" w:lineRule="exact"/>
        <w:rPr>
          <w:sz w:val="20"/>
          <w:szCs w:val="20"/>
          <w:color w:val="auto"/>
        </w:rPr>
      </w:pPr>
    </w:p>
    <w:p>
      <w:pPr>
        <w:ind w:left="660" w:right="140"/>
        <w:spacing w:after="0" w:line="255" w:lineRule="auto"/>
        <w:rPr>
          <w:sz w:val="20"/>
          <w:szCs w:val="20"/>
          <w:color w:val="auto"/>
        </w:rPr>
      </w:pPr>
      <w:r>
        <w:rPr>
          <w:rFonts w:ascii="Arial" w:cs="Arial" w:eastAsia="Arial" w:hAnsi="Arial"/>
          <w:sz w:val="18"/>
          <w:szCs w:val="18"/>
          <w:color w:val="auto"/>
        </w:rPr>
        <w:t>The number of Shares of Common Stock that are available for issuance hereunder from the Acquisition Effective Time is the number of Ordinary Shares that were issuable in respect of awards granted by King prior to, and outstanding immediately prior to, the Acquisition Effective Time which are assumed by the Company and converted into Awards in respect of the Company’s Common Stock in accordance with the provisions of the Transaction Agreement, multiplied by the Exchange Ratio. Any additional Ordinary Shares that were available for issuance under the Plan immediately prior to the Acquisition Effective Time shall no longer be available for issuance hereunder following the Acquisition Effective Time, and no Shares of Common Stock shall be issuable in respect thereof. No additional Shares shall become available for issuance hereunder following the Acquisition Effective Time.</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Lapsed, Returned Awards</w:t>
      </w:r>
    </w:p>
    <w:p>
      <w:pPr>
        <w:spacing w:after="0" w:line="229"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Shares that are subject to Awards that lapse, expire or are forfeited or otherwise cancelled following the Acquisition Effective Time shall not again become available for Awards hereunder.</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6"/>
          <w:szCs w:val="16"/>
          <w:b w:val="1"/>
          <w:bCs w:val="1"/>
          <w:color w:val="auto"/>
        </w:rPr>
        <w:t>Substitute Awards — Acquisition by the Company</w:t>
      </w:r>
    </w:p>
    <w:p>
      <w:pPr>
        <w:spacing w:after="0" w:line="229" w:lineRule="exact"/>
        <w:rPr>
          <w:sz w:val="20"/>
          <w:szCs w:val="20"/>
          <w:color w:val="auto"/>
        </w:rPr>
      </w:pPr>
    </w:p>
    <w:p>
      <w:pPr>
        <w:ind w:left="660" w:right="260"/>
        <w:spacing w:after="0" w:line="291" w:lineRule="auto"/>
        <w:rPr>
          <w:sz w:val="20"/>
          <w:szCs w:val="20"/>
          <w:color w:val="auto"/>
        </w:rPr>
      </w:pPr>
      <w:r>
        <w:rPr>
          <w:rFonts w:ascii="Arial" w:cs="Arial" w:eastAsia="Arial" w:hAnsi="Arial"/>
          <w:sz w:val="16"/>
          <w:szCs w:val="16"/>
          <w:color w:val="auto"/>
        </w:rPr>
        <w:t>Pursuant to the Transaction Agreement, any option or other equity award in respect of Ordinary Shares outstanding immediately prior to the Acquisition Effective Time that (i) was granted pursuant to an individual award agreement (and not under the Plan) prior to the Effective Date and</w:t>
      </w:r>
    </w:p>
    <w:p>
      <w:pPr>
        <w:ind w:left="660" w:right="40" w:hanging="4"/>
        <w:spacing w:after="0" w:line="302" w:lineRule="auto"/>
        <w:tabs>
          <w:tab w:leader="none" w:pos="92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pursuant to the Transaction Agreement, was to be assumed by the Company and converted into an option or another award in respect of Shares of Common Stock, shall be deemed to have been converted into a Substitute Award in respect of the Company’s Common Stock under this Plan. Any Substitute Award shall have the same terms and conditions as were applicable under the underlying individual award agreement by which King</w:t>
      </w:r>
    </w:p>
    <w:p>
      <w:pPr>
        <w:sectPr>
          <w:pgSz w:w="11900" w:h="16944" w:orient="portrait"/>
          <w:cols w:equalWidth="0" w:num="1">
            <w:col w:w="11460"/>
          </w:cols>
          <w:pgMar w:left="240" w:top="121" w:right="199" w:bottom="0" w:gutter="0" w:footer="0" w:header="0"/>
        </w:sectPr>
      </w:pPr>
    </w:p>
    <w:bookmarkStart w:id="158" w:name="page159"/>
    <w:bookmarkEnd w:id="158"/>
    <w:p>
      <w:pPr>
        <w:spacing w:after="0" w:line="137" w:lineRule="exact"/>
        <w:rPr>
          <w:sz w:val="20"/>
          <w:szCs w:val="20"/>
          <w:color w:val="auto"/>
        </w:rPr>
      </w:pPr>
    </w:p>
    <w:p>
      <w:pPr>
        <w:ind w:left="660" w:right="200"/>
        <w:spacing w:after="0" w:line="255" w:lineRule="auto"/>
        <w:rPr>
          <w:sz w:val="20"/>
          <w:szCs w:val="20"/>
          <w:color w:val="auto"/>
        </w:rPr>
      </w:pPr>
      <w:r>
        <w:rPr>
          <w:rFonts w:ascii="Arial" w:cs="Arial" w:eastAsia="Arial" w:hAnsi="Arial"/>
          <w:sz w:val="18"/>
          <w:szCs w:val="18"/>
          <w:color w:val="auto"/>
        </w:rPr>
        <w:t>effected the award and in place immediately prior to the Acquisition Effective Time, subject to any amendments which were to come into effect at the Acquisition Effective Time, including such amendments as are necessary or appropriate to reflect the assumption, and the conversion, thereof into a right in respect of the Common Stock and as otherwise may be required to reflect the change of control of King. The amendments contemplated pursuant to the foregoing sentence include: (i) applying the Exchange Ratio to determine (x) the number of Shares of the Common Stock to which such Substitute Award relates and (y) the exercise price per Share in respect of any Substitute Award that is an option to acquire Shares, (ii) substituting the Company for King in all</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respects in regard to any such individual award agreement, including authorizing the Committee or the Board, as the case may be, to perform any action or to exercise any authority or discretion reserved to the King compensation committee or the King board of directors; and (iii) where applicable, any amendments made to individual award agreements pursuant to the AB Executive Service Agreements (as defined in the Transaction Agreement).</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Minimum Share Reserve</w:t>
      </w:r>
    </w:p>
    <w:p>
      <w:pPr>
        <w:spacing w:after="0" w:line="229" w:lineRule="exact"/>
        <w:rPr>
          <w:sz w:val="20"/>
          <w:szCs w:val="20"/>
          <w:color w:val="auto"/>
        </w:rPr>
      </w:pPr>
    </w:p>
    <w:p>
      <w:pPr>
        <w:ind w:left="660" w:right="300"/>
        <w:spacing w:after="0" w:line="277" w:lineRule="auto"/>
        <w:rPr>
          <w:sz w:val="20"/>
          <w:szCs w:val="20"/>
          <w:color w:val="auto"/>
        </w:rPr>
      </w:pPr>
      <w:r>
        <w:rPr>
          <w:rFonts w:ascii="Arial" w:cs="Arial" w:eastAsia="Arial" w:hAnsi="Arial"/>
          <w:sz w:val="18"/>
          <w:szCs w:val="18"/>
          <w:color w:val="auto"/>
        </w:rPr>
        <w:t>At all times the Company shall reserve and keep available a sufficient number of Shares as shall reasonably be required to satisfy all outstanding Awards.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2.5</w:t>
      </w:r>
      <w:r>
        <w:rPr>
          <w:sz w:val="20"/>
          <w:szCs w:val="20"/>
          <w:color w:val="auto"/>
        </w:rPr>
        <w:tab/>
      </w:r>
      <w:r>
        <w:rPr>
          <w:rFonts w:ascii="Arial" w:cs="Arial" w:eastAsia="Arial" w:hAnsi="Arial"/>
          <w:sz w:val="17"/>
          <w:szCs w:val="17"/>
          <w:b w:val="1"/>
          <w:bCs w:val="1"/>
          <w:color w:val="auto"/>
        </w:rPr>
        <w:t>Individual Limit</w:t>
      </w:r>
    </w:p>
    <w:p>
      <w:pPr>
        <w:spacing w:after="0" w:line="229" w:lineRule="exact"/>
        <w:rPr>
          <w:sz w:val="20"/>
          <w:szCs w:val="20"/>
          <w:color w:val="auto"/>
        </w:rPr>
      </w:pPr>
    </w:p>
    <w:p>
      <w:pPr>
        <w:ind w:left="660" w:right="120"/>
        <w:spacing w:after="0" w:line="302" w:lineRule="auto"/>
        <w:rPr>
          <w:sz w:val="20"/>
          <w:szCs w:val="20"/>
          <w:color w:val="auto"/>
        </w:rPr>
      </w:pPr>
      <w:r>
        <w:rPr>
          <w:rFonts w:ascii="Arial" w:cs="Arial" w:eastAsia="Arial" w:hAnsi="Arial"/>
          <w:sz w:val="16"/>
          <w:szCs w:val="16"/>
          <w:color w:val="auto"/>
        </w:rPr>
        <w:t>Prior to the Acquisition Effective Time, grants of Awards in respect of Ordinary Shares were subject to individual limits. Such limits provided that no Participant could be granted Awards in the aggregate in any calendar year in respect of more than 1,250,000 Ordinary Shares, except that a new Employee (including a new Employee who was also hired as an officer or director of King or any Associated Company) could be granted in the aggregate in the calendar year in which he commenced employment Awards in respect of up to 2,500,000 Ordinary Shares.</w:t>
      </w:r>
    </w:p>
    <w:p>
      <w:pPr>
        <w:spacing w:after="0" w:line="15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Variation in Share Capital</w:t>
      </w:r>
    </w:p>
    <w:p>
      <w:pPr>
        <w:spacing w:after="0" w:line="229" w:lineRule="exact"/>
        <w:rPr>
          <w:sz w:val="20"/>
          <w:szCs w:val="20"/>
          <w:color w:val="auto"/>
        </w:rPr>
      </w:pPr>
    </w:p>
    <w:p>
      <w:pPr>
        <w:ind w:left="660" w:right="20"/>
        <w:spacing w:after="0" w:line="288" w:lineRule="auto"/>
        <w:rPr>
          <w:sz w:val="20"/>
          <w:szCs w:val="20"/>
          <w:color w:val="auto"/>
        </w:rPr>
      </w:pPr>
      <w:r>
        <w:rPr>
          <w:rFonts w:ascii="Arial" w:cs="Arial" w:eastAsia="Arial" w:hAnsi="Arial"/>
          <w:sz w:val="16"/>
          <w:szCs w:val="16"/>
          <w:color w:val="auto"/>
        </w:rPr>
        <w:t>In the event that following the Acquisition Effective Time any change is made in the Shares, without consideration, through merger, consolidation, reorganization, recapitalization, reincorporation, share dividend, dividend in property other than cash, large nonrecurring cash dividend, share split, liquidating dividend, combination of shares, exchange of shares, change in corporate structure or any similar equity restructuring transaction, including, for the avoidance of doubt, capitalization of profits or reserves, capital distribution, rights issue, the conversion of one class of share to another or reduction of capital or otherwise, then the Committee shall proportionately and appropriately adjust any or all of the following: (a) the number of Shares reserved for issuance under the Plan set forth in Section 2.1; (b) the Exercise Price and/or number and/or class of Shares subject to each outstanding Option and SAR; (c) the Purchase Price and/or number and/or class of Shares subject to other outstanding Awards; and (d) the Purchase Price paid under any Restricted Share Award; subject to any required action by the Board or the shareholders of the Company and in compliance with Applicable Law; provided that (i) in no event shall the Exercise Price or Purchase Price of any share be less than the nominal value of such share, and (ii) a fraction of a Share will not be issued. The determination of the Committee shall be final, binding and conclusive.</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5"/>
          <w:szCs w:val="15"/>
          <w:b w:val="1"/>
          <w:bCs w:val="1"/>
          <w:color w:val="auto"/>
        </w:rPr>
        <w:t>Source of Shares</w:t>
      </w:r>
    </w:p>
    <w:p>
      <w:pPr>
        <w:spacing w:after="0" w:line="229" w:lineRule="exact"/>
        <w:rPr>
          <w:sz w:val="20"/>
          <w:szCs w:val="20"/>
          <w:color w:val="auto"/>
        </w:rPr>
      </w:pPr>
    </w:p>
    <w:p>
      <w:pPr>
        <w:ind w:left="660" w:right="380"/>
        <w:spacing w:after="0" w:line="342" w:lineRule="auto"/>
        <w:rPr>
          <w:sz w:val="20"/>
          <w:szCs w:val="20"/>
          <w:color w:val="auto"/>
        </w:rPr>
      </w:pPr>
      <w:r>
        <w:rPr>
          <w:rFonts w:ascii="Arial" w:cs="Arial" w:eastAsia="Arial" w:hAnsi="Arial"/>
          <w:sz w:val="16"/>
          <w:szCs w:val="16"/>
          <w:color w:val="auto"/>
        </w:rPr>
        <w:t>The Shares issued or delivered under the Plan shall be authorized but unissued Shares or acquired Shares, including, subject to Applicable Law, Shares acquired by the Company or, subject to Section 2.8, the Employee Benefit Trust, on the open market or otherwise.</w:t>
      </w:r>
    </w:p>
    <w:p>
      <w:pPr>
        <w:spacing w:after="0" w:line="12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6"/>
          <w:szCs w:val="16"/>
          <w:b w:val="1"/>
          <w:bCs w:val="1"/>
          <w:color w:val="auto"/>
        </w:rPr>
        <w:t>Shares Acquired by the Employee Benefit Trust</w:t>
      </w:r>
    </w:p>
    <w:p>
      <w:pPr>
        <w:spacing w:after="0" w:line="229" w:lineRule="exact"/>
        <w:rPr>
          <w:sz w:val="20"/>
          <w:szCs w:val="20"/>
          <w:color w:val="auto"/>
        </w:rPr>
      </w:pPr>
    </w:p>
    <w:p>
      <w:pPr>
        <w:ind w:left="660" w:right="120"/>
        <w:spacing w:after="0" w:line="286" w:lineRule="auto"/>
        <w:rPr>
          <w:sz w:val="20"/>
          <w:szCs w:val="20"/>
          <w:color w:val="auto"/>
        </w:rPr>
      </w:pPr>
      <w:r>
        <w:rPr>
          <w:rFonts w:ascii="Arial" w:cs="Arial" w:eastAsia="Arial" w:hAnsi="Arial"/>
          <w:sz w:val="17"/>
          <w:szCs w:val="17"/>
          <w:color w:val="auto"/>
        </w:rPr>
        <w:t>Shares acquired by the Employee Benefit Trust may not be used to satisfy an Award (i) to the extent that such Shares would be offered or delivered to a person resident in the United States unless the Committee in its sole discretion is satisfied that such offer or delivery would be in compliance with the registration requirements of the Securities Act or an exemption therefrom, and/or (ii) to a Director.</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3.0 - GRANT OF AWARDS</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Except for grants made in substitution for awards in respect of Ordinary Shares outstanding immediately prior to the Acquisition Effective Time and assumed by the Company and converted to relate to Shares of Common Stock pursuant to the Transaction Agreement, no Awards may be granted at any time or times from and after the Acquisition Effective Time. The date of grant of an Award that was assumed by the Company and converted to an Award in respect of Shares of Common Stock pursuant to the Transaction Agreement shall be the date of grant of the Award by King in respect of Ordinary Shares.</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4.0 - APPLICABILITY</w:t>
      </w:r>
    </w:p>
    <w:p>
      <w:pPr>
        <w:spacing w:after="0" w:line="229" w:lineRule="exact"/>
        <w:rPr>
          <w:sz w:val="20"/>
          <w:szCs w:val="20"/>
          <w:color w:val="auto"/>
        </w:rPr>
      </w:pPr>
    </w:p>
    <w:p>
      <w:pPr>
        <w:ind w:left="660" w:right="220"/>
        <w:spacing w:after="0" w:line="264" w:lineRule="auto"/>
        <w:rPr>
          <w:sz w:val="20"/>
          <w:szCs w:val="20"/>
          <w:color w:val="auto"/>
        </w:rPr>
      </w:pPr>
      <w:r>
        <w:rPr>
          <w:rFonts w:ascii="Arial" w:cs="Arial" w:eastAsia="Arial" w:hAnsi="Arial"/>
          <w:sz w:val="18"/>
          <w:szCs w:val="18"/>
          <w:color w:val="auto"/>
        </w:rPr>
        <w:t>Only those Employees, Consultants, Directors and Non-Employee Directors who held awards in respect of Ordinary Shares that were assumed by the Company in accordance with the Transaction Agreement shall have any rights in respect of any Award under this Plan from and after the Acquisition Effective Time.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5.0 - ADMINISTRATION</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5.1</w:t>
      </w:r>
      <w:r>
        <w:rPr>
          <w:sz w:val="20"/>
          <w:szCs w:val="20"/>
          <w:color w:val="auto"/>
        </w:rPr>
        <w:tab/>
      </w:r>
      <w:r>
        <w:rPr>
          <w:rFonts w:ascii="Arial" w:cs="Arial" w:eastAsia="Arial" w:hAnsi="Arial"/>
          <w:sz w:val="16"/>
          <w:szCs w:val="16"/>
          <w:b w:val="1"/>
          <w:bCs w:val="1"/>
          <w:color w:val="auto"/>
        </w:rPr>
        <w:t>Committee</w:t>
      </w:r>
    </w:p>
    <w:p>
      <w:pPr>
        <w:spacing w:after="0" w:line="229"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The Committee shall administer the Plan in accordance with its terms, provided that the Board may act in lieu of the Committee on any matter, subject to Applicable Law. Subject to the general purposes, terms and conditions of the Plan, the Committee will have full power to implement and</w:t>
      </w:r>
    </w:p>
    <w:p>
      <w:pPr>
        <w:sectPr>
          <w:pgSz w:w="11900" w:h="16976" w:orient="portrait"/>
          <w:cols w:equalWidth="0" w:num="1">
            <w:col w:w="11380"/>
          </w:cols>
          <w:pgMar w:left="240" w:top="125" w:right="279" w:bottom="0" w:gutter="0" w:footer="0" w:header="0"/>
        </w:sectPr>
      </w:pPr>
    </w:p>
    <w:bookmarkStart w:id="159" w:name="page160"/>
    <w:bookmarkEnd w:id="159"/>
    <w:p>
      <w:pPr>
        <w:ind w:left="660"/>
        <w:spacing w:after="0"/>
        <w:rPr>
          <w:sz w:val="20"/>
          <w:szCs w:val="20"/>
          <w:color w:val="auto"/>
        </w:rPr>
      </w:pPr>
      <w:r>
        <w:rPr>
          <w:rFonts w:ascii="Arial" w:cs="Arial" w:eastAsia="Arial" w:hAnsi="Arial"/>
          <w:sz w:val="18"/>
          <w:szCs w:val="18"/>
          <w:color w:val="auto"/>
        </w:rPr>
        <w:t>carry out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380"/>
        <w:spacing w:after="0" w:line="286" w:lineRule="auto"/>
        <w:rPr>
          <w:sz w:val="20"/>
          <w:szCs w:val="20"/>
          <w:color w:val="auto"/>
        </w:rPr>
      </w:pPr>
      <w:r>
        <w:rPr>
          <w:rFonts w:ascii="Arial" w:cs="Arial" w:eastAsia="Arial" w:hAnsi="Arial"/>
          <w:sz w:val="17"/>
          <w:szCs w:val="17"/>
          <w:color w:val="auto"/>
        </w:rPr>
        <w:t>Without limiting the generality of any other provision of the Plan, except to the extent that so doing would impair the contractual rights afforded under any Award Agreement, any rules adopted or other determinations made by the Compensation Committee of King prior to the Acquisition Effective Time shall no longer apply with respect to Awards from and after the Acquisition Effective Time.</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Authority of Committee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Committee will have the authority to:</w:t>
      </w:r>
    </w:p>
    <w:p>
      <w:pPr>
        <w:spacing w:after="0" w:line="225" w:lineRule="exact"/>
        <w:rPr>
          <w:sz w:val="20"/>
          <w:szCs w:val="20"/>
          <w:color w:val="auto"/>
        </w:rPr>
      </w:pPr>
    </w:p>
    <w:p>
      <w:pPr>
        <w:ind w:left="1440" w:right="20" w:hanging="777"/>
        <w:spacing w:after="0" w:line="264" w:lineRule="auto"/>
        <w:tabs>
          <w:tab w:leader="none" w:pos="14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8"/>
          <w:szCs w:val="18"/>
          <w:color w:val="auto"/>
        </w:rPr>
        <w:t>construe and interpret the Plan, any Award Agreement and any other agreement or document executed pursuant to the Plan, and in the event of any dispute or disagreement as to the interpretation of any of the same, or as to any question or right arising from or related to the Plan, the decision of the Committee shall be final and binding upon all persons;</w:t>
      </w:r>
    </w:p>
    <w:p>
      <w:pPr>
        <w:spacing w:after="0" w:line="18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5.2.2</w:t>
      </w:r>
      <w:r>
        <w:rPr>
          <w:sz w:val="20"/>
          <w:szCs w:val="20"/>
          <w:color w:val="auto"/>
        </w:rPr>
        <w:tab/>
      </w:r>
      <w:r>
        <w:rPr>
          <w:rFonts w:ascii="Arial" w:cs="Arial" w:eastAsia="Arial" w:hAnsi="Arial"/>
          <w:sz w:val="16"/>
          <w:szCs w:val="16"/>
          <w:color w:val="auto"/>
        </w:rPr>
        <w:t>prescribe, amend and rescind rules and regulations relating to the Plan or any Award;</w:t>
      </w:r>
    </w:p>
    <w:p>
      <w:pPr>
        <w:spacing w:after="0" w:line="225" w:lineRule="exact"/>
        <w:rPr>
          <w:sz w:val="20"/>
          <w:szCs w:val="20"/>
          <w:color w:val="auto"/>
        </w:rPr>
      </w:pPr>
    </w:p>
    <w:p>
      <w:pPr>
        <w:ind w:left="1440" w:right="40" w:hanging="777"/>
        <w:spacing w:after="0" w:line="293" w:lineRule="auto"/>
        <w:tabs>
          <w:tab w:leader="none" w:pos="1420" w:val="left"/>
        </w:tabs>
        <w:rPr>
          <w:sz w:val="20"/>
          <w:szCs w:val="20"/>
          <w:color w:val="auto"/>
        </w:rPr>
      </w:pPr>
      <w:r>
        <w:rPr>
          <w:rFonts w:ascii="Arial" w:cs="Arial" w:eastAsia="Arial" w:hAnsi="Arial"/>
          <w:sz w:val="18"/>
          <w:szCs w:val="18"/>
          <w:color w:val="auto"/>
        </w:rPr>
        <w:t>5.2.3</w:t>
      </w:r>
      <w:r>
        <w:rPr>
          <w:sz w:val="20"/>
          <w:szCs w:val="20"/>
          <w:color w:val="auto"/>
        </w:rPr>
        <w:tab/>
      </w:r>
      <w:r>
        <w:rPr>
          <w:rFonts w:ascii="Arial" w:cs="Arial" w:eastAsia="Arial" w:hAnsi="Arial"/>
          <w:sz w:val="16"/>
          <w:szCs w:val="16"/>
          <w:color w:val="auto"/>
        </w:rPr>
        <w:t>determine the terms and conditions, not inconsistent with the terms of the Plan, of any Award, except to the extent that so doing would impair the contractual rights afforded under any Award Agreement. Such terms and conditions include, but are not limited to, the Exercise Price or Purchase Price, if any, the time or times when the Award may vest and/or be exercised (which may be based on performance criteria) and/or settled, any vesting acceleration or waiver of forfeiture or transfer or other restrictions, the method to satisfy tax withholding obligations or any other tax or other liability legally due or agreed to be recovered from the Participant and any restriction or limitation regarding the Award or the Shares subject thereto, based in each case on such factors as the Committee will determine;</w:t>
      </w:r>
    </w:p>
    <w:p>
      <w:pPr>
        <w:spacing w:after="0" w:line="165" w:lineRule="exact"/>
        <w:rPr>
          <w:sz w:val="20"/>
          <w:szCs w:val="20"/>
          <w:color w:val="auto"/>
        </w:rPr>
      </w:pPr>
    </w:p>
    <w:p>
      <w:pPr>
        <w:ind w:left="1440" w:hanging="777"/>
        <w:spacing w:after="0" w:line="277" w:lineRule="auto"/>
        <w:tabs>
          <w:tab w:leader="none" w:pos="142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8"/>
          <w:szCs w:val="18"/>
          <w:color w:val="auto"/>
        </w:rPr>
        <w:t>determine the Fair Market Value in good faith and interpret the applicable provisions of the Plan and the definition of Fair Market Value in connection with circumstances that impact the Fair Market Value, if necessary;</w:t>
      </w:r>
    </w:p>
    <w:p>
      <w:pPr>
        <w:spacing w:after="0" w:line="170"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6"/>
          <w:szCs w:val="16"/>
          <w:color w:val="auto"/>
        </w:rPr>
        <w:t>grant waivers of Plan or Award conditions;</w:t>
      </w:r>
    </w:p>
    <w:p>
      <w:pPr>
        <w:spacing w:after="0" w:line="225" w:lineRule="exact"/>
        <w:rPr>
          <w:sz w:val="20"/>
          <w:szCs w:val="20"/>
          <w:color w:val="auto"/>
        </w:rPr>
      </w:pPr>
    </w:p>
    <w:p>
      <w:pPr>
        <w:ind w:left="1440" w:right="380" w:hanging="777"/>
        <w:spacing w:after="0" w:line="342" w:lineRule="auto"/>
        <w:tabs>
          <w:tab w:leader="none" w:pos="1420" w:val="left"/>
        </w:tabs>
        <w:rPr>
          <w:sz w:val="20"/>
          <w:szCs w:val="20"/>
          <w:color w:val="auto"/>
        </w:rPr>
      </w:pPr>
      <w:r>
        <w:rPr>
          <w:rFonts w:ascii="Arial" w:cs="Arial" w:eastAsia="Arial" w:hAnsi="Arial"/>
          <w:sz w:val="18"/>
          <w:szCs w:val="18"/>
          <w:color w:val="auto"/>
        </w:rPr>
        <w:t>5.2.6</w:t>
      </w:r>
      <w:r>
        <w:rPr>
          <w:sz w:val="20"/>
          <w:szCs w:val="20"/>
          <w:color w:val="auto"/>
        </w:rPr>
        <w:tab/>
      </w:r>
      <w:r>
        <w:rPr>
          <w:rFonts w:ascii="Arial" w:cs="Arial" w:eastAsia="Arial" w:hAnsi="Arial"/>
          <w:sz w:val="16"/>
          <w:szCs w:val="16"/>
          <w:color w:val="auto"/>
        </w:rPr>
        <w:t>accelerate the time or times at which an Award may be exercised or the time or times at which an Award or any part thereof will vest, notwithstanding the provisions in the Award Agreement setting out the time or times at which it may be exercised or will vest;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5.2.7</w:t>
      </w:r>
      <w:r>
        <w:rPr>
          <w:sz w:val="20"/>
          <w:szCs w:val="20"/>
          <w:color w:val="auto"/>
        </w:rPr>
        <w:tab/>
      </w:r>
      <w:r>
        <w:rPr>
          <w:rFonts w:ascii="Arial" w:cs="Arial" w:eastAsia="Arial" w:hAnsi="Arial"/>
          <w:sz w:val="16"/>
          <w:szCs w:val="16"/>
          <w:color w:val="auto"/>
        </w:rPr>
        <w:t>correct any defect, supply any omission or reconcile any inconsistency in or among the Plan, any Award and/or any Award Agreement;</w:t>
      </w:r>
    </w:p>
    <w:p>
      <w:pPr>
        <w:spacing w:after="0" w:line="2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5.2.8</w:t>
      </w:r>
      <w:r>
        <w:rPr>
          <w:sz w:val="20"/>
          <w:szCs w:val="20"/>
          <w:color w:val="auto"/>
        </w:rPr>
        <w:tab/>
      </w:r>
      <w:r>
        <w:rPr>
          <w:rFonts w:ascii="Arial" w:cs="Arial" w:eastAsia="Arial" w:hAnsi="Arial"/>
          <w:sz w:val="16"/>
          <w:szCs w:val="16"/>
          <w:color w:val="auto"/>
        </w:rPr>
        <w:t>determine whether to institute any Award Transfer Program and the terms and conditions of such program;</w:t>
      </w:r>
    </w:p>
    <w:p>
      <w:pPr>
        <w:spacing w:after="0" w:line="2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5.2.9</w:t>
      </w:r>
      <w:r>
        <w:rPr>
          <w:sz w:val="20"/>
          <w:szCs w:val="20"/>
          <w:color w:val="auto"/>
        </w:rPr>
        <w:tab/>
      </w:r>
      <w:r>
        <w:rPr>
          <w:rFonts w:ascii="Arial" w:cs="Arial" w:eastAsia="Arial" w:hAnsi="Arial"/>
          <w:sz w:val="16"/>
          <w:szCs w:val="16"/>
          <w:color w:val="auto"/>
        </w:rPr>
        <w:t>reduce or waive any criteria with respect to Performance Factors;</w:t>
      </w:r>
    </w:p>
    <w:p>
      <w:pPr>
        <w:spacing w:after="0" w:line="225" w:lineRule="exact"/>
        <w:rPr>
          <w:sz w:val="20"/>
          <w:szCs w:val="20"/>
          <w:color w:val="auto"/>
        </w:rPr>
      </w:pPr>
    </w:p>
    <w:p>
      <w:pPr>
        <w:ind w:left="1440" w:right="100" w:hanging="777"/>
        <w:spacing w:after="0" w:line="259" w:lineRule="auto"/>
        <w:tabs>
          <w:tab w:leader="none" w:pos="1420" w:val="left"/>
        </w:tabs>
        <w:rPr>
          <w:sz w:val="20"/>
          <w:szCs w:val="20"/>
          <w:color w:val="auto"/>
        </w:rPr>
      </w:pPr>
      <w:r>
        <w:rPr>
          <w:rFonts w:ascii="Arial" w:cs="Arial" w:eastAsia="Arial" w:hAnsi="Arial"/>
          <w:sz w:val="18"/>
          <w:szCs w:val="18"/>
          <w:color w:val="auto"/>
        </w:rPr>
        <w:t>5.2.10</w:t>
      </w:r>
      <w:r>
        <w:rPr>
          <w:sz w:val="20"/>
          <w:szCs w:val="20"/>
          <w:color w:val="auto"/>
        </w:rPr>
        <w:tab/>
      </w:r>
      <w:r>
        <w:rPr>
          <w:rFonts w:ascii="Arial" w:cs="Arial" w:eastAsia="Arial" w:hAnsi="Arial"/>
          <w:sz w:val="18"/>
          <w:szCs w:val="18"/>
          <w:color w:val="auto"/>
        </w:rPr>
        <w:t>adjust Performance Factors to take into account changes in law, accounting or tax rules as the Committee deems necessary or appropriate to reflect the impact of extraordinary or unusual items, events or circumstances to avoid windfalls or hardships, provided that such adjustments are consistent with the regulations promulgated under Section 162(m) of the Code with respect to persons whose compensation is subject to Section 162(m) of the Code;</w:t>
      </w:r>
    </w:p>
    <w:p>
      <w:pPr>
        <w:spacing w:after="0" w:line="187" w:lineRule="exact"/>
        <w:rPr>
          <w:sz w:val="20"/>
          <w:szCs w:val="20"/>
          <w:color w:val="auto"/>
        </w:rPr>
      </w:pPr>
    </w:p>
    <w:p>
      <w:pPr>
        <w:ind w:left="1420" w:right="260" w:hanging="777"/>
        <w:spacing w:after="0" w:line="277" w:lineRule="auto"/>
        <w:tabs>
          <w:tab w:leader="none" w:pos="1400" w:val="left"/>
        </w:tabs>
        <w:rPr>
          <w:sz w:val="20"/>
          <w:szCs w:val="20"/>
          <w:color w:val="auto"/>
        </w:rPr>
      </w:pPr>
      <w:r>
        <w:rPr>
          <w:rFonts w:ascii="Arial" w:cs="Arial" w:eastAsia="Arial" w:hAnsi="Arial"/>
          <w:sz w:val="18"/>
          <w:szCs w:val="18"/>
          <w:color w:val="auto"/>
        </w:rPr>
        <w:t>5.2.11</w:t>
      </w:r>
      <w:r>
        <w:rPr>
          <w:sz w:val="20"/>
          <w:szCs w:val="20"/>
          <w:color w:val="auto"/>
        </w:rPr>
        <w:tab/>
      </w:r>
      <w:r>
        <w:rPr>
          <w:rFonts w:ascii="Arial" w:cs="Arial" w:eastAsia="Arial" w:hAnsi="Arial"/>
          <w:sz w:val="18"/>
          <w:szCs w:val="18"/>
          <w:color w:val="auto"/>
        </w:rPr>
        <w:t>adopt rules and/or procedures (including the adoption of any subplan under the Plan) relating to the operation and administration of the Plan to accommodate requirements of local law and procedures;</w:t>
      </w:r>
    </w:p>
    <w:p>
      <w:pPr>
        <w:spacing w:after="0" w:line="170"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5.2.12</w:t>
      </w:r>
      <w:r>
        <w:rPr>
          <w:sz w:val="20"/>
          <w:szCs w:val="20"/>
          <w:color w:val="auto"/>
        </w:rPr>
        <w:tab/>
      </w:r>
      <w:r>
        <w:rPr>
          <w:rFonts w:ascii="Arial" w:cs="Arial" w:eastAsia="Arial" w:hAnsi="Arial"/>
          <w:sz w:val="15"/>
          <w:szCs w:val="15"/>
          <w:color w:val="auto"/>
        </w:rPr>
        <w:t>engage professional advisors and/or experts to advise on any matter that arises under the Plan;</w:t>
      </w:r>
    </w:p>
    <w:p>
      <w:pPr>
        <w:spacing w:after="0" w:line="2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5.2.13</w:t>
      </w:r>
      <w:r>
        <w:rPr>
          <w:sz w:val="20"/>
          <w:szCs w:val="20"/>
          <w:color w:val="auto"/>
        </w:rPr>
        <w:tab/>
      </w:r>
      <w:r>
        <w:rPr>
          <w:rFonts w:ascii="Arial" w:cs="Arial" w:eastAsia="Arial" w:hAnsi="Arial"/>
          <w:sz w:val="16"/>
          <w:szCs w:val="16"/>
          <w:color w:val="auto"/>
        </w:rPr>
        <w:t>make all other determinations necessary or advisable for the administration of the Plan; and</w:t>
      </w:r>
    </w:p>
    <w:p>
      <w:pPr>
        <w:spacing w:after="0" w:line="225" w:lineRule="exact"/>
        <w:rPr>
          <w:sz w:val="20"/>
          <w:szCs w:val="20"/>
          <w:color w:val="auto"/>
        </w:rPr>
      </w:pPr>
    </w:p>
    <w:p>
      <w:pPr>
        <w:ind w:left="1440" w:right="340" w:hanging="777"/>
        <w:spacing w:after="0" w:line="264" w:lineRule="auto"/>
        <w:tabs>
          <w:tab w:leader="none" w:pos="1420" w:val="left"/>
        </w:tabs>
        <w:rPr>
          <w:sz w:val="20"/>
          <w:szCs w:val="20"/>
          <w:color w:val="auto"/>
        </w:rPr>
      </w:pPr>
      <w:r>
        <w:rPr>
          <w:rFonts w:ascii="Arial" w:cs="Arial" w:eastAsia="Arial" w:hAnsi="Arial"/>
          <w:sz w:val="18"/>
          <w:szCs w:val="18"/>
          <w:color w:val="auto"/>
        </w:rPr>
        <w:t>5.2.14</w:t>
      </w:r>
      <w:r>
        <w:rPr>
          <w:sz w:val="20"/>
          <w:szCs w:val="20"/>
          <w:color w:val="auto"/>
        </w:rPr>
        <w:tab/>
      </w:r>
      <w:r>
        <w:rPr>
          <w:rFonts w:ascii="Arial" w:cs="Arial" w:eastAsia="Arial" w:hAnsi="Arial"/>
          <w:sz w:val="18"/>
          <w:szCs w:val="18"/>
          <w:color w:val="auto"/>
        </w:rPr>
        <w:t>delegate any of the foregoing, or any discretion reserved to the Committee under the Plan, with respect to some or all Awards, eligible individuals and/or Participants, to a subcommittee consisting of one or more executive officers pursuant to a specific delegation, as permitted by Applicable Law.</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5.3</w:t>
      </w:r>
      <w:r>
        <w:rPr>
          <w:sz w:val="20"/>
          <w:szCs w:val="20"/>
          <w:color w:val="auto"/>
        </w:rPr>
        <w:tab/>
      </w:r>
      <w:r>
        <w:rPr>
          <w:rFonts w:ascii="Arial" w:cs="Arial" w:eastAsia="Arial" w:hAnsi="Arial"/>
          <w:sz w:val="16"/>
          <w:szCs w:val="16"/>
          <w:b w:val="1"/>
          <w:bCs w:val="1"/>
          <w:color w:val="auto"/>
        </w:rPr>
        <w:t>Committee Discretion and Disputes</w:t>
      </w:r>
    </w:p>
    <w:p>
      <w:pPr>
        <w:spacing w:after="0" w:line="229" w:lineRule="exact"/>
        <w:rPr>
          <w:sz w:val="20"/>
          <w:szCs w:val="20"/>
          <w:color w:val="auto"/>
        </w:rPr>
      </w:pPr>
    </w:p>
    <w:p>
      <w:pPr>
        <w:ind w:left="1440" w:right="20" w:hanging="777"/>
        <w:spacing w:after="0" w:line="259" w:lineRule="auto"/>
        <w:tabs>
          <w:tab w:leader="none" w:pos="1420" w:val="left"/>
        </w:tabs>
        <w:rPr>
          <w:sz w:val="20"/>
          <w:szCs w:val="20"/>
          <w:color w:val="auto"/>
        </w:rPr>
      </w:pPr>
      <w:r>
        <w:rPr>
          <w:rFonts w:ascii="Arial" w:cs="Arial" w:eastAsia="Arial" w:hAnsi="Arial"/>
          <w:sz w:val="18"/>
          <w:szCs w:val="18"/>
          <w:color w:val="auto"/>
        </w:rPr>
        <w:t>5.3.1</w:t>
      </w:r>
      <w:r>
        <w:rPr>
          <w:sz w:val="20"/>
          <w:szCs w:val="20"/>
          <w:color w:val="auto"/>
        </w:rPr>
        <w:tab/>
      </w:r>
      <w:r>
        <w:rPr>
          <w:rFonts w:ascii="Arial" w:cs="Arial" w:eastAsia="Arial" w:hAnsi="Arial"/>
          <w:sz w:val="18"/>
          <w:szCs w:val="18"/>
          <w:color w:val="auto"/>
        </w:rPr>
        <w:t>Any determination made by the Committee with respect to any Award shall be made in its sole discretion at the time of grant of the Award or, unless in contravention of any express term of the Plan or Award, at any later time, and such determination shall be final and binding on the Company and all persons having an interest in the Award. The Committee’s exercise of any discretionary authority shall not obligate it to exercise such authority in a like manner thereafter.</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5.3.2</w:t>
      </w:r>
      <w:r>
        <w:rPr>
          <w:sz w:val="20"/>
          <w:szCs w:val="20"/>
          <w:color w:val="auto"/>
        </w:rPr>
        <w:tab/>
      </w:r>
      <w:r>
        <w:rPr>
          <w:rFonts w:ascii="Arial" w:cs="Arial" w:eastAsia="Arial" w:hAnsi="Arial"/>
          <w:sz w:val="16"/>
          <w:szCs w:val="16"/>
          <w:color w:val="auto"/>
        </w:rPr>
        <w:t>Any dispute regarding the interpretation of the Plan or any Award Agreement shall be submitted by the Participant or Company to the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220"/>
        <w:spacing w:after="0" w:line="342" w:lineRule="auto"/>
        <w:rPr>
          <w:sz w:val="20"/>
          <w:szCs w:val="20"/>
          <w:color w:val="auto"/>
        </w:rPr>
      </w:pPr>
      <w:r>
        <w:rPr>
          <w:rFonts w:ascii="Arial" w:cs="Arial" w:eastAsia="Arial" w:hAnsi="Arial"/>
          <w:sz w:val="16"/>
          <w:szCs w:val="16"/>
          <w:color w:val="auto"/>
        </w:rPr>
        <w:t>Committee for review. The resolution of such a dispute by the Committee shall be final and binding on the Company and the Participant. The Committee may delegate to one or more executive officers the authority to review and resolve disputes with respect to Awards, and</w:t>
      </w:r>
    </w:p>
    <w:p>
      <w:pPr>
        <w:sectPr>
          <w:pgSz w:w="11900" w:h="16838" w:orient="portrait"/>
          <w:cols w:equalWidth="0" w:num="1">
            <w:col w:w="11420"/>
          </w:cols>
          <w:pgMar w:left="240" w:top="125" w:right="239" w:bottom="0" w:gutter="0" w:footer="0" w:header="0"/>
        </w:sectPr>
      </w:pPr>
    </w:p>
    <w:bookmarkStart w:id="160" w:name="page161"/>
    <w:bookmarkEnd w:id="160"/>
    <w:p>
      <w:pPr>
        <w:spacing w:after="0" w:line="99" w:lineRule="exact"/>
        <w:rPr>
          <w:sz w:val="20"/>
          <w:szCs w:val="20"/>
          <w:color w:val="auto"/>
        </w:rPr>
      </w:pPr>
    </w:p>
    <w:p>
      <w:pPr>
        <w:ind w:left="1300" w:right="160"/>
        <w:spacing w:after="0" w:line="277" w:lineRule="auto"/>
        <w:rPr>
          <w:sz w:val="20"/>
          <w:szCs w:val="20"/>
          <w:color w:val="auto"/>
        </w:rPr>
      </w:pPr>
      <w:r>
        <w:rPr>
          <w:rFonts w:ascii="Arial" w:cs="Arial" w:eastAsia="Arial" w:hAnsi="Arial"/>
          <w:sz w:val="18"/>
          <w:szCs w:val="18"/>
          <w:color w:val="auto"/>
        </w:rPr>
        <w:t>such resolution shall be final and binding on the Company and the Participant(s) involved, in the same manner and to the same extent as if the action had been taken by the Committee.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5.4</w:t>
      </w:r>
      <w:r>
        <w:rPr>
          <w:sz w:val="20"/>
          <w:szCs w:val="20"/>
          <w:color w:val="auto"/>
        </w:rPr>
        <w:tab/>
      </w:r>
      <w:r>
        <w:rPr>
          <w:rFonts w:ascii="Arial" w:cs="Arial" w:eastAsia="Arial" w:hAnsi="Arial"/>
          <w:sz w:val="16"/>
          <w:szCs w:val="16"/>
          <w:b w:val="1"/>
          <w:bCs w:val="1"/>
          <w:color w:val="auto"/>
        </w:rPr>
        <w:t>Delivery of Documentation</w:t>
      </w:r>
    </w:p>
    <w:p>
      <w:pPr>
        <w:spacing w:after="0" w:line="229" w:lineRule="exact"/>
        <w:rPr>
          <w:sz w:val="20"/>
          <w:szCs w:val="20"/>
          <w:color w:val="auto"/>
        </w:rPr>
      </w:pPr>
    </w:p>
    <w:p>
      <w:pPr>
        <w:ind w:left="660" w:right="40"/>
        <w:spacing w:after="0" w:line="259" w:lineRule="auto"/>
        <w:rPr>
          <w:sz w:val="20"/>
          <w:szCs w:val="20"/>
          <w:color w:val="auto"/>
        </w:rPr>
      </w:pPr>
      <w:r>
        <w:rPr>
          <w:rFonts w:ascii="Arial" w:cs="Arial" w:eastAsia="Arial" w:hAnsi="Arial"/>
          <w:sz w:val="18"/>
          <w:szCs w:val="18"/>
          <w:color w:val="auto"/>
        </w:rPr>
        <w:t>The Award Agreement for a given Award, the Plan and any other documents relating to the Plan or an Award may be delivered to, and accepted by, a Participant or any other person in any manner (including electronic distribution or posting, including through any automated system, such as an interactive website or interactive voice response operated by King, the Company or any third party on their behalf) that meets the requirements of Applicable Law.</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Award Recipients in Various Countries</w:t>
      </w:r>
    </w:p>
    <w:p>
      <w:pPr>
        <w:spacing w:after="0" w:line="229" w:lineRule="exact"/>
        <w:rPr>
          <w:sz w:val="20"/>
          <w:szCs w:val="20"/>
          <w:color w:val="auto"/>
        </w:rPr>
      </w:pPr>
    </w:p>
    <w:p>
      <w:pPr>
        <w:ind w:left="660" w:right="140"/>
        <w:spacing w:after="0" w:line="308" w:lineRule="auto"/>
        <w:rPr>
          <w:sz w:val="20"/>
          <w:szCs w:val="20"/>
          <w:color w:val="auto"/>
        </w:rPr>
      </w:pPr>
      <w:r>
        <w:rPr>
          <w:rFonts w:ascii="Arial" w:cs="Arial" w:eastAsia="Arial" w:hAnsi="Arial"/>
          <w:sz w:val="17"/>
          <w:szCs w:val="17"/>
          <w:color w:val="auto"/>
        </w:rPr>
        <w:t>Notwithstanding any provision of the Plan to the contrary, in order to comply with the Applicable Law of any country in which individuals who are eligible for Awards or Participants are resident, the Committee, in its sole discretion, shall have the power and authority to:</w:t>
      </w:r>
    </w:p>
    <w:p>
      <w:pPr>
        <w:spacing w:after="0" w:line="14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5.5.1</w:t>
      </w:r>
      <w:r>
        <w:rPr>
          <w:sz w:val="20"/>
          <w:szCs w:val="20"/>
          <w:color w:val="auto"/>
        </w:rPr>
        <w:tab/>
      </w:r>
      <w:r>
        <w:rPr>
          <w:rFonts w:ascii="Arial" w:cs="Arial" w:eastAsia="Arial" w:hAnsi="Arial"/>
          <w:sz w:val="16"/>
          <w:szCs w:val="16"/>
          <w:color w:val="auto"/>
        </w:rPr>
        <w:t>determine which Subsidiaries shall be covered by the Plan;</w:t>
      </w:r>
    </w:p>
    <w:p>
      <w:pPr>
        <w:spacing w:after="0" w:line="2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5.5.2</w:t>
      </w:r>
      <w:r>
        <w:rPr>
          <w:sz w:val="20"/>
          <w:szCs w:val="20"/>
          <w:color w:val="auto"/>
        </w:rPr>
        <w:tab/>
      </w:r>
      <w:r>
        <w:rPr>
          <w:rFonts w:ascii="Arial" w:cs="Arial" w:eastAsia="Arial" w:hAnsi="Arial"/>
          <w:sz w:val="16"/>
          <w:szCs w:val="16"/>
          <w:color w:val="auto"/>
        </w:rPr>
        <w:t>modify the terms and conditions of any Award granted to individuals in any jurisdiction to comply with applicable local laws;</w:t>
      </w:r>
    </w:p>
    <w:p>
      <w:pPr>
        <w:spacing w:after="0" w:line="225" w:lineRule="exact"/>
        <w:rPr>
          <w:sz w:val="20"/>
          <w:szCs w:val="20"/>
          <w:color w:val="auto"/>
        </w:rPr>
      </w:pPr>
    </w:p>
    <w:p>
      <w:pPr>
        <w:ind w:left="1440" w:right="20" w:hanging="777"/>
        <w:spacing w:after="0" w:line="286" w:lineRule="auto"/>
        <w:tabs>
          <w:tab w:leader="none" w:pos="1420" w:val="left"/>
        </w:tabs>
        <w:rPr>
          <w:sz w:val="20"/>
          <w:szCs w:val="20"/>
          <w:color w:val="auto"/>
        </w:rPr>
      </w:pPr>
      <w:r>
        <w:rPr>
          <w:rFonts w:ascii="Arial" w:cs="Arial" w:eastAsia="Arial" w:hAnsi="Arial"/>
          <w:sz w:val="18"/>
          <w:szCs w:val="18"/>
          <w:color w:val="auto"/>
        </w:rPr>
        <w:t>5.5.3</w:t>
      </w:r>
      <w:r>
        <w:rPr>
          <w:sz w:val="20"/>
          <w:szCs w:val="20"/>
          <w:color w:val="auto"/>
        </w:rPr>
        <w:tab/>
      </w:r>
      <w:r>
        <w:rPr>
          <w:rFonts w:ascii="Arial" w:cs="Arial" w:eastAsia="Arial" w:hAnsi="Arial"/>
          <w:sz w:val="17"/>
          <w:szCs w:val="17"/>
          <w:color w:val="auto"/>
        </w:rPr>
        <w:t>establish subplans and modify exercise procedures and other terms and procedures, to the extent the Committee determines such actions to be necessary or advisable (and such subplans and/or modifications shall be attached to this Plan as appendices); provided, however, that no such subplans and/or modifications shall increase the Share limitations contained in Section 2; and</w:t>
      </w:r>
    </w:p>
    <w:p>
      <w:pPr>
        <w:spacing w:after="0" w:line="166" w:lineRule="exact"/>
        <w:rPr>
          <w:sz w:val="20"/>
          <w:szCs w:val="20"/>
          <w:color w:val="auto"/>
        </w:rPr>
      </w:pPr>
    </w:p>
    <w:p>
      <w:pPr>
        <w:ind w:left="1440" w:right="280" w:hanging="777"/>
        <w:spacing w:after="0" w:line="259" w:lineRule="auto"/>
        <w:tabs>
          <w:tab w:leader="none" w:pos="1420" w:val="left"/>
        </w:tabs>
        <w:rPr>
          <w:sz w:val="20"/>
          <w:szCs w:val="20"/>
          <w:color w:val="auto"/>
        </w:rPr>
      </w:pPr>
      <w:r>
        <w:rPr>
          <w:rFonts w:ascii="Arial" w:cs="Arial" w:eastAsia="Arial" w:hAnsi="Arial"/>
          <w:sz w:val="18"/>
          <w:szCs w:val="18"/>
          <w:color w:val="auto"/>
        </w:rPr>
        <w:t>5.5.4</w:t>
      </w:r>
      <w:r>
        <w:rPr>
          <w:sz w:val="20"/>
          <w:szCs w:val="20"/>
          <w:color w:val="auto"/>
        </w:rPr>
        <w:tab/>
      </w:r>
      <w:r>
        <w:rPr>
          <w:rFonts w:ascii="Arial" w:cs="Arial" w:eastAsia="Arial" w:hAnsi="Arial"/>
          <w:sz w:val="18"/>
          <w:szCs w:val="18"/>
          <w:color w:val="auto"/>
        </w:rPr>
        <w:t>take any action, before or after an Award is granted, that the Committee determines to be necessary or advisable to obtain approval or comply with any local governmental regulatory exemptions or approvals. Notwithstanding the foregoing, the Committee may not take any actions hereunder, and no Awards shall be granted, that would violate the Exchange Act or any other applicable United States securities law.</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5.6</w:t>
      </w:r>
      <w:r>
        <w:rPr>
          <w:sz w:val="20"/>
          <w:szCs w:val="20"/>
          <w:color w:val="auto"/>
        </w:rPr>
        <w:tab/>
      </w:r>
      <w:r>
        <w:rPr>
          <w:rFonts w:ascii="Arial" w:cs="Arial" w:eastAsia="Arial" w:hAnsi="Arial"/>
          <w:sz w:val="15"/>
          <w:szCs w:val="15"/>
          <w:b w:val="1"/>
          <w:bCs w:val="1"/>
          <w:color w:val="auto"/>
        </w:rPr>
        <w:t>Section 162(m) of the Code</w:t>
      </w:r>
    </w:p>
    <w:p>
      <w:pPr>
        <w:spacing w:after="0" w:line="229" w:lineRule="exact"/>
        <w:rPr>
          <w:sz w:val="20"/>
          <w:szCs w:val="20"/>
          <w:color w:val="auto"/>
        </w:rPr>
      </w:pPr>
    </w:p>
    <w:p>
      <w:pPr>
        <w:ind w:left="660" w:right="40"/>
        <w:spacing w:after="0" w:line="268" w:lineRule="auto"/>
        <w:rPr>
          <w:sz w:val="20"/>
          <w:szCs w:val="20"/>
          <w:color w:val="auto"/>
        </w:rPr>
      </w:pPr>
      <w:r>
        <w:rPr>
          <w:rFonts w:ascii="Arial" w:cs="Arial" w:eastAsia="Arial" w:hAnsi="Arial"/>
          <w:sz w:val="17"/>
          <w:szCs w:val="17"/>
          <w:color w:val="auto"/>
        </w:rPr>
        <w:t>When necessary or desirable for an Award to qualify as “performance-based compensation” under Section 162(m) of the Code the Committee shall include at least two persons who are “outside directors” (as defined under Section 162(m) of the Code) and at least two (or a majority if more than two then serve on the Committee) such “outside directors” shall approve the grant of such Award and timely determine (as applicable) the Performance Period and any Performance Factors upon which vesting or settlement of any portion of such Award is to be subject. When required by Section 162(m) of the Code, prior to settlement of any such Award at least two (or a majority if more than two then serve on the Committee) such “outside directors” then serving on the Committee shall determine and certify in writing the extent to which such Performance Factors have been timely achieved and the extent to which the Award has been earned or has vested or become exercisable or the Shares subject to such Award have thereby been earned or vested. With respect to Participants whose compensation is subject to Section 162(m) of the Code, and provided that such adjustments are consistent with the regulations promulgated under Section 162(m) of the Code, the Committee may adjust the performance goals to account for changes in law and accounting and to make such adjustments as the Committee deems necessary or appropriate to reflect the impact of extraordinary or unusual items, events or circumstances to avoid windfalls or hardships, including without limitation, (a) restructurings, discontinued operations, extraordinary items, and other unusual or non-recurring charges, (b) an event either not directly related to the operations of the Company or not within the reasonable control of the Company’s management, or (c) a change in accounting standards required by generally accepted accounting principles.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6.0 - OPTIONS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6.1</w:t>
      </w:r>
      <w:r>
        <w:rPr>
          <w:sz w:val="20"/>
          <w:szCs w:val="20"/>
          <w:color w:val="auto"/>
        </w:rPr>
        <w:tab/>
      </w:r>
      <w:r>
        <w:rPr>
          <w:rFonts w:ascii="Arial" w:cs="Arial" w:eastAsia="Arial" w:hAnsi="Arial"/>
          <w:sz w:val="16"/>
          <w:szCs w:val="16"/>
          <w:b w:val="1"/>
          <w:bCs w:val="1"/>
          <w:color w:val="auto"/>
        </w:rPr>
        <w:t>General</w:t>
      </w:r>
    </w:p>
    <w:p>
      <w:pPr>
        <w:spacing w:after="0" w:line="229" w:lineRule="exact"/>
        <w:rPr>
          <w:sz w:val="20"/>
          <w:szCs w:val="20"/>
          <w:color w:val="auto"/>
        </w:rPr>
      </w:pPr>
    </w:p>
    <w:p>
      <w:pPr>
        <w:ind w:left="660" w:right="160"/>
        <w:spacing w:after="0" w:line="259" w:lineRule="auto"/>
        <w:rPr>
          <w:sz w:val="20"/>
          <w:szCs w:val="20"/>
          <w:color w:val="auto"/>
        </w:rPr>
      </w:pPr>
      <w:r>
        <w:rPr>
          <w:rFonts w:ascii="Arial" w:cs="Arial" w:eastAsia="Arial" w:hAnsi="Arial"/>
          <w:sz w:val="18"/>
          <w:szCs w:val="18"/>
          <w:color w:val="auto"/>
        </w:rPr>
        <w:t>An Option is the right to subscribe for up to a specified number of Shares, subject to such conditions as may be determined by the Committee in accordance with the Plan. The Committee may grant Options to Employees, Consultants and Directors (including Non-Employee Directors) and will determine the number of Shares subject to the Option, the Exercise Price, the period or periods during which the Option may be exercised, and all other terms and conditions of the Option, subject to the following terms of this section.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5"/>
          <w:szCs w:val="15"/>
          <w:b w:val="1"/>
          <w:bCs w:val="1"/>
          <w:color w:val="auto"/>
        </w:rPr>
        <w:t>Exercise Price</w:t>
      </w:r>
    </w:p>
    <w:p>
      <w:pPr>
        <w:spacing w:after="0" w:line="229"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The Exercise Price of an Option will be determined by the Committee when the Option is granted provided that the Exercise Price will be not less than one hundred per cent (100%) of the Fair Market Value of a Share on the date of grant of the Option and in no event will be less than the nominal value of a Share. Payment of the Exercise Price shall be made in accordance with Section 14, the Award Agreement and any procedures established by the Company.</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6.3</w:t>
      </w:r>
      <w:r>
        <w:rPr>
          <w:sz w:val="20"/>
          <w:szCs w:val="20"/>
          <w:color w:val="auto"/>
        </w:rPr>
        <w:tab/>
      </w:r>
      <w:r>
        <w:rPr>
          <w:rFonts w:ascii="Arial" w:cs="Arial" w:eastAsia="Arial" w:hAnsi="Arial"/>
          <w:sz w:val="16"/>
          <w:szCs w:val="16"/>
          <w:b w:val="1"/>
          <w:bCs w:val="1"/>
          <w:color w:val="auto"/>
        </w:rPr>
        <w:t>Performance Factors</w:t>
      </w:r>
    </w:p>
    <w:p>
      <w:pPr>
        <w:spacing w:after="0" w:line="229" w:lineRule="exact"/>
        <w:rPr>
          <w:sz w:val="20"/>
          <w:szCs w:val="20"/>
          <w:color w:val="auto"/>
        </w:rPr>
      </w:pPr>
    </w:p>
    <w:p>
      <w:pPr>
        <w:ind w:left="660"/>
        <w:spacing w:after="0" w:line="288" w:lineRule="auto"/>
        <w:rPr>
          <w:sz w:val="20"/>
          <w:szCs w:val="20"/>
          <w:color w:val="auto"/>
        </w:rPr>
      </w:pPr>
      <w:r>
        <w:rPr>
          <w:rFonts w:ascii="Arial" w:cs="Arial" w:eastAsia="Arial" w:hAnsi="Arial"/>
          <w:sz w:val="16"/>
          <w:szCs w:val="16"/>
          <w:color w:val="auto"/>
        </w:rPr>
        <w:t>Exercisability of an Option may be, but need not be, conditional upon satisfaction of such Performance Factors during any Performance Period as are determined by the Committee and set out in the Award Agreement. If exercisability of the Option is conditional upon the satisfaction of Performance Factors, then the Committee will: (a) determine the nature, length and starting date of any Performance Period for the Option; and</w:t>
      </w:r>
    </w:p>
    <w:p>
      <w:pPr>
        <w:ind w:left="660" w:right="400" w:hanging="4"/>
        <w:spacing w:after="0" w:line="290" w:lineRule="auto"/>
        <w:tabs>
          <w:tab w:leader="none" w:pos="915" w:val="left"/>
        </w:tabs>
        <w:numPr>
          <w:ilvl w:val="0"/>
          <w:numId w:val="108"/>
        </w:numPr>
        <w:rPr>
          <w:rFonts w:ascii="Arial" w:cs="Arial" w:eastAsia="Arial" w:hAnsi="Arial"/>
          <w:sz w:val="17"/>
          <w:szCs w:val="17"/>
          <w:color w:val="auto"/>
        </w:rPr>
      </w:pPr>
      <w:r>
        <w:rPr>
          <w:rFonts w:ascii="Arial" w:cs="Arial" w:eastAsia="Arial" w:hAnsi="Arial"/>
          <w:sz w:val="17"/>
          <w:szCs w:val="17"/>
          <w:color w:val="auto"/>
        </w:rPr>
        <w:t>select from among the Performance Factors to be used to measure the performance. Performance Periods may overlap and Participants may participate simultaneously with respect to Options that are subject to different performance goals and other criteria.</w:t>
      </w:r>
    </w:p>
    <w:p>
      <w:pPr>
        <w:sectPr>
          <w:pgSz w:w="11900" w:h="16938" w:orient="portrait"/>
          <w:cols w:equalWidth="0" w:num="1">
            <w:col w:w="11420"/>
          </w:cols>
          <w:pgMar w:left="240" w:top="125" w:right="239" w:bottom="0" w:gutter="0" w:footer="0" w:header="0"/>
        </w:sectPr>
      </w:pPr>
    </w:p>
    <w:bookmarkStart w:id="161" w:name="page162"/>
    <w:bookmarkEnd w:id="161"/>
    <w:p>
      <w:pPr>
        <w:spacing w:after="0"/>
        <w:tabs>
          <w:tab w:leader="none" w:pos="640" w:val="left"/>
        </w:tabs>
        <w:rPr>
          <w:sz w:val="20"/>
          <w:szCs w:val="20"/>
          <w:color w:val="auto"/>
        </w:rPr>
      </w:pPr>
      <w:r>
        <w:rPr>
          <w:rFonts w:ascii="Arial" w:cs="Arial" w:eastAsia="Arial" w:hAnsi="Arial"/>
          <w:sz w:val="18"/>
          <w:szCs w:val="18"/>
          <w:b w:val="1"/>
          <w:bCs w:val="1"/>
          <w:color w:val="auto"/>
        </w:rPr>
        <w:t>6.4</w:t>
      </w:r>
      <w:r>
        <w:rPr>
          <w:sz w:val="20"/>
          <w:szCs w:val="20"/>
          <w:color w:val="auto"/>
        </w:rPr>
        <w:tab/>
      </w:r>
      <w:r>
        <w:rPr>
          <w:rFonts w:ascii="Arial" w:cs="Arial" w:eastAsia="Arial" w:hAnsi="Arial"/>
          <w:sz w:val="15"/>
          <w:szCs w:val="15"/>
          <w:b w:val="1"/>
          <w:bCs w:val="1"/>
          <w:color w:val="auto"/>
        </w:rPr>
        <w:t>Exercise Period</w:t>
      </w:r>
    </w:p>
    <w:p>
      <w:pPr>
        <w:spacing w:after="0" w:line="229" w:lineRule="exact"/>
        <w:rPr>
          <w:sz w:val="20"/>
          <w:szCs w:val="20"/>
          <w:color w:val="auto"/>
        </w:rPr>
      </w:pPr>
    </w:p>
    <w:p>
      <w:pPr>
        <w:ind w:left="660" w:right="120"/>
        <w:spacing w:after="0" w:line="255" w:lineRule="auto"/>
        <w:rPr>
          <w:sz w:val="20"/>
          <w:szCs w:val="20"/>
          <w:color w:val="auto"/>
        </w:rPr>
      </w:pPr>
      <w:r>
        <w:rPr>
          <w:rFonts w:ascii="Arial" w:cs="Arial" w:eastAsia="Arial" w:hAnsi="Arial"/>
          <w:sz w:val="18"/>
          <w:szCs w:val="18"/>
          <w:color w:val="auto"/>
        </w:rPr>
        <w:t>Subject to the conditions regarding exercise set forth in the Award Agreement governing an Option, the Option may be exercised for all, or from time to time any part, of the Shares for which it is then exercisable; provided, however, that (a) no Option will be exercisable after the expiration of ten (10) years from the date the Option is granted, and (b) no Option may be exercised at a time when such exercise and/or the issuance of Shares pursuant to such exercise would be in breach of the Insider Trading Policy or Applicable Law. The Committee also may provide for Options to become exercisable at one time or from time to time, periodically or otherwise, in such number of Shares or percentage of Shares as the Committee determines.</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6.5</w:t>
      </w:r>
      <w:r>
        <w:rPr>
          <w:sz w:val="20"/>
          <w:szCs w:val="20"/>
          <w:color w:val="auto"/>
        </w:rPr>
        <w:tab/>
      </w:r>
      <w:r>
        <w:rPr>
          <w:rFonts w:ascii="Arial" w:cs="Arial" w:eastAsia="Arial" w:hAnsi="Arial"/>
          <w:sz w:val="16"/>
          <w:szCs w:val="16"/>
          <w:b w:val="1"/>
          <w:bCs w:val="1"/>
          <w:color w:val="auto"/>
        </w:rPr>
        <w:t>Method of Exercise</w:t>
      </w:r>
    </w:p>
    <w:p>
      <w:pPr>
        <w:spacing w:after="0" w:line="229" w:lineRule="exact"/>
        <w:rPr>
          <w:sz w:val="20"/>
          <w:szCs w:val="20"/>
          <w:color w:val="auto"/>
        </w:rPr>
      </w:pPr>
    </w:p>
    <w:p>
      <w:pPr>
        <w:ind w:left="660" w:right="120"/>
        <w:spacing w:after="0" w:line="257" w:lineRule="auto"/>
        <w:rPr>
          <w:sz w:val="20"/>
          <w:szCs w:val="20"/>
          <w:color w:val="auto"/>
        </w:rPr>
      </w:pPr>
      <w:r>
        <w:rPr>
          <w:rFonts w:ascii="Arial" w:cs="Arial" w:eastAsia="Arial" w:hAnsi="Arial"/>
          <w:sz w:val="18"/>
          <w:szCs w:val="18"/>
          <w:color w:val="auto"/>
        </w:rPr>
        <w:t>An Option will be deemed exercised when the Company receives: (a) a notice of exercise (in such form as the Committee may specify from time to time) from the person entitled to exercise the Option, and (b) full payment of the Exercise Price for the Shares with respect to which the Option is exercised. Shares issued upon exercise of an Option will be issued in the name of the Participant. Until the Shares are issued (as evidenced by the appropriate entry on the books of the Company or of a duly authorized transfer agent of the Company), no right to vote or receive dividends or any other rights as a shareholder will exist with respect to</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800"/>
        <w:spacing w:after="0" w:line="277" w:lineRule="auto"/>
        <w:rPr>
          <w:sz w:val="20"/>
          <w:szCs w:val="20"/>
          <w:color w:val="auto"/>
        </w:rPr>
      </w:pPr>
      <w:r>
        <w:rPr>
          <w:rFonts w:ascii="Arial" w:cs="Arial" w:eastAsia="Arial" w:hAnsi="Arial"/>
          <w:sz w:val="18"/>
          <w:szCs w:val="18"/>
          <w:color w:val="auto"/>
        </w:rPr>
        <w:t>the Shares, notwithstanding the exercise of the Option. The Company will issue (or cause to be issued) such Shares as soon as reasonably practicable after the Option is exercised.</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Termination of Service</w:t>
      </w:r>
    </w:p>
    <w:p>
      <w:pPr>
        <w:spacing w:after="0" w:line="229" w:lineRule="exact"/>
        <w:rPr>
          <w:sz w:val="20"/>
          <w:szCs w:val="20"/>
          <w:color w:val="auto"/>
        </w:rPr>
      </w:pPr>
    </w:p>
    <w:p>
      <w:pPr>
        <w:ind w:left="660" w:right="40"/>
        <w:spacing w:after="0" w:line="276" w:lineRule="auto"/>
        <w:rPr>
          <w:sz w:val="20"/>
          <w:szCs w:val="20"/>
          <w:color w:val="auto"/>
        </w:rPr>
      </w:pPr>
      <w:r>
        <w:rPr>
          <w:rFonts w:ascii="Arial" w:cs="Arial" w:eastAsia="Arial" w:hAnsi="Arial"/>
          <w:sz w:val="17"/>
          <w:szCs w:val="17"/>
          <w:color w:val="auto"/>
        </w:rPr>
        <w:t>If the Participant’s Service terminates for any reason except for Cause or the Participant’s death, Disability or retirement, then each Option held by the Participant shall lapse on the date of such termination of Service to the extent such Option is not exercisable by the Participant on such date, unless the Committee determines otherwise. The Participant may exercise each Option, to the extent the Option is exercisable by the Participant on the date his Service terminates, within the period of three (3) months after the date the Participant’s Service terminates, but in any event no later than the expiration date of the Option, and the Option shall lapse upon the expiration of such period.</w:t>
      </w:r>
    </w:p>
    <w:p>
      <w:pPr>
        <w:spacing w:after="0" w:line="173"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6.6.1</w:t>
      </w:r>
      <w:r>
        <w:rPr>
          <w:sz w:val="20"/>
          <w:szCs w:val="20"/>
          <w:color w:val="auto"/>
        </w:rPr>
        <w:tab/>
      </w:r>
      <w:r>
        <w:rPr>
          <w:rFonts w:ascii="Arial" w:cs="Arial" w:eastAsia="Arial" w:hAnsi="Arial"/>
          <w:sz w:val="15"/>
          <w:szCs w:val="15"/>
          <w:u w:val="single" w:color="auto"/>
          <w:color w:val="auto"/>
        </w:rPr>
        <w:t>Death</w:t>
      </w:r>
    </w:p>
    <w:p>
      <w:pPr>
        <w:spacing w:after="0" w:line="225" w:lineRule="exact"/>
        <w:rPr>
          <w:sz w:val="20"/>
          <w:szCs w:val="20"/>
          <w:color w:val="auto"/>
        </w:rPr>
      </w:pPr>
    </w:p>
    <w:p>
      <w:pPr>
        <w:ind w:left="660" w:right="80"/>
        <w:spacing w:after="0" w:line="293" w:lineRule="auto"/>
        <w:rPr>
          <w:sz w:val="20"/>
          <w:szCs w:val="20"/>
          <w:color w:val="auto"/>
        </w:rPr>
      </w:pPr>
      <w:r>
        <w:rPr>
          <w:rFonts w:ascii="Arial" w:cs="Arial" w:eastAsia="Arial" w:hAnsi="Arial"/>
          <w:sz w:val="16"/>
          <w:szCs w:val="16"/>
          <w:color w:val="auto"/>
        </w:rPr>
        <w:t>If the Participant’s Service terminates because of the Participant’s death (or the Participant dies within three (3) months after his Service terminates other than for Cause or because of his Disability or retirement), then each Option held by the Participant shall lapse on the date of such termination of Service to the extent such Option is not exercisable on such date, unless the Committee determines otherwise. Each Option, to the extent exercisable on the date the Participant’s Service terminates, may be exercised by the Participant’s estate or person who acquired the right to exercise the Option by bequest or inheritance within the period of twelve (12) months after the date the Participant’s Service terminates, but in any event no later than the expiration date of the Option, and the Option shall lapse upon the expiration of such period.</w:t>
      </w:r>
    </w:p>
    <w:p>
      <w:pPr>
        <w:spacing w:after="0" w:line="16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6.6.2</w:t>
      </w:r>
      <w:r>
        <w:rPr>
          <w:sz w:val="20"/>
          <w:szCs w:val="20"/>
          <w:color w:val="auto"/>
        </w:rPr>
        <w:tab/>
      </w:r>
      <w:r>
        <w:rPr>
          <w:rFonts w:ascii="Arial" w:cs="Arial" w:eastAsia="Arial" w:hAnsi="Arial"/>
          <w:sz w:val="17"/>
          <w:szCs w:val="17"/>
          <w:u w:val="single" w:color="auto"/>
          <w:color w:val="auto"/>
        </w:rPr>
        <w:t>Disability</w:t>
      </w:r>
    </w:p>
    <w:p>
      <w:pPr>
        <w:spacing w:after="0" w:line="225" w:lineRule="exact"/>
        <w:rPr>
          <w:sz w:val="20"/>
          <w:szCs w:val="20"/>
          <w:color w:val="auto"/>
        </w:rPr>
      </w:pPr>
    </w:p>
    <w:p>
      <w:pPr>
        <w:ind w:left="660" w:right="40"/>
        <w:spacing w:after="0" w:line="257" w:lineRule="auto"/>
        <w:rPr>
          <w:sz w:val="20"/>
          <w:szCs w:val="20"/>
          <w:color w:val="auto"/>
        </w:rPr>
      </w:pPr>
      <w:r>
        <w:rPr>
          <w:rFonts w:ascii="Arial" w:cs="Arial" w:eastAsia="Arial" w:hAnsi="Arial"/>
          <w:sz w:val="18"/>
          <w:szCs w:val="18"/>
          <w:color w:val="auto"/>
        </w:rPr>
        <w:t>If the Participant’s Service terminates because of the Participant’s Disability, then each Option held by the Participant shall lapse on the date of such termination of Service to the extent such Option is not exercisable on such date, unless the Committee determines otherwise. The Participant may exercise each Option, to the extent the Option is exercisable by the Participant on the date the Participant’s Service terminates, within the period of twelve (12) months after the date the Participant’s Service terminates, but in any event no later than the expiration date of the Option, and the Option shall lapse upon the expiration of such period.</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6.6.3</w:t>
      </w:r>
      <w:r>
        <w:rPr>
          <w:sz w:val="20"/>
          <w:szCs w:val="20"/>
          <w:color w:val="auto"/>
        </w:rPr>
        <w:tab/>
      </w:r>
      <w:r>
        <w:rPr>
          <w:rFonts w:ascii="Arial" w:cs="Arial" w:eastAsia="Arial" w:hAnsi="Arial"/>
          <w:sz w:val="16"/>
          <w:szCs w:val="16"/>
          <w:u w:val="single" w:color="auto"/>
          <w:color w:val="auto"/>
        </w:rPr>
        <w:t>Retirement</w:t>
      </w:r>
    </w:p>
    <w:p>
      <w:pPr>
        <w:spacing w:after="0" w:line="225" w:lineRule="exact"/>
        <w:rPr>
          <w:sz w:val="20"/>
          <w:szCs w:val="20"/>
          <w:color w:val="auto"/>
        </w:rPr>
      </w:pPr>
    </w:p>
    <w:p>
      <w:pPr>
        <w:ind w:left="660"/>
        <w:spacing w:after="0" w:line="276" w:lineRule="auto"/>
        <w:rPr>
          <w:sz w:val="20"/>
          <w:szCs w:val="20"/>
          <w:color w:val="auto"/>
        </w:rPr>
      </w:pPr>
      <w:r>
        <w:rPr>
          <w:rFonts w:ascii="Arial" w:cs="Arial" w:eastAsia="Arial" w:hAnsi="Arial"/>
          <w:sz w:val="17"/>
          <w:szCs w:val="17"/>
          <w:color w:val="auto"/>
        </w:rPr>
        <w:t>If the Participant’s Service terminates because of the Participant’s retirement in accordance with his contract of Service, then each Option held by the Participant shall lapse on the date of such termination of Service to the extent such Option is not exercisable on such date, unless the Committee determines otherwise. The Participant may exercise each Option, to the extent the Option is exercisable by the Participant on the date the Participant’s Service terminates, within the period of twelve (12) months after the date the Participant’s Service terminates, but in any event no later than the expiration date of the Option, and the Option shall lapse upon the expiration of such period.</w:t>
      </w:r>
    </w:p>
    <w:p>
      <w:pPr>
        <w:spacing w:after="0" w:line="173"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6.6.4</w:t>
      </w:r>
      <w:r>
        <w:rPr>
          <w:sz w:val="20"/>
          <w:szCs w:val="20"/>
          <w:color w:val="auto"/>
        </w:rPr>
        <w:tab/>
      </w:r>
      <w:r>
        <w:rPr>
          <w:rFonts w:ascii="Arial" w:cs="Arial" w:eastAsia="Arial" w:hAnsi="Arial"/>
          <w:sz w:val="15"/>
          <w:szCs w:val="15"/>
          <w:u w:val="single" w:color="auto"/>
          <w:color w:val="auto"/>
        </w:rPr>
        <w:t>Cause</w:t>
      </w:r>
    </w:p>
    <w:p>
      <w:pPr>
        <w:spacing w:after="0" w:line="225" w:lineRule="exact"/>
        <w:rPr>
          <w:sz w:val="20"/>
          <w:szCs w:val="20"/>
          <w:color w:val="auto"/>
        </w:rPr>
      </w:pPr>
    </w:p>
    <w:p>
      <w:pPr>
        <w:ind w:left="660" w:right="220"/>
        <w:spacing w:after="0" w:line="259" w:lineRule="auto"/>
        <w:rPr>
          <w:sz w:val="20"/>
          <w:szCs w:val="20"/>
          <w:color w:val="auto"/>
        </w:rPr>
      </w:pPr>
      <w:r>
        <w:rPr>
          <w:rFonts w:ascii="Arial" w:cs="Arial" w:eastAsia="Arial" w:hAnsi="Arial"/>
          <w:sz w:val="18"/>
          <w:szCs w:val="18"/>
          <w:color w:val="auto"/>
        </w:rPr>
        <w:t>If the Participant’s Service is terminated for Cause, then, unless the Committee determines otherwise, the Participant’s Options shall lapse on such Participant’s date of termination of Service or, if earlier, upon the service of notice of termination of the Participant’s Service, but in any event no later than the expiration date of the Option. Unless otherwise provided in the Award Agreement, Cause shall have the meaning set forth in Section 25.</w:t>
      </w:r>
    </w:p>
    <w:p>
      <w:pPr>
        <w:spacing w:after="0" w:line="187"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6.6.5</w:t>
      </w:r>
      <w:r>
        <w:rPr>
          <w:sz w:val="20"/>
          <w:szCs w:val="20"/>
          <w:color w:val="auto"/>
        </w:rPr>
        <w:tab/>
      </w:r>
      <w:r>
        <w:rPr>
          <w:rFonts w:ascii="Arial" w:cs="Arial" w:eastAsia="Arial" w:hAnsi="Arial"/>
          <w:sz w:val="16"/>
          <w:szCs w:val="16"/>
          <w:u w:val="single" w:color="auto"/>
          <w:color w:val="auto"/>
        </w:rPr>
        <w:t>Committee Discretion</w:t>
      </w:r>
    </w:p>
    <w:p>
      <w:pPr>
        <w:spacing w:after="0" w:line="225" w:lineRule="exact"/>
        <w:rPr>
          <w:sz w:val="20"/>
          <w:szCs w:val="20"/>
          <w:color w:val="auto"/>
        </w:rPr>
      </w:pPr>
    </w:p>
    <w:p>
      <w:pPr>
        <w:ind w:left="660" w:right="20"/>
        <w:spacing w:after="0" w:line="259" w:lineRule="auto"/>
        <w:rPr>
          <w:sz w:val="20"/>
          <w:szCs w:val="20"/>
          <w:color w:val="auto"/>
        </w:rPr>
      </w:pPr>
      <w:r>
        <w:rPr>
          <w:rFonts w:ascii="Arial" w:cs="Arial" w:eastAsia="Arial" w:hAnsi="Arial"/>
          <w:sz w:val="18"/>
          <w:szCs w:val="18"/>
          <w:color w:val="auto"/>
        </w:rPr>
        <w:t>Notwithstanding any other provision of this Section 6.6, the Committee shall have discretion to determine, at the time of grant of an Option or at any time thereafter, where it considers that it is necessary or appropriate, that an Option shall remain exercisable for a period after the termination of a Participant’s Service that is less than or greater than the period specified in this Section 6.6, but in no event later than the expiration date of the Option.</w:t>
      </w:r>
    </w:p>
    <w:p>
      <w:pPr>
        <w:sectPr>
          <w:pgSz w:w="11900" w:h="16838" w:orient="portrait"/>
          <w:cols w:equalWidth="0" w:num="1">
            <w:col w:w="11400"/>
          </w:cols>
          <w:pgMar w:left="240" w:top="337" w:right="259" w:bottom="0" w:gutter="0" w:footer="0" w:header="0"/>
        </w:sectPr>
      </w:pPr>
    </w:p>
    <w:bookmarkStart w:id="162" w:name="page163"/>
    <w:bookmarkEnd w:id="162"/>
    <w:p>
      <w:pPr>
        <w:spacing w:after="0"/>
        <w:tabs>
          <w:tab w:leader="none" w:pos="640" w:val="left"/>
        </w:tabs>
        <w:rPr>
          <w:sz w:val="20"/>
          <w:szCs w:val="20"/>
          <w:color w:val="auto"/>
        </w:rPr>
      </w:pPr>
      <w:r>
        <w:rPr>
          <w:rFonts w:ascii="Arial" w:cs="Arial" w:eastAsia="Arial" w:hAnsi="Arial"/>
          <w:sz w:val="18"/>
          <w:szCs w:val="18"/>
          <w:b w:val="1"/>
          <w:bCs w:val="1"/>
          <w:color w:val="auto"/>
        </w:rPr>
        <w:t>6.7</w:t>
      </w:r>
      <w:r>
        <w:rPr>
          <w:sz w:val="20"/>
          <w:szCs w:val="20"/>
          <w:color w:val="auto"/>
        </w:rPr>
        <w:tab/>
      </w:r>
      <w:r>
        <w:rPr>
          <w:rFonts w:ascii="Arial" w:cs="Arial" w:eastAsia="Arial" w:hAnsi="Arial"/>
          <w:sz w:val="16"/>
          <w:szCs w:val="16"/>
          <w:b w:val="1"/>
          <w:bCs w:val="1"/>
          <w:color w:val="auto"/>
        </w:rPr>
        <w:t>Limitations on Exercise</w:t>
      </w:r>
    </w:p>
    <w:p>
      <w:pPr>
        <w:spacing w:after="0" w:line="229" w:lineRule="exact"/>
        <w:rPr>
          <w:sz w:val="20"/>
          <w:szCs w:val="20"/>
          <w:color w:val="auto"/>
        </w:rPr>
      </w:pPr>
    </w:p>
    <w:p>
      <w:pPr>
        <w:ind w:left="660" w:right="40"/>
        <w:spacing w:after="0" w:line="264" w:lineRule="auto"/>
        <w:rPr>
          <w:sz w:val="20"/>
          <w:szCs w:val="20"/>
          <w:color w:val="auto"/>
        </w:rPr>
      </w:pPr>
      <w:r>
        <w:rPr>
          <w:rFonts w:ascii="Arial" w:cs="Arial" w:eastAsia="Arial" w:hAnsi="Arial"/>
          <w:sz w:val="18"/>
          <w:szCs w:val="18"/>
          <w:color w:val="auto"/>
        </w:rPr>
        <w:t>The Committee may specify a minimum number of Shares that may be purchased on any exercise of an Option, provided that such minimum number will not prevent any Participant from exercising an Option for the full number of Shares for which it is then exercisable. An Option may not be exercised for a fraction of a Share.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6.8</w:t>
      </w:r>
      <w:r>
        <w:rPr>
          <w:sz w:val="20"/>
          <w:szCs w:val="20"/>
          <w:color w:val="auto"/>
        </w:rPr>
        <w:tab/>
      </w:r>
      <w:r>
        <w:rPr>
          <w:rFonts w:ascii="Arial" w:cs="Arial" w:eastAsia="Arial" w:hAnsi="Arial"/>
          <w:sz w:val="16"/>
          <w:szCs w:val="16"/>
          <w:b w:val="1"/>
          <w:bCs w:val="1"/>
          <w:color w:val="auto"/>
        </w:rPr>
        <w:t>Modification, Extension or Renewal</w:t>
      </w:r>
    </w:p>
    <w:p>
      <w:pPr>
        <w:spacing w:after="0" w:line="229" w:lineRule="exact"/>
        <w:rPr>
          <w:sz w:val="20"/>
          <w:szCs w:val="20"/>
          <w:color w:val="auto"/>
        </w:rPr>
      </w:pPr>
    </w:p>
    <w:p>
      <w:pPr>
        <w:ind w:left="660" w:right="220"/>
        <w:spacing w:after="0" w:line="277" w:lineRule="auto"/>
        <w:rPr>
          <w:sz w:val="20"/>
          <w:szCs w:val="20"/>
          <w:color w:val="auto"/>
        </w:rPr>
      </w:pPr>
      <w:r>
        <w:rPr>
          <w:rFonts w:ascii="Arial" w:cs="Arial" w:eastAsia="Arial" w:hAnsi="Arial"/>
          <w:sz w:val="18"/>
          <w:szCs w:val="18"/>
          <w:color w:val="auto"/>
        </w:rPr>
        <w:t>The Committee may modify or amend the terms of, extend or renew outstanding Options and/or authorize the grant of new Options in substitution therefor, provided that any such action may not, without the written consent of a</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Participant, impair any of such Participant’s rights under any Option previously granted.</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6.9</w:t>
      </w:r>
      <w:r>
        <w:rPr>
          <w:sz w:val="20"/>
          <w:szCs w:val="20"/>
          <w:color w:val="auto"/>
        </w:rPr>
        <w:tab/>
      </w:r>
      <w:r>
        <w:rPr>
          <w:rFonts w:ascii="Arial" w:cs="Arial" w:eastAsia="Arial" w:hAnsi="Arial"/>
          <w:sz w:val="16"/>
          <w:szCs w:val="16"/>
          <w:b w:val="1"/>
          <w:bCs w:val="1"/>
          <w:color w:val="auto"/>
        </w:rPr>
        <w:t>Extension of Option Term where Exercise Is Prohibited</w:t>
      </w:r>
    </w:p>
    <w:p>
      <w:pPr>
        <w:spacing w:after="0" w:line="229" w:lineRule="exact"/>
        <w:rPr>
          <w:sz w:val="20"/>
          <w:szCs w:val="20"/>
          <w:color w:val="auto"/>
        </w:rPr>
      </w:pPr>
    </w:p>
    <w:p>
      <w:pPr>
        <w:ind w:left="660" w:right="140"/>
        <w:spacing w:after="0" w:line="276" w:lineRule="auto"/>
        <w:rPr>
          <w:sz w:val="20"/>
          <w:szCs w:val="20"/>
          <w:color w:val="auto"/>
        </w:rPr>
      </w:pPr>
      <w:r>
        <w:rPr>
          <w:rFonts w:ascii="Arial" w:cs="Arial" w:eastAsia="Arial" w:hAnsi="Arial"/>
          <w:sz w:val="17"/>
          <w:szCs w:val="17"/>
          <w:color w:val="auto"/>
        </w:rPr>
        <w:t>If the exercise of an Option, the issuance of Shares pursuant to the exercise of an Option, or the immediate sale of such Shares during the post-termination exercise period permitted under Section 6.6 would be in violation of the Insider Trading Policy or Applicable Law, then the period for exercise of the Option shall be extended such that the Option shall lapse on the earlier of (i) the expiration of a total period (that need not be consecutive) equal to the applicable post-termination exercise period under Section 6.6 during which such exercise or issuance or sale would not be in such violation, or (ii) the expiration date of the Option as set forth in the Award Agreement.</w:t>
      </w:r>
    </w:p>
    <w:p>
      <w:pPr>
        <w:spacing w:after="0" w:line="16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6.10</w:t>
      </w:r>
      <w:r>
        <w:rPr>
          <w:sz w:val="20"/>
          <w:szCs w:val="20"/>
          <w:color w:val="auto"/>
        </w:rPr>
        <w:tab/>
      </w:r>
      <w:r>
        <w:rPr>
          <w:rFonts w:ascii="Arial" w:cs="Arial" w:eastAsia="Arial" w:hAnsi="Arial"/>
          <w:sz w:val="16"/>
          <w:szCs w:val="16"/>
          <w:b w:val="1"/>
          <w:bCs w:val="1"/>
          <w:color w:val="auto"/>
        </w:rPr>
        <w:t>Potential Termination for Cause</w:t>
      </w:r>
    </w:p>
    <w:p>
      <w:pPr>
        <w:spacing w:after="0" w:line="229" w:lineRule="exact"/>
        <w:rPr>
          <w:sz w:val="20"/>
          <w:szCs w:val="20"/>
          <w:color w:val="auto"/>
        </w:rPr>
      </w:pPr>
    </w:p>
    <w:p>
      <w:pPr>
        <w:ind w:left="660" w:right="440"/>
        <w:spacing w:after="0" w:line="277" w:lineRule="auto"/>
        <w:rPr>
          <w:sz w:val="20"/>
          <w:szCs w:val="20"/>
          <w:color w:val="auto"/>
        </w:rPr>
      </w:pPr>
      <w:r>
        <w:rPr>
          <w:rFonts w:ascii="Arial" w:cs="Arial" w:eastAsia="Arial" w:hAnsi="Arial"/>
          <w:sz w:val="18"/>
          <w:szCs w:val="18"/>
          <w:color w:val="auto"/>
        </w:rPr>
        <w:t>The exercise of an Option shall not be permitted during any period in which the Participant is subject to an investigation or disciplinary process which, in the Committee’s opinion, could result in a termination for Cause.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7.0 - STOCK APPRECIATION RIGHTS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7.1</w:t>
      </w:r>
      <w:r>
        <w:rPr>
          <w:sz w:val="20"/>
          <w:szCs w:val="20"/>
          <w:color w:val="auto"/>
        </w:rPr>
        <w:tab/>
      </w:r>
      <w:r>
        <w:rPr>
          <w:rFonts w:ascii="Arial" w:cs="Arial" w:eastAsia="Arial" w:hAnsi="Arial"/>
          <w:sz w:val="16"/>
          <w:szCs w:val="16"/>
          <w:b w:val="1"/>
          <w:bCs w:val="1"/>
          <w:color w:val="auto"/>
        </w:rPr>
        <w:t>General</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 Stock Appreciation Right (“SAR”) is an award to an eligible Employee, Consultant, or Director (including a Non-Employee Director) in respect of a specified number of Shares that may be settled, in the discretion of the Committee, in cash or Shares.</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7.2</w:t>
      </w:r>
      <w:r>
        <w:rPr>
          <w:sz w:val="20"/>
          <w:szCs w:val="20"/>
          <w:color w:val="auto"/>
        </w:rPr>
        <w:tab/>
      </w:r>
      <w:r>
        <w:rPr>
          <w:rFonts w:ascii="Arial" w:cs="Arial" w:eastAsia="Arial" w:hAnsi="Arial"/>
          <w:sz w:val="15"/>
          <w:szCs w:val="15"/>
          <w:b w:val="1"/>
          <w:bCs w:val="1"/>
          <w:color w:val="auto"/>
        </w:rPr>
        <w:t>Terms of SARs</w:t>
      </w:r>
    </w:p>
    <w:p>
      <w:pPr>
        <w:spacing w:after="0" w:line="229" w:lineRule="exact"/>
        <w:rPr>
          <w:sz w:val="20"/>
          <w:szCs w:val="20"/>
          <w:color w:val="auto"/>
        </w:rPr>
      </w:pPr>
    </w:p>
    <w:p>
      <w:pPr>
        <w:ind w:left="660" w:right="40"/>
        <w:spacing w:after="0" w:line="293" w:lineRule="auto"/>
        <w:rPr>
          <w:sz w:val="20"/>
          <w:szCs w:val="20"/>
          <w:color w:val="auto"/>
        </w:rPr>
      </w:pPr>
      <w:r>
        <w:rPr>
          <w:rFonts w:ascii="Arial" w:cs="Arial" w:eastAsia="Arial" w:hAnsi="Arial"/>
          <w:sz w:val="16"/>
          <w:szCs w:val="16"/>
          <w:color w:val="auto"/>
        </w:rPr>
        <w:t>The Committee will determine the terms of each SAR including, without limitation: (a) the number of Shares subject to the SAR; (b) the Exercise Price and the time or times during which the SAR may be exercised; (c) the consideration to be distributed on settlement of the SAR and the time or times when the SAR will be settled; and (d) the effect of the Participant’s termination of Service on the SAR. The Exercise Price of the SAR will be determined by the Committee when the SAR is granted, and may not be less than the Fair Market Value on the date of grant. Exercise of a SAR may, but need not be, conditional upon satisfaction of such Performance Factors during any Performance Period as are determined by the Committee and set out in the individual Award Agreement. If exercise of the SAR is subject to the satisfaction of Performance Factors, then the Committee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40"/>
        <w:spacing w:after="0" w:line="264" w:lineRule="auto"/>
        <w:rPr>
          <w:sz w:val="20"/>
          <w:szCs w:val="20"/>
          <w:color w:val="auto"/>
        </w:rPr>
      </w:pPr>
      <w:r>
        <w:rPr>
          <w:rFonts w:ascii="Arial" w:cs="Arial" w:eastAsia="Arial" w:hAnsi="Arial"/>
          <w:sz w:val="18"/>
          <w:szCs w:val="18"/>
          <w:color w:val="auto"/>
        </w:rPr>
        <w:t>will: (x) determine the nature, length and starting date of any Performance Period; and (y) select from among the Performance Factors to be used to measure the performance. Performance Periods may overlap and Participants may participate simultaneously with respect to SARs that are subject to different Performance Factors and other criteria.</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7.3</w:t>
      </w:r>
      <w:r>
        <w:rPr>
          <w:sz w:val="20"/>
          <w:szCs w:val="20"/>
          <w:color w:val="auto"/>
        </w:rPr>
        <w:tab/>
      </w:r>
      <w:r>
        <w:rPr>
          <w:rFonts w:ascii="Arial" w:cs="Arial" w:eastAsia="Arial" w:hAnsi="Arial"/>
          <w:sz w:val="16"/>
          <w:szCs w:val="16"/>
          <w:b w:val="1"/>
          <w:bCs w:val="1"/>
          <w:color w:val="auto"/>
        </w:rPr>
        <w:t>Exercise Period and Expiration Date</w:t>
      </w:r>
    </w:p>
    <w:p>
      <w:pPr>
        <w:spacing w:after="0" w:line="229" w:lineRule="exact"/>
        <w:rPr>
          <w:sz w:val="20"/>
          <w:szCs w:val="20"/>
          <w:color w:val="auto"/>
        </w:rPr>
      </w:pPr>
    </w:p>
    <w:p>
      <w:pPr>
        <w:ind w:left="660" w:right="200"/>
        <w:spacing w:after="0" w:line="291" w:lineRule="auto"/>
        <w:rPr>
          <w:sz w:val="20"/>
          <w:szCs w:val="20"/>
          <w:color w:val="auto"/>
        </w:rPr>
      </w:pPr>
      <w:r>
        <w:rPr>
          <w:rFonts w:ascii="Arial" w:cs="Arial" w:eastAsia="Arial" w:hAnsi="Arial"/>
          <w:sz w:val="16"/>
          <w:szCs w:val="16"/>
          <w:color w:val="auto"/>
        </w:rPr>
        <w:t>A SAR will be exercisable at the time(s) or during the period(s) or upon the occurrence of events determined by the Committee and set forth in the Award Agreement. The Award Agreement shall set forth the expiration date; provided that no SAR will be exercisable after the expiration of ten</w:t>
      </w:r>
    </w:p>
    <w:p>
      <w:pPr>
        <w:ind w:left="660" w:right="320" w:hanging="4"/>
        <w:spacing w:after="0" w:line="277" w:lineRule="auto"/>
        <w:tabs>
          <w:tab w:leader="none" w:pos="1005" w:val="left"/>
        </w:tabs>
        <w:numPr>
          <w:ilvl w:val="0"/>
          <w:numId w:val="109"/>
        </w:numPr>
        <w:rPr>
          <w:rFonts w:ascii="Arial" w:cs="Arial" w:eastAsia="Arial" w:hAnsi="Arial"/>
          <w:sz w:val="17"/>
          <w:szCs w:val="17"/>
          <w:color w:val="auto"/>
        </w:rPr>
      </w:pPr>
      <w:r>
        <w:rPr>
          <w:rFonts w:ascii="Arial" w:cs="Arial" w:eastAsia="Arial" w:hAnsi="Arial"/>
          <w:sz w:val="17"/>
          <w:szCs w:val="17"/>
          <w:color w:val="auto"/>
        </w:rPr>
        <w:t>years from the date the SAR is granted. The Committee may also provide for SARs to become exercisable at one time or from time to time, periodically or otherwise (including, without limitation, upon the attainment during a Performance Period of performance goals based on Performance Factors), in such number of Shares or percentage of the Shares subject to the SAR as the Committee determines.</w:t>
      </w:r>
    </w:p>
    <w:p>
      <w:pPr>
        <w:spacing w:after="0" w:line="16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7.4</w:t>
      </w:r>
      <w:r>
        <w:rPr>
          <w:sz w:val="20"/>
          <w:szCs w:val="20"/>
          <w:color w:val="auto"/>
        </w:rPr>
        <w:tab/>
      </w:r>
      <w:r>
        <w:rPr>
          <w:rFonts w:ascii="Arial" w:cs="Arial" w:eastAsia="Arial" w:hAnsi="Arial"/>
          <w:sz w:val="16"/>
          <w:szCs w:val="16"/>
          <w:b w:val="1"/>
          <w:bCs w:val="1"/>
          <w:color w:val="auto"/>
        </w:rPr>
        <w:t>Form and Timing of Settlement</w:t>
      </w:r>
    </w:p>
    <w:p>
      <w:pPr>
        <w:spacing w:after="0" w:line="229" w:lineRule="exact"/>
        <w:rPr>
          <w:sz w:val="20"/>
          <w:szCs w:val="20"/>
          <w:color w:val="auto"/>
        </w:rPr>
      </w:pPr>
    </w:p>
    <w:p>
      <w:pPr>
        <w:ind w:left="660"/>
        <w:spacing w:after="0" w:line="293" w:lineRule="auto"/>
        <w:rPr>
          <w:sz w:val="20"/>
          <w:szCs w:val="20"/>
          <w:color w:val="auto"/>
        </w:rPr>
      </w:pPr>
      <w:r>
        <w:rPr>
          <w:rFonts w:ascii="Arial" w:cs="Arial" w:eastAsia="Arial" w:hAnsi="Arial"/>
          <w:sz w:val="16"/>
          <w:szCs w:val="16"/>
          <w:color w:val="auto"/>
        </w:rPr>
        <w:t>Upon exercise of a SAR, the Participant will be entitled to receive payment from the Company in the amount equal to the product of (a) the excess of the Fair Market Value on the date of exercise over the Exercise Price of the SAR and (b) the number of Shares with respect to which the SAR is exercised. At the discretion of the Committee, the payment from the Company for the SAR exercise may be in cash, in Shares of equivalent value (subject to payment by the Participant in cash of the nominal value of any newly issued Shares), or in some combination thereof. The portion of a SAR being settled may be paid currently or on a deferred basis with such interest or Dividend Equivalent, if any, as the Committee determines, provided that the terms of the SAR and any deferral satisfy the requirements of Section 409A of the Code, if applicable.</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7.5</w:t>
      </w:r>
      <w:r>
        <w:rPr>
          <w:sz w:val="20"/>
          <w:szCs w:val="20"/>
          <w:color w:val="auto"/>
        </w:rPr>
        <w:tab/>
      </w:r>
      <w:r>
        <w:rPr>
          <w:rFonts w:ascii="Arial" w:cs="Arial" w:eastAsia="Arial" w:hAnsi="Arial"/>
          <w:sz w:val="16"/>
          <w:szCs w:val="16"/>
          <w:b w:val="1"/>
          <w:bCs w:val="1"/>
          <w:color w:val="auto"/>
        </w:rPr>
        <w:t>Termination of Service</w:t>
      </w:r>
    </w:p>
    <w:p>
      <w:pPr>
        <w:spacing w:after="0" w:line="229" w:lineRule="exact"/>
        <w:rPr>
          <w:sz w:val="20"/>
          <w:szCs w:val="20"/>
          <w:color w:val="auto"/>
        </w:rPr>
      </w:pPr>
    </w:p>
    <w:p>
      <w:pPr>
        <w:ind w:left="660" w:right="640"/>
        <w:spacing w:after="0" w:line="277" w:lineRule="auto"/>
        <w:rPr>
          <w:sz w:val="20"/>
          <w:szCs w:val="20"/>
          <w:color w:val="auto"/>
        </w:rPr>
      </w:pPr>
      <w:r>
        <w:rPr>
          <w:rFonts w:ascii="Arial" w:cs="Arial" w:eastAsia="Arial" w:hAnsi="Arial"/>
          <w:sz w:val="18"/>
          <w:szCs w:val="18"/>
          <w:color w:val="auto"/>
        </w:rPr>
        <w:t>Vesting of a SAR ceases on the date the Participant’s Service terminates. Unless otherwise stated in the Award Agreement, the provisions of Sections 6.6 to 6.10 will also apply to SARs, as they apply to Options.</w:t>
      </w:r>
    </w:p>
    <w:p>
      <w:pPr>
        <w:sectPr>
          <w:pgSz w:w="11900" w:h="16838" w:orient="portrait"/>
          <w:cols w:equalWidth="0" w:num="1">
            <w:col w:w="11420"/>
          </w:cols>
          <w:pgMar w:left="240" w:top="121" w:right="239" w:bottom="0" w:gutter="0" w:footer="0" w:header="0"/>
        </w:sectPr>
      </w:pPr>
    </w:p>
    <w:bookmarkStart w:id="163" w:name="page164"/>
    <w:bookmarkEnd w:id="163"/>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8.0 - RESTRICTED SHARE AWARDS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8.1</w:t>
      </w:r>
      <w:r>
        <w:rPr>
          <w:sz w:val="20"/>
          <w:szCs w:val="20"/>
          <w:color w:val="auto"/>
        </w:rPr>
        <w:tab/>
      </w:r>
      <w:r>
        <w:rPr>
          <w:rFonts w:ascii="Arial" w:cs="Arial" w:eastAsia="Arial" w:hAnsi="Arial"/>
          <w:sz w:val="16"/>
          <w:szCs w:val="16"/>
          <w:b w:val="1"/>
          <w:bCs w:val="1"/>
          <w:color w:val="auto"/>
        </w:rPr>
        <w:t>General</w:t>
      </w:r>
    </w:p>
    <w:p>
      <w:pPr>
        <w:spacing w:after="0" w:line="229" w:lineRule="exact"/>
        <w:rPr>
          <w:sz w:val="20"/>
          <w:szCs w:val="20"/>
          <w:color w:val="auto"/>
        </w:rPr>
      </w:pPr>
    </w:p>
    <w:p>
      <w:pPr>
        <w:ind w:left="660" w:right="60"/>
        <w:spacing w:after="0" w:line="255" w:lineRule="auto"/>
        <w:rPr>
          <w:sz w:val="20"/>
          <w:szCs w:val="20"/>
          <w:color w:val="auto"/>
        </w:rPr>
      </w:pPr>
      <w:r>
        <w:rPr>
          <w:rFonts w:ascii="Arial" w:cs="Arial" w:eastAsia="Arial" w:hAnsi="Arial"/>
          <w:sz w:val="18"/>
          <w:szCs w:val="18"/>
          <w:color w:val="auto"/>
        </w:rPr>
        <w:t>A Restricted Share Award is an offer by the Company to issue or procure the transfer to an eligible Employee, Consultant or Director (including a Non-Employee Director) of Shares that are subject to restrictions, including restrictions on transfer, (“</w:t>
      </w:r>
      <w:r>
        <w:rPr>
          <w:rFonts w:ascii="Arial" w:cs="Arial" w:eastAsia="Arial" w:hAnsi="Arial"/>
          <w:sz w:val="18"/>
          <w:szCs w:val="18"/>
          <w:b w:val="1"/>
          <w:bCs w:val="1"/>
          <w:color w:val="auto"/>
        </w:rPr>
        <w:t>Restricted Shares</w:t>
      </w:r>
      <w:r>
        <w:rPr>
          <w:rFonts w:ascii="Arial" w:cs="Arial" w:eastAsia="Arial" w:hAnsi="Arial"/>
          <w:sz w:val="18"/>
          <w:szCs w:val="18"/>
          <w:color w:val="auto"/>
        </w:rPr>
        <w:t>”). The Committee will determine to whom such an offer will be made, the number of Restricted Shares a Participant may acquire, the Purchase Price, the restrictions to which the Shares will be subject and all other terms and conditions of the Restricted Share Award, subject to the Plan. “Vesting” for purposes of this Section 8.0 shall mean the restrictions applicable to Restricted Shares lapsing in accordance with the Award Agreement and “vested” shall be construed accordingly.</w:t>
      </w:r>
    </w:p>
    <w:p>
      <w:pPr>
        <w:spacing w:after="0" w:line="18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Restricted Share Award Agreement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purchases under a Restricted Share Award will be evidenced by an Award Agreement.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8.3</w:t>
      </w:r>
      <w:r>
        <w:rPr>
          <w:sz w:val="20"/>
          <w:szCs w:val="20"/>
          <w:color w:val="auto"/>
        </w:rPr>
        <w:tab/>
      </w:r>
      <w:r>
        <w:rPr>
          <w:rFonts w:ascii="Arial" w:cs="Arial" w:eastAsia="Arial" w:hAnsi="Arial"/>
          <w:sz w:val="15"/>
          <w:szCs w:val="15"/>
          <w:b w:val="1"/>
          <w:bCs w:val="1"/>
          <w:color w:val="auto"/>
        </w:rPr>
        <w:t>Purchase Price</w:t>
      </w:r>
    </w:p>
    <w:p>
      <w:pPr>
        <w:spacing w:after="0" w:line="229" w:lineRule="exact"/>
        <w:rPr>
          <w:sz w:val="20"/>
          <w:szCs w:val="20"/>
          <w:color w:val="auto"/>
        </w:rPr>
      </w:pPr>
    </w:p>
    <w:p>
      <w:pPr>
        <w:ind w:left="660" w:right="100"/>
        <w:spacing w:after="0" w:line="259" w:lineRule="auto"/>
        <w:rPr>
          <w:sz w:val="20"/>
          <w:szCs w:val="20"/>
          <w:color w:val="auto"/>
        </w:rPr>
      </w:pPr>
      <w:r>
        <w:rPr>
          <w:rFonts w:ascii="Arial" w:cs="Arial" w:eastAsia="Arial" w:hAnsi="Arial"/>
          <w:sz w:val="18"/>
          <w:szCs w:val="18"/>
          <w:color w:val="auto"/>
        </w:rPr>
        <w:t>The Purchase Price for a Restricted Share Award will be determined by the Committee and may be less than the Fair Market Value of the Restricted Shares on the date the Restricted Share Award is granted, provided that if the Restricted Shares are newly issued Shares, it shall be no less than the nominal value of the Restricted Shares. Payment of the Purchase Price must be made in accordance with Section 14, the Award Agreement and any procedures established by the Company.</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Terms of Restricted Share Awards</w:t>
      </w:r>
    </w:p>
    <w:p>
      <w:pPr>
        <w:spacing w:after="0" w:line="229" w:lineRule="exact"/>
        <w:rPr>
          <w:sz w:val="20"/>
          <w:szCs w:val="20"/>
          <w:color w:val="auto"/>
        </w:rPr>
      </w:pPr>
    </w:p>
    <w:p>
      <w:pPr>
        <w:ind w:left="660" w:right="20"/>
        <w:spacing w:after="0" w:line="285" w:lineRule="auto"/>
        <w:rPr>
          <w:sz w:val="20"/>
          <w:szCs w:val="20"/>
          <w:color w:val="auto"/>
        </w:rPr>
      </w:pPr>
      <w:r>
        <w:rPr>
          <w:rFonts w:ascii="Arial" w:cs="Arial" w:eastAsia="Arial" w:hAnsi="Arial"/>
          <w:sz w:val="16"/>
          <w:szCs w:val="16"/>
          <w:color w:val="auto"/>
        </w:rPr>
        <w:t>Restricted Shares will be subject to such transfer and/or other restrictions as the Committee may impose and/or are required by Applicable Law. Lapse of restrictions may be based on completion by the Participant of a specified period or periods of Service and/or upon satisfaction of Performance Factors during any Performance Period, as set out in the Award Agreement and/or such other conditions as may be determined by the Committee. Prior to the grant of a Restricted Share Award, the Committee shall: (a) determine the nature, length and starting date of any Performance Period for the Restricted Share Award; (b) select from among the Performance Factors to be used to measure performance goals, if any;</w:t>
      </w:r>
    </w:p>
    <w:p>
      <w:pPr>
        <w:spacing w:after="0" w:line="2" w:lineRule="exact"/>
        <w:rPr>
          <w:sz w:val="20"/>
          <w:szCs w:val="20"/>
          <w:color w:val="auto"/>
        </w:rPr>
      </w:pPr>
    </w:p>
    <w:p>
      <w:pPr>
        <w:ind w:left="660" w:right="300" w:hanging="4"/>
        <w:spacing w:after="0" w:line="261" w:lineRule="auto"/>
        <w:tabs>
          <w:tab w:leader="none" w:pos="90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determine the number of Restricted Shares that will cease to be subject to the applicable restrictions and thereby vest and the date(s) on which such vesting will occur; and (d) determine the treatment of Restricted Shares that do not vest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40"/>
        <w:spacing w:after="0" w:line="259" w:lineRule="auto"/>
        <w:rPr>
          <w:sz w:val="20"/>
          <w:szCs w:val="20"/>
          <w:color w:val="auto"/>
        </w:rPr>
      </w:pPr>
      <w:r>
        <w:rPr>
          <w:rFonts w:ascii="Arial" w:cs="Arial" w:eastAsia="Arial" w:hAnsi="Arial"/>
          <w:sz w:val="18"/>
          <w:szCs w:val="18"/>
          <w:color w:val="auto"/>
        </w:rPr>
        <w:t>pursuant to the Restricted Share Award, which may include forfeiture or compulsorily transfer by the Participant upon such terms and conditions as the Committee may determine, and the consideration (if any) payable to the Participant for such Restricted Shares. Performance Periods may overlap and a Participant may participate simultaneously with respect to Restricted Share Awards that are subject to different Performance Periods and having different performance goals and other criteria.</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8.5</w:t>
      </w:r>
      <w:r>
        <w:rPr>
          <w:sz w:val="20"/>
          <w:szCs w:val="20"/>
          <w:color w:val="auto"/>
        </w:rPr>
        <w:tab/>
      </w:r>
      <w:r>
        <w:rPr>
          <w:rFonts w:ascii="Arial" w:cs="Arial" w:eastAsia="Arial" w:hAnsi="Arial"/>
          <w:sz w:val="16"/>
          <w:szCs w:val="16"/>
          <w:b w:val="1"/>
          <w:bCs w:val="1"/>
          <w:color w:val="auto"/>
        </w:rPr>
        <w:t>Termination of Service</w:t>
      </w:r>
    </w:p>
    <w:p>
      <w:pPr>
        <w:spacing w:after="0" w:line="229"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Except as may be set forth in the Participant’s Award Agreement, vesting ceases on the date the Participant’s Service terminates (unless determined otherwise by the Committee).</w:t>
      </w:r>
    </w:p>
    <w:p>
      <w:pPr>
        <w:spacing w:after="0" w:line="16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8.6</w:t>
      </w:r>
      <w:r>
        <w:rPr>
          <w:sz w:val="20"/>
          <w:szCs w:val="20"/>
          <w:color w:val="auto"/>
        </w:rPr>
        <w:tab/>
      </w:r>
      <w:r>
        <w:rPr>
          <w:rFonts w:ascii="Arial" w:cs="Arial" w:eastAsia="Arial" w:hAnsi="Arial"/>
          <w:sz w:val="16"/>
          <w:szCs w:val="16"/>
          <w:b w:val="1"/>
          <w:bCs w:val="1"/>
          <w:color w:val="auto"/>
        </w:rPr>
        <w:t>Issuance or Delivery of Restricted Shares</w:t>
      </w:r>
    </w:p>
    <w:p>
      <w:pPr>
        <w:spacing w:after="0" w:line="229" w:lineRule="exact"/>
        <w:rPr>
          <w:sz w:val="20"/>
          <w:szCs w:val="20"/>
          <w:color w:val="auto"/>
        </w:rPr>
      </w:pPr>
    </w:p>
    <w:p>
      <w:pPr>
        <w:ind w:left="660"/>
        <w:spacing w:after="0" w:line="297" w:lineRule="auto"/>
        <w:rPr>
          <w:sz w:val="20"/>
          <w:szCs w:val="20"/>
          <w:color w:val="auto"/>
        </w:rPr>
      </w:pPr>
      <w:r>
        <w:rPr>
          <w:rFonts w:ascii="Arial" w:cs="Arial" w:eastAsia="Arial" w:hAnsi="Arial"/>
          <w:sz w:val="16"/>
          <w:szCs w:val="16"/>
          <w:color w:val="auto"/>
        </w:rPr>
        <w:t>The Company shall issue share certificates that evidence Restricted Shares pending the lapse of the applicable restrictions, and that bear a legend making appropriate reference to such restrictions. To enforce any restrictions on a Participant’s Restricted Shares, the Committee may require the Participant to deposit all certificates representing the Restricted Shares, together with stock powers or other instruments of transfer approved by the Committee, appropriately endorsed in blank, with the Company or an agent designated by the Company to hold in escrow until such restrictions have lapsed or terminated, and the Committee may cause a legend or legends referencing such restrictions to be placed on the certificates.</w:t>
      </w:r>
    </w:p>
    <w:p>
      <w:pPr>
        <w:spacing w:after="0" w:line="15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8.7</w:t>
      </w:r>
      <w:r>
        <w:rPr>
          <w:sz w:val="20"/>
          <w:szCs w:val="20"/>
          <w:color w:val="auto"/>
        </w:rPr>
        <w:tab/>
      </w:r>
      <w:r>
        <w:rPr>
          <w:rFonts w:ascii="Arial" w:cs="Arial" w:eastAsia="Arial" w:hAnsi="Arial"/>
          <w:sz w:val="15"/>
          <w:szCs w:val="15"/>
          <w:b w:val="1"/>
          <w:bCs w:val="1"/>
          <w:color w:val="auto"/>
        </w:rPr>
        <w:t>Release of Shares upon Vesting</w:t>
      </w:r>
    </w:p>
    <w:p>
      <w:pPr>
        <w:spacing w:after="0" w:line="229" w:lineRule="exact"/>
        <w:rPr>
          <w:sz w:val="20"/>
          <w:szCs w:val="20"/>
          <w:color w:val="auto"/>
        </w:rPr>
      </w:pPr>
    </w:p>
    <w:p>
      <w:pPr>
        <w:ind w:left="660" w:right="400"/>
        <w:spacing w:after="0" w:line="264" w:lineRule="auto"/>
        <w:rPr>
          <w:sz w:val="20"/>
          <w:szCs w:val="20"/>
          <w:color w:val="auto"/>
        </w:rPr>
      </w:pPr>
      <w:r>
        <w:rPr>
          <w:rFonts w:ascii="Arial" w:cs="Arial" w:eastAsia="Arial" w:hAnsi="Arial"/>
          <w:sz w:val="18"/>
          <w:szCs w:val="18"/>
          <w:color w:val="auto"/>
        </w:rPr>
        <w:t>As soon as practicable after vesting of a Participant’s Restricted Shares, subject to the Participant’s satisfaction of applicable tax and other withholding requirements, the Company shall release or procure the release to the Participant, free from the applicable restrictions, of his vested Shares, unless the Award Agreement provides otherwise, and deliver the share certificates.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9.0 - RESTRICTED STOCK UNIT (RSU) AWARDS</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9.1</w:t>
      </w:r>
      <w:r>
        <w:rPr>
          <w:sz w:val="20"/>
          <w:szCs w:val="20"/>
          <w:color w:val="auto"/>
        </w:rPr>
        <w:tab/>
      </w:r>
      <w:r>
        <w:rPr>
          <w:rFonts w:ascii="Arial" w:cs="Arial" w:eastAsia="Arial" w:hAnsi="Arial"/>
          <w:sz w:val="16"/>
          <w:szCs w:val="16"/>
          <w:b w:val="1"/>
          <w:bCs w:val="1"/>
          <w:color w:val="auto"/>
        </w:rPr>
        <w:t>General</w:t>
      </w:r>
    </w:p>
    <w:p>
      <w:pPr>
        <w:spacing w:after="0" w:line="225" w:lineRule="exact"/>
        <w:rPr>
          <w:sz w:val="20"/>
          <w:szCs w:val="20"/>
          <w:color w:val="auto"/>
        </w:rPr>
      </w:pPr>
    </w:p>
    <w:p>
      <w:pPr>
        <w:ind w:left="660" w:right="60"/>
        <w:spacing w:after="0" w:line="282" w:lineRule="auto"/>
        <w:rPr>
          <w:sz w:val="20"/>
          <w:szCs w:val="20"/>
          <w:color w:val="auto"/>
        </w:rPr>
      </w:pPr>
      <w:r>
        <w:rPr>
          <w:rFonts w:ascii="Arial" w:cs="Arial" w:eastAsia="Arial" w:hAnsi="Arial"/>
          <w:sz w:val="18"/>
          <w:szCs w:val="18"/>
          <w:color w:val="auto"/>
        </w:rPr>
        <w:t>A Restricted Stock Unit (“</w:t>
      </w:r>
      <w:r>
        <w:rPr>
          <w:rFonts w:ascii="Arial" w:cs="Arial" w:eastAsia="Arial" w:hAnsi="Arial"/>
          <w:sz w:val="18"/>
          <w:szCs w:val="18"/>
          <w:b w:val="1"/>
          <w:bCs w:val="1"/>
          <w:color w:val="auto"/>
        </w:rPr>
        <w:t>RSU</w:t>
      </w:r>
      <w:r>
        <w:rPr>
          <w:rFonts w:ascii="Arial" w:cs="Arial" w:eastAsia="Arial" w:hAnsi="Arial"/>
          <w:sz w:val="18"/>
          <w:szCs w:val="18"/>
          <w:color w:val="auto"/>
        </w:rPr>
        <w:t>”) Award is an award to an eligible Employee, Consultant or Director (including a Non-Employee Director) covering a specified maximum number of RSUs.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78"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9.2</w:t>
      </w:r>
      <w:r>
        <w:rPr>
          <w:sz w:val="20"/>
          <w:szCs w:val="20"/>
          <w:color w:val="auto"/>
        </w:rPr>
        <w:tab/>
      </w:r>
      <w:r>
        <w:rPr>
          <w:rFonts w:ascii="Arial" w:cs="Arial" w:eastAsia="Arial" w:hAnsi="Arial"/>
          <w:sz w:val="16"/>
          <w:szCs w:val="16"/>
          <w:b w:val="1"/>
          <w:bCs w:val="1"/>
          <w:color w:val="auto"/>
        </w:rPr>
        <w:t>Terms of RSU Awards</w:t>
      </w:r>
    </w:p>
    <w:p>
      <w:pPr>
        <w:sectPr>
          <w:pgSz w:w="11900" w:h="16838" w:orient="portrait"/>
          <w:cols w:equalWidth="0" w:num="1">
            <w:col w:w="11420"/>
          </w:cols>
          <w:pgMar w:left="240" w:top="125" w:right="239" w:bottom="0" w:gutter="0" w:footer="0" w:header="0"/>
          <w:type w:val="continuous"/>
        </w:sectPr>
      </w:pPr>
    </w:p>
    <w:bookmarkStart w:id="164" w:name="page165"/>
    <w:bookmarkEnd w:id="164"/>
    <w:p>
      <w:pPr>
        <w:ind w:left="660"/>
        <w:spacing w:after="0" w:line="290" w:lineRule="auto"/>
        <w:rPr>
          <w:sz w:val="20"/>
          <w:szCs w:val="20"/>
          <w:color w:val="auto"/>
        </w:rPr>
      </w:pPr>
      <w:r>
        <w:rPr>
          <w:rFonts w:ascii="Arial" w:cs="Arial" w:eastAsia="Arial" w:hAnsi="Arial"/>
          <w:sz w:val="16"/>
          <w:szCs w:val="16"/>
          <w:color w:val="auto"/>
        </w:rPr>
        <w:t>The Committee will determine the terms of an RSU Award including, without limitation: (a) the number of RSUs subject to the RSU Award; (b) the time or times when the RSUs will vest, and be settled, (c) the Purchase Price, if any, payable under the RSU Award; (d) the consideration to be distributed on settlement; and (e) the effect of the Participant’s termination of Service on the RSU Award. Vesting of RSUs may be subject to completion by the Participant of a specified period of Service or the satisfaction of such performance goals based on Performance Factors during any Performance Period as are set out in the Participant’s Award Agreement. If vesting of RSUs is conditional upon satisfaction of Performance Factors, then the Committee will: (x) determine the nature, length and starting date of any Performance Period for the RSU Award; and (y) select from among the Performance Factors to be used to measure the performance. Performance Periods may overlap and Participants may participate simultaneously with respect to RSU Awards that are subject to different Performance Periods and different performance goals and other criteria.</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9.3</w:t>
      </w:r>
      <w:r>
        <w:rPr>
          <w:sz w:val="20"/>
          <w:szCs w:val="20"/>
          <w:color w:val="auto"/>
        </w:rPr>
        <w:tab/>
      </w:r>
      <w:r>
        <w:rPr>
          <w:rFonts w:ascii="Arial" w:cs="Arial" w:eastAsia="Arial" w:hAnsi="Arial"/>
          <w:sz w:val="15"/>
          <w:szCs w:val="15"/>
          <w:b w:val="1"/>
          <w:bCs w:val="1"/>
          <w:color w:val="auto"/>
        </w:rPr>
        <w:t>Purchase Price</w:t>
      </w:r>
    </w:p>
    <w:p>
      <w:pPr>
        <w:spacing w:after="0" w:line="229" w:lineRule="exact"/>
        <w:rPr>
          <w:sz w:val="20"/>
          <w:szCs w:val="20"/>
          <w:color w:val="auto"/>
        </w:rPr>
      </w:pPr>
    </w:p>
    <w:p>
      <w:pPr>
        <w:ind w:left="660" w:right="60"/>
        <w:spacing w:after="0" w:line="312" w:lineRule="auto"/>
        <w:rPr>
          <w:sz w:val="20"/>
          <w:szCs w:val="20"/>
          <w:color w:val="auto"/>
        </w:rPr>
      </w:pPr>
      <w:r>
        <w:rPr>
          <w:rFonts w:ascii="Arial" w:cs="Arial" w:eastAsia="Arial" w:hAnsi="Arial"/>
          <w:sz w:val="16"/>
          <w:szCs w:val="16"/>
          <w:color w:val="auto"/>
        </w:rPr>
        <w:t>The Committee may determine the Purchase Price, if any, applicable to the RSU Award, provided always that if the Shares to be issued in settlement of RSUs are newly issued Shares, a Purchase Price of no less than the nominal value of the Shares shall be paid by the Participant. Payment of any Purchase Price must be made in accordance with Section 14 of the Plan, the Award Agreement and any procedures established by the Company.</w:t>
      </w:r>
    </w:p>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9.4</w:t>
      </w:r>
      <w:r>
        <w:rPr>
          <w:sz w:val="20"/>
          <w:szCs w:val="20"/>
          <w:color w:val="auto"/>
        </w:rPr>
        <w:tab/>
      </w:r>
      <w:r>
        <w:rPr>
          <w:rFonts w:ascii="Arial" w:cs="Arial" w:eastAsia="Arial" w:hAnsi="Arial"/>
          <w:sz w:val="16"/>
          <w:szCs w:val="16"/>
          <w:b w:val="1"/>
          <w:bCs w:val="1"/>
          <w:color w:val="auto"/>
        </w:rPr>
        <w:t>Form and Timing of Settlement</w:t>
      </w:r>
    </w:p>
    <w:p>
      <w:pPr>
        <w:spacing w:after="0" w:line="229" w:lineRule="exact"/>
        <w:rPr>
          <w:sz w:val="20"/>
          <w:szCs w:val="20"/>
          <w:color w:val="auto"/>
        </w:rPr>
      </w:pPr>
    </w:p>
    <w:p>
      <w:pPr>
        <w:ind w:left="660" w:right="280"/>
        <w:spacing w:after="0" w:line="259" w:lineRule="auto"/>
        <w:rPr>
          <w:sz w:val="20"/>
          <w:szCs w:val="20"/>
          <w:color w:val="auto"/>
        </w:rPr>
      </w:pPr>
      <w:r>
        <w:rPr>
          <w:rFonts w:ascii="Arial" w:cs="Arial" w:eastAsia="Arial" w:hAnsi="Arial"/>
          <w:sz w:val="18"/>
          <w:szCs w:val="18"/>
          <w:color w:val="auto"/>
        </w:rPr>
        <w:t>Settlement of vested RSUs shall be made as soon as practicable after the vesting date(s) determined by the Committee and set forth in the Award Agreement. The Committee, in its sole discretion, may settle vested RSUs in cash, Shares, or a combination of both. The Committee may also permit a Participant to defer settlement under an RSU Award to a date or dates after the RSUs vest provided that the terms of the RSU Award and any deferral satisfy the requirements of Section 409A of the Code, if applicable.</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b w:val="1"/>
          <w:bCs w:val="1"/>
          <w:color w:val="auto"/>
        </w:rPr>
        <w:t>9.5</w:t>
      </w:r>
      <w:r>
        <w:rPr>
          <w:sz w:val="20"/>
          <w:szCs w:val="20"/>
          <w:color w:val="auto"/>
        </w:rPr>
        <w:tab/>
      </w:r>
      <w:r>
        <w:rPr>
          <w:rFonts w:ascii="Arial" w:cs="Arial" w:eastAsia="Arial" w:hAnsi="Arial"/>
          <w:sz w:val="16"/>
          <w:szCs w:val="16"/>
          <w:b w:val="1"/>
          <w:bCs w:val="1"/>
          <w:color w:val="auto"/>
        </w:rPr>
        <w:t>Termination of Service</w:t>
      </w:r>
    </w:p>
    <w:p>
      <w:pPr>
        <w:spacing w:after="0" w:line="229" w:lineRule="exact"/>
        <w:rPr>
          <w:sz w:val="20"/>
          <w:szCs w:val="20"/>
          <w:color w:val="auto"/>
        </w:rPr>
      </w:pPr>
    </w:p>
    <w:p>
      <w:pPr>
        <w:ind w:left="660" w:right="120"/>
        <w:spacing w:after="0" w:line="308" w:lineRule="auto"/>
        <w:rPr>
          <w:sz w:val="20"/>
          <w:szCs w:val="20"/>
          <w:color w:val="auto"/>
        </w:rPr>
      </w:pPr>
      <w:r>
        <w:rPr>
          <w:rFonts w:ascii="Arial" w:cs="Arial" w:eastAsia="Arial" w:hAnsi="Arial"/>
          <w:sz w:val="17"/>
          <w:szCs w:val="17"/>
          <w:color w:val="auto"/>
        </w:rPr>
        <w:t>Except as may be set forth in the Award Agreement, vesting of RSUs shall cease on the date the Participant’s Service terminates (unless determined otherwise by the Committee) and the RSU Award shall lapse on such date, to the extent the RSUs have not vested.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10.0 - UNRESTRICTED STOCK UNIT AWARDS</w:t>
      </w:r>
    </w:p>
    <w:p>
      <w:pPr>
        <w:spacing w:after="0" w:line="229" w:lineRule="exact"/>
        <w:rPr>
          <w:sz w:val="20"/>
          <w:szCs w:val="20"/>
          <w:color w:val="auto"/>
        </w:rPr>
      </w:pPr>
    </w:p>
    <w:p>
      <w:pPr>
        <w:ind w:left="660"/>
        <w:spacing w:after="0" w:line="291" w:lineRule="auto"/>
        <w:rPr>
          <w:sz w:val="20"/>
          <w:szCs w:val="20"/>
          <w:color w:val="auto"/>
        </w:rPr>
      </w:pPr>
      <w:r>
        <w:rPr>
          <w:rFonts w:ascii="Arial" w:cs="Arial" w:eastAsia="Arial" w:hAnsi="Arial"/>
          <w:sz w:val="16"/>
          <w:szCs w:val="16"/>
          <w:color w:val="auto"/>
        </w:rPr>
        <w:t>The Committee may grant Awards covering a specified number of Unrestricted Stock Units. Each Unrestricted Stock Unit shall entitle the Participant to receive a Share which shall be free of all restrictions and vested in full upon the date of grant or such other date as the Committee may determine or which the Committee may issue pursuant to any program under which one or more Employees, Consultants or Directors elect to pay for such Shares or to receive unrestricted Shares in lieu of cash bonuses that would otherwise be paid. The Committee shall determine the Purchase Price, if any, payable for Shares pursuant to an Unrestricted Stock Unit Award, which price may be less than the Fair Market Value of the Shares provided always that where such Shares are newly issued Shares, the Participant shall pay the nominal value of such Shares. Payment of any Purchase Price must be made in accordance with Section 14 of the Plan, the Award Agreement and any procedures established by the Company.</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11.0 - PERFORMANCE AWARDS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11.1</w:t>
      </w:r>
      <w:r>
        <w:rPr>
          <w:sz w:val="20"/>
          <w:szCs w:val="20"/>
          <w:color w:val="auto"/>
        </w:rPr>
        <w:tab/>
      </w:r>
      <w:r>
        <w:rPr>
          <w:rFonts w:ascii="Arial" w:cs="Arial" w:eastAsia="Arial" w:hAnsi="Arial"/>
          <w:sz w:val="16"/>
          <w:szCs w:val="16"/>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Performance Award is an award to an eligible Employee, Consultant or Director (including a Non-Employee Director) of (a) a cash bonus, or</w:t>
      </w:r>
    </w:p>
    <w:p>
      <w:pPr>
        <w:spacing w:after="0" w:line="35" w:lineRule="exact"/>
        <w:rPr>
          <w:sz w:val="20"/>
          <w:szCs w:val="20"/>
          <w:color w:val="auto"/>
        </w:rPr>
      </w:pPr>
    </w:p>
    <w:p>
      <w:pPr>
        <w:ind w:left="660" w:right="200" w:hanging="4"/>
        <w:spacing w:after="0" w:line="323" w:lineRule="auto"/>
        <w:tabs>
          <w:tab w:leader="none" w:pos="915" w:val="left"/>
        </w:tabs>
        <w:numPr>
          <w:ilvl w:val="0"/>
          <w:numId w:val="111"/>
        </w:numPr>
        <w:rPr>
          <w:rFonts w:ascii="Arial" w:cs="Arial" w:eastAsia="Arial" w:hAnsi="Arial"/>
          <w:sz w:val="16"/>
          <w:szCs w:val="16"/>
          <w:color w:val="auto"/>
        </w:rPr>
      </w:pPr>
      <w:r>
        <w:rPr>
          <w:rFonts w:ascii="Arial" w:cs="Arial" w:eastAsia="Arial" w:hAnsi="Arial"/>
          <w:sz w:val="16"/>
          <w:szCs w:val="16"/>
          <w:color w:val="auto"/>
        </w:rPr>
        <w:t>an award denominated in Shares (“Performance Shares”) that may be settled, in the discretion of the Committee, in cash, or by issuance or transfer of those Shares (which may consist of Restricted Shares). Grants of Performance Awards shall be made pursuant to an Award Agreement.</w:t>
      </w:r>
    </w:p>
    <w:p>
      <w:pPr>
        <w:spacing w:after="0" w:line="13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11.2</w:t>
      </w:r>
      <w:r>
        <w:rPr>
          <w:sz w:val="20"/>
          <w:szCs w:val="20"/>
          <w:color w:val="auto"/>
        </w:rPr>
        <w:tab/>
      </w:r>
      <w:r>
        <w:rPr>
          <w:rFonts w:ascii="Arial" w:cs="Arial" w:eastAsia="Arial" w:hAnsi="Arial"/>
          <w:sz w:val="16"/>
          <w:szCs w:val="16"/>
          <w:b w:val="1"/>
          <w:bCs w:val="1"/>
          <w:color w:val="auto"/>
        </w:rPr>
        <w:t>Terms of Performance Awards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Committee will determine, and each Award Agreement shall set forth, the terms of each Performance Award including, without limitation:</w:t>
      </w:r>
    </w:p>
    <w:p>
      <w:pPr>
        <w:spacing w:after="0" w:line="35" w:lineRule="exact"/>
        <w:rPr>
          <w:sz w:val="20"/>
          <w:szCs w:val="20"/>
          <w:color w:val="auto"/>
        </w:rPr>
      </w:pPr>
    </w:p>
    <w:p>
      <w:pPr>
        <w:ind w:left="660" w:right="20" w:hanging="4"/>
        <w:spacing w:after="0" w:line="252" w:lineRule="auto"/>
        <w:tabs>
          <w:tab w:leader="none" w:pos="90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number of Performance Shares; (b) the Performance Factors and Performance Period that shall determine the time and extent to which each Performance Award shall be settled; (c) the consideration to be distributed on settlement of an Award of Performance Shares; and (d) the effect of the Participant’s termination of Service on the Performance Award. In establishing Performance Factors and the Performance Period the Committee will: (x) determine the nature, length and starting date of any Performance Period; and (y) select from among the Performance Factors to be used. Prior to settlement the Committee shall determine the extent to which Performance Awards have been earned. Performance Periods may overlap and Participants may participate simultaneously with respect to Performance Awards that are subject to different Performance Periods and different performance goals and other criteria.</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11.3</w:t>
      </w:r>
      <w:r>
        <w:rPr>
          <w:sz w:val="20"/>
          <w:szCs w:val="20"/>
          <w:color w:val="auto"/>
        </w:rPr>
        <w:tab/>
      </w:r>
      <w:r>
        <w:rPr>
          <w:rFonts w:ascii="Arial" w:cs="Arial" w:eastAsia="Arial" w:hAnsi="Arial"/>
          <w:sz w:val="16"/>
          <w:szCs w:val="16"/>
          <w:b w:val="1"/>
          <w:bCs w:val="1"/>
          <w:color w:val="auto"/>
        </w:rPr>
        <w:t>Value, Earning and Timing of Performance Shares</w:t>
      </w:r>
    </w:p>
    <w:p>
      <w:pPr>
        <w:spacing w:after="0" w:line="229" w:lineRule="exact"/>
        <w:rPr>
          <w:sz w:val="20"/>
          <w:szCs w:val="20"/>
          <w:color w:val="auto"/>
        </w:rPr>
      </w:pPr>
    </w:p>
    <w:p>
      <w:pPr>
        <w:ind w:left="660" w:right="180"/>
        <w:spacing w:after="0" w:line="293" w:lineRule="auto"/>
        <w:rPr>
          <w:sz w:val="20"/>
          <w:szCs w:val="20"/>
          <w:color w:val="auto"/>
        </w:rPr>
      </w:pPr>
      <w:r>
        <w:rPr>
          <w:rFonts w:ascii="Arial" w:cs="Arial" w:eastAsia="Arial" w:hAnsi="Arial"/>
          <w:sz w:val="16"/>
          <w:szCs w:val="16"/>
          <w:color w:val="auto"/>
        </w:rPr>
        <w:t>Each Performance Share will have an initial value equal to the Fair Market Value of a Share on the date of grant. After the applicable Performance Period has ended, the holder of Performance Shares will be entitled to receive a payout of the number of Performance Shares earned by the Participant over the Performance Period, to be determined as a function of the extent to which the relevant Performance Factors or other vesting conditions have been achieved. The Committee, in its sole discretion, may pay earned Performance Shares in the form of cash, in Shares (which have an aggregate Fair Market Value equal to the value of the number of earned Performance Shares at the close of the applicable Performance Period, and subject to payment by the Participant of the nominal value of any newly issued Shares) or in a combination thereof.</w:t>
      </w:r>
    </w:p>
    <w:p>
      <w:pPr>
        <w:spacing w:after="0" w:line="16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11.4</w:t>
      </w:r>
      <w:r>
        <w:rPr>
          <w:sz w:val="20"/>
          <w:szCs w:val="20"/>
          <w:color w:val="auto"/>
        </w:rPr>
        <w:tab/>
      </w:r>
      <w:r>
        <w:rPr>
          <w:rFonts w:ascii="Arial" w:cs="Arial" w:eastAsia="Arial" w:hAnsi="Arial"/>
          <w:sz w:val="16"/>
          <w:szCs w:val="16"/>
          <w:b w:val="1"/>
          <w:bCs w:val="1"/>
          <w:color w:val="auto"/>
        </w:rPr>
        <w:t>Termination of Service</w:t>
      </w:r>
    </w:p>
    <w:p>
      <w:pPr>
        <w:sectPr>
          <w:pgSz w:w="11900" w:h="16838" w:orient="portrait"/>
          <w:cols w:equalWidth="0" w:num="1">
            <w:col w:w="11420"/>
          </w:cols>
          <w:pgMar w:left="240" w:top="341" w:right="239" w:bottom="0" w:gutter="0" w:footer="0" w:header="0"/>
        </w:sectPr>
      </w:pPr>
    </w:p>
    <w:bookmarkStart w:id="165" w:name="page166"/>
    <w:bookmarkEnd w:id="165"/>
    <w:p>
      <w:pPr>
        <w:spacing w:after="0" w:line="103" w:lineRule="exact"/>
        <w:rPr>
          <w:sz w:val="20"/>
          <w:szCs w:val="20"/>
          <w:color w:val="auto"/>
        </w:rPr>
      </w:pPr>
    </w:p>
    <w:p>
      <w:pPr>
        <w:ind w:left="660" w:right="380"/>
        <w:spacing w:after="0" w:line="277" w:lineRule="auto"/>
        <w:rPr>
          <w:sz w:val="20"/>
          <w:szCs w:val="20"/>
          <w:color w:val="auto"/>
        </w:rPr>
      </w:pPr>
      <w:r>
        <w:rPr>
          <w:rFonts w:ascii="Arial" w:cs="Arial" w:eastAsia="Arial" w:hAnsi="Arial"/>
          <w:sz w:val="18"/>
          <w:szCs w:val="18"/>
          <w:color w:val="auto"/>
        </w:rPr>
        <w:t>Except as may be set forth in the Participant’s Award Agreement, vesting ceases on the date Participant’s Service terminates (unless determined otherwise by the Committee) and the Performance Award lapses to the extent not vested.</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12.0 - AWARDS TO NON-EMPLOYEE DIRECTORS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12.1</w:t>
      </w:r>
      <w:r>
        <w:rPr>
          <w:sz w:val="20"/>
          <w:szCs w:val="20"/>
          <w:color w:val="auto"/>
        </w:rPr>
        <w:tab/>
      </w:r>
      <w:r>
        <w:rPr>
          <w:rFonts w:ascii="Arial" w:cs="Arial" w:eastAsia="Arial" w:hAnsi="Arial"/>
          <w:sz w:val="16"/>
          <w:szCs w:val="16"/>
          <w:b w:val="1"/>
          <w:bCs w:val="1"/>
          <w:color w:val="auto"/>
        </w:rPr>
        <w:t>General</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the Acquisition Effective Time, Non-Employee Directors were eligible to receive any type of Award offered under the Plan.</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12.2</w:t>
      </w:r>
      <w:r>
        <w:rPr>
          <w:sz w:val="20"/>
          <w:szCs w:val="20"/>
          <w:color w:val="auto"/>
        </w:rPr>
        <w:tab/>
      </w:r>
      <w:r>
        <w:rPr>
          <w:rFonts w:ascii="Arial" w:cs="Arial" w:eastAsia="Arial" w:hAnsi="Arial"/>
          <w:sz w:val="17"/>
          <w:szCs w:val="17"/>
          <w:b w:val="1"/>
          <w:bCs w:val="1"/>
          <w:color w:val="auto"/>
        </w:rPr>
        <w:t>Annual Individual Limit</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Prior to the Acquisition Effective Time, in no event could the aggregate number of Shares subject to all Awards granted to a Non-Employee Director in any calendar year exceed 1,250,000 Ordinary Shares.</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13.0 - DIVIDEND EQUIVALENTS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13.1</w:t>
      </w:r>
      <w:r>
        <w:rPr>
          <w:sz w:val="20"/>
          <w:szCs w:val="20"/>
          <w:color w:val="auto"/>
        </w:rPr>
        <w:tab/>
      </w:r>
      <w:r>
        <w:rPr>
          <w:rFonts w:ascii="Arial" w:cs="Arial" w:eastAsia="Arial" w:hAnsi="Arial"/>
          <w:sz w:val="16"/>
          <w:szCs w:val="16"/>
          <w:b w:val="1"/>
          <w:bCs w:val="1"/>
          <w:color w:val="auto"/>
        </w:rPr>
        <w:t>Option and SARs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Dividend Equivalents shall be payable with respect to Options or SARs.</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13.2</w:t>
      </w:r>
      <w:r>
        <w:rPr>
          <w:sz w:val="20"/>
          <w:szCs w:val="20"/>
          <w:color w:val="auto"/>
        </w:rPr>
        <w:tab/>
      </w:r>
      <w:r>
        <w:rPr>
          <w:rFonts w:ascii="Arial" w:cs="Arial" w:eastAsia="Arial" w:hAnsi="Arial"/>
          <w:sz w:val="16"/>
          <w:szCs w:val="16"/>
          <w:b w:val="1"/>
          <w:bCs w:val="1"/>
          <w:color w:val="auto"/>
        </w:rPr>
        <w:t>Other Awards</w:t>
      </w:r>
    </w:p>
    <w:p>
      <w:pPr>
        <w:spacing w:after="0" w:line="229"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To the extent provided under the terms of any Award Agreement in effect immediately prior to the Acquisition Effective Time, the corresponding Award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0"/>
        <w:spacing w:after="0" w:line="273" w:lineRule="auto"/>
        <w:rPr>
          <w:sz w:val="20"/>
          <w:szCs w:val="20"/>
          <w:color w:val="auto"/>
        </w:rPr>
      </w:pPr>
      <w:r>
        <w:rPr>
          <w:rFonts w:ascii="Arial" w:cs="Arial" w:eastAsia="Arial" w:hAnsi="Arial"/>
          <w:sz w:val="17"/>
          <w:szCs w:val="17"/>
          <w:color w:val="auto"/>
        </w:rPr>
        <w:t>(other than an Option or a SAR) shall have the right to receive Dividend Equivalents. Such Dividend Equivalents shall be calculated based on dividends declared on the Shares to be credited as of dividend payment dates during the period between the date the Award is granted and the date such Award vests or is settled, as determined by the Committee. Such Dividend Equivalents shall be converted to cash and/or Shares by such formula and at such time and subject to such limitations as may be determined by the Committee. Dividend Equivalents granted in respect of an Award that is subject to vesting conditions that are based on dividends paid prior to the vesting of such Award shall only be paid out to the Participant if and to the extent the vesting conditions are subsequently satisfied and the Award vests.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14.0 - PAYMENT FOR SHARES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14.1</w:t>
      </w:r>
      <w:r>
        <w:rPr>
          <w:sz w:val="20"/>
          <w:szCs w:val="20"/>
          <w:color w:val="auto"/>
        </w:rPr>
        <w:tab/>
      </w:r>
      <w:r>
        <w:rPr>
          <w:rFonts w:ascii="Arial" w:cs="Arial" w:eastAsia="Arial" w:hAnsi="Arial"/>
          <w:sz w:val="16"/>
          <w:szCs w:val="16"/>
          <w:b w:val="1"/>
          <w:bCs w:val="1"/>
          <w:color w:val="auto"/>
        </w:rPr>
        <w:t>General</w:t>
      </w:r>
    </w:p>
    <w:p>
      <w:pPr>
        <w:spacing w:after="0" w:line="229" w:lineRule="exact"/>
        <w:rPr>
          <w:sz w:val="20"/>
          <w:szCs w:val="20"/>
          <w:color w:val="auto"/>
        </w:rPr>
      </w:pPr>
    </w:p>
    <w:p>
      <w:pPr>
        <w:ind w:left="660" w:right="200"/>
        <w:spacing w:after="0" w:line="279" w:lineRule="auto"/>
        <w:rPr>
          <w:sz w:val="20"/>
          <w:szCs w:val="20"/>
          <w:color w:val="auto"/>
        </w:rPr>
      </w:pPr>
      <w:r>
        <w:rPr>
          <w:rFonts w:ascii="Arial" w:cs="Arial" w:eastAsia="Arial" w:hAnsi="Arial"/>
          <w:sz w:val="17"/>
          <w:szCs w:val="17"/>
          <w:color w:val="auto"/>
        </w:rPr>
        <w:t>Payment by a Participant for Shares issued or transferred pursuant to the Plan may be made, to the extent permitted by Applicable Law and as determined by the Committee in its sole discretion, by any or any combination of the methods of payment set forth below. The Committee shall have authority to grant Awards that do not permit all of the following methods of payment (or otherwise restrict the ability to use certain methods) and to grant Awards that require the consent of the Company to utilize a particular method of payment.</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14.2</w:t>
      </w:r>
      <w:r>
        <w:rPr>
          <w:sz w:val="20"/>
          <w:szCs w:val="20"/>
          <w:color w:val="auto"/>
        </w:rPr>
        <w:tab/>
      </w:r>
      <w:r>
        <w:rPr>
          <w:rFonts w:ascii="Arial" w:cs="Arial" w:eastAsia="Arial" w:hAnsi="Arial"/>
          <w:sz w:val="16"/>
          <w:szCs w:val="16"/>
          <w:b w:val="1"/>
          <w:bCs w:val="1"/>
          <w:color w:val="auto"/>
        </w:rPr>
        <w:t>Payment Methods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permitted methods of payment are as follows:</w:t>
      </w:r>
    </w:p>
    <w:p>
      <w:pPr>
        <w:spacing w:after="0" w:line="2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14.2.1</w:t>
      </w:r>
      <w:r>
        <w:rPr>
          <w:sz w:val="20"/>
          <w:szCs w:val="20"/>
          <w:color w:val="auto"/>
        </w:rPr>
        <w:tab/>
      </w:r>
      <w:r>
        <w:rPr>
          <w:rFonts w:ascii="Arial" w:cs="Arial" w:eastAsia="Arial" w:hAnsi="Arial"/>
          <w:sz w:val="16"/>
          <w:szCs w:val="16"/>
          <w:color w:val="auto"/>
        </w:rPr>
        <w:t>cash, cheque, wire transfer, bank draft or money order payable to the Company;</w:t>
      </w:r>
    </w:p>
    <w:p>
      <w:pPr>
        <w:spacing w:after="0" w:line="225" w:lineRule="exact"/>
        <w:rPr>
          <w:sz w:val="20"/>
          <w:szCs w:val="20"/>
          <w:color w:val="auto"/>
        </w:rPr>
      </w:pPr>
    </w:p>
    <w:p>
      <w:pPr>
        <w:ind w:left="1440" w:right="160" w:hanging="777"/>
        <w:spacing w:after="0" w:line="277" w:lineRule="auto"/>
        <w:tabs>
          <w:tab w:leader="none" w:pos="1420" w:val="left"/>
        </w:tabs>
        <w:rPr>
          <w:sz w:val="20"/>
          <w:szCs w:val="20"/>
          <w:color w:val="auto"/>
        </w:rPr>
      </w:pPr>
      <w:r>
        <w:rPr>
          <w:rFonts w:ascii="Arial" w:cs="Arial" w:eastAsia="Arial" w:hAnsi="Arial"/>
          <w:sz w:val="18"/>
          <w:szCs w:val="18"/>
          <w:color w:val="auto"/>
        </w:rPr>
        <w:t>14.2.2</w:t>
      </w:r>
      <w:r>
        <w:rPr>
          <w:sz w:val="20"/>
          <w:szCs w:val="20"/>
          <w:color w:val="auto"/>
        </w:rPr>
        <w:tab/>
      </w:r>
      <w:r>
        <w:rPr>
          <w:rFonts w:ascii="Arial" w:cs="Arial" w:eastAsia="Arial" w:hAnsi="Arial"/>
          <w:sz w:val="18"/>
          <w:szCs w:val="18"/>
          <w:color w:val="auto"/>
        </w:rPr>
        <w:t>by consideration received by the Company pursuant to a broker-assisted or other form of cashless exercise program implemented by the Company in connection with the Plan;</w:t>
      </w:r>
    </w:p>
    <w:p>
      <w:pPr>
        <w:spacing w:after="0" w:line="170" w:lineRule="exact"/>
        <w:rPr>
          <w:sz w:val="20"/>
          <w:szCs w:val="20"/>
          <w:color w:val="auto"/>
        </w:rPr>
      </w:pPr>
    </w:p>
    <w:p>
      <w:pPr>
        <w:ind w:left="1440" w:right="20" w:hanging="777"/>
        <w:spacing w:after="0" w:line="264" w:lineRule="auto"/>
        <w:tabs>
          <w:tab w:leader="none" w:pos="1420" w:val="left"/>
        </w:tabs>
        <w:rPr>
          <w:sz w:val="20"/>
          <w:szCs w:val="20"/>
          <w:color w:val="auto"/>
        </w:rPr>
      </w:pPr>
      <w:r>
        <w:rPr>
          <w:rFonts w:ascii="Arial" w:cs="Arial" w:eastAsia="Arial" w:hAnsi="Arial"/>
          <w:sz w:val="18"/>
          <w:szCs w:val="18"/>
          <w:color w:val="auto"/>
        </w:rPr>
        <w:t>14.2.3</w:t>
      </w:r>
      <w:r>
        <w:rPr>
          <w:sz w:val="20"/>
          <w:szCs w:val="20"/>
          <w:color w:val="auto"/>
        </w:rPr>
        <w:tab/>
      </w:r>
      <w:r>
        <w:rPr>
          <w:rFonts w:ascii="Arial" w:cs="Arial" w:eastAsia="Arial" w:hAnsi="Arial"/>
          <w:sz w:val="18"/>
          <w:szCs w:val="18"/>
          <w:color w:val="auto"/>
        </w:rPr>
        <w:t>by surrender to the Company of shares of the Company already owned by the Participant or Shares subject to the Award being settled that have a Fair Market Value on the date of surrender equal to the aggregate Exercise Price or Purchase Price of the Shares as to which the Award will be exercised or settled;</w:t>
      </w:r>
    </w:p>
    <w:p>
      <w:pPr>
        <w:spacing w:after="0" w:line="181"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14.2.4</w:t>
      </w:r>
      <w:r>
        <w:rPr>
          <w:sz w:val="20"/>
          <w:szCs w:val="20"/>
          <w:color w:val="auto"/>
        </w:rPr>
        <w:tab/>
      </w:r>
      <w:r>
        <w:rPr>
          <w:rFonts w:ascii="Arial" w:cs="Arial" w:eastAsia="Arial" w:hAnsi="Arial"/>
          <w:sz w:val="16"/>
          <w:szCs w:val="16"/>
          <w:color w:val="auto"/>
        </w:rPr>
        <w:t>by deduction from salary or other remuneration payable to the Participant, if permitted by Applicable Law; or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hanging="777"/>
        <w:spacing w:after="0" w:line="277" w:lineRule="auto"/>
        <w:tabs>
          <w:tab w:leader="none" w:pos="1420" w:val="left"/>
        </w:tabs>
        <w:rPr>
          <w:sz w:val="20"/>
          <w:szCs w:val="20"/>
          <w:color w:val="auto"/>
        </w:rPr>
      </w:pPr>
      <w:r>
        <w:rPr>
          <w:rFonts w:ascii="Arial" w:cs="Arial" w:eastAsia="Arial" w:hAnsi="Arial"/>
          <w:sz w:val="18"/>
          <w:szCs w:val="18"/>
          <w:color w:val="auto"/>
        </w:rPr>
        <w:t>14.2.5</w:t>
      </w:r>
      <w:r>
        <w:rPr>
          <w:sz w:val="20"/>
          <w:szCs w:val="20"/>
          <w:color w:val="auto"/>
        </w:rPr>
        <w:tab/>
      </w:r>
      <w:r>
        <w:rPr>
          <w:rFonts w:ascii="Arial" w:cs="Arial" w:eastAsia="Arial" w:hAnsi="Arial"/>
          <w:sz w:val="18"/>
          <w:szCs w:val="18"/>
          <w:color w:val="auto"/>
        </w:rPr>
        <w:t>by any other method of payment as is permitted by Applicable Law and acceptable to the Committee, including through the net settlement of any Option.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SECTION 15.0 - TAXES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15.1</w:t>
      </w:r>
      <w:r>
        <w:rPr>
          <w:sz w:val="20"/>
          <w:szCs w:val="20"/>
          <w:color w:val="auto"/>
        </w:rPr>
        <w:tab/>
      </w:r>
      <w:r>
        <w:rPr>
          <w:rFonts w:ascii="Arial" w:cs="Arial" w:eastAsia="Arial" w:hAnsi="Arial"/>
          <w:sz w:val="16"/>
          <w:szCs w:val="16"/>
          <w:b w:val="1"/>
          <w:bCs w:val="1"/>
          <w:color w:val="auto"/>
        </w:rPr>
        <w:t>Withholding/Deduction Generally</w:t>
      </w:r>
    </w:p>
    <w:p>
      <w:pPr>
        <w:spacing w:after="0" w:line="229" w:lineRule="exact"/>
        <w:rPr>
          <w:sz w:val="20"/>
          <w:szCs w:val="20"/>
          <w:color w:val="auto"/>
        </w:rPr>
      </w:pPr>
    </w:p>
    <w:p>
      <w:pPr>
        <w:ind w:left="660" w:right="80"/>
        <w:spacing w:after="0" w:line="297" w:lineRule="auto"/>
        <w:rPr>
          <w:sz w:val="20"/>
          <w:szCs w:val="20"/>
          <w:color w:val="auto"/>
        </w:rPr>
      </w:pPr>
      <w:r>
        <w:rPr>
          <w:rFonts w:ascii="Arial" w:cs="Arial" w:eastAsia="Arial" w:hAnsi="Arial"/>
          <w:sz w:val="16"/>
          <w:szCs w:val="16"/>
          <w:color w:val="auto"/>
        </w:rPr>
        <w:t>It shall be a condition of the grant, exercise, vesting, cancellation or surrender of an Award, the issuance or delivery of Shares to a Participant pursuant to an Award, and any other action in relation to an Award that the Participant shall make such arrangements as the Company, King or any Associated Company or the Employee Benefit Trust or the acquirer in any Corporate Transaction or any other party affiliated to or associated with the Company may require for the satisfaction of all and any applicable taxes, social security or insurance contributions and other duties and imposts for which such entity or party is liable to account in any jurisdiction and the Company shall not effect or permit the grant, exercise, vesting,</w:t>
      </w:r>
    </w:p>
    <w:p>
      <w:pPr>
        <w:sectPr>
          <w:pgSz w:w="11900" w:h="16941" w:orient="portrait"/>
          <w:cols w:equalWidth="0" w:num="1">
            <w:col w:w="11380"/>
          </w:cols>
          <w:pgMar w:left="240" w:top="125" w:right="279" w:bottom="0" w:gutter="0" w:footer="0" w:header="0"/>
        </w:sectPr>
      </w:pPr>
    </w:p>
    <w:bookmarkStart w:id="166" w:name="page167"/>
    <w:bookmarkEnd w:id="166"/>
    <w:p>
      <w:pPr>
        <w:spacing w:after="0" w:line="32" w:lineRule="exact"/>
        <w:rPr>
          <w:sz w:val="20"/>
          <w:szCs w:val="20"/>
          <w:color w:val="auto"/>
        </w:rPr>
      </w:pPr>
    </w:p>
    <w:p>
      <w:pPr>
        <w:ind w:left="660" w:right="20"/>
        <w:spacing w:after="0" w:line="255" w:lineRule="auto"/>
        <w:rPr>
          <w:sz w:val="20"/>
          <w:szCs w:val="20"/>
          <w:color w:val="auto"/>
        </w:rPr>
      </w:pPr>
      <w:r>
        <w:rPr>
          <w:rFonts w:ascii="Arial" w:cs="Arial" w:eastAsia="Arial" w:hAnsi="Arial"/>
          <w:sz w:val="18"/>
          <w:szCs w:val="18"/>
          <w:color w:val="auto"/>
        </w:rPr>
        <w:t>cancellation or other action in relation to an Award, or the issuance or delivery of Shares to the Participant, until it is satisfied that all such obligations are or will be satisfied. Whenever a payment in satisfaction of an Award is to be made in cash, such payment will be net of an amount determined by the Company, King or the Associated Company employing or engaging the Participant, sufficient to satisfy all applicable tax requirements and any other liability legally due from the Participant. Without limiting the generality of the foregoing, the Company may withhold or account for taxes contemplated by this Section 15.1 by reference to applicable withholding rates, including minimum or maximum applicable statutory rates.</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15.2</w:t>
      </w:r>
      <w:r>
        <w:rPr>
          <w:sz w:val="20"/>
          <w:szCs w:val="20"/>
          <w:color w:val="auto"/>
        </w:rPr>
        <w:tab/>
      </w:r>
      <w:r>
        <w:rPr>
          <w:rFonts w:ascii="Arial" w:cs="Arial" w:eastAsia="Arial" w:hAnsi="Arial"/>
          <w:sz w:val="16"/>
          <w:szCs w:val="16"/>
          <w:b w:val="1"/>
          <w:bCs w:val="1"/>
          <w:color w:val="auto"/>
        </w:rPr>
        <w:t>Transfer of Employer Liability to Employee</w:t>
      </w:r>
    </w:p>
    <w:p>
      <w:pPr>
        <w:spacing w:after="0" w:line="229" w:lineRule="exact"/>
        <w:rPr>
          <w:sz w:val="20"/>
          <w:szCs w:val="20"/>
          <w:color w:val="auto"/>
        </w:rPr>
      </w:pPr>
    </w:p>
    <w:p>
      <w:pPr>
        <w:ind w:left="660" w:right="280"/>
        <w:spacing w:after="0" w:line="264" w:lineRule="auto"/>
        <w:rPr>
          <w:sz w:val="20"/>
          <w:szCs w:val="20"/>
          <w:color w:val="auto"/>
        </w:rPr>
      </w:pPr>
      <w:r>
        <w:rPr>
          <w:rFonts w:ascii="Arial" w:cs="Arial" w:eastAsia="Arial" w:hAnsi="Arial"/>
          <w:sz w:val="18"/>
          <w:szCs w:val="18"/>
          <w:color w:val="auto"/>
        </w:rPr>
        <w:t>To the extent permitted by, and in accordance with, Applicable Law, the Committee may determine in respect of any Award that liability for employer taxes, social security or insurance contributions or other imposts shall be transferred to or borne by the Participant. In the event of such determination, the terms and conditions for same shall be set out in the Award Agreement.</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15.3</w:t>
      </w:r>
      <w:r>
        <w:rPr>
          <w:sz w:val="20"/>
          <w:szCs w:val="20"/>
          <w:color w:val="auto"/>
        </w:rPr>
        <w:tab/>
      </w:r>
      <w:r>
        <w:rPr>
          <w:rFonts w:ascii="Arial" w:cs="Arial" w:eastAsia="Arial" w:hAnsi="Arial"/>
          <w:sz w:val="16"/>
          <w:szCs w:val="16"/>
          <w:b w:val="1"/>
          <w:bCs w:val="1"/>
          <w:color w:val="auto"/>
        </w:rPr>
        <w:t>Share Withholding</w:t>
      </w:r>
    </w:p>
    <w:p>
      <w:pPr>
        <w:spacing w:after="0" w:line="229"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The Committee in its sole discretion and pursuant to such procedures as it may specify from time to time and subject to Applicable Law, may require or permit a Participant to satisfy any tax or other liability due from the Participant as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3" w:lineRule="auto"/>
        <w:rPr>
          <w:sz w:val="20"/>
          <w:szCs w:val="20"/>
          <w:color w:val="auto"/>
        </w:rPr>
      </w:pPr>
      <w:r>
        <w:rPr>
          <w:rFonts w:ascii="Arial" w:cs="Arial" w:eastAsia="Arial" w:hAnsi="Arial"/>
          <w:sz w:val="18"/>
          <w:szCs w:val="18"/>
          <w:color w:val="auto"/>
        </w:rPr>
        <w:t>described in Section 15.1, or transferred to or borne by the Participant pursuant to a determination made under Section 15.2, in whole or in part by (without limitation); (a) paying cash, (b) directing the Company to withhold otherwise deliverable cash or Shares having a Fair Market Value equal to the amount required to satisfy the liability, (c) delivering to the Company already-owned Shares having a Fair Market Value equal to the amount required to satisfy the liability, or (d) withholding the amount required to satisfy the liability from the proceeds of the sale of otherwise deliverable Shares acquired pursuant to an Award either through a voluntary sale or through a mandatory sale arranged by the Company. The Fair Market Value of the Shares to be withheld or delivered will be determined as of the date the tax or other liability arises, unless otherwise determined by the Committee. For the sake of clarity, if the Company withholds, or the Participant delivers, Shares having a Fair Market Value greater than the amount required to satisfy the liability, the Participatant will receive a refund of any over-withheld amount in cash and will have no entitlement to the equivalent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16.0 - TRANSFERABILITY</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16.1</w:t>
      </w:r>
      <w:r>
        <w:rPr>
          <w:sz w:val="20"/>
          <w:szCs w:val="20"/>
          <w:color w:val="auto"/>
        </w:rPr>
        <w:tab/>
      </w:r>
      <w:r>
        <w:rPr>
          <w:rFonts w:ascii="Arial" w:cs="Arial" w:eastAsia="Arial" w:hAnsi="Arial"/>
          <w:sz w:val="16"/>
          <w:szCs w:val="16"/>
          <w:b w:val="1"/>
          <w:bCs w:val="1"/>
          <w:color w:val="auto"/>
        </w:rPr>
        <w:t>No Transfer Generally</w:t>
      </w:r>
    </w:p>
    <w:p>
      <w:pPr>
        <w:spacing w:after="0" w:line="229" w:lineRule="exact"/>
        <w:rPr>
          <w:sz w:val="20"/>
          <w:szCs w:val="20"/>
          <w:color w:val="auto"/>
        </w:rPr>
      </w:pPr>
    </w:p>
    <w:p>
      <w:pPr>
        <w:ind w:left="660" w:right="40"/>
        <w:spacing w:after="0" w:line="255" w:lineRule="auto"/>
        <w:rPr>
          <w:sz w:val="20"/>
          <w:szCs w:val="20"/>
          <w:color w:val="auto"/>
        </w:rPr>
      </w:pPr>
      <w:r>
        <w:rPr>
          <w:rFonts w:ascii="Arial" w:cs="Arial" w:eastAsia="Arial" w:hAnsi="Arial"/>
          <w:sz w:val="18"/>
          <w:szCs w:val="18"/>
          <w:color w:val="auto"/>
        </w:rPr>
        <w:t>Unless determined otherwise by the Committee or pursuant to Section 16.2, an Award may not be sold, pledged, assigned, hypothecated, transferred, or disposed of in any manner, other than by will or by the laws of descent or distribution, and an Award shall lapse to the extent it is purported to be sold, pledged, assigned, hypothecated, transferred or otherwise disposed of. All Awards shall be exercisable: (a) during the Participant’s lifetime only by (i) the Participant, or (ii) the Participant’s guardian or legal representative; (b) after the Participant’s death, by the Participant’s estate or the person who acquired the right to the Award by bequest or inheritance, and (c) if the Committee has made the Award transferable pursuant to Section 16.2, by the transferee.</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16.2</w:t>
      </w:r>
      <w:r>
        <w:rPr>
          <w:sz w:val="20"/>
          <w:szCs w:val="20"/>
          <w:color w:val="auto"/>
        </w:rPr>
        <w:tab/>
      </w:r>
      <w:r>
        <w:rPr>
          <w:rFonts w:ascii="Arial" w:cs="Arial" w:eastAsia="Arial" w:hAnsi="Arial"/>
          <w:sz w:val="16"/>
          <w:szCs w:val="16"/>
          <w:b w:val="1"/>
          <w:bCs w:val="1"/>
          <w:color w:val="auto"/>
        </w:rPr>
        <w:t>Award Transfer Program</w:t>
      </w:r>
    </w:p>
    <w:p>
      <w:pPr>
        <w:spacing w:after="0" w:line="229" w:lineRule="exact"/>
        <w:rPr>
          <w:sz w:val="20"/>
          <w:szCs w:val="20"/>
          <w:color w:val="auto"/>
        </w:rPr>
      </w:pPr>
    </w:p>
    <w:p>
      <w:pPr>
        <w:ind w:left="660" w:right="40"/>
        <w:spacing w:after="0" w:line="297" w:lineRule="auto"/>
        <w:rPr>
          <w:sz w:val="20"/>
          <w:szCs w:val="20"/>
          <w:color w:val="auto"/>
        </w:rPr>
      </w:pPr>
      <w:r>
        <w:rPr>
          <w:rFonts w:ascii="Arial" w:cs="Arial" w:eastAsia="Arial" w:hAnsi="Arial"/>
          <w:sz w:val="16"/>
          <w:szCs w:val="16"/>
          <w:color w:val="auto"/>
        </w:rPr>
        <w:t>Notwithstanding any contrary provision of the Plan, the Committee shall have the discretion and authority to determine and implement the terms and conditions of any Award Transfer Program instituted pursuant to this Section 16 including, without limitation, to make Awards transferable by instrument to a financial institution or other person approved by the Committee, including an inter vivos or testamentary trust in which the Awards are to be passed to beneficiaries upon the death of the trustor (settlor), or by gift or by domestic relations order to a Permitted Transferee. The Committee shall have the authority to amend the terms of any Award participating, or otherwise eligible to participate in, the Award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line="273" w:lineRule="auto"/>
        <w:rPr>
          <w:sz w:val="20"/>
          <w:szCs w:val="20"/>
          <w:color w:val="auto"/>
        </w:rPr>
      </w:pPr>
      <w:r>
        <w:rPr>
          <w:rFonts w:ascii="Arial" w:cs="Arial" w:eastAsia="Arial" w:hAnsi="Arial"/>
          <w:sz w:val="17"/>
          <w:szCs w:val="17"/>
          <w:color w:val="auto"/>
        </w:rPr>
        <w:t>Transfer Program, including (but not limited to) the authority to (a) amend (including to extend) the expiration date, post-termination exercise period and/or restrictions on transfer, forfeiture or compulsory transfer conditions of any such Award, (b) amend or remove any provision of the Award relating to the Participant’s continued Service, (c) amend the permissible payment methods with respect to the exercise or settlement of any such Award, (d) amend the adjustments to be implemented in the event of changes in the Company’s capitalization and other similar events with respect to such Award, and (e) include such additional terms and conditions and make such other changes to the terms of such Award or require the transferee to enter into a new Award Agreement as the Committee deems necessary or appropriate in its sole discretion.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17.0 - SHARE OWNERSHIP</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17.1</w:t>
      </w:r>
      <w:r>
        <w:rPr>
          <w:sz w:val="20"/>
          <w:szCs w:val="20"/>
          <w:color w:val="auto"/>
        </w:rPr>
        <w:tab/>
      </w:r>
      <w:r>
        <w:rPr>
          <w:rFonts w:ascii="Arial" w:cs="Arial" w:eastAsia="Arial" w:hAnsi="Arial"/>
          <w:sz w:val="16"/>
          <w:szCs w:val="16"/>
          <w:b w:val="1"/>
          <w:bCs w:val="1"/>
          <w:color w:val="auto"/>
        </w:rPr>
        <w:t>Privileges of Share Ownership</w:t>
      </w:r>
    </w:p>
    <w:p>
      <w:pPr>
        <w:spacing w:after="0" w:line="229" w:lineRule="exact"/>
        <w:rPr>
          <w:sz w:val="20"/>
          <w:szCs w:val="20"/>
          <w:color w:val="auto"/>
        </w:rPr>
      </w:pPr>
    </w:p>
    <w:p>
      <w:pPr>
        <w:ind w:left="660" w:right="80"/>
        <w:spacing w:after="0" w:line="290" w:lineRule="auto"/>
        <w:rPr>
          <w:sz w:val="20"/>
          <w:szCs w:val="20"/>
          <w:color w:val="auto"/>
        </w:rPr>
      </w:pPr>
      <w:r>
        <w:rPr>
          <w:rFonts w:ascii="Arial" w:cs="Arial" w:eastAsia="Arial" w:hAnsi="Arial"/>
          <w:sz w:val="16"/>
          <w:szCs w:val="16"/>
          <w:color w:val="auto"/>
        </w:rPr>
        <w:t>No Participant will have any of the rights of a shareholder with respect to any Shares subject to or comprised in an Award until the Shares are issued or transferred to the Participant, except for any Dividend Equivalents provided in respect of the Award. After Shares are issued or transferred to the Participant, the Participant will be a shareholder and have all the rights of a shareholder with respect to such Shares, including the right to vote and receive all dividends or other distributions made or paid with respect to such Shares; provided, that if such Shares are Restricted Shares, then any new, additional or different securities the Participant may become entitled to receive with respect to such Shares by virtue of a share dividend, share split or any other change in the corporate or capital structure of the Company will be subject to the same restrictions as the Restricted Shares; provided, further, that the Participant will have no right to retain such share dividends or share distributions with respect to Restricted Shares that do not vest and are compulsorily transferred or forfeited by the Participant in accordance with the Award Agreement.</w:t>
      </w:r>
    </w:p>
    <w:p>
      <w:pPr>
        <w:spacing w:after="0" w:line="16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17.2</w:t>
      </w:r>
      <w:r>
        <w:rPr>
          <w:sz w:val="20"/>
          <w:szCs w:val="20"/>
          <w:color w:val="auto"/>
        </w:rPr>
        <w:tab/>
      </w:r>
      <w:r>
        <w:rPr>
          <w:rFonts w:ascii="Arial" w:cs="Arial" w:eastAsia="Arial" w:hAnsi="Arial"/>
          <w:sz w:val="16"/>
          <w:szCs w:val="16"/>
          <w:b w:val="1"/>
          <w:bCs w:val="1"/>
          <w:color w:val="auto"/>
        </w:rPr>
        <w:t>Certificates</w:t>
      </w:r>
    </w:p>
    <w:p>
      <w:pPr>
        <w:sectPr>
          <w:pgSz w:w="11900" w:h="16870" w:orient="portrait"/>
          <w:cols w:equalWidth="0" w:num="1">
            <w:col w:w="11420"/>
          </w:cols>
          <w:pgMar w:left="240" w:top="125" w:right="239" w:bottom="0" w:gutter="0" w:footer="0" w:header="0"/>
        </w:sectPr>
      </w:pPr>
    </w:p>
    <w:bookmarkStart w:id="167" w:name="page168"/>
    <w:bookmarkEnd w:id="167"/>
    <w:p>
      <w:pPr>
        <w:spacing w:after="0" w:line="36" w:lineRule="exact"/>
        <w:rPr>
          <w:sz w:val="20"/>
          <w:szCs w:val="20"/>
          <w:color w:val="auto"/>
        </w:rPr>
      </w:pPr>
    </w:p>
    <w:p>
      <w:pPr>
        <w:ind w:left="660" w:right="200"/>
        <w:spacing w:after="0" w:line="308" w:lineRule="auto"/>
        <w:rPr>
          <w:sz w:val="20"/>
          <w:szCs w:val="20"/>
          <w:color w:val="auto"/>
        </w:rPr>
      </w:pPr>
      <w:r>
        <w:rPr>
          <w:rFonts w:ascii="Arial" w:cs="Arial" w:eastAsia="Arial" w:hAnsi="Arial"/>
          <w:sz w:val="17"/>
          <w:szCs w:val="17"/>
          <w:color w:val="auto"/>
        </w:rPr>
        <w:t>All Shares or other securities, whether or not certificated, delivered under the Plan will be subject to such share transfer orders, legends and other restrictions as the Committee may deem necessary or advisable, including restrictions under any Applicable Law.</w:t>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SECTION 18.0 - RESERVED</w:t>
      </w:r>
    </w:p>
    <w:p>
      <w:pPr>
        <w:spacing w:after="0" w:line="225" w:lineRule="exact"/>
        <w:rPr>
          <w:sz w:val="20"/>
          <w:szCs w:val="20"/>
          <w:color w:val="auto"/>
        </w:rPr>
      </w:pPr>
    </w:p>
    <w:p>
      <w:pPr>
        <w:ind w:right="2960" w:firstLine="3061"/>
        <w:spacing w:after="0" w:line="503" w:lineRule="auto"/>
        <w:rPr>
          <w:sz w:val="20"/>
          <w:szCs w:val="20"/>
          <w:color w:val="auto"/>
        </w:rPr>
      </w:pPr>
      <w:r>
        <w:rPr>
          <w:rFonts w:ascii="Arial" w:cs="Arial" w:eastAsia="Arial" w:hAnsi="Arial"/>
          <w:sz w:val="18"/>
          <w:szCs w:val="18"/>
          <w:b w:val="1"/>
          <w:bCs w:val="1"/>
          <w:color w:val="auto"/>
        </w:rPr>
        <w:t>SECTION 19.0 - SECURITIES LAW AND OTHER COMPLIANCE 19.1 Compliance with Applicable Laws</w:t>
      </w:r>
    </w:p>
    <w:p>
      <w:pPr>
        <w:spacing w:after="0" w:line="1" w:lineRule="exact"/>
        <w:rPr>
          <w:sz w:val="20"/>
          <w:szCs w:val="20"/>
          <w:color w:val="auto"/>
        </w:rPr>
      </w:pPr>
    </w:p>
    <w:p>
      <w:pPr>
        <w:ind w:left="660"/>
        <w:spacing w:after="0" w:line="271" w:lineRule="auto"/>
        <w:rPr>
          <w:sz w:val="20"/>
          <w:szCs w:val="20"/>
          <w:color w:val="auto"/>
        </w:rPr>
      </w:pPr>
      <w:r>
        <w:rPr>
          <w:rFonts w:ascii="Arial" w:cs="Arial" w:eastAsia="Arial" w:hAnsi="Arial"/>
          <w:sz w:val="17"/>
          <w:szCs w:val="17"/>
          <w:color w:val="auto"/>
        </w:rPr>
        <w:t>An Award will not be effective unless such Award is in compliance with all Applicable Laws, as they are in effect on the date of grant of the Award and also on the date of exercise, vesting or settlement. Notwithstanding any other provision of the Plan, the Company will have no obligation to issue or transfer or deliver certificates for Shares under the Plan prior to: (a) obtaining any approvals from governmental agencies that the Company determines are necessary or advisable; and/or (b) completion of any registration or other qualification of such Shares under any law or ruling of any governmental body that the Company determines to be necessary or advisable. Except as otherwise required under the Transaction Agreement, the Company will be under no obligation to register the Shares with the SEC or to effect compliance with the registration, qualification or listing requirements of any securities laws, exchange control laws, stock exchange or automated quotation system, and the Company will have no liability for any inability or failure to do so.</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19.2</w:t>
      </w:r>
      <w:r>
        <w:rPr>
          <w:sz w:val="20"/>
          <w:szCs w:val="20"/>
          <w:color w:val="auto"/>
        </w:rPr>
        <w:tab/>
      </w:r>
      <w:r>
        <w:rPr>
          <w:rFonts w:ascii="Arial" w:cs="Arial" w:eastAsia="Arial" w:hAnsi="Arial"/>
          <w:sz w:val="16"/>
          <w:szCs w:val="16"/>
          <w:b w:val="1"/>
          <w:bCs w:val="1"/>
          <w:color w:val="auto"/>
        </w:rPr>
        <w:t>Insider Trading Policy</w:t>
      </w:r>
    </w:p>
    <w:p>
      <w:pPr>
        <w:spacing w:after="0" w:line="229"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Each Participant shall comply with any policy adopted by the Company from time to time governing transactions in the Company’s securities by employees, officers and/or directors of the Company, King and any Associated Company.</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19.3</w:t>
      </w:r>
      <w:r>
        <w:rPr>
          <w:sz w:val="20"/>
          <w:szCs w:val="20"/>
          <w:color w:val="auto"/>
        </w:rPr>
        <w:tab/>
      </w:r>
      <w:r>
        <w:rPr>
          <w:rFonts w:ascii="Arial" w:cs="Arial" w:eastAsia="Arial" w:hAnsi="Arial"/>
          <w:sz w:val="16"/>
          <w:szCs w:val="16"/>
          <w:b w:val="1"/>
          <w:bCs w:val="1"/>
          <w:color w:val="auto"/>
        </w:rPr>
        <w:t>Malus and Clawback Policy</w:t>
      </w:r>
    </w:p>
    <w:p>
      <w:pPr>
        <w:spacing w:after="0" w:line="229" w:lineRule="exact"/>
        <w:rPr>
          <w:sz w:val="20"/>
          <w:szCs w:val="20"/>
          <w:color w:val="auto"/>
        </w:rPr>
      </w:pPr>
    </w:p>
    <w:p>
      <w:pPr>
        <w:ind w:left="660"/>
        <w:spacing w:after="0" w:line="254" w:lineRule="auto"/>
        <w:rPr>
          <w:sz w:val="20"/>
          <w:szCs w:val="20"/>
          <w:color w:val="auto"/>
        </w:rPr>
      </w:pPr>
      <w:r>
        <w:rPr>
          <w:rFonts w:ascii="Arial" w:cs="Arial" w:eastAsia="Arial" w:hAnsi="Arial"/>
          <w:sz w:val="18"/>
          <w:szCs w:val="18"/>
          <w:color w:val="auto"/>
        </w:rPr>
        <w:t>All Awards shall be subject to clawback pursuant to any compensation clawback or recoupment policy adopted by the Board (or a duly appointed committee thereof) or required by Applicable Law during the term of the Participant’s Service that is applicable to executive officers, employees, directors and/or other service providers of or to the Company, King or any Associated Company. In addition to any other remedies available under Applicable Law, such policy may require, if so determined by the Committee in its sole discretion, the cancellation or forfeiture of outstanding Awards, in full or in part, (whether or not vested), a reduction in the number of Shares subject to an Award that would vest and/or become exercisable in accordance with the terms of the Award Agreement and/or the recoupment by the Company, King or any Associated Company of any economic benefit already realized by a Participant with respect to an Award or Shares delivered pursuant to an Award, if the Participant engages or has engaged</w:t>
      </w:r>
    </w:p>
    <w:p>
      <w:pPr>
        <w:spacing w:after="0" w:line="19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in activity that is inimical, contrary or harmful to the interests of the Company, King or any Associated Company, as described in such policy.</w:t>
      </w:r>
    </w:p>
    <w:p>
      <w:pPr>
        <w:spacing w:after="0" w:line="23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19.4</w:t>
      </w:r>
      <w:r>
        <w:rPr>
          <w:sz w:val="20"/>
          <w:szCs w:val="20"/>
          <w:color w:val="auto"/>
        </w:rPr>
        <w:tab/>
      </w:r>
      <w:r>
        <w:rPr>
          <w:rFonts w:ascii="Arial" w:cs="Arial" w:eastAsia="Arial" w:hAnsi="Arial"/>
          <w:sz w:val="16"/>
          <w:szCs w:val="16"/>
          <w:b w:val="1"/>
          <w:bCs w:val="1"/>
          <w:color w:val="auto"/>
        </w:rPr>
        <w:t>Data Protection</w:t>
      </w:r>
    </w:p>
    <w:p>
      <w:pPr>
        <w:spacing w:after="0" w:line="229" w:lineRule="exact"/>
        <w:rPr>
          <w:sz w:val="20"/>
          <w:szCs w:val="20"/>
          <w:color w:val="auto"/>
        </w:rPr>
      </w:pPr>
    </w:p>
    <w:p>
      <w:pPr>
        <w:ind w:left="660"/>
        <w:spacing w:after="0" w:line="259" w:lineRule="auto"/>
        <w:rPr>
          <w:sz w:val="20"/>
          <w:szCs w:val="20"/>
          <w:color w:val="auto"/>
        </w:rPr>
      </w:pPr>
      <w:r>
        <w:rPr>
          <w:rFonts w:ascii="Arial" w:cs="Arial" w:eastAsia="Arial" w:hAnsi="Arial"/>
          <w:sz w:val="18"/>
          <w:szCs w:val="18"/>
          <w:color w:val="auto"/>
        </w:rPr>
        <w:t>As a condition of the grant of an Award, the Participant consents to the collection, retention, use, processing and transfer of his Personal Data by the Company, King, any Associated Company, the trustees of the Employee Benefit Trust, any administrator of the Plan, the Company’s registrars, transfer agent, brokers and other agents (whether between themselves or to any third party and including transfer to countries outside the European Economic Area) for the purposes of implementing and operating the Plan.</w:t>
      </w:r>
    </w:p>
    <w:p>
      <w:pPr>
        <w:spacing w:after="0" w:line="183"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SECTION 20.0 - EMPLOYMENT RELATIONSHIP</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20.1</w:t>
      </w:r>
      <w:r>
        <w:rPr>
          <w:sz w:val="20"/>
          <w:szCs w:val="20"/>
          <w:color w:val="auto"/>
        </w:rPr>
        <w:tab/>
      </w:r>
      <w:r>
        <w:rPr>
          <w:rFonts w:ascii="Arial" w:cs="Arial" w:eastAsia="Arial" w:hAnsi="Arial"/>
          <w:sz w:val="16"/>
          <w:szCs w:val="16"/>
          <w:b w:val="1"/>
          <w:bCs w:val="1"/>
          <w:color w:val="auto"/>
        </w:rPr>
        <w:t>No Obligation to Employ/ Right to Compensation</w:t>
      </w:r>
    </w:p>
    <w:p>
      <w:pPr>
        <w:spacing w:after="0" w:line="229" w:lineRule="exact"/>
        <w:rPr>
          <w:sz w:val="20"/>
          <w:szCs w:val="20"/>
          <w:color w:val="auto"/>
        </w:rPr>
      </w:pPr>
    </w:p>
    <w:p>
      <w:pPr>
        <w:ind w:left="1440" w:hanging="777"/>
        <w:spacing w:after="0" w:line="259" w:lineRule="auto"/>
        <w:tabs>
          <w:tab w:leader="none" w:pos="1420" w:val="left"/>
        </w:tabs>
        <w:rPr>
          <w:sz w:val="20"/>
          <w:szCs w:val="20"/>
          <w:color w:val="auto"/>
        </w:rPr>
      </w:pPr>
      <w:r>
        <w:rPr>
          <w:rFonts w:ascii="Arial" w:cs="Arial" w:eastAsia="Arial" w:hAnsi="Arial"/>
          <w:sz w:val="18"/>
          <w:szCs w:val="18"/>
          <w:color w:val="auto"/>
        </w:rPr>
        <w:t>20.1.1</w:t>
      </w:r>
      <w:r>
        <w:rPr>
          <w:sz w:val="20"/>
          <w:szCs w:val="20"/>
          <w:color w:val="auto"/>
        </w:rPr>
        <w:tab/>
      </w:r>
      <w:r>
        <w:rPr>
          <w:rFonts w:ascii="Arial" w:cs="Arial" w:eastAsia="Arial" w:hAnsi="Arial"/>
          <w:sz w:val="18"/>
          <w:szCs w:val="18"/>
          <w:color w:val="auto"/>
        </w:rPr>
        <w:t>Nothing in the Plan or any Award will confer or be deemed to confer on any Participant any right to continue in the Service of, or to continue any other relationship with, the Company, King or any Associated Company or limit in any way the right of the Company, King or any Associated Company to terminate the Participant’s employment or other relationship with the Company, King or any Associated Company at any time.</w:t>
      </w:r>
    </w:p>
    <w:p>
      <w:pPr>
        <w:spacing w:after="0" w:line="187" w:lineRule="exact"/>
        <w:rPr>
          <w:sz w:val="20"/>
          <w:szCs w:val="20"/>
          <w:color w:val="auto"/>
        </w:rPr>
      </w:pPr>
    </w:p>
    <w:p>
      <w:pPr>
        <w:ind w:left="1440" w:right="20" w:hanging="777"/>
        <w:spacing w:after="0" w:line="279" w:lineRule="auto"/>
        <w:tabs>
          <w:tab w:leader="none" w:pos="1420" w:val="left"/>
        </w:tabs>
        <w:rPr>
          <w:sz w:val="20"/>
          <w:szCs w:val="20"/>
          <w:color w:val="auto"/>
        </w:rPr>
      </w:pPr>
      <w:r>
        <w:rPr>
          <w:rFonts w:ascii="Arial" w:cs="Arial" w:eastAsia="Arial" w:hAnsi="Arial"/>
          <w:sz w:val="18"/>
          <w:szCs w:val="18"/>
          <w:color w:val="auto"/>
        </w:rPr>
        <w:t>20.1.2</w:t>
      </w:r>
      <w:r>
        <w:rPr>
          <w:sz w:val="20"/>
          <w:szCs w:val="20"/>
          <w:color w:val="auto"/>
        </w:rPr>
        <w:tab/>
      </w:r>
      <w:r>
        <w:rPr>
          <w:rFonts w:ascii="Arial" w:cs="Arial" w:eastAsia="Arial" w:hAnsi="Arial"/>
          <w:sz w:val="17"/>
          <w:szCs w:val="17"/>
          <w:color w:val="auto"/>
        </w:rPr>
        <w:t>All Awards shall be granted entirely at the discretion of the Committee. Unless expressly so provided in his contract of employment or engagement, no individual employed or engaged by the Company, King or any Associated Company has the right to receive an Award or shall have any claim against the Company, King or any Associated Company arising out of his not being admitted to participation in the Plan. The grant of an Award to a Participant shall not entitle him to receive any subsequent Awards.</w:t>
      </w:r>
    </w:p>
    <w:p>
      <w:pPr>
        <w:spacing w:after="0" w:line="171" w:lineRule="exact"/>
        <w:rPr>
          <w:sz w:val="20"/>
          <w:szCs w:val="20"/>
          <w:color w:val="auto"/>
        </w:rPr>
      </w:pPr>
    </w:p>
    <w:p>
      <w:pPr>
        <w:ind w:left="1440" w:right="640" w:hanging="777"/>
        <w:spacing w:after="0" w:line="277" w:lineRule="auto"/>
        <w:tabs>
          <w:tab w:leader="none" w:pos="1420" w:val="left"/>
        </w:tabs>
        <w:rPr>
          <w:sz w:val="20"/>
          <w:szCs w:val="20"/>
          <w:color w:val="auto"/>
        </w:rPr>
      </w:pPr>
      <w:r>
        <w:rPr>
          <w:rFonts w:ascii="Arial" w:cs="Arial" w:eastAsia="Arial" w:hAnsi="Arial"/>
          <w:sz w:val="18"/>
          <w:szCs w:val="18"/>
          <w:color w:val="auto"/>
        </w:rPr>
        <w:t>20.1.3</w:t>
      </w:r>
      <w:r>
        <w:rPr>
          <w:sz w:val="20"/>
          <w:szCs w:val="20"/>
          <w:color w:val="auto"/>
        </w:rPr>
        <w:tab/>
      </w:r>
      <w:r>
        <w:rPr>
          <w:rFonts w:ascii="Arial" w:cs="Arial" w:eastAsia="Arial" w:hAnsi="Arial"/>
          <w:sz w:val="18"/>
          <w:szCs w:val="18"/>
          <w:color w:val="auto"/>
        </w:rPr>
        <w:t>Neither the Plan nor an Award shall form part of any contract of employment or engagement between the Company, King or any Associated Company and any Participant.</w:t>
      </w:r>
    </w:p>
    <w:p>
      <w:pPr>
        <w:spacing w:after="0" w:line="170" w:lineRule="exact"/>
        <w:rPr>
          <w:sz w:val="20"/>
          <w:szCs w:val="20"/>
          <w:color w:val="auto"/>
        </w:rPr>
      </w:pPr>
    </w:p>
    <w:p>
      <w:pPr>
        <w:ind w:left="1440" w:right="440" w:hanging="777"/>
        <w:spacing w:after="0" w:line="277" w:lineRule="auto"/>
        <w:tabs>
          <w:tab w:leader="none" w:pos="1420" w:val="left"/>
        </w:tabs>
        <w:rPr>
          <w:sz w:val="20"/>
          <w:szCs w:val="20"/>
          <w:color w:val="auto"/>
        </w:rPr>
      </w:pPr>
      <w:r>
        <w:rPr>
          <w:rFonts w:ascii="Arial" w:cs="Arial" w:eastAsia="Arial" w:hAnsi="Arial"/>
          <w:sz w:val="18"/>
          <w:szCs w:val="18"/>
          <w:color w:val="auto"/>
        </w:rPr>
        <w:t>20.1.4</w:t>
      </w:r>
      <w:r>
        <w:rPr>
          <w:sz w:val="20"/>
          <w:szCs w:val="20"/>
          <w:color w:val="auto"/>
        </w:rPr>
        <w:tab/>
      </w:r>
      <w:r>
        <w:rPr>
          <w:rFonts w:ascii="Arial" w:cs="Arial" w:eastAsia="Arial" w:hAnsi="Arial"/>
          <w:sz w:val="18"/>
          <w:szCs w:val="18"/>
          <w:color w:val="auto"/>
        </w:rPr>
        <w:t>A Participant is not entitled to the exercise in his favour of any discretion exercisable by the Committee, the Company, King or any Associated Company under the Plan.</w:t>
      </w:r>
    </w:p>
    <w:p>
      <w:pPr>
        <w:spacing w:after="0" w:line="170" w:lineRule="exact"/>
        <w:rPr>
          <w:sz w:val="20"/>
          <w:szCs w:val="20"/>
          <w:color w:val="auto"/>
        </w:rPr>
      </w:pPr>
    </w:p>
    <w:p>
      <w:pPr>
        <w:ind w:left="1440" w:right="600" w:hanging="777"/>
        <w:spacing w:after="0" w:line="277" w:lineRule="auto"/>
        <w:tabs>
          <w:tab w:leader="none" w:pos="1420" w:val="left"/>
        </w:tabs>
        <w:rPr>
          <w:sz w:val="20"/>
          <w:szCs w:val="20"/>
          <w:color w:val="auto"/>
        </w:rPr>
      </w:pPr>
      <w:r>
        <w:rPr>
          <w:rFonts w:ascii="Arial" w:cs="Arial" w:eastAsia="Arial" w:hAnsi="Arial"/>
          <w:sz w:val="18"/>
          <w:szCs w:val="18"/>
          <w:color w:val="auto"/>
        </w:rPr>
        <w:t>20.1.5</w:t>
      </w:r>
      <w:r>
        <w:rPr>
          <w:sz w:val="20"/>
          <w:szCs w:val="20"/>
          <w:color w:val="auto"/>
        </w:rPr>
        <w:tab/>
      </w:r>
      <w:r>
        <w:rPr>
          <w:rFonts w:ascii="Arial" w:cs="Arial" w:eastAsia="Arial" w:hAnsi="Arial"/>
          <w:sz w:val="18"/>
          <w:szCs w:val="18"/>
          <w:color w:val="auto"/>
        </w:rPr>
        <w:t>The Plan, or any Award made to a Participant or the loss of any right or entitlement to or under such Award on termination of the Participant’s</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24</w:t>
      </w:r>
    </w:p>
    <w:p>
      <w:pPr>
        <w:sectPr>
          <w:pgSz w:w="11900" w:h="16874" w:orient="portrait"/>
          <w:cols w:equalWidth="0" w:num="1">
            <w:col w:w="11320"/>
          </w:cols>
          <w:pgMar w:left="240" w:top="342" w:right="339" w:bottom="0" w:gutter="0" w:footer="0" w:header="0"/>
        </w:sectPr>
      </w:pPr>
    </w:p>
    <w:bookmarkStart w:id="168" w:name="page169"/>
    <w:bookmarkEnd w:id="168"/>
    <w:p>
      <w:pPr>
        <w:spacing w:after="0" w:line="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1440" w:right="160"/>
        <w:spacing w:after="0" w:line="277" w:lineRule="auto"/>
        <w:rPr>
          <w:sz w:val="20"/>
          <w:szCs w:val="20"/>
          <w:color w:val="auto"/>
        </w:rPr>
      </w:pPr>
      <w:r>
        <w:rPr>
          <w:rFonts w:ascii="Arial" w:cs="Arial" w:eastAsia="Arial" w:hAnsi="Arial"/>
          <w:sz w:val="18"/>
          <w:szCs w:val="18"/>
          <w:color w:val="auto"/>
        </w:rPr>
        <w:t>Service, for any reason, shall not give to a Participant any right to continued Service or any additional right to compensation or damages in consequence of the termination of his Service, whether for wrongful dismissal or otherwise.</w:t>
      </w:r>
    </w:p>
    <w:p>
      <w:pPr>
        <w:spacing w:after="0" w:line="170" w:lineRule="exact"/>
        <w:rPr>
          <w:sz w:val="20"/>
          <w:szCs w:val="20"/>
          <w:color w:val="auto"/>
        </w:rPr>
      </w:pPr>
    </w:p>
    <w:p>
      <w:pPr>
        <w:ind w:left="1440" w:right="40" w:hanging="777"/>
        <w:spacing w:after="0" w:line="264" w:lineRule="auto"/>
        <w:tabs>
          <w:tab w:leader="none" w:pos="1420" w:val="left"/>
        </w:tabs>
        <w:rPr>
          <w:sz w:val="20"/>
          <w:szCs w:val="20"/>
          <w:color w:val="auto"/>
        </w:rPr>
      </w:pPr>
      <w:r>
        <w:rPr>
          <w:rFonts w:ascii="Arial" w:cs="Arial" w:eastAsia="Arial" w:hAnsi="Arial"/>
          <w:sz w:val="18"/>
          <w:szCs w:val="18"/>
          <w:color w:val="auto"/>
        </w:rPr>
        <w:t>20.1.6</w:t>
      </w:r>
      <w:r>
        <w:rPr>
          <w:sz w:val="20"/>
          <w:szCs w:val="20"/>
          <w:color w:val="auto"/>
        </w:rPr>
        <w:tab/>
      </w:r>
      <w:r>
        <w:rPr>
          <w:rFonts w:ascii="Arial" w:cs="Arial" w:eastAsia="Arial" w:hAnsi="Arial"/>
          <w:sz w:val="18"/>
          <w:szCs w:val="18"/>
          <w:color w:val="auto"/>
        </w:rPr>
        <w:t>The benefit to a Participant of participation in the Plan (including, in particular but not by way of limitation, any Award held by him) shall not count as his remuneration for any purpose and shall not count as part of his pensionable salary for the purpose of any employer contribution to any pension plan operated by the Company, King or any Associated Company.</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20.2</w:t>
      </w:r>
      <w:r>
        <w:rPr>
          <w:sz w:val="20"/>
          <w:szCs w:val="20"/>
          <w:color w:val="auto"/>
        </w:rPr>
        <w:tab/>
      </w:r>
      <w:r>
        <w:rPr>
          <w:rFonts w:ascii="Arial" w:cs="Arial" w:eastAsia="Arial" w:hAnsi="Arial"/>
          <w:sz w:val="16"/>
          <w:szCs w:val="16"/>
          <w:b w:val="1"/>
          <w:bCs w:val="1"/>
          <w:color w:val="auto"/>
        </w:rPr>
        <w:t>No Obligation to Notify or Minimize Taxes</w:t>
      </w:r>
    </w:p>
    <w:p>
      <w:pPr>
        <w:spacing w:after="0" w:line="229" w:lineRule="exact"/>
        <w:rPr>
          <w:sz w:val="20"/>
          <w:szCs w:val="20"/>
          <w:color w:val="auto"/>
        </w:rPr>
      </w:pPr>
    </w:p>
    <w:p>
      <w:pPr>
        <w:ind w:left="660" w:right="200"/>
        <w:spacing w:after="0" w:line="302" w:lineRule="auto"/>
        <w:rPr>
          <w:sz w:val="20"/>
          <w:szCs w:val="20"/>
          <w:color w:val="auto"/>
        </w:rPr>
      </w:pPr>
      <w:r>
        <w:rPr>
          <w:rFonts w:ascii="Arial" w:cs="Arial" w:eastAsia="Arial" w:hAnsi="Arial"/>
          <w:sz w:val="16"/>
          <w:szCs w:val="16"/>
          <w:color w:val="auto"/>
        </w:rPr>
        <w:t>The Company, King and any Associated Company shall have no duty or obligation to any Participant to advise him as to the time or manner of exercising an Award. Furthermore, the Company, King and any Associated Company shall have no duty or obligation to warn or otherwise advise any Participant of a pending termination or lapse or expiration of an Award or a possible period in which the Award may not be exercised. The Company, King and any Associated Company shall have no duty or obligation to minimize the tax consequences of an Award to a Participant.</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21.0 - CORPORATE TRANSACTION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21.1</w:t>
      </w:r>
      <w:r>
        <w:rPr>
          <w:sz w:val="20"/>
          <w:szCs w:val="20"/>
          <w:color w:val="auto"/>
        </w:rPr>
        <w:tab/>
      </w:r>
      <w:r>
        <w:rPr>
          <w:rFonts w:ascii="Arial" w:cs="Arial" w:eastAsia="Arial" w:hAnsi="Arial"/>
          <w:sz w:val="16"/>
          <w:szCs w:val="16"/>
          <w:b w:val="1"/>
          <w:bCs w:val="1"/>
          <w:color w:val="auto"/>
        </w:rPr>
        <w:t>Treatment of Awards</w:t>
      </w:r>
    </w:p>
    <w:p>
      <w:pPr>
        <w:spacing w:after="0" w:line="229" w:lineRule="exact"/>
        <w:rPr>
          <w:sz w:val="20"/>
          <w:szCs w:val="20"/>
          <w:color w:val="auto"/>
        </w:rPr>
      </w:pPr>
    </w:p>
    <w:p>
      <w:pPr>
        <w:ind w:left="1440" w:right="240" w:hanging="777"/>
        <w:spacing w:after="0" w:line="259" w:lineRule="auto"/>
        <w:tabs>
          <w:tab w:leader="none" w:pos="14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8"/>
          <w:szCs w:val="18"/>
          <w:color w:val="auto"/>
        </w:rPr>
        <w:t>Notwithstanding any other provision of the Plan, in the event that a Corporate Transaction occurs or will occur, the Committee may determine that any one or more of the following actions will be taken with respect to each outstanding Award, without the consent of a Participant (save as required by Applicable Law), contingent upon the Corporate Transaction becoming effective in accordance with its terms:</w:t>
      </w:r>
    </w:p>
    <w:p>
      <w:pPr>
        <w:spacing w:after="0" w:line="187" w:lineRule="exact"/>
        <w:rPr>
          <w:sz w:val="20"/>
          <w:szCs w:val="20"/>
          <w:color w:val="auto"/>
        </w:rPr>
      </w:pPr>
    </w:p>
    <w:p>
      <w:pPr>
        <w:ind w:left="2080" w:hanging="646"/>
        <w:spacing w:after="0"/>
        <w:tabs>
          <w:tab w:leader="none" w:pos="2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Options, to the extent not fully exercisable, shall become exercisable in full or in part;</w:t>
      </w:r>
    </w:p>
    <w:p>
      <w:pPr>
        <w:spacing w:after="0" w:line="225" w:lineRule="exact"/>
        <w:rPr>
          <w:rFonts w:ascii="Arial" w:cs="Arial" w:eastAsia="Arial" w:hAnsi="Arial"/>
          <w:sz w:val="18"/>
          <w:szCs w:val="18"/>
          <w:color w:val="auto"/>
        </w:rPr>
      </w:pPr>
    </w:p>
    <w:p>
      <w:pPr>
        <w:ind w:left="2080" w:hanging="646"/>
        <w:spacing w:after="0"/>
        <w:tabs>
          <w:tab w:leader="none" w:pos="2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SARs, to the extent not fully exercisable, shall become exercisable in full or in part and be settled;</w:t>
      </w:r>
    </w:p>
    <w:p>
      <w:pPr>
        <w:spacing w:after="0" w:line="225" w:lineRule="exact"/>
        <w:rPr>
          <w:rFonts w:ascii="Arial" w:cs="Arial" w:eastAsia="Arial" w:hAnsi="Arial"/>
          <w:sz w:val="18"/>
          <w:szCs w:val="18"/>
          <w:color w:val="auto"/>
        </w:rPr>
      </w:pPr>
    </w:p>
    <w:p>
      <w:pPr>
        <w:jc w:val="center"/>
        <w:ind w:left="5620" w:right="1880" w:hanging="4186"/>
        <w:spacing w:after="0" w:line="528" w:lineRule="auto"/>
        <w:tabs>
          <w:tab w:leader="none" w:pos="20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RSUs to the extent not vested and/or settled in full, shall become vested in full or in part and be settled; 25</w:t>
      </w:r>
    </w:p>
    <w:p>
      <w:pPr>
        <w:spacing w:after="0" w:line="210" w:lineRule="exact"/>
        <w:rPr>
          <w:rFonts w:ascii="Arial" w:cs="Arial" w:eastAsia="Arial" w:hAnsi="Arial"/>
          <w:sz w:val="18"/>
          <w:szCs w:val="18"/>
          <w:color w:val="auto"/>
        </w:rPr>
      </w:pPr>
    </w:p>
    <w:p>
      <w:pPr>
        <w:ind w:left="2080" w:hanging="646"/>
        <w:spacing w:after="0"/>
        <w:tabs>
          <w:tab w:leader="none" w:pos="2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Unrestricted Stock Units, to the extent not settled, shall be settled;</w:t>
      </w:r>
    </w:p>
    <w:p>
      <w:pPr>
        <w:spacing w:after="0" w:line="225" w:lineRule="exact"/>
        <w:rPr>
          <w:rFonts w:ascii="Arial" w:cs="Arial" w:eastAsia="Arial" w:hAnsi="Arial"/>
          <w:sz w:val="18"/>
          <w:szCs w:val="18"/>
          <w:color w:val="auto"/>
        </w:rPr>
      </w:pPr>
    </w:p>
    <w:p>
      <w:pPr>
        <w:ind w:left="2100" w:hanging="666"/>
        <w:spacing w:after="0"/>
        <w:tabs>
          <w:tab w:leader="none" w:pos="2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Performance Awards shall be settled in full or in part;</w:t>
      </w:r>
    </w:p>
    <w:p>
      <w:pPr>
        <w:spacing w:after="0" w:line="225" w:lineRule="exact"/>
        <w:rPr>
          <w:rFonts w:ascii="Arial" w:cs="Arial" w:eastAsia="Arial" w:hAnsi="Arial"/>
          <w:sz w:val="18"/>
          <w:szCs w:val="18"/>
          <w:color w:val="auto"/>
        </w:rPr>
      </w:pPr>
    </w:p>
    <w:p>
      <w:pPr>
        <w:ind w:left="2080" w:right="200" w:hanging="646"/>
        <w:spacing w:after="0" w:line="302" w:lineRule="auto"/>
        <w:tabs>
          <w:tab w:leader="none" w:pos="2084"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if exercise or vesting or settlement of an Award is conditional upon the satisfaction of Performance Factors, waive such Performance Factors in full or in part or measure the performance as of the date of the Corporate Transaction or a date prior thereto and/or pro-rate the number of Shares that become exercisable or vested or eligible for settlement based on the period of the Performance Period completed up to the date of the Corporate Transaction or such other measurement date;</w:t>
      </w:r>
    </w:p>
    <w:p>
      <w:pPr>
        <w:spacing w:after="0" w:line="154" w:lineRule="exact"/>
        <w:rPr>
          <w:rFonts w:ascii="Arial" w:cs="Arial" w:eastAsia="Arial" w:hAnsi="Arial"/>
          <w:sz w:val="16"/>
          <w:szCs w:val="16"/>
          <w:color w:val="auto"/>
        </w:rPr>
      </w:pPr>
    </w:p>
    <w:p>
      <w:pPr>
        <w:jc w:val="both"/>
        <w:ind w:left="2080" w:right="580" w:hanging="646"/>
        <w:spacing w:after="0" w:line="264" w:lineRule="auto"/>
        <w:tabs>
          <w:tab w:leader="none" w:pos="2101" w:val="left"/>
        </w:tabs>
        <w:numPr>
          <w:ilvl w:val="0"/>
          <w:numId w:val="113"/>
        </w:numPr>
        <w:rPr>
          <w:rFonts w:ascii="Arial" w:cs="Arial" w:eastAsia="Arial" w:hAnsi="Arial"/>
          <w:sz w:val="18"/>
          <w:szCs w:val="18"/>
          <w:color w:val="auto"/>
        </w:rPr>
      </w:pPr>
      <w:r>
        <w:rPr>
          <w:rFonts w:ascii="Arial" w:cs="Arial" w:eastAsia="Arial" w:hAnsi="Arial"/>
          <w:sz w:val="18"/>
          <w:szCs w:val="18"/>
          <w:color w:val="auto"/>
        </w:rPr>
        <w:t>cancel, without payment to the Participant of consideration, any Award pursuant to which Shares have not been issued or delivered if the Exercise Price or Purchase Price under the Award is equal to or greater than the value of the consideration payable for a Share in the Corporate Transaction;</w:t>
      </w:r>
    </w:p>
    <w:p>
      <w:pPr>
        <w:spacing w:after="0" w:line="181" w:lineRule="exact"/>
        <w:rPr>
          <w:rFonts w:ascii="Arial" w:cs="Arial" w:eastAsia="Arial" w:hAnsi="Arial"/>
          <w:sz w:val="18"/>
          <w:szCs w:val="18"/>
          <w:color w:val="auto"/>
        </w:rPr>
      </w:pPr>
    </w:p>
    <w:p>
      <w:pPr>
        <w:ind w:left="2080" w:right="240" w:hanging="646"/>
        <w:spacing w:after="0" w:line="276" w:lineRule="auto"/>
        <w:tabs>
          <w:tab w:leader="none" w:pos="208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cancel any Award pursuant to which Shares have not been issued in exchange for one or more payments from the Company or acquiring entity or its parent company, in cash and/or securities and/or other consideration, equivalent in value per Share, as determined by the Committee, to the amount by which value of the consideration payable for a Share in the Corporate Transaction exceeds the Exercise Price or Purchase Price under the Award and on such terms as the Committee determines, subject to deduction of applicable taxes and other required deductions;</w:t>
      </w:r>
    </w:p>
    <w:p>
      <w:pPr>
        <w:spacing w:after="0" w:line="172" w:lineRule="exact"/>
        <w:rPr>
          <w:rFonts w:ascii="Arial" w:cs="Arial" w:eastAsia="Arial" w:hAnsi="Arial"/>
          <w:sz w:val="17"/>
          <w:szCs w:val="17"/>
          <w:color w:val="auto"/>
        </w:rPr>
      </w:pPr>
    </w:p>
    <w:p>
      <w:pPr>
        <w:ind w:left="2100" w:hanging="666"/>
        <w:spacing w:after="0"/>
        <w:tabs>
          <w:tab w:leader="none" w:pos="210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give Participants an opportunity to exercise any Options and/or SARs within a specified period;</w:t>
      </w:r>
    </w:p>
    <w:p>
      <w:pPr>
        <w:spacing w:after="0" w:line="225" w:lineRule="exact"/>
        <w:rPr>
          <w:rFonts w:ascii="Arial" w:cs="Arial" w:eastAsia="Arial" w:hAnsi="Arial"/>
          <w:sz w:val="18"/>
          <w:szCs w:val="18"/>
          <w:color w:val="auto"/>
        </w:rPr>
      </w:pPr>
    </w:p>
    <w:p>
      <w:pPr>
        <w:ind w:left="2080" w:hanging="646"/>
        <w:spacing w:after="0" w:line="264" w:lineRule="auto"/>
        <w:tabs>
          <w:tab w:leader="none" w:pos="2088"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determine that any Award shall be assumed by the surviving corporation (or a parent or subsidiary of the surviving corporation or successor) or surrendered by the Participant and converted into or replaced with an equivalent award, as determined by the Committee, in respect of such corporation’s shares;</w:t>
      </w:r>
    </w:p>
    <w:p>
      <w:pPr>
        <w:spacing w:after="0" w:line="181" w:lineRule="exact"/>
        <w:rPr>
          <w:rFonts w:ascii="Arial" w:cs="Arial" w:eastAsia="Arial" w:hAnsi="Arial"/>
          <w:sz w:val="18"/>
          <w:szCs w:val="18"/>
          <w:color w:val="auto"/>
        </w:rPr>
      </w:pPr>
    </w:p>
    <w:p>
      <w:pPr>
        <w:ind w:left="2080" w:right="340" w:hanging="646"/>
        <w:spacing w:after="0" w:line="342" w:lineRule="auto"/>
        <w:tabs>
          <w:tab w:leader="none" w:pos="208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 the case of Shares held by a Participant under an Award that are subject to restrictions, determine that such Shares shall be exchanged for or replaced with substantially similar shares or other property of the surviving corporation (or a parent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-3987165</wp:posOffset>
            </wp:positionV>
            <wp:extent cx="7267575"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080" w:right="780"/>
        <w:spacing w:after="0" w:line="277" w:lineRule="auto"/>
        <w:rPr>
          <w:sz w:val="20"/>
          <w:szCs w:val="20"/>
          <w:color w:val="auto"/>
        </w:rPr>
      </w:pPr>
      <w:r>
        <w:rPr>
          <w:rFonts w:ascii="Arial" w:cs="Arial" w:eastAsia="Arial" w:hAnsi="Arial"/>
          <w:sz w:val="18"/>
          <w:szCs w:val="18"/>
          <w:color w:val="auto"/>
        </w:rPr>
        <w:t>subsidiary of the surviving corporation or successor) subject to restrictions no less favorable to the Participant that will substantially preserve the applicable terms of the Award; or</w:t>
      </w:r>
    </w:p>
    <w:p>
      <w:pPr>
        <w:spacing w:after="0" w:line="170" w:lineRule="exact"/>
        <w:rPr>
          <w:sz w:val="20"/>
          <w:szCs w:val="20"/>
          <w:color w:val="auto"/>
        </w:rPr>
      </w:pPr>
    </w:p>
    <w:p>
      <w:pPr>
        <w:ind w:left="2080" w:right="120" w:hanging="646"/>
        <w:spacing w:after="0" w:line="342" w:lineRule="auto"/>
        <w:tabs>
          <w:tab w:leader="none" w:pos="210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take any other action in relation to an Award that, in the sole discretion of the Committee, is equitable and substantially delivers or preserves the value of the Award having regard to the terms of the Award and the terms of the Corporate Transaction.</w:t>
      </w:r>
    </w:p>
    <w:p>
      <w:pPr>
        <w:spacing w:after="0" w:line="124" w:lineRule="exact"/>
        <w:rPr>
          <w:sz w:val="20"/>
          <w:szCs w:val="20"/>
          <w:color w:val="auto"/>
        </w:rPr>
      </w:pPr>
    </w:p>
    <w:p>
      <w:pPr>
        <w:ind w:left="2120" w:right="360"/>
        <w:spacing w:after="0" w:line="264" w:lineRule="auto"/>
        <w:rPr>
          <w:sz w:val="20"/>
          <w:szCs w:val="20"/>
          <w:color w:val="auto"/>
        </w:rPr>
      </w:pPr>
      <w:r>
        <w:rPr>
          <w:rFonts w:ascii="Arial" w:cs="Arial" w:eastAsia="Arial" w:hAnsi="Arial"/>
          <w:sz w:val="18"/>
          <w:szCs w:val="18"/>
          <w:color w:val="auto"/>
        </w:rPr>
        <w:t>Any such accelerated vesting, exercise, cancellation, surrender, termination, lapse, settlement, assumption, exchange, replacement or conversion shall take place as of the date the Corporate Transaction becomes effective in accordance with its terms or such other date as the Committee determines.</w:t>
      </w:r>
    </w:p>
    <w:p>
      <w:pPr>
        <w:sectPr>
          <w:pgSz w:w="11900" w:h="16851" w:orient="portrait"/>
          <w:cols w:equalWidth="0" w:num="1">
            <w:col w:w="11420"/>
          </w:cols>
          <w:pgMar w:left="240" w:top="733" w:right="239" w:bottom="0" w:gutter="0" w:footer="0" w:header="0"/>
        </w:sectPr>
      </w:pPr>
    </w:p>
    <w:bookmarkStart w:id="169" w:name="page170"/>
    <w:bookmarkEnd w:id="169"/>
    <w:p>
      <w:pPr>
        <w:ind w:left="1440" w:right="240" w:hanging="777"/>
        <w:spacing w:after="0" w:line="310" w:lineRule="auto"/>
        <w:tabs>
          <w:tab w:leader="none" w:pos="1420" w:val="left"/>
        </w:tabs>
        <w:rPr>
          <w:sz w:val="20"/>
          <w:szCs w:val="20"/>
          <w:color w:val="auto"/>
        </w:rPr>
      </w:pPr>
      <w:r>
        <w:rPr>
          <w:rFonts w:ascii="Arial" w:cs="Arial" w:eastAsia="Arial" w:hAnsi="Arial"/>
          <w:sz w:val="18"/>
          <w:szCs w:val="18"/>
          <w:color w:val="auto"/>
        </w:rPr>
        <w:t>21.1.2</w:t>
      </w:r>
      <w:r>
        <w:rPr>
          <w:sz w:val="20"/>
          <w:szCs w:val="20"/>
          <w:color w:val="auto"/>
        </w:rPr>
        <w:tab/>
      </w:r>
      <w:r>
        <w:rPr>
          <w:rFonts w:ascii="Arial" w:cs="Arial" w:eastAsia="Arial" w:hAnsi="Arial"/>
          <w:sz w:val="15"/>
          <w:szCs w:val="15"/>
          <w:color w:val="auto"/>
        </w:rPr>
        <w:t>Notwithstanding the foregoing provisions, however, to the extent that any Award or the Shares subject thereto are not accelerated, cancelled, surrendered, terminated, settled, assumed, exchanged, replaced or converted, as appropriate, pursuant to Section 21.1.1, then</w:t>
      </w:r>
    </w:p>
    <w:p>
      <w:pPr>
        <w:spacing w:after="0" w:line="1" w:lineRule="exact"/>
        <w:rPr>
          <w:sz w:val="20"/>
          <w:szCs w:val="20"/>
          <w:color w:val="auto"/>
        </w:rPr>
      </w:pPr>
    </w:p>
    <w:p>
      <w:pPr>
        <w:ind w:left="1440" w:hanging="6"/>
        <w:spacing w:after="0" w:line="254" w:lineRule="auto"/>
        <w:tabs>
          <w:tab w:leader="none" w:pos="1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if such Award is an Option or SAR, the Committee shall notify the Participant that it may be exercised, to the extent exercisable, during a period of time specified by the Committee, and to the extent not so exercised shall lapse upon the Corporate Transaction becoming effective in accordance with its terms, and (ii) in the case of any other Award, the Award shall lapse upon the Corporate Transaction becoming effective in accordance with its terms.</w:t>
      </w:r>
    </w:p>
    <w:p>
      <w:pPr>
        <w:spacing w:after="0" w:line="190" w:lineRule="exact"/>
        <w:rPr>
          <w:sz w:val="20"/>
          <w:szCs w:val="20"/>
          <w:color w:val="auto"/>
        </w:rPr>
      </w:pPr>
    </w:p>
    <w:p>
      <w:pPr>
        <w:ind w:left="1440" w:right="140" w:hanging="777"/>
        <w:spacing w:after="0" w:line="277" w:lineRule="auto"/>
        <w:tabs>
          <w:tab w:leader="none" w:pos="1420" w:val="left"/>
        </w:tabs>
        <w:rPr>
          <w:sz w:val="20"/>
          <w:szCs w:val="20"/>
          <w:color w:val="auto"/>
        </w:rPr>
      </w:pPr>
      <w:r>
        <w:rPr>
          <w:rFonts w:ascii="Arial" w:cs="Arial" w:eastAsia="Arial" w:hAnsi="Arial"/>
          <w:sz w:val="18"/>
          <w:szCs w:val="18"/>
          <w:color w:val="auto"/>
        </w:rPr>
        <w:t>21.1.3</w:t>
      </w:r>
      <w:r>
        <w:rPr>
          <w:sz w:val="20"/>
          <w:szCs w:val="20"/>
          <w:color w:val="auto"/>
        </w:rPr>
        <w:tab/>
      </w:r>
      <w:r>
        <w:rPr>
          <w:rFonts w:ascii="Arial" w:cs="Arial" w:eastAsia="Arial" w:hAnsi="Arial"/>
          <w:sz w:val="18"/>
          <w:szCs w:val="18"/>
          <w:color w:val="auto"/>
        </w:rPr>
        <w:t>The Committee may specify how an Award will be treated in the event of a Corporate Transaction either when the Award is granted or at any time thereafter.</w:t>
      </w:r>
    </w:p>
    <w:p>
      <w:pPr>
        <w:spacing w:after="0" w:line="170"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21.1.4</w:t>
      </w:r>
      <w:r>
        <w:rPr>
          <w:sz w:val="20"/>
          <w:szCs w:val="20"/>
          <w:color w:val="auto"/>
        </w:rPr>
        <w:tab/>
      </w:r>
      <w:r>
        <w:rPr>
          <w:rFonts w:ascii="Arial" w:cs="Arial" w:eastAsia="Arial" w:hAnsi="Arial"/>
          <w:sz w:val="16"/>
          <w:szCs w:val="16"/>
          <w:color w:val="auto"/>
        </w:rPr>
        <w:t>The Committee need not take the same action or actions with respect to all Awards or portions thereof or with respect to all Participants.</w:t>
      </w:r>
    </w:p>
    <w:p>
      <w:pPr>
        <w:spacing w:after="0" w:line="225" w:lineRule="exact"/>
        <w:rPr>
          <w:sz w:val="20"/>
          <w:szCs w:val="20"/>
          <w:color w:val="auto"/>
        </w:rPr>
      </w:pPr>
    </w:p>
    <w:p>
      <w:pPr>
        <w:ind w:left="1440" w:right="160" w:hanging="777"/>
        <w:spacing w:after="0" w:line="264" w:lineRule="auto"/>
        <w:tabs>
          <w:tab w:leader="none" w:pos="142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8"/>
          <w:szCs w:val="18"/>
          <w:color w:val="auto"/>
        </w:rPr>
        <w:t>The Committee shall have full and final authority, which shall be exercised in its sole discretion, to determine conclusively whether a Corporate Transaction has occurred pursuant to the provisions of the Plan, the date the Corporate Transaction becomes effective and any incidental matters relating thereto.</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21.2</w:t>
      </w:r>
      <w:r>
        <w:rPr>
          <w:sz w:val="20"/>
          <w:szCs w:val="20"/>
          <w:color w:val="auto"/>
        </w:rPr>
        <w:tab/>
      </w:r>
      <w:r>
        <w:rPr>
          <w:rFonts w:ascii="Arial" w:cs="Arial" w:eastAsia="Arial" w:hAnsi="Arial"/>
          <w:sz w:val="16"/>
          <w:szCs w:val="16"/>
          <w:b w:val="1"/>
          <w:bCs w:val="1"/>
          <w:color w:val="auto"/>
        </w:rPr>
        <w:t>Involuntary Termination following Corporate Transaction</w:t>
      </w:r>
    </w:p>
    <w:p>
      <w:pPr>
        <w:spacing w:after="0" w:line="229" w:lineRule="exact"/>
        <w:rPr>
          <w:sz w:val="20"/>
          <w:szCs w:val="20"/>
          <w:color w:val="auto"/>
        </w:rPr>
      </w:pPr>
    </w:p>
    <w:p>
      <w:pPr>
        <w:ind w:left="660" w:right="460"/>
        <w:spacing w:after="0" w:line="277" w:lineRule="auto"/>
        <w:rPr>
          <w:sz w:val="20"/>
          <w:szCs w:val="20"/>
          <w:color w:val="auto"/>
        </w:rPr>
      </w:pPr>
      <w:r>
        <w:rPr>
          <w:rFonts w:ascii="Arial" w:cs="Arial" w:eastAsia="Arial" w:hAnsi="Arial"/>
          <w:sz w:val="18"/>
          <w:szCs w:val="18"/>
          <w:color w:val="auto"/>
        </w:rPr>
        <w:t>The Committee may provide at the time of grant of an Award or at any time thereafter that in the event the Award continues after the Corporate Transaction,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20"/>
        <w:spacing w:after="0" w:line="257" w:lineRule="auto"/>
        <w:rPr>
          <w:sz w:val="20"/>
          <w:szCs w:val="20"/>
          <w:color w:val="auto"/>
        </w:rPr>
      </w:pPr>
      <w:r>
        <w:rPr>
          <w:rFonts w:ascii="Arial" w:cs="Arial" w:eastAsia="Arial" w:hAnsi="Arial"/>
          <w:sz w:val="18"/>
          <w:szCs w:val="18"/>
          <w:color w:val="auto"/>
        </w:rPr>
        <w:t>whether pursuant to replacement, assumption, substitution, exchange or conversion pursuant to Section 21.1, and the Service of the Participant terminates by reason of an Involuntary Termination within eighteen (18) months after the Corporate Transaction, the Award (as so replaced, assumed, substituted, exchanged or converted), to the extent not exercisable or vested in full, shall become exercisable or vest in full or in part on the date of such termination of Service. Unless otherwise determined by the Committee, Involuntary Termination shall have the meaning set out in Section 25.</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22.0 - DISSOLUTION OR LIQUIDATION</w:t>
      </w:r>
    </w:p>
    <w:p>
      <w:pPr>
        <w:spacing w:after="0" w:line="229" w:lineRule="exact"/>
        <w:rPr>
          <w:sz w:val="20"/>
          <w:szCs w:val="20"/>
          <w:color w:val="auto"/>
        </w:rPr>
      </w:pPr>
    </w:p>
    <w:p>
      <w:pPr>
        <w:ind w:left="660" w:right="160"/>
        <w:spacing w:after="0" w:line="291" w:lineRule="auto"/>
        <w:rPr>
          <w:sz w:val="20"/>
          <w:szCs w:val="20"/>
          <w:color w:val="auto"/>
        </w:rPr>
      </w:pPr>
      <w:r>
        <w:rPr>
          <w:rFonts w:ascii="Arial" w:cs="Arial" w:eastAsia="Arial" w:hAnsi="Arial"/>
          <w:sz w:val="16"/>
          <w:szCs w:val="16"/>
          <w:color w:val="auto"/>
        </w:rPr>
        <w:t xml:space="preserve">Except as otherwise provided in an Award Agreement, in the event of a dissolution or liquidation of the Company, other than one constituting a Corporate Transaction, all outstanding Awards shall terminate immediately prior to the completion of such dissolution or liquidation, and any Restricted Shares subject to the Company’s repurchase rights or subject to a forfeiture condition or compulsory transfer may be repurchased or reacquired by the Company or the Employee Benefit Trust on the terms set out in the Award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the Committee may, in its sole discretion, cause some or all Awards to become fully vested and exercisable (to the extent such Awards have not previously expired or terminated) and/or Restricted Shares to be no longer subject to repurchase or forfeiture or compulsory transfer or other restrictions, before the dissolution or liquidation is completed but contingent on its completion and on such conditions as the Committee determines.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23.0 - TERM AND AMENDMENT OF PLAN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23.1</w:t>
      </w:r>
      <w:r>
        <w:rPr>
          <w:sz w:val="20"/>
          <w:szCs w:val="20"/>
          <w:color w:val="auto"/>
        </w:rPr>
        <w:tab/>
      </w:r>
      <w:r>
        <w:rPr>
          <w:rFonts w:ascii="Arial" w:cs="Arial" w:eastAsia="Arial" w:hAnsi="Arial"/>
          <w:sz w:val="16"/>
          <w:szCs w:val="16"/>
          <w:b w:val="1"/>
          <w:bCs w:val="1"/>
          <w:color w:val="auto"/>
        </w:rPr>
        <w:t>Term of Plan</w:t>
      </w:r>
    </w:p>
    <w:p>
      <w:pPr>
        <w:spacing w:after="0" w:line="229" w:lineRule="exact"/>
        <w:rPr>
          <w:sz w:val="20"/>
          <w:szCs w:val="20"/>
          <w:color w:val="auto"/>
        </w:rPr>
      </w:pPr>
    </w:p>
    <w:p>
      <w:pPr>
        <w:ind w:left="660" w:right="80"/>
        <w:spacing w:after="0" w:line="308" w:lineRule="auto"/>
        <w:rPr>
          <w:sz w:val="20"/>
          <w:szCs w:val="20"/>
          <w:color w:val="auto"/>
        </w:rPr>
      </w:pPr>
      <w:r>
        <w:rPr>
          <w:rFonts w:ascii="Arial" w:cs="Arial" w:eastAsia="Arial" w:hAnsi="Arial"/>
          <w:sz w:val="17"/>
          <w:szCs w:val="17"/>
          <w:color w:val="auto"/>
        </w:rPr>
        <w:t>The Plan became effective on the Effective Date, was amended and restated in connection with the acquisition of King by the Company, effective as of the Acquisition Effective Time, and, unless earlier terminated as provided herein, will terminate on 5 March 2024.</w:t>
      </w:r>
    </w:p>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23.2</w:t>
      </w:r>
      <w:r>
        <w:rPr>
          <w:sz w:val="20"/>
          <w:szCs w:val="20"/>
          <w:color w:val="auto"/>
        </w:rPr>
        <w:tab/>
      </w:r>
      <w:r>
        <w:rPr>
          <w:rFonts w:ascii="Arial" w:cs="Arial" w:eastAsia="Arial" w:hAnsi="Arial"/>
          <w:sz w:val="16"/>
          <w:szCs w:val="16"/>
          <w:b w:val="1"/>
          <w:bCs w:val="1"/>
          <w:color w:val="auto"/>
        </w:rPr>
        <w:t>Amendment or Termination of the Plan</w:t>
      </w:r>
    </w:p>
    <w:p>
      <w:pPr>
        <w:spacing w:after="0" w:line="229"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The Board may at any time suspend, terminate or amend the Plan in any respect, including, without limitation, amendment of any form of Award Agreement or instrument to be executed pursuant to the Plan; provided, however, that the Board will not, without the approval of the shareholders of the Company, amend the Plan in any manner that requires such shareholder approval, whether pursuant to</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rules of any stock exchange on which the Company’s shares are listed for trading or any other Applicable Law.</w:t>
      </w:r>
    </w:p>
    <w:p>
      <w:pPr>
        <w:spacing w:after="0" w:line="22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No amendment, suspension or termination of the Plan shall, without the consent of the Participant, alter or impair any rights or obligations under any Award theretofore granted unless the Award itself otherwise expressly so provides.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24.0 - OTHER PROVISIONS</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24.1</w:t>
      </w:r>
      <w:r>
        <w:rPr>
          <w:sz w:val="20"/>
          <w:szCs w:val="20"/>
          <w:color w:val="auto"/>
        </w:rPr>
        <w:tab/>
      </w:r>
      <w:r>
        <w:rPr>
          <w:rFonts w:ascii="Arial" w:cs="Arial" w:eastAsia="Arial" w:hAnsi="Arial"/>
          <w:sz w:val="16"/>
          <w:szCs w:val="16"/>
          <w:b w:val="1"/>
          <w:bCs w:val="1"/>
          <w:color w:val="auto"/>
        </w:rPr>
        <w:t>Governing Law</w:t>
      </w:r>
    </w:p>
    <w:p>
      <w:pPr>
        <w:spacing w:after="0" w:line="229" w:lineRule="exact"/>
        <w:rPr>
          <w:sz w:val="20"/>
          <w:szCs w:val="20"/>
          <w:color w:val="auto"/>
        </w:rPr>
      </w:pPr>
    </w:p>
    <w:p>
      <w:pPr>
        <w:ind w:left="660" w:right="120"/>
        <w:spacing w:after="0" w:line="264" w:lineRule="auto"/>
        <w:rPr>
          <w:sz w:val="20"/>
          <w:szCs w:val="20"/>
          <w:color w:val="auto"/>
        </w:rPr>
      </w:pPr>
      <w:r>
        <w:rPr>
          <w:rFonts w:ascii="Arial" w:cs="Arial" w:eastAsia="Arial" w:hAnsi="Arial"/>
          <w:sz w:val="18"/>
          <w:szCs w:val="18"/>
          <w:color w:val="auto"/>
        </w:rPr>
        <w:t>This Plan and all Awards shall be governed by and construed in accordance with the laws of England and Wales, except that the laws of the State of Delaware shall govern any questions that pertain to the Common Stock of the Company or whether the Company has engaged in a Corporate Transaction.</w:t>
      </w:r>
    </w:p>
    <w:p>
      <w:pPr>
        <w:spacing w:after="0" w:line="17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24.2</w:t>
      </w:r>
      <w:r>
        <w:rPr>
          <w:sz w:val="20"/>
          <w:szCs w:val="20"/>
          <w:color w:val="auto"/>
        </w:rPr>
        <w:tab/>
      </w:r>
      <w:r>
        <w:rPr>
          <w:rFonts w:ascii="Arial" w:cs="Arial" w:eastAsia="Arial" w:hAnsi="Arial"/>
          <w:sz w:val="16"/>
          <w:szCs w:val="16"/>
          <w:b w:val="1"/>
          <w:bCs w:val="1"/>
          <w:color w:val="auto"/>
        </w:rPr>
        <w:t>Jurisdiction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Courts of England and Wales shall have exclusive jurisdiction over all matters pertaining to Awards granted under the Plan.</w:t>
      </w:r>
    </w:p>
    <w:p>
      <w:pPr>
        <w:sectPr>
          <w:pgSz w:w="11900" w:h="16838" w:orient="portrait"/>
          <w:cols w:equalWidth="0" w:num="1">
            <w:col w:w="11420"/>
          </w:cols>
          <w:pgMar w:left="240" w:top="341" w:right="239" w:bottom="0" w:gutter="0" w:footer="0" w:header="0"/>
        </w:sectPr>
      </w:pPr>
    </w:p>
    <w:bookmarkStart w:id="170" w:name="page171"/>
    <w:bookmarkEnd w:id="170"/>
    <w:p>
      <w:pPr>
        <w:spacing w:after="0"/>
        <w:tabs>
          <w:tab w:leader="none" w:pos="620" w:val="left"/>
        </w:tabs>
        <w:rPr>
          <w:sz w:val="20"/>
          <w:szCs w:val="20"/>
          <w:color w:val="auto"/>
        </w:rPr>
      </w:pPr>
      <w:r>
        <w:rPr>
          <w:rFonts w:ascii="Arial" w:cs="Arial" w:eastAsia="Arial" w:hAnsi="Arial"/>
          <w:sz w:val="18"/>
          <w:szCs w:val="18"/>
          <w:b w:val="1"/>
          <w:bCs w:val="1"/>
          <w:color w:val="auto"/>
        </w:rPr>
        <w:t>24.3</w:t>
      </w:r>
      <w:r>
        <w:rPr>
          <w:sz w:val="20"/>
          <w:szCs w:val="20"/>
          <w:color w:val="auto"/>
        </w:rPr>
        <w:tab/>
      </w:r>
      <w:r>
        <w:rPr>
          <w:rFonts w:ascii="Arial" w:cs="Arial" w:eastAsia="Arial" w:hAnsi="Arial"/>
          <w:sz w:val="16"/>
          <w:szCs w:val="16"/>
          <w:b w:val="1"/>
          <w:bCs w:val="1"/>
          <w:color w:val="auto"/>
        </w:rPr>
        <w:t>Non-Exclusivity of the Plan</w:t>
      </w:r>
    </w:p>
    <w:p>
      <w:pPr>
        <w:spacing w:after="0" w:line="229" w:lineRule="exact"/>
        <w:rPr>
          <w:sz w:val="20"/>
          <w:szCs w:val="20"/>
          <w:color w:val="auto"/>
        </w:rPr>
      </w:pPr>
    </w:p>
    <w:p>
      <w:pPr>
        <w:jc w:val="both"/>
        <w:ind w:left="660" w:right="40"/>
        <w:spacing w:after="0" w:line="259" w:lineRule="auto"/>
        <w:rPr>
          <w:sz w:val="20"/>
          <w:szCs w:val="20"/>
          <w:color w:val="auto"/>
        </w:rPr>
      </w:pPr>
      <w:r>
        <w:rPr>
          <w:rFonts w:ascii="Arial" w:cs="Arial" w:eastAsia="Arial" w:hAnsi="Arial"/>
          <w:sz w:val="18"/>
          <w:szCs w:val="18"/>
          <w:color w:val="auto"/>
        </w:rPr>
        <w:t>Neither the assumption of this Plan by the Company, nor any provision of this Plan will be construed as creating any limitations on the power of the Committee or the Board to adopt such additional compensation arrangements as they may deem desirable, including, without limitation, the granting of share awards and bonuses otherwise than under this Plan, and such arrangements may be either generally applicable or applicable only in specific cases.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25.0 - DEFINITIONS AND INTERPRETATION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25.1</w:t>
      </w:r>
      <w:r>
        <w:rPr>
          <w:sz w:val="20"/>
          <w:szCs w:val="20"/>
          <w:color w:val="auto"/>
        </w:rPr>
        <w:tab/>
      </w:r>
      <w:r>
        <w:rPr>
          <w:rFonts w:ascii="Arial" w:cs="Arial" w:eastAsia="Arial" w:hAnsi="Arial"/>
          <w:sz w:val="16"/>
          <w:szCs w:val="16"/>
          <w:b w:val="1"/>
          <w:bCs w:val="1"/>
          <w:color w:val="auto"/>
        </w:rPr>
        <w:t>Definitions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and except as elsewhere defined herein, the following terms will have the following meanings:</w:t>
      </w:r>
    </w:p>
    <w:p>
      <w:pPr>
        <w:spacing w:after="0" w:line="2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25.1.1</w:t>
      </w:r>
      <w:r>
        <w:rPr>
          <w:sz w:val="20"/>
          <w:szCs w:val="20"/>
          <w:color w:val="auto"/>
        </w:rPr>
        <w:tab/>
      </w:r>
      <w:r>
        <w:rPr>
          <w:rFonts w:ascii="Arial" w:cs="Arial" w:eastAsia="Arial" w:hAnsi="Arial"/>
          <w:sz w:val="16"/>
          <w:szCs w:val="16"/>
          <w:color w:val="auto"/>
        </w:rPr>
        <w:t>“Acquisition Effective Date” means 23 February 2016;</w:t>
      </w:r>
    </w:p>
    <w:p>
      <w:pPr>
        <w:spacing w:after="0" w:line="225" w:lineRule="exact"/>
        <w:rPr>
          <w:sz w:val="20"/>
          <w:szCs w:val="20"/>
          <w:color w:val="auto"/>
        </w:rPr>
      </w:pPr>
    </w:p>
    <w:p>
      <w:pPr>
        <w:ind w:left="1440" w:right="720" w:hanging="777"/>
        <w:spacing w:after="0" w:line="277" w:lineRule="auto"/>
        <w:tabs>
          <w:tab w:leader="none" w:pos="1420" w:val="left"/>
        </w:tabs>
        <w:rPr>
          <w:sz w:val="20"/>
          <w:szCs w:val="20"/>
          <w:color w:val="auto"/>
        </w:rPr>
      </w:pPr>
      <w:r>
        <w:rPr>
          <w:rFonts w:ascii="Arial" w:cs="Arial" w:eastAsia="Arial" w:hAnsi="Arial"/>
          <w:sz w:val="18"/>
          <w:szCs w:val="18"/>
          <w:color w:val="auto"/>
        </w:rPr>
        <w:t>25.1.2</w:t>
      </w:r>
      <w:r>
        <w:rPr>
          <w:sz w:val="20"/>
          <w:szCs w:val="20"/>
          <w:color w:val="auto"/>
        </w:rPr>
        <w:tab/>
      </w:r>
      <w:r>
        <w:rPr>
          <w:rFonts w:ascii="Arial" w:cs="Arial" w:eastAsia="Arial" w:hAnsi="Arial"/>
          <w:sz w:val="18"/>
          <w:szCs w:val="18"/>
          <w:color w:val="auto"/>
        </w:rPr>
        <w:t>“Acquisition Effective Time” means the time on the Acquisition Effective Date at which the transactions contemplated under the Transaction Agreement are consummated.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right="60" w:hanging="777"/>
        <w:spacing w:after="0" w:line="257" w:lineRule="auto"/>
        <w:tabs>
          <w:tab w:leader="none" w:pos="1420" w:val="left"/>
        </w:tabs>
        <w:rPr>
          <w:sz w:val="20"/>
          <w:szCs w:val="20"/>
          <w:color w:val="auto"/>
        </w:rPr>
      </w:pPr>
      <w:r>
        <w:rPr>
          <w:rFonts w:ascii="Arial" w:cs="Arial" w:eastAsia="Arial" w:hAnsi="Arial"/>
          <w:sz w:val="18"/>
          <w:szCs w:val="18"/>
          <w:color w:val="auto"/>
        </w:rPr>
        <w:t>25.1.3</w:t>
      </w:r>
      <w:r>
        <w:rPr>
          <w:sz w:val="20"/>
          <w:szCs w:val="20"/>
          <w:color w:val="auto"/>
        </w:rPr>
        <w:tab/>
      </w:r>
      <w:r>
        <w:rPr>
          <w:rFonts w:ascii="Arial" w:cs="Arial" w:eastAsia="Arial" w:hAnsi="Arial"/>
          <w:sz w:val="18"/>
          <w:szCs w:val="18"/>
          <w:color w:val="auto"/>
        </w:rPr>
        <w:t>“Applicable Law” means the laws of England and Wales, any legal requirement relating to the Plan, Awards and/or Shares under applicable U.S. federal law, the law of the State of Delaware and other state laws, the listing rules of NASDAQ or any other applicable stock exchange or automated quotation system rules or regulations, the Code, and the applicable laws, rules, regulations and requirements of any country or jurisdiction where Awards are or are to be granted, exercised, vest or be settled, as such laws, rules, regulations and requirements shall be in place from time to time;</w:t>
      </w:r>
    </w:p>
    <w:p>
      <w:pPr>
        <w:spacing w:after="0" w:line="188"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25.1.4</w:t>
      </w:r>
      <w:r>
        <w:rPr>
          <w:sz w:val="20"/>
          <w:szCs w:val="20"/>
          <w:color w:val="auto"/>
        </w:rPr>
        <w:tab/>
      </w:r>
      <w:r>
        <w:rPr>
          <w:rFonts w:ascii="Arial" w:cs="Arial" w:eastAsia="Arial" w:hAnsi="Arial"/>
          <w:sz w:val="16"/>
          <w:szCs w:val="16"/>
          <w:color w:val="auto"/>
        </w:rPr>
        <w:t>“Associated Company” means any Subsidiary of King or the Company;</w:t>
      </w:r>
    </w:p>
    <w:p>
      <w:pPr>
        <w:spacing w:after="0" w:line="225" w:lineRule="exact"/>
        <w:rPr>
          <w:sz w:val="20"/>
          <w:szCs w:val="20"/>
          <w:color w:val="auto"/>
        </w:rPr>
      </w:pPr>
    </w:p>
    <w:p>
      <w:pPr>
        <w:ind w:left="1440" w:right="500" w:hanging="777"/>
        <w:spacing w:after="0" w:line="308" w:lineRule="auto"/>
        <w:tabs>
          <w:tab w:leader="none" w:pos="1420" w:val="left"/>
        </w:tabs>
        <w:rPr>
          <w:sz w:val="20"/>
          <w:szCs w:val="20"/>
          <w:color w:val="auto"/>
        </w:rPr>
      </w:pPr>
      <w:r>
        <w:rPr>
          <w:rFonts w:ascii="Arial" w:cs="Arial" w:eastAsia="Arial" w:hAnsi="Arial"/>
          <w:sz w:val="18"/>
          <w:szCs w:val="18"/>
          <w:color w:val="auto"/>
        </w:rPr>
        <w:t>25.1.5</w:t>
      </w:r>
      <w:r>
        <w:rPr>
          <w:sz w:val="20"/>
          <w:szCs w:val="20"/>
          <w:color w:val="auto"/>
        </w:rPr>
        <w:tab/>
      </w:r>
      <w:r>
        <w:rPr>
          <w:rFonts w:ascii="Arial" w:cs="Arial" w:eastAsia="Arial" w:hAnsi="Arial"/>
          <w:sz w:val="17"/>
          <w:szCs w:val="17"/>
          <w:color w:val="auto"/>
        </w:rPr>
        <w:t>“Award” means any award granted under the Plan, including any Option, Stock Appreciation Right (SAR), Restricted Share Award, Restricted Stock Unit (RSU) Award, Unrestricted Stock Unit Award, Performance Award or Substitute Award;</w:t>
      </w:r>
    </w:p>
    <w:p>
      <w:pPr>
        <w:spacing w:after="0" w:line="147" w:lineRule="exact"/>
        <w:rPr>
          <w:sz w:val="20"/>
          <w:szCs w:val="20"/>
          <w:color w:val="auto"/>
        </w:rPr>
      </w:pPr>
    </w:p>
    <w:p>
      <w:pPr>
        <w:ind w:left="1440" w:right="20" w:hanging="777"/>
        <w:spacing w:after="0" w:line="259" w:lineRule="auto"/>
        <w:tabs>
          <w:tab w:leader="none" w:pos="1420" w:val="left"/>
        </w:tabs>
        <w:rPr>
          <w:sz w:val="20"/>
          <w:szCs w:val="20"/>
          <w:color w:val="auto"/>
        </w:rPr>
      </w:pPr>
      <w:r>
        <w:rPr>
          <w:rFonts w:ascii="Arial" w:cs="Arial" w:eastAsia="Arial" w:hAnsi="Arial"/>
          <w:sz w:val="18"/>
          <w:szCs w:val="18"/>
          <w:color w:val="auto"/>
        </w:rPr>
        <w:t>25.1.6</w:t>
      </w:r>
      <w:r>
        <w:rPr>
          <w:sz w:val="20"/>
          <w:szCs w:val="20"/>
          <w:color w:val="auto"/>
        </w:rPr>
        <w:tab/>
      </w:r>
      <w:r>
        <w:rPr>
          <w:rFonts w:ascii="Arial" w:cs="Arial" w:eastAsia="Arial" w:hAnsi="Arial"/>
          <w:sz w:val="18"/>
          <w:szCs w:val="18"/>
          <w:color w:val="auto"/>
        </w:rPr>
        <w:t>“Award Agreement” means, with respect to each Award, any written or electronic agreement between King or the Company and the Participant setting forth the terms and conditions of the Award, and any country-specific appendix thereto, which shall be in substantially a form (which need not be the same for each Participant) that the Committee has from time to time approved, and will comply with and be subject to the terms and conditions of the Plan;</w:t>
      </w:r>
    </w:p>
    <w:p>
      <w:pPr>
        <w:spacing w:after="0" w:line="187" w:lineRule="exact"/>
        <w:rPr>
          <w:sz w:val="20"/>
          <w:szCs w:val="20"/>
          <w:color w:val="auto"/>
        </w:rPr>
      </w:pPr>
    </w:p>
    <w:p>
      <w:pPr>
        <w:ind w:left="1440" w:right="80" w:hanging="777"/>
        <w:spacing w:after="0" w:line="277" w:lineRule="auto"/>
        <w:tabs>
          <w:tab w:leader="none" w:pos="1420" w:val="left"/>
        </w:tabs>
        <w:rPr>
          <w:sz w:val="20"/>
          <w:szCs w:val="20"/>
          <w:color w:val="auto"/>
        </w:rPr>
      </w:pPr>
      <w:r>
        <w:rPr>
          <w:rFonts w:ascii="Arial" w:cs="Arial" w:eastAsia="Arial" w:hAnsi="Arial"/>
          <w:sz w:val="18"/>
          <w:szCs w:val="18"/>
          <w:color w:val="auto"/>
        </w:rPr>
        <w:t>25.1.7</w:t>
      </w:r>
      <w:r>
        <w:rPr>
          <w:sz w:val="20"/>
          <w:szCs w:val="20"/>
          <w:color w:val="auto"/>
        </w:rPr>
        <w:tab/>
      </w:r>
      <w:r>
        <w:rPr>
          <w:rFonts w:ascii="Arial" w:cs="Arial" w:eastAsia="Arial" w:hAnsi="Arial"/>
          <w:sz w:val="18"/>
          <w:szCs w:val="18"/>
          <w:color w:val="auto"/>
        </w:rPr>
        <w:t>“Award Transfer Program” means any program instituted by the Committee which would permit one or more Participants the opportunity to transfer Awards pursuant the provisions of Section 16.2;</w:t>
      </w:r>
    </w:p>
    <w:p>
      <w:pPr>
        <w:spacing w:after="0" w:line="170"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25.1.8</w:t>
      </w:r>
      <w:r>
        <w:rPr>
          <w:sz w:val="20"/>
          <w:szCs w:val="20"/>
          <w:color w:val="auto"/>
        </w:rPr>
        <w:tab/>
      </w:r>
      <w:r>
        <w:rPr>
          <w:rFonts w:ascii="Arial" w:cs="Arial" w:eastAsia="Arial" w:hAnsi="Arial"/>
          <w:sz w:val="16"/>
          <w:szCs w:val="16"/>
          <w:color w:val="auto"/>
        </w:rPr>
        <w:t>“Board” means the board of directors of the Company;</w:t>
      </w:r>
    </w:p>
    <w:p>
      <w:pPr>
        <w:spacing w:after="0" w:line="225" w:lineRule="exact"/>
        <w:rPr>
          <w:sz w:val="20"/>
          <w:szCs w:val="20"/>
          <w:color w:val="auto"/>
        </w:rPr>
      </w:pPr>
    </w:p>
    <w:p>
      <w:pPr>
        <w:ind w:left="1440" w:hanging="777"/>
        <w:spacing w:after="0" w:line="291" w:lineRule="auto"/>
        <w:tabs>
          <w:tab w:leader="none" w:pos="1420" w:val="left"/>
        </w:tabs>
        <w:rPr>
          <w:sz w:val="20"/>
          <w:szCs w:val="20"/>
          <w:color w:val="auto"/>
        </w:rPr>
      </w:pPr>
      <w:r>
        <w:rPr>
          <w:rFonts w:ascii="Arial" w:cs="Arial" w:eastAsia="Arial" w:hAnsi="Arial"/>
          <w:sz w:val="18"/>
          <w:szCs w:val="18"/>
          <w:color w:val="auto"/>
        </w:rPr>
        <w:t>25.1.9</w:t>
      </w:r>
      <w:r>
        <w:rPr>
          <w:sz w:val="20"/>
          <w:szCs w:val="20"/>
          <w:color w:val="auto"/>
        </w:rPr>
        <w:tab/>
      </w:r>
      <w:r>
        <w:rPr>
          <w:rFonts w:ascii="Arial" w:cs="Arial" w:eastAsia="Arial" w:hAnsi="Arial"/>
          <w:sz w:val="16"/>
          <w:szCs w:val="16"/>
          <w:color w:val="auto"/>
        </w:rPr>
        <w:t>“Cause” has the meaning set out in any unexpired employment agreement between the Participant and the Company or, in the absence of such meaning being so set out, means (a) the Participant’s willful failure substantially to perform his duties and responsibilities to the Company, King or any Associated Company or deliberate violation of a Company or King policy; (b) the Participant’s commission of any act of fraud, embezzlement, dishonesty or any other willful misconduct that has caused or is reasonably expected to result in material injury to the Company; (c) unauthorized use or disclosure by the Participant of any proprietary information or trade secrets of the Company or any other party to whom the Participant owes an obligation of nondisclosure as a result of his relationship with the Company; or (d) the Participant’s willful breach of any of his obligations under any written agreement or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right="120"/>
        <w:spacing w:after="0" w:line="255" w:lineRule="auto"/>
        <w:rPr>
          <w:sz w:val="20"/>
          <w:szCs w:val="20"/>
          <w:color w:val="auto"/>
        </w:rPr>
      </w:pPr>
      <w:r>
        <w:rPr>
          <w:rFonts w:ascii="Arial" w:cs="Arial" w:eastAsia="Arial" w:hAnsi="Arial"/>
          <w:sz w:val="18"/>
          <w:szCs w:val="18"/>
          <w:color w:val="auto"/>
        </w:rPr>
        <w:t>covenant with the Company. The determination as to whether a Participant is being terminated for Cause shall be made in good faith by the Company and shall be final and binding on the Participant. The foregoing definition does not in any way limit the Company’s ability to terminate a Participant’s employment or consulting or other service relationship at any time as provided in Section 20, and the term “Company” will be interpreted to include King and any Associated Company, as appropriate. Notwithstanding the foregoing, the foregoing definition of “Cause” may, in part or in whole, be modified or replaced in each individual employment agreement or Award Agreement with any Participant or any country-specific appendix, and any such definition shall supersede the definition provided in this Section 25.1.9;</w:t>
      </w:r>
    </w:p>
    <w:p>
      <w:pPr>
        <w:spacing w:after="0" w:line="189"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25.1.10</w:t>
      </w:r>
      <w:r>
        <w:rPr>
          <w:sz w:val="20"/>
          <w:szCs w:val="20"/>
          <w:color w:val="auto"/>
        </w:rPr>
        <w:tab/>
      </w:r>
      <w:r>
        <w:rPr>
          <w:rFonts w:ascii="Arial" w:cs="Arial" w:eastAsia="Arial" w:hAnsi="Arial"/>
          <w:sz w:val="16"/>
          <w:szCs w:val="16"/>
          <w:color w:val="auto"/>
        </w:rPr>
        <w:t>“Code” means the United States Internal Revenue Code of 1986, as amended, and the regulations promulgated thereunder;</w:t>
      </w:r>
    </w:p>
    <w:p>
      <w:pPr>
        <w:spacing w:after="0" w:line="225" w:lineRule="exact"/>
        <w:rPr>
          <w:sz w:val="20"/>
          <w:szCs w:val="20"/>
          <w:color w:val="auto"/>
        </w:rPr>
      </w:pPr>
    </w:p>
    <w:p>
      <w:pPr>
        <w:ind w:left="1420" w:right="160" w:hanging="777"/>
        <w:spacing w:after="0" w:line="277" w:lineRule="auto"/>
        <w:tabs>
          <w:tab w:leader="none" w:pos="1400" w:val="left"/>
        </w:tabs>
        <w:rPr>
          <w:sz w:val="20"/>
          <w:szCs w:val="20"/>
          <w:color w:val="auto"/>
        </w:rPr>
      </w:pPr>
      <w:r>
        <w:rPr>
          <w:rFonts w:ascii="Arial" w:cs="Arial" w:eastAsia="Arial" w:hAnsi="Arial"/>
          <w:sz w:val="18"/>
          <w:szCs w:val="18"/>
          <w:color w:val="auto"/>
        </w:rPr>
        <w:t>25.1.11</w:t>
        <w:tab/>
        <w:t>“Committee” means the Compensation Committee of the Board or those persons to whom administration of the Plan, or part of the Plan, has been delegated pursuant to Section 5.2;</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25.1.12</w:t>
      </w:r>
      <w:r>
        <w:rPr>
          <w:sz w:val="20"/>
          <w:szCs w:val="20"/>
          <w:color w:val="auto"/>
        </w:rPr>
        <w:tab/>
      </w:r>
      <w:r>
        <w:rPr>
          <w:rFonts w:ascii="Arial" w:cs="Arial" w:eastAsia="Arial" w:hAnsi="Arial"/>
          <w:sz w:val="16"/>
          <w:szCs w:val="16"/>
          <w:color w:val="auto"/>
        </w:rPr>
        <w:t>“Company” means Activision Blizzard Inc. or any successor corporation;</w:t>
      </w:r>
    </w:p>
    <w:p>
      <w:pPr>
        <w:spacing w:after="0" w:line="225" w:lineRule="exact"/>
        <w:rPr>
          <w:sz w:val="20"/>
          <w:szCs w:val="20"/>
          <w:color w:val="auto"/>
        </w:rPr>
      </w:pPr>
    </w:p>
    <w:p>
      <w:pPr>
        <w:ind w:left="1420" w:right="660" w:hanging="777"/>
        <w:spacing w:after="0" w:line="277" w:lineRule="auto"/>
        <w:tabs>
          <w:tab w:leader="none" w:pos="1400" w:val="left"/>
        </w:tabs>
        <w:rPr>
          <w:sz w:val="20"/>
          <w:szCs w:val="20"/>
          <w:color w:val="auto"/>
        </w:rPr>
      </w:pPr>
      <w:r>
        <w:rPr>
          <w:rFonts w:ascii="Arial" w:cs="Arial" w:eastAsia="Arial" w:hAnsi="Arial"/>
          <w:sz w:val="18"/>
          <w:szCs w:val="18"/>
          <w:color w:val="auto"/>
        </w:rPr>
        <w:t>25.1.13</w:t>
        <w:tab/>
        <w:t>“Consultant” means any person, including an advisor or independent contractor, engaged by the Company, King or an Associated Company to render services to such entity;</w:t>
      </w:r>
    </w:p>
    <w:p>
      <w:pPr>
        <w:spacing w:after="0" w:line="170" w:lineRule="exact"/>
        <w:rPr>
          <w:sz w:val="20"/>
          <w:szCs w:val="20"/>
          <w:color w:val="auto"/>
        </w:rPr>
      </w:pPr>
    </w:p>
    <w:p>
      <w:pPr>
        <w:ind w:left="1420" w:right="180" w:hanging="777"/>
        <w:spacing w:after="0" w:line="277" w:lineRule="auto"/>
        <w:tabs>
          <w:tab w:leader="none" w:pos="1400" w:val="left"/>
        </w:tabs>
        <w:rPr>
          <w:sz w:val="20"/>
          <w:szCs w:val="20"/>
          <w:color w:val="auto"/>
        </w:rPr>
      </w:pPr>
      <w:r>
        <w:rPr>
          <w:rFonts w:ascii="Arial" w:cs="Arial" w:eastAsia="Arial" w:hAnsi="Arial"/>
          <w:sz w:val="18"/>
          <w:szCs w:val="18"/>
          <w:color w:val="auto"/>
        </w:rPr>
        <w:t>25.1.14</w:t>
        <w:tab/>
        <w:t>“Corporate Transaction” means the consummation, in a single transaction or in a series of related transactions, of any one or more of the following:</w:t>
      </w:r>
    </w:p>
    <w:p>
      <w:pPr>
        <w:sectPr>
          <w:pgSz w:w="11900" w:h="16838" w:orient="portrait"/>
          <w:cols w:equalWidth="0" w:num="1">
            <w:col w:w="11420"/>
          </w:cols>
          <w:pgMar w:left="240" w:top="121" w:right="239" w:bottom="0" w:gutter="0" w:footer="0" w:header="0"/>
        </w:sectPr>
      </w:pPr>
    </w:p>
    <w:bookmarkStart w:id="171" w:name="page172"/>
    <w:bookmarkEnd w:id="171"/>
    <w:p>
      <w:pPr>
        <w:ind w:left="1420" w:right="40" w:hanging="646"/>
        <w:spacing w:after="0" w:line="255" w:lineRule="auto"/>
        <w:tabs>
          <w:tab w:leader="none" w:pos="1417"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an acquisition by a person, entity or “group” (within the meaning of Section 13(d) of the Exchange Act or any comparable successor provisions), other than in a merger or consolidation of the type referred to in subsection 25.1.13(c), of beneficial ownership (within the meaning of Rule 13d-3 promulgated under the Exchange Act, or comparable successor rules) of issued or outstanding voting securities of the Company representing more than fifty per cent (50%) of the combined voting power or the Company, whether as a result of making a general offer to acquire the whole of the issued share capital of the Company or all the shares in the Company which are of the same class as the Shares, a court-sanctioned compromise or scheme of arrangement, or otherwise; or</w:t>
      </w:r>
    </w:p>
    <w:p>
      <w:pPr>
        <w:spacing w:after="0" w:line="189"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hanging="646"/>
        <w:spacing w:after="0" w:line="277" w:lineRule="auto"/>
        <w:tabs>
          <w:tab w:leader="none" w:pos="142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 or</w:t>
      </w:r>
    </w:p>
    <w:p>
      <w:pPr>
        <w:spacing w:after="0" w:line="170" w:lineRule="exact"/>
        <w:rPr>
          <w:rFonts w:ascii="Arial" w:cs="Arial" w:eastAsia="Arial" w:hAnsi="Arial"/>
          <w:sz w:val="18"/>
          <w:szCs w:val="18"/>
          <w:color w:val="auto"/>
        </w:rPr>
      </w:pPr>
    </w:p>
    <w:p>
      <w:pPr>
        <w:ind w:left="1420" w:right="480" w:hanging="646"/>
        <w:spacing w:after="0" w:line="342" w:lineRule="auto"/>
        <w:tabs>
          <w:tab w:leader="none" w:pos="1431" w:val="left"/>
        </w:tabs>
        <w:numPr>
          <w:ilvl w:val="0"/>
          <w:numId w:val="117"/>
        </w:numPr>
        <w:rPr>
          <w:rFonts w:ascii="Arial" w:cs="Arial" w:eastAsia="Arial" w:hAnsi="Arial"/>
          <w:sz w:val="16"/>
          <w:szCs w:val="16"/>
          <w:color w:val="auto"/>
        </w:rPr>
      </w:pPr>
      <w:r>
        <w:rPr>
          <w:rFonts w:ascii="Arial" w:cs="Arial" w:eastAsia="Arial" w:hAnsi="Arial"/>
          <w:sz w:val="16"/>
          <w:szCs w:val="16"/>
          <w:color w:val="auto"/>
        </w:rPr>
        <w:t>a merger, consolidation, reorganization or business combination with any other corporation (whether directly involving the Company or indirectly involving the Company through one or more intermediaries) in each case other than a transaction:</w:t>
      </w:r>
    </w:p>
    <w:p>
      <w:pPr>
        <w:spacing w:after="0" w:line="123" w:lineRule="exact"/>
        <w:rPr>
          <w:rFonts w:ascii="Arial" w:cs="Arial" w:eastAsia="Arial" w:hAnsi="Arial"/>
          <w:sz w:val="16"/>
          <w:szCs w:val="16"/>
          <w:color w:val="auto"/>
        </w:rPr>
      </w:pPr>
    </w:p>
    <w:p>
      <w:pPr>
        <w:ind w:left="2080" w:right="200" w:hanging="658"/>
        <w:spacing w:after="0" w:line="293" w:lineRule="auto"/>
        <w:tabs>
          <w:tab w:leader="none" w:pos="210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which results in the Company’s voting securities in issue immediately before the transaction continuing to represent (either by remaining in issue or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Arial" w:cs="Arial" w:eastAsia="Arial" w:hAnsi="Arial"/>
          <w:sz w:val="16"/>
          <w:szCs w:val="16"/>
          <w:b w:val="1"/>
          <w:bCs w:val="1"/>
          <w:color w:val="auto"/>
        </w:rPr>
        <w:t>Successor Entity</w:t>
      </w:r>
      <w:r>
        <w:rPr>
          <w:rFonts w:ascii="Arial" w:cs="Arial" w:eastAsia="Arial" w:hAnsi="Arial"/>
          <w:sz w:val="16"/>
          <w:szCs w:val="16"/>
          <w:color w:val="auto"/>
        </w:rPr>
        <w:t>”)) directly or indirectly, at least 50% of the combined voting power of the Successor Entity’s issued or outstanding voting securities immediately after the transaction, and</w:t>
      </w:r>
    </w:p>
    <w:p>
      <w:pPr>
        <w:spacing w:after="0" w:line="164" w:lineRule="exact"/>
        <w:rPr>
          <w:rFonts w:ascii="Arial" w:cs="Arial" w:eastAsia="Arial" w:hAnsi="Arial"/>
          <w:sz w:val="16"/>
          <w:szCs w:val="16"/>
          <w:color w:val="auto"/>
        </w:rPr>
      </w:pPr>
    </w:p>
    <w:p>
      <w:pPr>
        <w:ind w:left="2080" w:right="40" w:hanging="658"/>
        <w:spacing w:after="0" w:line="302" w:lineRule="auto"/>
        <w:tabs>
          <w:tab w:leader="none" w:pos="2111" w:val="left"/>
        </w:tabs>
        <w:numPr>
          <w:ilvl w:val="1"/>
          <w:numId w:val="117"/>
        </w:numPr>
        <w:rPr>
          <w:rFonts w:ascii="Arial" w:cs="Arial" w:eastAsia="Arial" w:hAnsi="Arial"/>
          <w:sz w:val="16"/>
          <w:szCs w:val="16"/>
          <w:color w:val="auto"/>
        </w:rPr>
      </w:pPr>
      <w:r>
        <w:rPr>
          <w:rFonts w:ascii="Arial" w:cs="Arial" w:eastAsia="Arial" w:hAnsi="Arial"/>
          <w:sz w:val="16"/>
          <w:szCs w:val="16"/>
          <w:color w:val="auto"/>
        </w:rPr>
        <w:t>after which no person, entity or group beneficially owns voting securities representing 50% or more of the combined voting power of the Successor Entity; provided, however, that no person or group shall be treated for purposes of this Section 25.1.13.(c)(ii) as beneficially owning 50% or more of the combined voting power of the Successor Entity solely as a result of the voting power held in the Company prior to the consummation of the transaction.</w:t>
      </w:r>
    </w:p>
    <w:p>
      <w:pPr>
        <w:spacing w:after="0" w:line="154" w:lineRule="exact"/>
        <w:rPr>
          <w:sz w:val="20"/>
          <w:szCs w:val="20"/>
          <w:color w:val="auto"/>
        </w:rPr>
      </w:pPr>
    </w:p>
    <w:p>
      <w:pPr>
        <w:jc w:val="both"/>
        <w:ind w:left="760" w:right="200" w:hanging="777"/>
        <w:spacing w:after="0" w:line="264" w:lineRule="auto"/>
        <w:tabs>
          <w:tab w:leader="none" w:pos="740" w:val="left"/>
        </w:tabs>
        <w:rPr>
          <w:sz w:val="20"/>
          <w:szCs w:val="20"/>
          <w:color w:val="auto"/>
        </w:rPr>
      </w:pPr>
      <w:r>
        <w:rPr>
          <w:rFonts w:ascii="Arial" w:cs="Arial" w:eastAsia="Arial" w:hAnsi="Arial"/>
          <w:sz w:val="18"/>
          <w:szCs w:val="18"/>
          <w:color w:val="auto"/>
        </w:rPr>
        <w:t>25.1.15</w:t>
        <w:tab/>
        <w:t>“Director” means a member of the board of directors of the Company, King or any Associated Company (it being understood that only persons who were members of the board of directors of King prior to the Acquisition Effective Time were eligible to receive Awards by reason of service as a Director);</w:t>
      </w:r>
    </w:p>
    <w:p>
      <w:pPr>
        <w:spacing w:after="0" w:line="181" w:lineRule="exact"/>
        <w:rPr>
          <w:sz w:val="20"/>
          <w:szCs w:val="20"/>
          <w:color w:val="auto"/>
        </w:rPr>
      </w:pPr>
    </w:p>
    <w:p>
      <w:pPr>
        <w:ind w:left="760" w:right="60" w:hanging="777"/>
        <w:spacing w:after="0" w:line="264" w:lineRule="auto"/>
        <w:tabs>
          <w:tab w:leader="none" w:pos="740" w:val="left"/>
        </w:tabs>
        <w:rPr>
          <w:sz w:val="20"/>
          <w:szCs w:val="20"/>
          <w:color w:val="auto"/>
        </w:rPr>
      </w:pPr>
      <w:r>
        <w:rPr>
          <w:rFonts w:ascii="Arial" w:cs="Arial" w:eastAsia="Arial" w:hAnsi="Arial"/>
          <w:sz w:val="18"/>
          <w:szCs w:val="18"/>
          <w:color w:val="auto"/>
        </w:rPr>
        <w:t>25.1.16</w:t>
        <w:tab/>
        <w:t>“Disability” means that the Participant is unable to engage in any substantial gainful activity by reason of any medically determinable physical or mental impairment that can be expected to result in death or can be expected to last for a continuous period of not less than 12 months;</w:t>
      </w:r>
    </w:p>
    <w:p>
      <w:pPr>
        <w:spacing w:after="0" w:line="18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25.1.17</w:t>
      </w:r>
      <w:r>
        <w:rPr>
          <w:sz w:val="20"/>
          <w:szCs w:val="20"/>
          <w:color w:val="auto"/>
        </w:rPr>
        <w:tab/>
      </w:r>
      <w:r>
        <w:rPr>
          <w:rFonts w:ascii="Arial" w:cs="Arial" w:eastAsia="Arial" w:hAnsi="Arial"/>
          <w:sz w:val="16"/>
          <w:szCs w:val="16"/>
          <w:color w:val="auto"/>
        </w:rPr>
        <w:t>“Dividend Equivalent” means a right to receive the equivalent value of dividends paid on Shares;</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25.1.18</w:t>
      </w:r>
      <w:r>
        <w:rPr>
          <w:sz w:val="20"/>
          <w:szCs w:val="20"/>
          <w:color w:val="auto"/>
        </w:rPr>
        <w:tab/>
      </w:r>
      <w:r>
        <w:rPr>
          <w:rFonts w:ascii="Arial" w:cs="Arial" w:eastAsia="Arial" w:hAnsi="Arial"/>
          <w:sz w:val="16"/>
          <w:szCs w:val="16"/>
          <w:color w:val="auto"/>
        </w:rPr>
        <w:t>“Effective Date” means 25 March 2014;</w:t>
      </w:r>
    </w:p>
    <w:p>
      <w:pPr>
        <w:spacing w:after="0" w:line="225" w:lineRule="exact"/>
        <w:rPr>
          <w:sz w:val="20"/>
          <w:szCs w:val="20"/>
          <w:color w:val="auto"/>
        </w:rPr>
      </w:pPr>
    </w:p>
    <w:p>
      <w:pPr>
        <w:jc w:val="both"/>
        <w:ind w:left="760" w:right="160" w:hanging="777"/>
        <w:spacing w:after="0" w:line="264" w:lineRule="auto"/>
        <w:tabs>
          <w:tab w:leader="none" w:pos="740" w:val="left"/>
        </w:tabs>
        <w:rPr>
          <w:sz w:val="20"/>
          <w:szCs w:val="20"/>
          <w:color w:val="auto"/>
        </w:rPr>
      </w:pPr>
      <w:r>
        <w:rPr>
          <w:rFonts w:ascii="Arial" w:cs="Arial" w:eastAsia="Arial" w:hAnsi="Arial"/>
          <w:sz w:val="18"/>
          <w:szCs w:val="18"/>
          <w:color w:val="auto"/>
        </w:rPr>
        <w:t>25.1.19</w:t>
        <w:tab/>
        <w:t>“Employee” means any person, including any officer or director, employed by the Company, King or any Associated Company. Neither service as a Director nor payment of a Director’s fee by the Company or King will be sufficient to constitute “employment” by King or any Associated Company;</w:t>
      </w:r>
    </w:p>
    <w:p>
      <w:pPr>
        <w:spacing w:after="0" w:line="181" w:lineRule="exact"/>
        <w:rPr>
          <w:sz w:val="20"/>
          <w:szCs w:val="20"/>
          <w:color w:val="auto"/>
        </w:rPr>
      </w:pPr>
    </w:p>
    <w:p>
      <w:pPr>
        <w:ind w:left="760" w:right="80" w:hanging="777"/>
        <w:spacing w:after="0" w:line="277" w:lineRule="auto"/>
        <w:tabs>
          <w:tab w:leader="none" w:pos="740" w:val="left"/>
        </w:tabs>
        <w:rPr>
          <w:sz w:val="20"/>
          <w:szCs w:val="20"/>
          <w:color w:val="auto"/>
        </w:rPr>
      </w:pPr>
      <w:r>
        <w:rPr>
          <w:rFonts w:ascii="Arial" w:cs="Arial" w:eastAsia="Arial" w:hAnsi="Arial"/>
          <w:sz w:val="18"/>
          <w:szCs w:val="18"/>
          <w:color w:val="auto"/>
        </w:rPr>
        <w:t>25.1.20</w:t>
        <w:tab/>
        <w:t>“Employee Benefit Trust” means the employee benefit trust established by King by way of a Deed of Trust on 24 March 2014, the trustee of which is Computershare Trustees (Jersey) Limited;</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25.1.21</w:t>
      </w:r>
      <w:r>
        <w:rPr>
          <w:sz w:val="20"/>
          <w:szCs w:val="20"/>
          <w:color w:val="auto"/>
        </w:rPr>
        <w:tab/>
      </w:r>
      <w:r>
        <w:rPr>
          <w:rFonts w:ascii="Arial" w:cs="Arial" w:eastAsia="Arial" w:hAnsi="Arial"/>
          <w:sz w:val="16"/>
          <w:szCs w:val="16"/>
          <w:color w:val="auto"/>
        </w:rPr>
        <w:t>“Exchange Act” means the United States Securities Exchange Act of 1934, as amended;</w:t>
      </w:r>
    </w:p>
    <w:p>
      <w:pPr>
        <w:spacing w:after="0" w:line="225" w:lineRule="exact"/>
        <w:rPr>
          <w:sz w:val="20"/>
          <w:szCs w:val="20"/>
          <w:color w:val="auto"/>
        </w:rPr>
      </w:pPr>
    </w:p>
    <w:p>
      <w:pPr>
        <w:ind w:left="760" w:right="80" w:hanging="777"/>
        <w:spacing w:after="0" w:line="276" w:lineRule="auto"/>
        <w:tabs>
          <w:tab w:leader="none" w:pos="740" w:val="left"/>
        </w:tabs>
        <w:rPr>
          <w:sz w:val="20"/>
          <w:szCs w:val="20"/>
          <w:color w:val="auto"/>
        </w:rPr>
      </w:pPr>
      <w:r>
        <w:rPr>
          <w:rFonts w:ascii="Arial" w:cs="Arial" w:eastAsia="Arial" w:hAnsi="Arial"/>
          <w:sz w:val="18"/>
          <w:szCs w:val="18"/>
          <w:color w:val="auto"/>
        </w:rPr>
        <w:t>25.1.22</w:t>
      </w:r>
      <w:r>
        <w:rPr>
          <w:sz w:val="20"/>
          <w:szCs w:val="20"/>
          <w:color w:val="auto"/>
        </w:rPr>
        <w:tab/>
      </w:r>
      <w:r>
        <w:rPr>
          <w:rFonts w:ascii="Arial" w:cs="Arial" w:eastAsia="Arial" w:hAnsi="Arial"/>
          <w:sz w:val="17"/>
          <w:szCs w:val="17"/>
          <w:color w:val="auto"/>
        </w:rPr>
        <w:t>“Exchange Ratio” means the quotient obtained by dividing (A) $18.00, which is the consideration per Ordinary Share paid in connection with the transaction contemplated by the Transaction Agreement by (B) the average closing price of the Common Stock on NASDAQ for the five trading day period ending on the trading day preceding the Acquisition Effective Date or, if the Common Stock was not available for trading on NASDAQ on the day preceding the Acquisition Effective Date, on the last day prior to the day preceding the Acquisition Effective Date that the Common Stock was available for trading on NASDAQ;</w:t>
      </w:r>
    </w:p>
    <w:p>
      <w:pPr>
        <w:spacing w:after="0" w:line="173" w:lineRule="exact"/>
        <w:rPr>
          <w:sz w:val="20"/>
          <w:szCs w:val="20"/>
          <w:color w:val="auto"/>
        </w:rPr>
      </w:pPr>
    </w:p>
    <w:p>
      <w:pPr>
        <w:ind w:left="760" w:right="40" w:hanging="777"/>
        <w:spacing w:after="0" w:line="308" w:lineRule="auto"/>
        <w:tabs>
          <w:tab w:leader="none" w:pos="740" w:val="left"/>
        </w:tabs>
        <w:rPr>
          <w:sz w:val="20"/>
          <w:szCs w:val="20"/>
          <w:color w:val="auto"/>
        </w:rPr>
      </w:pPr>
      <w:r>
        <w:rPr>
          <w:rFonts w:ascii="Arial" w:cs="Arial" w:eastAsia="Arial" w:hAnsi="Arial"/>
          <w:sz w:val="18"/>
          <w:szCs w:val="18"/>
          <w:color w:val="auto"/>
        </w:rPr>
        <w:t>25.1.23</w:t>
      </w:r>
      <w:r>
        <w:rPr>
          <w:sz w:val="20"/>
          <w:szCs w:val="20"/>
          <w:color w:val="auto"/>
        </w:rPr>
        <w:tab/>
      </w:r>
      <w:r>
        <w:rPr>
          <w:rFonts w:ascii="Arial" w:cs="Arial" w:eastAsia="Arial" w:hAnsi="Arial"/>
          <w:sz w:val="17"/>
          <w:szCs w:val="17"/>
          <w:color w:val="auto"/>
        </w:rPr>
        <w:t>“Exercise Price” means, with respect to an Option, the price per Share at which the Participant may subscribe for the Shares issuable upon exercise of the Option and, with respect to a SAR, the price per Share at which the SAR is granted to the Participant;</w:t>
      </w:r>
    </w:p>
    <w:p>
      <w:pPr>
        <w:spacing w:after="0" w:line="147"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25.1.24</w:t>
      </w:r>
      <w:r>
        <w:rPr>
          <w:sz w:val="20"/>
          <w:szCs w:val="20"/>
          <w:color w:val="auto"/>
        </w:rPr>
        <w:tab/>
      </w:r>
      <w:r>
        <w:rPr>
          <w:rFonts w:ascii="Arial" w:cs="Arial" w:eastAsia="Arial" w:hAnsi="Arial"/>
          <w:sz w:val="16"/>
          <w:szCs w:val="16"/>
          <w:color w:val="auto"/>
        </w:rPr>
        <w:t>“Fair Market Value” means, as of any date, the value of a Share determined as follows:</w:t>
      </w:r>
    </w:p>
    <w:p>
      <w:pPr>
        <w:spacing w:after="0" w:line="225" w:lineRule="exact"/>
        <w:rPr>
          <w:sz w:val="20"/>
          <w:szCs w:val="20"/>
          <w:color w:val="auto"/>
        </w:rPr>
      </w:pPr>
    </w:p>
    <w:p>
      <w:pPr>
        <w:jc w:val="both"/>
        <w:ind w:left="1420" w:right="40" w:hanging="646"/>
        <w:spacing w:after="0" w:line="264" w:lineRule="auto"/>
        <w:tabs>
          <w:tab w:leader="none" w:pos="1417"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if the Shares are publicly traded and listed on a national securities exchange, the closing price on the date of determination on the principal national securities exchange on which the Shares are listed or admitted to trading as reported in The Wall Street Journal or such other source as the Committee deems reliable;</w:t>
      </w:r>
    </w:p>
    <w:p>
      <w:pPr>
        <w:spacing w:after="0" w:line="181" w:lineRule="exact"/>
        <w:rPr>
          <w:rFonts w:ascii="Arial" w:cs="Arial" w:eastAsia="Arial" w:hAnsi="Arial"/>
          <w:sz w:val="18"/>
          <w:szCs w:val="18"/>
          <w:color w:val="auto"/>
        </w:rPr>
      </w:pPr>
    </w:p>
    <w:p>
      <w:pPr>
        <w:ind w:left="1420" w:hanging="646"/>
        <w:spacing w:after="0"/>
        <w:tabs>
          <w:tab w:leader="none" w:pos="1420" w:val="left"/>
        </w:tabs>
        <w:numPr>
          <w:ilvl w:val="0"/>
          <w:numId w:val="118"/>
        </w:numPr>
        <w:rPr>
          <w:rFonts w:ascii="Arial" w:cs="Arial" w:eastAsia="Arial" w:hAnsi="Arial"/>
          <w:sz w:val="17"/>
          <w:szCs w:val="17"/>
          <w:color w:val="auto"/>
        </w:rPr>
      </w:pPr>
      <w:r>
        <w:rPr>
          <w:rFonts w:ascii="Arial" w:cs="Arial" w:eastAsia="Arial" w:hAnsi="Arial"/>
          <w:sz w:val="17"/>
          <w:szCs w:val="17"/>
          <w:color w:val="auto"/>
        </w:rPr>
        <w:t>if the Shares are publicly traded but are neither listed nor admitted to trading on a national securities exchange, the average</w:t>
      </w:r>
    </w:p>
    <w:p>
      <w:pPr>
        <w:sectPr>
          <w:pgSz w:w="11900" w:h="16838" w:orient="portrait"/>
          <w:cols w:equalWidth="0" w:num="1">
            <w:col w:w="10760"/>
          </w:cols>
          <w:pgMar w:left="900" w:top="125" w:right="239" w:bottom="271" w:gutter="0" w:footer="0" w:header="0"/>
        </w:sectPr>
      </w:pPr>
    </w:p>
    <w:p>
      <w:pPr>
        <w:spacing w:after="0" w:line="23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95885</wp:posOffset>
            </wp:positionV>
            <wp:extent cx="7267575"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125" w:right="239" w:bottom="271" w:gutter="0" w:footer="0" w:header="0"/>
          <w:type w:val="continuous"/>
        </w:sectPr>
      </w:pPr>
    </w:p>
    <w:bookmarkStart w:id="172" w:name="page173"/>
    <w:bookmarkEnd w:id="172"/>
    <w:p>
      <w:pPr>
        <w:ind w:left="1420"/>
        <w:spacing w:after="0" w:line="277" w:lineRule="auto"/>
        <w:rPr>
          <w:sz w:val="20"/>
          <w:szCs w:val="20"/>
          <w:color w:val="auto"/>
        </w:rPr>
      </w:pPr>
      <w:r>
        <w:rPr>
          <w:rFonts w:ascii="Arial" w:cs="Arial" w:eastAsia="Arial" w:hAnsi="Arial"/>
          <w:sz w:val="18"/>
          <w:szCs w:val="18"/>
          <w:color w:val="auto"/>
        </w:rPr>
        <w:t>of the closing bid and asked prices on the date of determination as reported in The Wall Street Journal or such other source as the Committee deems reliable;</w:t>
      </w:r>
    </w:p>
    <w:p>
      <w:pPr>
        <w:spacing w:after="0" w:line="170" w:lineRule="exact"/>
        <w:rPr>
          <w:sz w:val="20"/>
          <w:szCs w:val="20"/>
          <w:color w:val="auto"/>
        </w:rPr>
      </w:pPr>
    </w:p>
    <w:p>
      <w:pPr>
        <w:ind w:left="1420" w:hanging="646"/>
        <w:spacing w:after="0" w:line="264" w:lineRule="auto"/>
        <w:tabs>
          <w:tab w:leader="none" w:pos="1431"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the case of an Option or SAR grant made on the Effective Date, the price per share at which the Shares are initially offered for sale to the public by the Company’s underwriters in the initial public offering of the Shares pursuant to a registration statement filed with the SEC under the Securities Act; or</w:t>
      </w:r>
    </w:p>
    <w:p>
      <w:pPr>
        <w:spacing w:after="0" w:line="181" w:lineRule="exact"/>
        <w:rPr>
          <w:rFonts w:ascii="Arial" w:cs="Arial" w:eastAsia="Arial" w:hAnsi="Arial"/>
          <w:sz w:val="18"/>
          <w:szCs w:val="18"/>
          <w:color w:val="auto"/>
        </w:rPr>
      </w:pPr>
    </w:p>
    <w:p>
      <w:pPr>
        <w:ind w:left="1420" w:hanging="646"/>
        <w:spacing w:after="0"/>
        <w:tabs>
          <w:tab w:leader="none" w:pos="142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if none of the foregoing is applicable, by the Board or the Committee in good faith;</w:t>
      </w:r>
    </w:p>
    <w:p>
      <w:pPr>
        <w:spacing w:after="0" w:line="225" w:lineRule="exact"/>
        <w:rPr>
          <w:sz w:val="20"/>
          <w:szCs w:val="20"/>
          <w:color w:val="auto"/>
        </w:rPr>
      </w:pPr>
    </w:p>
    <w:p>
      <w:pPr>
        <w:ind w:left="760" w:hanging="777"/>
        <w:spacing w:after="0" w:line="277" w:lineRule="auto"/>
        <w:tabs>
          <w:tab w:leader="none" w:pos="740" w:val="left"/>
        </w:tabs>
        <w:rPr>
          <w:sz w:val="20"/>
          <w:szCs w:val="20"/>
          <w:color w:val="auto"/>
        </w:rPr>
      </w:pPr>
      <w:r>
        <w:rPr>
          <w:rFonts w:ascii="Arial" w:cs="Arial" w:eastAsia="Arial" w:hAnsi="Arial"/>
          <w:sz w:val="18"/>
          <w:szCs w:val="18"/>
          <w:color w:val="auto"/>
        </w:rPr>
        <w:t>25.1.25</w:t>
        <w:tab/>
        <w:t>“Insider Trading Policy” means any policy adopted by the Company from time to time governing transactions in the Company’s securities by employees, officers and/or directors of the Company, King and any Associated Company;</w:t>
      </w:r>
    </w:p>
    <w:p>
      <w:pPr>
        <w:spacing w:after="0" w:line="170" w:lineRule="exact"/>
        <w:rPr>
          <w:sz w:val="20"/>
          <w:szCs w:val="20"/>
          <w:color w:val="auto"/>
        </w:rPr>
      </w:pPr>
    </w:p>
    <w:p>
      <w:pPr>
        <w:ind w:left="760" w:right="100" w:hanging="777"/>
        <w:spacing w:after="0" w:line="277" w:lineRule="auto"/>
        <w:tabs>
          <w:tab w:leader="none" w:pos="740" w:val="left"/>
        </w:tabs>
        <w:rPr>
          <w:sz w:val="20"/>
          <w:szCs w:val="20"/>
          <w:color w:val="auto"/>
        </w:rPr>
      </w:pPr>
      <w:r>
        <w:rPr>
          <w:rFonts w:ascii="Arial" w:cs="Arial" w:eastAsia="Arial" w:hAnsi="Arial"/>
          <w:sz w:val="18"/>
          <w:szCs w:val="18"/>
          <w:color w:val="auto"/>
        </w:rPr>
        <w:t>25.1.26</w:t>
        <w:tab/>
        <w:t>“Involuntary Termination” means termination of a Participant’s service with the Company, King or an Associated Company or successor thereto in the following circumstances occurring on or after a Corporate Transaction:</w:t>
      </w:r>
    </w:p>
    <w:p>
      <w:pPr>
        <w:spacing w:after="0" w:line="170" w:lineRule="exact"/>
        <w:rPr>
          <w:sz w:val="20"/>
          <w:szCs w:val="20"/>
          <w:color w:val="auto"/>
        </w:rPr>
      </w:pPr>
    </w:p>
    <w:p>
      <w:pPr>
        <w:ind w:left="1420" w:hanging="646"/>
        <w:spacing w:after="0"/>
        <w:tabs>
          <w:tab w:leader="none" w:pos="1420" w:val="left"/>
        </w:tabs>
        <w:numPr>
          <w:ilvl w:val="0"/>
          <w:numId w:val="120"/>
        </w:numPr>
        <w:rPr>
          <w:rFonts w:ascii="Arial" w:cs="Arial" w:eastAsia="Arial" w:hAnsi="Arial"/>
          <w:sz w:val="17"/>
          <w:szCs w:val="17"/>
          <w:color w:val="auto"/>
        </w:rPr>
      </w:pPr>
      <w:r>
        <w:rPr>
          <w:rFonts w:ascii="Arial" w:cs="Arial" w:eastAsia="Arial" w:hAnsi="Arial"/>
          <w:sz w:val="17"/>
          <w:szCs w:val="17"/>
          <w:color w:val="auto"/>
        </w:rPr>
        <w:t>termination without Cause by the Company, King or an Associated Company or successor thereto, as appropriate; or</w:t>
      </w:r>
    </w:p>
    <w:p>
      <w:pPr>
        <w:spacing w:after="0" w:line="236" w:lineRule="exact"/>
        <w:rPr>
          <w:rFonts w:ascii="Arial" w:cs="Arial" w:eastAsia="Arial" w:hAnsi="Arial"/>
          <w:sz w:val="17"/>
          <w:szCs w:val="17"/>
          <w:color w:val="auto"/>
        </w:rPr>
      </w:pPr>
    </w:p>
    <w:p>
      <w:pPr>
        <w:ind w:left="1420" w:hanging="646"/>
        <w:spacing w:after="0"/>
        <w:tabs>
          <w:tab w:leader="none" w:pos="142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voluntary termination by the Participant within 90 days following:</w:t>
      </w:r>
    </w:p>
    <w:p>
      <w:pPr>
        <w:spacing w:after="0" w:line="225" w:lineRule="exact"/>
        <w:rPr>
          <w:rFonts w:ascii="Arial" w:cs="Arial" w:eastAsia="Arial" w:hAnsi="Arial"/>
          <w:sz w:val="18"/>
          <w:szCs w:val="18"/>
          <w:color w:val="auto"/>
        </w:rPr>
      </w:pPr>
    </w:p>
    <w:p>
      <w:pPr>
        <w:ind w:left="2080" w:right="480" w:hanging="658"/>
        <w:spacing w:after="0" w:line="342" w:lineRule="auto"/>
        <w:tabs>
          <w:tab w:leader="none" w:pos="2101" w:val="left"/>
        </w:tabs>
        <w:numPr>
          <w:ilvl w:val="1"/>
          <w:numId w:val="120"/>
        </w:numPr>
        <w:rPr>
          <w:rFonts w:ascii="Arial" w:cs="Arial" w:eastAsia="Arial" w:hAnsi="Arial"/>
          <w:sz w:val="16"/>
          <w:szCs w:val="16"/>
          <w:color w:val="auto"/>
        </w:rPr>
      </w:pPr>
      <w:r>
        <w:rPr>
          <w:rFonts w:ascii="Arial" w:cs="Arial" w:eastAsia="Arial" w:hAnsi="Arial"/>
          <w:sz w:val="16"/>
          <w:szCs w:val="16"/>
          <w:color w:val="auto"/>
        </w:rPr>
        <w:t>a material reduction in the Participant’s job responsibilities, provided that neither a mere change in title alone nor reassignment to a substantially similar position shall constitute a material reduction in job responsibilities;</w:t>
      </w:r>
    </w:p>
    <w:p>
      <w:pPr>
        <w:spacing w:after="0" w:line="123" w:lineRule="exact"/>
        <w:rPr>
          <w:rFonts w:ascii="Arial" w:cs="Arial" w:eastAsia="Arial" w:hAnsi="Arial"/>
          <w:sz w:val="16"/>
          <w:szCs w:val="16"/>
          <w:color w:val="auto"/>
        </w:rPr>
      </w:pPr>
    </w:p>
    <w:p>
      <w:pPr>
        <w:ind w:left="2080" w:right="240" w:hanging="658"/>
        <w:spacing w:after="0" w:line="277" w:lineRule="auto"/>
        <w:tabs>
          <w:tab w:leader="none" w:pos="2111" w:val="left"/>
        </w:tabs>
        <w:numPr>
          <w:ilvl w:val="1"/>
          <w:numId w:val="120"/>
        </w:numPr>
        <w:rPr>
          <w:rFonts w:ascii="Arial" w:cs="Arial" w:eastAsia="Arial" w:hAnsi="Arial"/>
          <w:sz w:val="18"/>
          <w:szCs w:val="18"/>
          <w:color w:val="auto"/>
        </w:rPr>
      </w:pPr>
      <w:r>
        <w:rPr>
          <w:rFonts w:ascii="Arial" w:cs="Arial" w:eastAsia="Arial" w:hAnsi="Arial"/>
          <w:sz w:val="18"/>
          <w:szCs w:val="18"/>
          <w:color w:val="auto"/>
        </w:rPr>
        <w:t>an involuntary relocation of the Participant’s principal work site to a facility or location more than 50 miles from the Participant’s principal work site at the time of the Corporate Transaction; or</w:t>
      </w:r>
    </w:p>
    <w:p>
      <w:pPr>
        <w:spacing w:after="0" w:line="170" w:lineRule="exact"/>
        <w:rPr>
          <w:rFonts w:ascii="Arial" w:cs="Arial" w:eastAsia="Arial" w:hAnsi="Arial"/>
          <w:sz w:val="18"/>
          <w:szCs w:val="18"/>
          <w:color w:val="auto"/>
        </w:rPr>
      </w:pPr>
    </w:p>
    <w:p>
      <w:pPr>
        <w:ind w:left="2080" w:right="300" w:hanging="658"/>
        <w:spacing w:after="0" w:line="308" w:lineRule="auto"/>
        <w:tabs>
          <w:tab w:leader="none" w:pos="2120" w:val="left"/>
        </w:tabs>
        <w:numPr>
          <w:ilvl w:val="1"/>
          <w:numId w:val="120"/>
        </w:numPr>
        <w:rPr>
          <w:rFonts w:ascii="Arial" w:cs="Arial" w:eastAsia="Arial" w:hAnsi="Arial"/>
          <w:sz w:val="17"/>
          <w:szCs w:val="17"/>
          <w:color w:val="auto"/>
        </w:rPr>
      </w:pPr>
      <w:r>
        <w:rPr>
          <w:rFonts w:ascii="Arial" w:cs="Arial" w:eastAsia="Arial" w:hAnsi="Arial"/>
          <w:sz w:val="17"/>
          <w:szCs w:val="17"/>
          <w:color w:val="auto"/>
        </w:rPr>
        <w:t>a material reduction in the Participant’s total compensation other than as part of a reduction by the same percentage amount in the compensation of all other similarly-situated Employees, Directors or Consultants;</w:t>
      </w:r>
    </w:p>
    <w:p>
      <w:pPr>
        <w:spacing w:after="0" w:line="147"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760" w:right="180" w:hanging="777"/>
        <w:spacing w:after="0" w:line="277" w:lineRule="auto"/>
        <w:tabs>
          <w:tab w:leader="none" w:pos="740" w:val="left"/>
        </w:tabs>
        <w:rPr>
          <w:sz w:val="20"/>
          <w:szCs w:val="20"/>
          <w:color w:val="auto"/>
        </w:rPr>
      </w:pPr>
      <w:r>
        <w:rPr>
          <w:rFonts w:ascii="Arial" w:cs="Arial" w:eastAsia="Arial" w:hAnsi="Arial"/>
          <w:sz w:val="18"/>
          <w:szCs w:val="18"/>
          <w:color w:val="auto"/>
        </w:rPr>
        <w:t>25.1.27</w:t>
        <w:tab/>
        <w:t>“King” means King Digital Entertainment, a public limited company, incorporated under the laws of Ireland, which promptly following the Acquisition Effective Date will become a private limited company, with registered number 529753;</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25.1.28</w:t>
      </w:r>
      <w:r>
        <w:rPr>
          <w:sz w:val="20"/>
          <w:szCs w:val="20"/>
          <w:color w:val="auto"/>
        </w:rPr>
        <w:tab/>
      </w:r>
      <w:r>
        <w:rPr>
          <w:rFonts w:ascii="Arial" w:cs="Arial" w:eastAsia="Arial" w:hAnsi="Arial"/>
          <w:sz w:val="17"/>
          <w:szCs w:val="17"/>
          <w:color w:val="auto"/>
        </w:rPr>
        <w:t>“NASDAQ” means the NASDAQ Stock Market;</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25.1.29</w:t>
      </w:r>
      <w:r>
        <w:rPr>
          <w:sz w:val="20"/>
          <w:szCs w:val="20"/>
          <w:color w:val="auto"/>
        </w:rPr>
        <w:tab/>
      </w:r>
      <w:r>
        <w:rPr>
          <w:rFonts w:ascii="Arial" w:cs="Arial" w:eastAsia="Arial" w:hAnsi="Arial"/>
          <w:sz w:val="16"/>
          <w:szCs w:val="16"/>
          <w:color w:val="auto"/>
        </w:rPr>
        <w:t>“Non-Employee Director” means a Director who is not an Employee of the Company, King or any Associated Company;</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25.1.30</w:t>
      </w:r>
      <w:r>
        <w:rPr>
          <w:sz w:val="20"/>
          <w:szCs w:val="20"/>
          <w:color w:val="auto"/>
        </w:rPr>
        <w:tab/>
      </w:r>
      <w:r>
        <w:rPr>
          <w:rFonts w:ascii="Arial" w:cs="Arial" w:eastAsia="Arial" w:hAnsi="Arial"/>
          <w:sz w:val="16"/>
          <w:szCs w:val="16"/>
          <w:color w:val="auto"/>
        </w:rPr>
        <w:t>“Option” means an award of an option to subscribe for Shares pursuant to Section 6;</w:t>
      </w:r>
    </w:p>
    <w:p>
      <w:pPr>
        <w:spacing w:after="0" w:line="225"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25.1.31</w:t>
      </w:r>
      <w:r>
        <w:rPr>
          <w:sz w:val="20"/>
          <w:szCs w:val="20"/>
          <w:color w:val="auto"/>
        </w:rPr>
        <w:tab/>
      </w:r>
      <w:r>
        <w:rPr>
          <w:rFonts w:ascii="Arial" w:cs="Arial" w:eastAsia="Arial" w:hAnsi="Arial"/>
          <w:sz w:val="16"/>
          <w:szCs w:val="16"/>
          <w:color w:val="auto"/>
        </w:rPr>
        <w:t>“Ordinary Share” means, prior to the Acquisition Effective Time, an Ordinary Share in the capital of King;</w:t>
      </w:r>
    </w:p>
    <w:p>
      <w:pPr>
        <w:spacing w:after="0" w:line="225" w:lineRule="exact"/>
        <w:rPr>
          <w:sz w:val="20"/>
          <w:szCs w:val="20"/>
          <w:color w:val="auto"/>
        </w:rPr>
      </w:pPr>
    </w:p>
    <w:p>
      <w:pPr>
        <w:ind w:left="760" w:hanging="777"/>
        <w:spacing w:after="0" w:line="277" w:lineRule="auto"/>
        <w:tabs>
          <w:tab w:leader="none" w:pos="740" w:val="left"/>
        </w:tabs>
        <w:rPr>
          <w:sz w:val="20"/>
          <w:szCs w:val="20"/>
          <w:color w:val="auto"/>
        </w:rPr>
      </w:pPr>
      <w:r>
        <w:rPr>
          <w:rFonts w:ascii="Arial" w:cs="Arial" w:eastAsia="Arial" w:hAnsi="Arial"/>
          <w:sz w:val="18"/>
          <w:szCs w:val="18"/>
          <w:color w:val="auto"/>
        </w:rPr>
        <w:t>25.1.32</w:t>
        <w:tab/>
        <w:t>“Participant” means a person who holds an Award, or any permitted transferee pursuant to an Award Transfer Program or the Participant’s guardian or legal personal representative where applicable;</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25.1.33</w:t>
      </w:r>
      <w:r>
        <w:rPr>
          <w:sz w:val="20"/>
          <w:szCs w:val="20"/>
          <w:color w:val="auto"/>
        </w:rPr>
        <w:tab/>
      </w:r>
      <w:r>
        <w:rPr>
          <w:rFonts w:ascii="Arial" w:cs="Arial" w:eastAsia="Arial" w:hAnsi="Arial"/>
          <w:sz w:val="16"/>
          <w:szCs w:val="16"/>
          <w:color w:val="auto"/>
        </w:rPr>
        <w:t>“Performance Award” means an award of cash or Performance Shares granted pursuant to Section 11;</w:t>
      </w:r>
    </w:p>
    <w:p>
      <w:pPr>
        <w:spacing w:after="0" w:line="225" w:lineRule="exact"/>
        <w:rPr>
          <w:sz w:val="20"/>
          <w:szCs w:val="20"/>
          <w:color w:val="auto"/>
        </w:rPr>
      </w:pPr>
    </w:p>
    <w:p>
      <w:pPr>
        <w:ind w:left="760" w:right="20" w:hanging="777"/>
        <w:spacing w:after="0" w:line="257" w:lineRule="auto"/>
        <w:tabs>
          <w:tab w:leader="none" w:pos="740" w:val="left"/>
        </w:tabs>
        <w:rPr>
          <w:sz w:val="20"/>
          <w:szCs w:val="20"/>
          <w:color w:val="auto"/>
        </w:rPr>
      </w:pPr>
      <w:r>
        <w:rPr>
          <w:rFonts w:ascii="Arial" w:cs="Arial" w:eastAsia="Arial" w:hAnsi="Arial"/>
          <w:sz w:val="18"/>
          <w:szCs w:val="18"/>
          <w:color w:val="auto"/>
        </w:rPr>
        <w:t>25.1.34</w:t>
        <w:tab/>
        <w:t>“Performance Factors” means any of the factors selected by the Committee and specified in an Award Agreement from among the following objective measures, either individually, alternatively or in any combination, applied to the Company as a whole or any business unit or Subsidiary, either individually, alternatively, or in any combination, on a GAAP or non-GAAP basis, and measured, to the extent applicable on an absolute basis or relative to a pre-established target, to determine whether the performance goals established by the Committee with respect to the Award have been satisfied:</w:t>
      </w:r>
    </w:p>
    <w:p>
      <w:pPr>
        <w:spacing w:after="0" w:line="188" w:lineRule="exact"/>
        <w:rPr>
          <w:sz w:val="20"/>
          <w:szCs w:val="20"/>
          <w:color w:val="auto"/>
        </w:rPr>
      </w:pPr>
    </w:p>
    <w:p>
      <w:pPr>
        <w:ind w:left="1420" w:hanging="646"/>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profit before tax;</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billings;</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revenue;</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net revenue;</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earnings (which may include earnings before interest and taxes, earnings before taxes, and net earnings);</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operating income;</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440" w:hanging="666"/>
        <w:spacing w:after="0"/>
        <w:tabs>
          <w:tab w:leader="none" w:pos="1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operating margin;</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operating profit;</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controllable operating profit, or net operating profit;</w:t>
      </w:r>
    </w:p>
    <w:p>
      <w:pPr>
        <w:sectPr>
          <w:pgSz w:w="11900" w:h="16838" w:orient="portrait"/>
          <w:cols w:equalWidth="0" w:num="1">
            <w:col w:w="10720"/>
          </w:cols>
          <w:pgMar w:left="900" w:top="342" w:right="279" w:bottom="0" w:gutter="0" w:footer="0" w:header="0"/>
        </w:sectPr>
      </w:pPr>
    </w:p>
    <w:bookmarkStart w:id="173" w:name="page174"/>
    <w:bookmarkEnd w:id="173"/>
    <w:p>
      <w:pPr>
        <w:spacing w:after="0" w:line="70" w:lineRule="exact"/>
        <w:rPr>
          <w:sz w:val="20"/>
          <w:szCs w:val="20"/>
          <w:color w:val="auto"/>
        </w:rPr>
      </w:pPr>
    </w:p>
    <w:p>
      <w:pPr>
        <w:ind w:left="1440" w:hanging="666"/>
        <w:spacing w:after="0"/>
        <w:tabs>
          <w:tab w:leader="none" w:pos="1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net profit;</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gross margin;</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operating expenses or operating expenses as a percentage of revenue;</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net income;</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earnings per share;</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total shareholder return;</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market share;</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return on assets or net assets;</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the Company’s share price;</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growth in shareholder value relative to a pre-determined index;</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return on equity;</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return on invested capital;</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cash flow (including free cash flow or operating cash flows);</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cash conversion cycle;</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economic value added;</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individual confidential business objectives;</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contract awards or backlog;</w:t>
      </w:r>
    </w:p>
    <w:p>
      <w:pPr>
        <w:spacing w:after="0" w:line="225" w:lineRule="exact"/>
        <w:rPr>
          <w:sz w:val="20"/>
          <w:szCs w:val="20"/>
          <w:color w:val="auto"/>
        </w:rPr>
      </w:pPr>
    </w:p>
    <w:p>
      <w:pPr>
        <w:ind w:left="1400" w:hanging="626"/>
        <w:spacing w:after="0"/>
        <w:tabs>
          <w:tab w:leader="none" w:pos="140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overhead or other expense reduction;</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credit rating;</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strategic plan development and implementation;</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20" w:hanging="646"/>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succession plan development and implementation;</w:t>
      </w:r>
    </w:p>
    <w:p>
      <w:pPr>
        <w:spacing w:after="0" w:line="225" w:lineRule="exact"/>
        <w:rPr>
          <w:rFonts w:ascii="Arial" w:cs="Arial" w:eastAsia="Arial" w:hAnsi="Arial"/>
          <w:sz w:val="18"/>
          <w:szCs w:val="18"/>
          <w:color w:val="auto"/>
        </w:rPr>
      </w:pPr>
    </w:p>
    <w:p>
      <w:pPr>
        <w:ind w:left="1440" w:hanging="666"/>
        <w:spacing w:after="0"/>
        <w:tabs>
          <w:tab w:leader="none" w:pos="14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improvement in workforce diversity;</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customer indicators;</w:t>
      </w:r>
    </w:p>
    <w:p>
      <w:pPr>
        <w:spacing w:after="0" w:line="225" w:lineRule="exact"/>
        <w:rPr>
          <w:rFonts w:ascii="Arial" w:cs="Arial" w:eastAsia="Arial" w:hAnsi="Arial"/>
          <w:sz w:val="18"/>
          <w:szCs w:val="18"/>
          <w:color w:val="auto"/>
        </w:rPr>
      </w:pPr>
    </w:p>
    <w:p>
      <w:pPr>
        <w:ind w:left="1460" w:hanging="686"/>
        <w:spacing w:after="0"/>
        <w:tabs>
          <w:tab w:leader="none" w:pos="1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new product invention or innovation;</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attainment of research and development milestones;</w:t>
      </w:r>
    </w:p>
    <w:p>
      <w:pPr>
        <w:spacing w:after="0" w:line="225" w:lineRule="exact"/>
        <w:rPr>
          <w:rFonts w:ascii="Arial" w:cs="Arial" w:eastAsia="Arial" w:hAnsi="Arial"/>
          <w:sz w:val="18"/>
          <w:szCs w:val="18"/>
          <w:color w:val="auto"/>
        </w:rPr>
      </w:pPr>
    </w:p>
    <w:p>
      <w:pPr>
        <w:ind w:left="1460" w:hanging="686"/>
        <w:spacing w:after="0"/>
        <w:tabs>
          <w:tab w:leader="none" w:pos="1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improvements in productivity;</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bookings;</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attainment of objective operating goals and employee metrics;</w:t>
      </w:r>
    </w:p>
    <w:p>
      <w:pPr>
        <w:spacing w:after="0" w:line="225" w:lineRule="exact"/>
        <w:rPr>
          <w:rFonts w:ascii="Arial" w:cs="Arial" w:eastAsia="Arial" w:hAnsi="Arial"/>
          <w:sz w:val="18"/>
          <w:szCs w:val="18"/>
          <w:color w:val="auto"/>
        </w:rPr>
      </w:pPr>
    </w:p>
    <w:p>
      <w:pPr>
        <w:ind w:left="1460" w:hanging="686"/>
        <w:spacing w:after="0"/>
        <w:tabs>
          <w:tab w:leader="none" w:pos="1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launch of a new game; and</w:t>
      </w:r>
    </w:p>
    <w:p>
      <w:pPr>
        <w:spacing w:after="0" w:line="225" w:lineRule="exact"/>
        <w:rPr>
          <w:rFonts w:ascii="Arial" w:cs="Arial" w:eastAsia="Arial" w:hAnsi="Arial"/>
          <w:sz w:val="18"/>
          <w:szCs w:val="18"/>
          <w:color w:val="auto"/>
        </w:rPr>
      </w:pPr>
    </w:p>
    <w:p>
      <w:pPr>
        <w:ind w:left="1420" w:hanging="646"/>
        <w:spacing w:after="0"/>
        <w:tabs>
          <w:tab w:leader="none" w:pos="142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other metric that is capable of measurement as determined by the Committee.</w:t>
      </w:r>
    </w:p>
    <w:p>
      <w:pPr>
        <w:spacing w:after="0" w:line="225" w:lineRule="exact"/>
        <w:rPr>
          <w:sz w:val="20"/>
          <w:szCs w:val="20"/>
          <w:color w:val="auto"/>
        </w:rPr>
      </w:pPr>
    </w:p>
    <w:p>
      <w:pPr>
        <w:ind w:left="1460" w:right="20"/>
        <w:spacing w:after="0" w:line="279" w:lineRule="auto"/>
        <w:rPr>
          <w:sz w:val="20"/>
          <w:szCs w:val="20"/>
          <w:color w:val="auto"/>
        </w:rPr>
      </w:pPr>
      <w:r>
        <w:rPr>
          <w:rFonts w:ascii="Arial" w:cs="Arial" w:eastAsia="Arial" w:hAnsi="Arial"/>
          <w:sz w:val="17"/>
          <w:szCs w:val="17"/>
          <w:color w:val="auto"/>
        </w:rPr>
        <w:t>The Committee may, in recognition of unusual or non-recurring items such as acquisition-related activities or changes in applicable accounting rules, provide for one or more equitable adjustments (based on objective standards) to the Performance Factors to preserve the Committee’s original intent regarding the Performance Factors at the time of the initial Award grant. It is within the sole discretion of the Committee to make or not make any such equitable adjustments;</w:t>
      </w:r>
    </w:p>
    <w:p>
      <w:pPr>
        <w:spacing w:after="0" w:line="171" w:lineRule="exact"/>
        <w:rPr>
          <w:sz w:val="20"/>
          <w:szCs w:val="20"/>
          <w:color w:val="auto"/>
        </w:rPr>
      </w:pPr>
    </w:p>
    <w:p>
      <w:pPr>
        <w:ind w:left="760" w:right="120" w:hanging="777"/>
        <w:spacing w:after="0" w:line="277" w:lineRule="auto"/>
        <w:tabs>
          <w:tab w:leader="none" w:pos="740" w:val="left"/>
        </w:tabs>
        <w:rPr>
          <w:sz w:val="20"/>
          <w:szCs w:val="20"/>
          <w:color w:val="auto"/>
        </w:rPr>
      </w:pPr>
      <w:r>
        <w:rPr>
          <w:rFonts w:ascii="Arial" w:cs="Arial" w:eastAsia="Arial" w:hAnsi="Arial"/>
          <w:sz w:val="18"/>
          <w:szCs w:val="18"/>
          <w:color w:val="auto"/>
        </w:rPr>
        <w:t>25.1.35</w:t>
        <w:tab/>
        <w:t>“Performance Period” means the period of service determined by the Committee, not to exceed five (5) years, during which performance is to be measured for an Award;</w:t>
      </w:r>
    </w:p>
    <w:p>
      <w:pPr>
        <w:spacing w:after="0" w:line="170" w:lineRule="exact"/>
        <w:rPr>
          <w:sz w:val="20"/>
          <w:szCs w:val="20"/>
          <w:color w:val="auto"/>
        </w:rPr>
      </w:pPr>
    </w:p>
    <w:p>
      <w:pPr>
        <w:spacing w:after="0"/>
        <w:tabs>
          <w:tab w:leader="none" w:pos="740" w:val="left"/>
        </w:tabs>
        <w:rPr>
          <w:sz w:val="20"/>
          <w:szCs w:val="20"/>
          <w:color w:val="auto"/>
        </w:rPr>
      </w:pPr>
      <w:r>
        <w:rPr>
          <w:rFonts w:ascii="Arial" w:cs="Arial" w:eastAsia="Arial" w:hAnsi="Arial"/>
          <w:sz w:val="18"/>
          <w:szCs w:val="18"/>
          <w:color w:val="auto"/>
        </w:rPr>
        <w:t>25.1.36</w:t>
      </w:r>
      <w:r>
        <w:rPr>
          <w:sz w:val="20"/>
          <w:szCs w:val="20"/>
          <w:color w:val="auto"/>
        </w:rPr>
        <w:tab/>
      </w:r>
      <w:r>
        <w:rPr>
          <w:rFonts w:ascii="Arial" w:cs="Arial" w:eastAsia="Arial" w:hAnsi="Arial"/>
          <w:sz w:val="16"/>
          <w:szCs w:val="16"/>
          <w:color w:val="auto"/>
        </w:rPr>
        <w:t>“Performance Share” means a Performance Share comprised in a Performance Award granted pursuant to Section 11;</w:t>
      </w:r>
    </w:p>
    <w:p>
      <w:pPr>
        <w:spacing w:after="0" w:line="225" w:lineRule="exact"/>
        <w:rPr>
          <w:sz w:val="20"/>
          <w:szCs w:val="20"/>
          <w:color w:val="auto"/>
        </w:rPr>
      </w:pPr>
    </w:p>
    <w:p>
      <w:pPr>
        <w:ind w:left="760" w:hanging="777"/>
        <w:spacing w:after="0" w:line="342" w:lineRule="auto"/>
        <w:tabs>
          <w:tab w:leader="none" w:pos="740" w:val="left"/>
        </w:tabs>
        <w:rPr>
          <w:sz w:val="20"/>
          <w:szCs w:val="20"/>
          <w:color w:val="auto"/>
        </w:rPr>
      </w:pPr>
      <w:r>
        <w:rPr>
          <w:rFonts w:ascii="Arial" w:cs="Arial" w:eastAsia="Arial" w:hAnsi="Arial"/>
          <w:sz w:val="18"/>
          <w:szCs w:val="18"/>
          <w:color w:val="auto"/>
        </w:rPr>
        <w:t>25.1.37</w:t>
      </w:r>
      <w:r>
        <w:rPr>
          <w:sz w:val="20"/>
          <w:szCs w:val="20"/>
          <w:color w:val="auto"/>
        </w:rPr>
        <w:tab/>
      </w:r>
      <w:r>
        <w:rPr>
          <w:rFonts w:ascii="Arial" w:cs="Arial" w:eastAsia="Arial" w:hAnsi="Arial"/>
          <w:sz w:val="16"/>
          <w:szCs w:val="16"/>
          <w:color w:val="auto"/>
        </w:rPr>
        <w:t>“Permitted Transferee” means any child, stepchild, grandchild, parent, stepparent, grandparent, spouse, former spouse, sibling, niece, nephew, mother-in-law, father-in-law, son-in-law, daughter-in-law, brother-in-law, or sister-in-law (including adoptive relationships) of the</w:t>
      </w:r>
    </w:p>
    <w:p>
      <w:pPr>
        <w:sectPr>
          <w:pgSz w:w="11900" w:h="16908" w:orient="portrait"/>
          <w:cols w:equalWidth="0" w:num="1">
            <w:col w:w="10740"/>
          </w:cols>
          <w:pgMar w:left="900" w:top="125" w:right="259" w:bottom="0" w:gutter="0" w:footer="0" w:header="0"/>
        </w:sectPr>
      </w:pPr>
    </w:p>
    <w:bookmarkStart w:id="174" w:name="page175"/>
    <w:bookmarkEnd w:id="174"/>
    <w:p>
      <w:pPr>
        <w:ind w:left="1440" w:right="560"/>
        <w:spacing w:after="0" w:line="264" w:lineRule="auto"/>
        <w:rPr>
          <w:sz w:val="20"/>
          <w:szCs w:val="20"/>
          <w:color w:val="auto"/>
        </w:rPr>
      </w:pPr>
      <w:r>
        <w:rPr>
          <w:rFonts w:ascii="Arial" w:cs="Arial" w:eastAsia="Arial" w:hAnsi="Arial"/>
          <w:sz w:val="18"/>
          <w:szCs w:val="18"/>
          <w:color w:val="auto"/>
        </w:rPr>
        <w:t>Participant, any person sharing the Participant’s household (other than a tenant or employee), a trust in which these persons (or the Participant) have more than 50% of the beneficial interest, a foundation in which these persons (or the Participant) control the management of assets, and any other</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entity in which these persons (or the Participant) own more than 50% of the voting interests;</w:t>
      </w:r>
    </w:p>
    <w:p>
      <w:pPr>
        <w:spacing w:after="0" w:line="225" w:lineRule="exact"/>
        <w:rPr>
          <w:sz w:val="20"/>
          <w:szCs w:val="20"/>
          <w:color w:val="auto"/>
        </w:rPr>
      </w:pPr>
    </w:p>
    <w:p>
      <w:pPr>
        <w:ind w:left="1420" w:right="40" w:hanging="777"/>
        <w:spacing w:after="0" w:line="342" w:lineRule="auto"/>
        <w:tabs>
          <w:tab w:leader="none" w:pos="1400" w:val="left"/>
        </w:tabs>
        <w:rPr>
          <w:sz w:val="20"/>
          <w:szCs w:val="20"/>
          <w:color w:val="auto"/>
        </w:rPr>
      </w:pPr>
      <w:r>
        <w:rPr>
          <w:rFonts w:ascii="Arial" w:cs="Arial" w:eastAsia="Arial" w:hAnsi="Arial"/>
          <w:sz w:val="18"/>
          <w:szCs w:val="18"/>
          <w:color w:val="auto"/>
        </w:rPr>
        <w:t>25.1.38</w:t>
      </w:r>
      <w:r>
        <w:rPr>
          <w:sz w:val="20"/>
          <w:szCs w:val="20"/>
          <w:color w:val="auto"/>
        </w:rPr>
        <w:tab/>
      </w:r>
      <w:r>
        <w:rPr>
          <w:rFonts w:ascii="Arial" w:cs="Arial" w:eastAsia="Arial" w:hAnsi="Arial"/>
          <w:sz w:val="16"/>
          <w:szCs w:val="16"/>
          <w:color w:val="auto"/>
        </w:rPr>
        <w:t>“Personal Data” has the meaning assigned to that term in Section 2 of Directive 95/46/EC of the European Parliament and of the Council of 24 October 1995 on the protection of individuals with regard to the processing of personal data and on the free movement of such data;</w:t>
      </w:r>
    </w:p>
    <w:p>
      <w:pPr>
        <w:spacing w:after="0" w:line="124"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25.1.39</w:t>
      </w:r>
      <w:r>
        <w:rPr>
          <w:sz w:val="20"/>
          <w:szCs w:val="20"/>
          <w:color w:val="auto"/>
        </w:rPr>
        <w:tab/>
      </w:r>
      <w:r>
        <w:rPr>
          <w:rFonts w:ascii="Arial" w:cs="Arial" w:eastAsia="Arial" w:hAnsi="Arial"/>
          <w:sz w:val="16"/>
          <w:szCs w:val="16"/>
          <w:color w:val="auto"/>
        </w:rPr>
        <w:t>“Plan” means this Activision Blizzard Inc. KDE Equity Incentive Plan;</w:t>
      </w:r>
    </w:p>
    <w:p>
      <w:pPr>
        <w:spacing w:after="0" w:line="225" w:lineRule="exact"/>
        <w:rPr>
          <w:sz w:val="20"/>
          <w:szCs w:val="20"/>
          <w:color w:val="auto"/>
        </w:rPr>
      </w:pPr>
    </w:p>
    <w:p>
      <w:pPr>
        <w:ind w:left="1420" w:right="100" w:hanging="777"/>
        <w:spacing w:after="0" w:line="277" w:lineRule="auto"/>
        <w:tabs>
          <w:tab w:leader="none" w:pos="1400" w:val="left"/>
        </w:tabs>
        <w:rPr>
          <w:sz w:val="20"/>
          <w:szCs w:val="20"/>
          <w:color w:val="auto"/>
        </w:rPr>
      </w:pPr>
      <w:r>
        <w:rPr>
          <w:rFonts w:ascii="Arial" w:cs="Arial" w:eastAsia="Arial" w:hAnsi="Arial"/>
          <w:sz w:val="18"/>
          <w:szCs w:val="18"/>
          <w:color w:val="auto"/>
        </w:rPr>
        <w:t>25.1.40</w:t>
        <w:tab/>
        <w:t>“Purchase Price” means the price to be paid for Shares acquired under the Plan, other than Shares acquired upon exercise of an Option or SAR;</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25.1.41</w:t>
      </w:r>
      <w:r>
        <w:rPr>
          <w:sz w:val="20"/>
          <w:szCs w:val="20"/>
          <w:color w:val="auto"/>
        </w:rPr>
        <w:tab/>
      </w:r>
      <w:r>
        <w:rPr>
          <w:rFonts w:ascii="Arial" w:cs="Arial" w:eastAsia="Arial" w:hAnsi="Arial"/>
          <w:sz w:val="16"/>
          <w:szCs w:val="16"/>
          <w:color w:val="auto"/>
        </w:rPr>
        <w:t>“Restricted Share Award” means an award of Shares pursuant to Section 8;</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25.1.42</w:t>
      </w:r>
      <w:r>
        <w:rPr>
          <w:sz w:val="20"/>
          <w:szCs w:val="20"/>
          <w:color w:val="auto"/>
        </w:rPr>
        <w:tab/>
      </w:r>
      <w:r>
        <w:rPr>
          <w:rFonts w:ascii="Arial" w:cs="Arial" w:eastAsia="Arial" w:hAnsi="Arial"/>
          <w:sz w:val="16"/>
          <w:szCs w:val="16"/>
          <w:color w:val="auto"/>
        </w:rPr>
        <w:t>“Restricted Stock Unit” means a right, subject to conditions, to acquire a Share;</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25.1.43</w:t>
      </w:r>
      <w:r>
        <w:rPr>
          <w:sz w:val="20"/>
          <w:szCs w:val="20"/>
          <w:color w:val="auto"/>
        </w:rPr>
        <w:tab/>
      </w:r>
      <w:r>
        <w:rPr>
          <w:rFonts w:ascii="Arial" w:cs="Arial" w:eastAsia="Arial" w:hAnsi="Arial"/>
          <w:sz w:val="16"/>
          <w:szCs w:val="16"/>
          <w:color w:val="auto"/>
        </w:rPr>
        <w:t>“Restricted Stock Unit Award” means an Award of Restricted Stock Units granted pursuant to Section 9;</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25.1.44</w:t>
      </w:r>
      <w:r>
        <w:rPr>
          <w:sz w:val="20"/>
          <w:szCs w:val="20"/>
          <w:color w:val="auto"/>
        </w:rPr>
        <w:tab/>
      </w:r>
      <w:r>
        <w:rPr>
          <w:rFonts w:ascii="Arial" w:cs="Arial" w:eastAsia="Arial" w:hAnsi="Arial"/>
          <w:sz w:val="16"/>
          <w:szCs w:val="16"/>
          <w:color w:val="auto"/>
        </w:rPr>
        <w:t>“SEC” means the United States Securities and Exchange Commission;</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25.1.45</w:t>
      </w:r>
      <w:r>
        <w:rPr>
          <w:sz w:val="20"/>
          <w:szCs w:val="20"/>
          <w:color w:val="auto"/>
        </w:rPr>
        <w:tab/>
      </w:r>
      <w:r>
        <w:rPr>
          <w:rFonts w:ascii="Arial" w:cs="Arial" w:eastAsia="Arial" w:hAnsi="Arial"/>
          <w:sz w:val="16"/>
          <w:szCs w:val="16"/>
          <w:color w:val="auto"/>
        </w:rPr>
        <w:t>“Securities Act” means the United States Securities Act of 1933, as amended;</w:t>
      </w:r>
    </w:p>
    <w:p>
      <w:pPr>
        <w:spacing w:after="0" w:line="225" w:lineRule="exact"/>
        <w:rPr>
          <w:sz w:val="20"/>
          <w:szCs w:val="20"/>
          <w:color w:val="auto"/>
        </w:rPr>
      </w:pPr>
    </w:p>
    <w:p>
      <w:pPr>
        <w:ind w:left="1420" w:right="80" w:hanging="777"/>
        <w:spacing w:after="0" w:line="289" w:lineRule="auto"/>
        <w:tabs>
          <w:tab w:leader="none" w:pos="1400" w:val="left"/>
        </w:tabs>
        <w:rPr>
          <w:sz w:val="20"/>
          <w:szCs w:val="20"/>
          <w:color w:val="auto"/>
        </w:rPr>
      </w:pPr>
      <w:r>
        <w:rPr>
          <w:rFonts w:ascii="Arial" w:cs="Arial" w:eastAsia="Arial" w:hAnsi="Arial"/>
          <w:sz w:val="18"/>
          <w:szCs w:val="18"/>
          <w:color w:val="auto"/>
        </w:rPr>
        <w:t>25.1.46</w:t>
      </w:r>
      <w:r>
        <w:rPr>
          <w:sz w:val="20"/>
          <w:szCs w:val="20"/>
          <w:color w:val="auto"/>
        </w:rPr>
        <w:tab/>
      </w:r>
      <w:r>
        <w:rPr>
          <w:rFonts w:ascii="Arial" w:cs="Arial" w:eastAsia="Arial" w:hAnsi="Arial"/>
          <w:sz w:val="16"/>
          <w:szCs w:val="16"/>
          <w:color w:val="auto"/>
        </w:rPr>
        <w:t>“Service” means service as an Employee, Consultant, Director or Non-Employee Director, subject to such further limitations as may be set forth in the Plan or the applicable Award Agreement. An Employee will not be deemed to have ceased to provide Service in the case of (a) statutory leave, (b) military leave, or (c) any other leave of absence approved by the Company or provided pursuant to a formal policy adopted from time to time by the Company, King or any Associated Company by which the Participant is employed, and issued and promulgated to employees in writing. In the case of any Employee on a statutory, military or other approved leave of absence or whose normal working hours reduce (for illustrative purposes only, a change in schedule from that of full-time to part-time), the Committee may make such provisions regarding suspension or tolling of or modification to vesting of the Award while on leave from the employ of the Company, King or an Associated Company or during such reduction in working hours as it may deem appropriate, subject to Applicable Law, except that in no event may an Award be exercised after the expiration of the term for exercise set forth in the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440"/>
        <w:spacing w:after="0" w:line="255" w:lineRule="auto"/>
        <w:rPr>
          <w:sz w:val="20"/>
          <w:szCs w:val="20"/>
          <w:color w:val="auto"/>
        </w:rPr>
      </w:pPr>
      <w:r>
        <w:rPr>
          <w:rFonts w:ascii="Arial" w:cs="Arial" w:eastAsia="Arial" w:hAnsi="Arial"/>
          <w:sz w:val="18"/>
          <w:szCs w:val="18"/>
          <w:color w:val="auto"/>
        </w:rPr>
        <w:t>applicable Award Agreement. An Employee shall have terminated employment as of the date he ceases to be employed (regardless of whether the termination is in breach of local employment laws or is later found to be invalid) and, subject to Applicable Law, employment shall not be extended by any notice period or garden leave mandated by local law, provided however, that a change in status from an Employee to a Consultant or Director shall not terminate the service provider’s Service, unless determined by the Committee in its discretion. The Committee will have sole discretion to determine whether a Participant has ceased to be in Service and the effective date on which the Participant ceased to be in Service;</w:t>
      </w:r>
    </w:p>
    <w:p>
      <w:pPr>
        <w:spacing w:after="0" w:line="193" w:lineRule="exact"/>
        <w:rPr>
          <w:sz w:val="20"/>
          <w:szCs w:val="20"/>
          <w:color w:val="auto"/>
        </w:rPr>
      </w:pPr>
    </w:p>
    <w:p>
      <w:pPr>
        <w:ind w:left="1420" w:right="200" w:hanging="777"/>
        <w:spacing w:after="0" w:line="277" w:lineRule="auto"/>
        <w:tabs>
          <w:tab w:leader="none" w:pos="1400" w:val="left"/>
        </w:tabs>
        <w:rPr>
          <w:sz w:val="20"/>
          <w:szCs w:val="20"/>
          <w:color w:val="auto"/>
        </w:rPr>
      </w:pPr>
      <w:r>
        <w:rPr>
          <w:rFonts w:ascii="Arial" w:cs="Arial" w:eastAsia="Arial" w:hAnsi="Arial"/>
          <w:sz w:val="18"/>
          <w:szCs w:val="18"/>
          <w:color w:val="auto"/>
        </w:rPr>
        <w:t>25.1.47</w:t>
        <w:tab/>
        <w:t>“Shares” means (i) from the Acquisition Effective Time, the Common Stock of the Company or of any successor entity, and (ii) prior to the Acquisition Effective Time, Ordinary Shares;</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25.1.48</w:t>
      </w:r>
      <w:r>
        <w:rPr>
          <w:sz w:val="20"/>
          <w:szCs w:val="20"/>
          <w:color w:val="auto"/>
        </w:rPr>
        <w:tab/>
      </w:r>
      <w:r>
        <w:rPr>
          <w:rFonts w:ascii="Arial" w:cs="Arial" w:eastAsia="Arial" w:hAnsi="Arial"/>
          <w:sz w:val="16"/>
          <w:szCs w:val="16"/>
          <w:color w:val="auto"/>
        </w:rPr>
        <w:t>“Stock Appreciation Right” means an Award granted pursuant to Section 7;</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25.1.49</w:t>
      </w:r>
      <w:r>
        <w:rPr>
          <w:sz w:val="20"/>
          <w:szCs w:val="20"/>
          <w:color w:val="auto"/>
        </w:rPr>
        <w:tab/>
      </w:r>
      <w:r>
        <w:rPr>
          <w:rFonts w:ascii="Arial" w:cs="Arial" w:eastAsia="Arial" w:hAnsi="Arial"/>
          <w:sz w:val="16"/>
          <w:szCs w:val="16"/>
          <w:color w:val="auto"/>
        </w:rPr>
        <w:t>“Subsidiary” means a company which is a subsidiary within the meaning of Section 7 of the Companies Act, 2014 of Ireland;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25.1.50</w:t>
      </w:r>
      <w:r>
        <w:rPr>
          <w:sz w:val="20"/>
          <w:szCs w:val="20"/>
          <w:color w:val="auto"/>
        </w:rPr>
        <w:tab/>
      </w:r>
      <w:r>
        <w:rPr>
          <w:rFonts w:ascii="Arial" w:cs="Arial" w:eastAsia="Arial" w:hAnsi="Arial"/>
          <w:sz w:val="16"/>
          <w:szCs w:val="16"/>
          <w:color w:val="auto"/>
        </w:rPr>
        <w:t>“Substitute Award” means an Award granted under Section 2.3 of the Plan;</w:t>
      </w:r>
    </w:p>
    <w:p>
      <w:pPr>
        <w:spacing w:after="0" w:line="225" w:lineRule="exact"/>
        <w:rPr>
          <w:sz w:val="20"/>
          <w:szCs w:val="20"/>
          <w:color w:val="auto"/>
        </w:rPr>
      </w:pPr>
    </w:p>
    <w:p>
      <w:pPr>
        <w:ind w:left="1420" w:right="420" w:hanging="777"/>
        <w:spacing w:after="0" w:line="277" w:lineRule="auto"/>
        <w:tabs>
          <w:tab w:leader="none" w:pos="1400" w:val="left"/>
        </w:tabs>
        <w:rPr>
          <w:sz w:val="20"/>
          <w:szCs w:val="20"/>
          <w:color w:val="auto"/>
        </w:rPr>
      </w:pPr>
      <w:r>
        <w:rPr>
          <w:rFonts w:ascii="Arial" w:cs="Arial" w:eastAsia="Arial" w:hAnsi="Arial"/>
          <w:sz w:val="18"/>
          <w:szCs w:val="18"/>
          <w:color w:val="auto"/>
        </w:rPr>
        <w:t>25.1.51</w:t>
        <w:tab/>
        <w:t>“Transaction Agreement” means the Transaction Agreement, dated 2 November 2015, by and between King, the Company and ABS Partners CV.;</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25.1.52</w:t>
      </w:r>
      <w:r>
        <w:rPr>
          <w:sz w:val="20"/>
          <w:szCs w:val="20"/>
          <w:color w:val="auto"/>
        </w:rPr>
        <w:tab/>
      </w:r>
      <w:r>
        <w:rPr>
          <w:rFonts w:ascii="Arial" w:cs="Arial" w:eastAsia="Arial" w:hAnsi="Arial"/>
          <w:sz w:val="16"/>
          <w:szCs w:val="16"/>
          <w:color w:val="auto"/>
        </w:rPr>
        <w:t>“Unrestricted Stock Unit”, means a right to acquire a Share; and</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25.1.53</w:t>
      </w:r>
      <w:r>
        <w:rPr>
          <w:sz w:val="20"/>
          <w:szCs w:val="20"/>
          <w:color w:val="auto"/>
        </w:rPr>
        <w:tab/>
      </w:r>
      <w:r>
        <w:rPr>
          <w:rFonts w:ascii="Arial" w:cs="Arial" w:eastAsia="Arial" w:hAnsi="Arial"/>
          <w:sz w:val="16"/>
          <w:szCs w:val="16"/>
          <w:color w:val="auto"/>
        </w:rPr>
        <w:t>“Unrestricted Stock Unit Award”, means an award of Unrestricted Stock Units granted pursuant to Section 10.</w:t>
      </w:r>
    </w:p>
    <w:p>
      <w:pPr>
        <w:spacing w:after="0" w:line="22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25.2</w:t>
      </w:r>
      <w:r>
        <w:rPr>
          <w:sz w:val="20"/>
          <w:szCs w:val="20"/>
          <w:color w:val="auto"/>
        </w:rPr>
        <w:tab/>
      </w:r>
      <w:r>
        <w:rPr>
          <w:rFonts w:ascii="Arial" w:cs="Arial" w:eastAsia="Arial" w:hAnsi="Arial"/>
          <w:sz w:val="17"/>
          <w:szCs w:val="17"/>
          <w:b w:val="1"/>
          <w:bCs w:val="1"/>
          <w:color w:val="auto"/>
        </w:rPr>
        <w:t>Interpretation</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this Plan, where the context permits or requires:</w:t>
      </w:r>
    </w:p>
    <w:p>
      <w:pPr>
        <w:spacing w:after="0" w:line="2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25.2.1</w:t>
      </w:r>
      <w:r>
        <w:rPr>
          <w:sz w:val="20"/>
          <w:szCs w:val="20"/>
          <w:color w:val="auto"/>
        </w:rPr>
        <w:tab/>
      </w:r>
      <w:r>
        <w:rPr>
          <w:rFonts w:ascii="Arial" w:cs="Arial" w:eastAsia="Arial" w:hAnsi="Arial"/>
          <w:sz w:val="16"/>
          <w:szCs w:val="16"/>
          <w:color w:val="auto"/>
        </w:rPr>
        <w:t>the singular shall include the plural and vice versa and the masculine shall include the feminine;</w:t>
      </w:r>
    </w:p>
    <w:p>
      <w:pPr>
        <w:spacing w:after="0" w:line="2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25.2.2</w:t>
      </w:r>
      <w:r>
        <w:rPr>
          <w:sz w:val="20"/>
          <w:szCs w:val="20"/>
          <w:color w:val="auto"/>
        </w:rPr>
        <w:tab/>
      </w:r>
      <w:r>
        <w:rPr>
          <w:rFonts w:ascii="Arial" w:cs="Arial" w:eastAsia="Arial" w:hAnsi="Arial"/>
          <w:sz w:val="16"/>
          <w:szCs w:val="16"/>
          <w:color w:val="auto"/>
        </w:rPr>
        <w:t>a reference to a statutory provision includes any statutory modification, amendment or re-enactment;</w:t>
      </w:r>
    </w:p>
    <w:p>
      <w:pPr>
        <w:sectPr>
          <w:pgSz w:w="11900" w:h="16838" w:orient="portrait"/>
          <w:cols w:equalWidth="0" w:num="1">
            <w:col w:w="11400"/>
          </w:cols>
          <w:pgMar w:left="240" w:top="125" w:right="259" w:bottom="55"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55" w:gutter="0" w:footer="0" w:header="0"/>
          <w:type w:val="continuous"/>
        </w:sectPr>
      </w:pPr>
    </w:p>
    <w:bookmarkStart w:id="175" w:name="page176"/>
    <w:bookmarkEnd w:id="175"/>
    <w:p>
      <w:pPr>
        <w:ind w:left="660"/>
        <w:spacing w:after="0"/>
        <w:tabs>
          <w:tab w:leader="none" w:pos="1420" w:val="left"/>
        </w:tabs>
        <w:rPr>
          <w:sz w:val="20"/>
          <w:szCs w:val="20"/>
          <w:color w:val="auto"/>
        </w:rPr>
      </w:pPr>
      <w:r>
        <w:rPr>
          <w:rFonts w:ascii="Arial" w:cs="Arial" w:eastAsia="Arial" w:hAnsi="Arial"/>
          <w:sz w:val="18"/>
          <w:szCs w:val="18"/>
          <w:color w:val="auto"/>
        </w:rPr>
        <w:t>25.2.3</w:t>
      </w:r>
      <w:r>
        <w:rPr>
          <w:sz w:val="20"/>
          <w:szCs w:val="20"/>
          <w:color w:val="auto"/>
        </w:rPr>
        <w:tab/>
      </w:r>
      <w:r>
        <w:rPr>
          <w:rFonts w:ascii="Arial" w:cs="Arial" w:eastAsia="Arial" w:hAnsi="Arial"/>
          <w:sz w:val="16"/>
          <w:szCs w:val="16"/>
          <w:color w:val="auto"/>
        </w:rPr>
        <w:t>the contents and headings are for ease of reference only and shall not affect their interpretation; and</w:t>
      </w:r>
    </w:p>
    <w:p>
      <w:pPr>
        <w:spacing w:after="0" w:line="225" w:lineRule="exact"/>
        <w:rPr>
          <w:sz w:val="20"/>
          <w:szCs w:val="20"/>
          <w:color w:val="auto"/>
        </w:rPr>
      </w:pPr>
    </w:p>
    <w:p>
      <w:pPr>
        <w:ind w:left="660"/>
        <w:spacing w:after="0"/>
        <w:tabs>
          <w:tab w:leader="none" w:pos="1420" w:val="left"/>
        </w:tabs>
        <w:rPr>
          <w:sz w:val="20"/>
          <w:szCs w:val="20"/>
          <w:color w:val="auto"/>
        </w:rPr>
      </w:pPr>
      <w:r>
        <w:rPr>
          <w:rFonts w:ascii="Arial" w:cs="Arial" w:eastAsia="Arial" w:hAnsi="Arial"/>
          <w:sz w:val="18"/>
          <w:szCs w:val="18"/>
          <w:color w:val="auto"/>
        </w:rPr>
        <w:t>25.2.4</w:t>
      </w:r>
      <w:r>
        <w:rPr>
          <w:sz w:val="20"/>
          <w:szCs w:val="20"/>
          <w:color w:val="auto"/>
        </w:rPr>
        <w:tab/>
      </w:r>
      <w:r>
        <w:rPr>
          <w:rFonts w:ascii="Arial" w:cs="Arial" w:eastAsia="Arial" w:hAnsi="Arial"/>
          <w:sz w:val="16"/>
          <w:szCs w:val="16"/>
          <w:color w:val="auto"/>
        </w:rPr>
        <w:t>a reference to a Section shall, unless the context otherwise requires, be a reference to a Section of the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KDE EQUITY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GOVERNING AWARDS TO PARTICIPANTS IN ROMANIA</w:t>
      </w:r>
    </w:p>
    <w:p>
      <w:pPr>
        <w:spacing w:after="0" w:line="225" w:lineRule="exact"/>
        <w:rPr>
          <w:sz w:val="20"/>
          <w:szCs w:val="20"/>
          <w:color w:val="auto"/>
        </w:rPr>
      </w:pPr>
    </w:p>
    <w:p>
      <w:pPr>
        <w:ind w:left="660" w:hanging="652"/>
        <w:spacing w:after="0"/>
        <w:tabs>
          <w:tab w:leader="none" w:pos="6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sz w:val="20"/>
          <w:szCs w:val="20"/>
          <w:color w:val="auto"/>
        </w:rPr>
      </w:pPr>
    </w:p>
    <w:p>
      <w:pPr>
        <w:ind w:left="660" w:right="160" w:hanging="647"/>
        <w:spacing w:after="0" w:line="266"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In accordance with Section 5.6.4 of the Activision Blizzard Inc. KDE Equity Incentive Plan (the “</w:t>
      </w:r>
      <w:r>
        <w:rPr>
          <w:rFonts w:ascii="Arial" w:cs="Arial" w:eastAsia="Arial" w:hAnsi="Arial"/>
          <w:sz w:val="18"/>
          <w:szCs w:val="18"/>
          <w:b w:val="1"/>
          <w:bCs w:val="1"/>
          <w:color w:val="auto"/>
        </w:rPr>
        <w:t>Plan</w:t>
      </w:r>
      <w:r>
        <w:rPr>
          <w:rFonts w:ascii="Arial" w:cs="Arial" w:eastAsia="Arial" w:hAnsi="Arial"/>
          <w:sz w:val="18"/>
          <w:szCs w:val="18"/>
          <w:color w:val="auto"/>
        </w:rPr>
        <w:t>”) the Board has determined to establish this sub-plan (the “</w:t>
      </w:r>
      <w:r>
        <w:rPr>
          <w:rFonts w:ascii="Arial" w:cs="Arial" w:eastAsia="Arial" w:hAnsi="Arial"/>
          <w:sz w:val="18"/>
          <w:szCs w:val="18"/>
          <w:b w:val="1"/>
          <w:bCs w:val="1"/>
          <w:color w:val="auto"/>
        </w:rPr>
        <w:t>Romania Sub-Plan</w:t>
      </w:r>
      <w:r>
        <w:rPr>
          <w:rFonts w:ascii="Arial" w:cs="Arial" w:eastAsia="Arial" w:hAnsi="Arial"/>
          <w:sz w:val="18"/>
          <w:szCs w:val="18"/>
          <w:color w:val="auto"/>
        </w:rPr>
        <w:t>”) for the purposes of Awards made to Employees, Consultants, Directors and Non-Employee Directors of the Associated Company located in Romania.</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All terms that are not otherwise defined herein shall have the same meaning as set forth in the Plan.</w:t>
      </w:r>
    </w:p>
    <w:p>
      <w:pPr>
        <w:spacing w:after="0" w:line="221" w:lineRule="exact"/>
        <w:rPr>
          <w:sz w:val="20"/>
          <w:szCs w:val="20"/>
          <w:color w:val="auto"/>
        </w:rPr>
      </w:pPr>
    </w:p>
    <w:p>
      <w:pPr>
        <w:ind w:left="660" w:hanging="652"/>
        <w:spacing w:after="0"/>
        <w:tabs>
          <w:tab w:leader="none" w:pos="66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Plan shall be amended as follows:</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Section 14.2 </w:t>
      </w:r>
      <w:r>
        <w:rPr>
          <w:rFonts w:ascii="Arial" w:cs="Arial" w:eastAsia="Arial" w:hAnsi="Arial"/>
          <w:sz w:val="18"/>
          <w:szCs w:val="18"/>
          <w:b w:val="1"/>
          <w:bCs w:val="1"/>
          <w:i w:val="1"/>
          <w:iCs w:val="1"/>
          <w:color w:val="auto"/>
        </w:rPr>
        <w:t>(Payment Methods)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Section 14.2.4 shall be deleted.</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20.1 (</w:t>
      </w:r>
      <w:r>
        <w:rPr>
          <w:rFonts w:ascii="Arial" w:cs="Arial" w:eastAsia="Arial" w:hAnsi="Arial"/>
          <w:sz w:val="18"/>
          <w:szCs w:val="18"/>
          <w:b w:val="1"/>
          <w:bCs w:val="1"/>
          <w:i w:val="1"/>
          <w:iCs w:val="1"/>
          <w:color w:val="auto"/>
        </w:rPr>
        <w:t>No Obligation to Employ/ Right to Compensation</w:t>
      </w:r>
      <w:r>
        <w:rPr>
          <w:rFonts w:ascii="Arial" w:cs="Arial" w:eastAsia="Arial" w:hAnsi="Arial"/>
          <w:sz w:val="18"/>
          <w:szCs w:val="18"/>
          <w:b w:val="1"/>
          <w:bCs w:val="1"/>
          <w:color w:val="auto"/>
        </w:rPr>
        <w: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provisions of Section 20.1.2 shall be deleted and replaced by the following:</w:t>
      </w:r>
    </w:p>
    <w:p>
      <w:pPr>
        <w:spacing w:after="0" w:line="225" w:lineRule="exact"/>
        <w:rPr>
          <w:sz w:val="20"/>
          <w:szCs w:val="20"/>
          <w:color w:val="auto"/>
        </w:rPr>
      </w:pPr>
    </w:p>
    <w:p>
      <w:pPr>
        <w:ind w:left="660"/>
        <w:spacing w:after="0" w:line="312" w:lineRule="auto"/>
        <w:rPr>
          <w:sz w:val="20"/>
          <w:szCs w:val="20"/>
          <w:color w:val="auto"/>
        </w:rPr>
      </w:pPr>
      <w:r>
        <w:rPr>
          <w:rFonts w:ascii="Arial" w:cs="Arial" w:eastAsia="Arial" w:hAnsi="Arial"/>
          <w:sz w:val="16"/>
          <w:szCs w:val="16"/>
          <w:color w:val="auto"/>
        </w:rPr>
        <w:t>“All Awards shall be granted entirely at the discretion of the Committee. No individual employed or engaged by the Company, King or any Associated Company has the right to receive an Award or shall have any claim against the Company, King or any Associated Company arising out of his not being admitted to participation in the Plan. The grant of an Award to a Participant shall not entitle him to receive any subsequent Awards.”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25.1.9 (</w:t>
      </w:r>
      <w:r>
        <w:rPr>
          <w:rFonts w:ascii="Arial" w:cs="Arial" w:eastAsia="Arial" w:hAnsi="Arial"/>
          <w:sz w:val="18"/>
          <w:szCs w:val="18"/>
          <w:b w:val="1"/>
          <w:bCs w:val="1"/>
          <w:i w:val="1"/>
          <w:iCs w:val="1"/>
          <w:color w:val="auto"/>
        </w:rPr>
        <w:t>Definitions — “Cause”</w:t>
      </w:r>
      <w:r>
        <w:rPr>
          <w:rFonts w:ascii="Arial" w:cs="Arial" w:eastAsia="Arial" w:hAnsi="Arial"/>
          <w:sz w:val="18"/>
          <w:szCs w:val="18"/>
          <w:b w:val="1"/>
          <w:bCs w:val="1"/>
          <w:color w:val="auto"/>
        </w:rPr>
        <w:t>)</w:t>
      </w:r>
    </w:p>
    <w:p>
      <w:pPr>
        <w:spacing w:after="0" w:line="229" w:lineRule="exact"/>
        <w:rPr>
          <w:sz w:val="20"/>
          <w:szCs w:val="20"/>
          <w:color w:val="auto"/>
        </w:rPr>
      </w:pPr>
    </w:p>
    <w:p>
      <w:pPr>
        <w:ind w:left="660" w:right="80"/>
        <w:spacing w:after="0" w:line="259" w:lineRule="auto"/>
        <w:rPr>
          <w:sz w:val="20"/>
          <w:szCs w:val="20"/>
          <w:color w:val="auto"/>
        </w:rPr>
      </w:pPr>
      <w:r>
        <w:rPr>
          <w:rFonts w:ascii="Arial" w:cs="Arial" w:eastAsia="Arial" w:hAnsi="Arial"/>
          <w:sz w:val="18"/>
          <w:szCs w:val="18"/>
          <w:color w:val="auto"/>
        </w:rPr>
        <w:t>In so far as Employees are concerned, “</w:t>
      </w:r>
      <w:r>
        <w:rPr>
          <w:rFonts w:ascii="Arial" w:cs="Arial" w:eastAsia="Arial" w:hAnsi="Arial"/>
          <w:sz w:val="18"/>
          <w:szCs w:val="18"/>
          <w:i w:val="1"/>
          <w:iCs w:val="1"/>
          <w:color w:val="auto"/>
        </w:rPr>
        <w:t>Cause</w:t>
      </w:r>
      <w:r>
        <w:rPr>
          <w:rFonts w:ascii="Arial" w:cs="Arial" w:eastAsia="Arial" w:hAnsi="Arial"/>
          <w:sz w:val="18"/>
          <w:szCs w:val="18"/>
          <w:color w:val="auto"/>
        </w:rPr>
        <w:t>” means any termination of the respective Employee’s individual employment agreement, in accordance with Law No. 53/2003 - Labour Code, as republished and amended, and either effectively initiated by the respective Employee or, as the case may be, triggered by the respective Employee’s fault, including without limitation the Employee’s resignation, the Employee’s disciplinary dismissal, the Employee’s preventive arrest for a period of more than 30 calendar days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Section 25.1.16 (</w:t>
      </w:r>
      <w:r>
        <w:rPr>
          <w:rFonts w:ascii="Arial" w:cs="Arial" w:eastAsia="Arial" w:hAnsi="Arial"/>
          <w:sz w:val="18"/>
          <w:szCs w:val="18"/>
          <w:b w:val="1"/>
          <w:bCs w:val="1"/>
          <w:i w:val="1"/>
          <w:iCs w:val="1"/>
          <w:color w:val="auto"/>
        </w:rPr>
        <w:t>Definitions — “Disability”</w:t>
      </w:r>
      <w:r>
        <w:rPr>
          <w:rFonts w:ascii="Arial" w:cs="Arial" w:eastAsia="Arial" w:hAnsi="Arial"/>
          <w:sz w:val="18"/>
          <w:szCs w:val="18"/>
          <w:b w:val="1"/>
          <w:bCs w:val="1"/>
          <w:color w:val="auto"/>
        </w:rPr>
        <w:t>)</w:t>
      </w:r>
    </w:p>
    <w:p>
      <w:pPr>
        <w:spacing w:after="0" w:line="229" w:lineRule="exact"/>
        <w:rPr>
          <w:sz w:val="20"/>
          <w:szCs w:val="20"/>
          <w:color w:val="auto"/>
        </w:rPr>
      </w:pPr>
    </w:p>
    <w:p>
      <w:pPr>
        <w:jc w:val="both"/>
        <w:ind w:left="660" w:right="40"/>
        <w:spacing w:after="0" w:line="312" w:lineRule="auto"/>
        <w:rPr>
          <w:sz w:val="20"/>
          <w:szCs w:val="20"/>
          <w:color w:val="auto"/>
        </w:rPr>
      </w:pPr>
      <w:r>
        <w:rPr>
          <w:rFonts w:ascii="Arial" w:cs="Arial" w:eastAsia="Arial" w:hAnsi="Arial"/>
          <w:sz w:val="16"/>
          <w:szCs w:val="16"/>
          <w:color w:val="auto"/>
        </w:rPr>
        <w:t>In so far as Employees are concerned, “</w:t>
      </w:r>
      <w:r>
        <w:rPr>
          <w:rFonts w:ascii="Arial" w:cs="Arial" w:eastAsia="Arial" w:hAnsi="Arial"/>
          <w:sz w:val="16"/>
          <w:szCs w:val="16"/>
          <w:i w:val="1"/>
          <w:iCs w:val="1"/>
          <w:color w:val="auto"/>
        </w:rPr>
        <w:t>Disability</w:t>
      </w:r>
      <w:r>
        <w:rPr>
          <w:rFonts w:ascii="Arial" w:cs="Arial" w:eastAsia="Arial" w:hAnsi="Arial"/>
          <w:sz w:val="16"/>
          <w:szCs w:val="16"/>
          <w:color w:val="auto"/>
        </w:rPr>
        <w:t>” means the physical and/or mental impairment, preventing the Employee from duly accomplishing its job attributions, as ascertained by competent medical bodies and triggering the termination of their respective individual employment agreement, for reasons related to the person of the employee, in accordance with Law No. 53/2003 - Labour Code, as republished and amended.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KDE EQUITY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SUB-PLAN GOVERNING AWARDS TO PARTICIPANTS IN THE REPUBLIC OF KOREA</w:t>
      </w:r>
    </w:p>
    <w:p>
      <w:pPr>
        <w:spacing w:after="0" w:line="225" w:lineRule="exact"/>
        <w:rPr>
          <w:sz w:val="20"/>
          <w:szCs w:val="20"/>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5" w:lineRule="exact"/>
        <w:rPr>
          <w:rFonts w:ascii="Arial" w:cs="Arial" w:eastAsia="Arial" w:hAnsi="Arial"/>
          <w:sz w:val="18"/>
          <w:szCs w:val="18"/>
          <w:b w:val="1"/>
          <w:bCs w:val="1"/>
          <w:color w:val="auto"/>
        </w:rPr>
      </w:pPr>
    </w:p>
    <w:p>
      <w:pPr>
        <w:ind w:left="1300" w:right="100" w:hanging="648"/>
        <w:spacing w:after="0" w:line="289" w:lineRule="auto"/>
        <w:rPr>
          <w:rFonts w:ascii="Arial" w:cs="Arial" w:eastAsia="Arial" w:hAnsi="Arial"/>
          <w:sz w:val="18"/>
          <w:szCs w:val="18"/>
          <w:b w:val="1"/>
          <w:bCs w:val="1"/>
          <w:color w:val="auto"/>
        </w:rPr>
      </w:pPr>
      <w:r>
        <w:rPr>
          <w:rFonts w:ascii="Arial" w:cs="Arial" w:eastAsia="Arial" w:hAnsi="Arial"/>
          <w:sz w:val="18"/>
          <w:szCs w:val="18"/>
          <w:color w:val="auto"/>
        </w:rPr>
        <w:t>1.1</w:t>
      </w:r>
      <w:r>
        <w:rPr>
          <w:rFonts w:ascii="Arial" w:cs="Arial" w:eastAsia="Arial" w:hAnsi="Arial"/>
          <w:sz w:val="17"/>
          <w:szCs w:val="17"/>
          <w:color w:val="auto"/>
        </w:rPr>
        <w:t>In accordance with Section 5.6.4 of the Activision Blizzard Inc. KDE Equity Incentive Plan (the “</w:t>
      </w:r>
      <w:r>
        <w:rPr>
          <w:rFonts w:ascii="Arial" w:cs="Arial" w:eastAsia="Arial" w:hAnsi="Arial"/>
          <w:sz w:val="17"/>
          <w:szCs w:val="17"/>
          <w:b w:val="1"/>
          <w:bCs w:val="1"/>
          <w:color w:val="auto"/>
        </w:rPr>
        <w:t>Plan</w:t>
      </w:r>
      <w:r>
        <w:rPr>
          <w:rFonts w:ascii="Arial" w:cs="Arial" w:eastAsia="Arial" w:hAnsi="Arial"/>
          <w:sz w:val="17"/>
          <w:szCs w:val="17"/>
          <w:color w:val="auto"/>
        </w:rPr>
        <w:t>”) the Board has determined to establish this sub-plan (the “</w:t>
      </w:r>
      <w:r>
        <w:rPr>
          <w:rFonts w:ascii="Arial" w:cs="Arial" w:eastAsia="Arial" w:hAnsi="Arial"/>
          <w:sz w:val="17"/>
          <w:szCs w:val="17"/>
          <w:b w:val="1"/>
          <w:bCs w:val="1"/>
          <w:color w:val="auto"/>
        </w:rPr>
        <w:t>Korea Sub-Plan</w:t>
      </w:r>
      <w:r>
        <w:rPr>
          <w:rFonts w:ascii="Arial" w:cs="Arial" w:eastAsia="Arial" w:hAnsi="Arial"/>
          <w:sz w:val="17"/>
          <w:szCs w:val="17"/>
          <w:color w:val="auto"/>
        </w:rPr>
        <w:t>”) for the purposes of Awards made to Employees, Consultants, Directors and Non-Employee Directors of the Company, King or any Associated Company who are resident in the Republic of Korea.</w:t>
      </w:r>
    </w:p>
    <w:p>
      <w:pPr>
        <w:spacing w:after="0" w:line="162"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1.2</w:t>
      </w:r>
      <w:r>
        <w:rPr>
          <w:rFonts w:ascii="Arial" w:cs="Arial" w:eastAsia="Arial" w:hAnsi="Arial"/>
          <w:sz w:val="16"/>
          <w:szCs w:val="16"/>
          <w:color w:val="auto"/>
        </w:rPr>
        <w:t>All terms that are not otherwise defined herein shall have the same meaning as set forth in the Plan.</w:t>
      </w:r>
    </w:p>
    <w:p>
      <w:pPr>
        <w:spacing w:after="0" w:line="221" w:lineRule="exact"/>
        <w:rPr>
          <w:rFonts w:ascii="Arial" w:cs="Arial" w:eastAsia="Arial" w:hAnsi="Arial"/>
          <w:sz w:val="18"/>
          <w:szCs w:val="18"/>
          <w:b w:val="1"/>
          <w:bCs w:val="1"/>
          <w:color w:val="auto"/>
        </w:rPr>
      </w:pPr>
    </w:p>
    <w:p>
      <w:pPr>
        <w:ind w:left="660" w:hanging="652"/>
        <w:spacing w:after="0"/>
        <w:tabs>
          <w:tab w:leader="none" w:pos="6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w:t>
      </w:r>
    </w:p>
    <w:p>
      <w:pPr>
        <w:sectPr>
          <w:pgSz w:w="11900" w:h="16838" w:orient="portrait"/>
          <w:cols w:equalWidth="0" w:num="1">
            <w:col w:w="11420"/>
          </w:cols>
          <w:pgMar w:left="240" w:top="584" w:right="239" w:bottom="0" w:gutter="0" w:footer="0" w:header="0"/>
        </w:sectPr>
      </w:pPr>
    </w:p>
    <w:bookmarkStart w:id="176" w:name="page177"/>
    <w:bookmarkEnd w:id="176"/>
    <w:p>
      <w:pPr>
        <w:spacing w:after="0"/>
        <w:tabs>
          <w:tab w:leader="none" w:pos="6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Plan shall be amended as follows: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19.0 — Securities Law and Other Compliance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Section 19.1 shall be deleted and replaced by the following:</w:t>
      </w:r>
    </w:p>
    <w:p>
      <w:pPr>
        <w:spacing w:after="0" w:line="22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“19.1 Compliance with Applicable Laws</w:t>
      </w:r>
    </w:p>
    <w:p>
      <w:pPr>
        <w:spacing w:after="0" w:line="22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provisions of Section 19.1 shall be deleted and replaced by the following:</w:t>
      </w:r>
    </w:p>
    <w:p>
      <w:pPr>
        <w:spacing w:after="0" w:line="225" w:lineRule="exact"/>
        <w:rPr>
          <w:sz w:val="20"/>
          <w:szCs w:val="20"/>
          <w:color w:val="auto"/>
        </w:rPr>
      </w:pPr>
    </w:p>
    <w:p>
      <w:pPr>
        <w:ind w:left="640"/>
        <w:spacing w:after="0" w:line="255" w:lineRule="auto"/>
        <w:rPr>
          <w:sz w:val="20"/>
          <w:szCs w:val="20"/>
          <w:color w:val="auto"/>
        </w:rPr>
      </w:pPr>
      <w:r>
        <w:rPr>
          <w:rFonts w:ascii="Arial" w:cs="Arial" w:eastAsia="Arial" w:hAnsi="Arial"/>
          <w:sz w:val="18"/>
          <w:szCs w:val="18"/>
          <w:color w:val="auto"/>
        </w:rPr>
        <w:t>An Award will not be effective unless such Award is in compliance with all Applicable Laws, as they are in effect on the date of grant of the Award and also on the date of exercise, vesting or settlement. Notwithstanding any other provision of the Plan, the Company will have no obligation to issue or transfer or deliver certificates for Shares under the Plan prior to: (a) obtaining any approvals from governmental agencies that the Company determines are necessary or advisable; and/or (b) completion of any registration or other qualification of such Shares under any law or ruling of any governmental body that the Company determines to be necessary or advisable. The Company will be under no obligation to register the Shares with the SEC or to effect compliance with the registration, qualification or listing requirements of any securities laws, exchange control laws,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195580</wp:posOffset>
            </wp:positionV>
            <wp:extent cx="7267575"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exchange or automated quotation system, and the Company will have no liability for any inability or failure to do so.</w:t>
      </w:r>
    </w:p>
    <w:p>
      <w:pPr>
        <w:spacing w:after="0" w:line="225" w:lineRule="exact"/>
        <w:rPr>
          <w:sz w:val="20"/>
          <w:szCs w:val="20"/>
          <w:color w:val="auto"/>
        </w:rPr>
      </w:pPr>
    </w:p>
    <w:p>
      <w:pPr>
        <w:ind w:right="340"/>
        <w:spacing w:after="0" w:line="302" w:lineRule="auto"/>
        <w:rPr>
          <w:sz w:val="20"/>
          <w:szCs w:val="20"/>
          <w:color w:val="auto"/>
        </w:rPr>
      </w:pPr>
      <w:r>
        <w:rPr>
          <w:rFonts w:ascii="Arial" w:cs="Arial" w:eastAsia="Arial" w:hAnsi="Arial"/>
          <w:sz w:val="16"/>
          <w:szCs w:val="16"/>
          <w:color w:val="auto"/>
        </w:rPr>
        <w:t>Further, if, under Applicable Law, the Participant must file a report with or receive the approval of the Governor of the Bank of Korea or other supervisory agencies (“</w:t>
      </w:r>
      <w:r>
        <w:rPr>
          <w:rFonts w:ascii="Arial" w:cs="Arial" w:eastAsia="Arial" w:hAnsi="Arial"/>
          <w:sz w:val="16"/>
          <w:szCs w:val="16"/>
          <w:b w:val="1"/>
          <w:bCs w:val="1"/>
          <w:color w:val="auto"/>
        </w:rPr>
        <w:t>Approvals</w:t>
      </w:r>
      <w:r>
        <w:rPr>
          <w:rFonts w:ascii="Arial" w:cs="Arial" w:eastAsia="Arial" w:hAnsi="Arial"/>
          <w:sz w:val="16"/>
          <w:szCs w:val="16"/>
          <w:color w:val="auto"/>
        </w:rPr>
        <w:t>”) in order to acquire the Shares or to receive the Awards, then the Participant’s obtainment of such Approvals shall be a condition precedent to the Participant’s right to acquire the Shares or to receive the Awards. If the Participant, for any reason, fails to obtain such Approvals, then the Company shall bear no obligation whatsoever to the Participant regarding the Shares or the Awards.”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20.0 — Employment Relationship</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provisions of Section 20.1.5 shall be deleted and replaced by the following:</w:t>
      </w:r>
    </w:p>
    <w:p>
      <w:pPr>
        <w:spacing w:after="0" w:line="225" w:lineRule="exact"/>
        <w:rPr>
          <w:sz w:val="20"/>
          <w:szCs w:val="20"/>
          <w:color w:val="auto"/>
        </w:rPr>
      </w:pPr>
    </w:p>
    <w:p>
      <w:pPr>
        <w:ind w:left="720" w:right="120" w:hanging="728"/>
        <w:spacing w:after="0" w:line="264" w:lineRule="auto"/>
        <w:tabs>
          <w:tab w:leader="none" w:pos="700" w:val="left"/>
        </w:tabs>
        <w:rPr>
          <w:sz w:val="20"/>
          <w:szCs w:val="20"/>
          <w:color w:val="auto"/>
        </w:rPr>
      </w:pPr>
      <w:r>
        <w:rPr>
          <w:rFonts w:ascii="Arial" w:cs="Arial" w:eastAsia="Arial" w:hAnsi="Arial"/>
          <w:sz w:val="18"/>
          <w:szCs w:val="18"/>
          <w:color w:val="auto"/>
        </w:rPr>
        <w:t>“20.1.5</w:t>
        <w:tab/>
        <w:t>The Plan, or any Award made to a Participant or the loss of any right or entitlement to or under such Award on termination of the Participant’s Service, for any reason, shall not give to a Participant any right to continued Service or any additional right to compensation or damages in consequence of the termination of his Service.”</w:t>
      </w:r>
    </w:p>
    <w:p>
      <w:pPr>
        <w:spacing w:after="0" w:line="181"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41" w:right="259" w:bottom="1440" w:gutter="0" w:footer="0" w:header="0"/>
        </w:sectPr>
      </w:pPr>
    </w:p>
    <w:bookmarkStart w:id="177" w:name="page178"/>
    <w:bookmarkEnd w:id="177"/>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7440" w:type="dxa"/>
            <w:vAlign w:val="bottom"/>
          </w:tcPr>
          <w:p>
            <w:pPr>
              <w:spacing w:after="0"/>
              <w:rPr>
                <w:sz w:val="20"/>
                <w:szCs w:val="20"/>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Exhibit 10.44</w:t>
            </w:r>
          </w:p>
        </w:tc>
      </w:tr>
      <w:tr>
        <w:trPr>
          <w:trHeight w:val="432"/>
        </w:trPr>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40" w:type="dxa"/>
            <w:vAlign w:val="bottom"/>
          </w:tcPr>
          <w:p>
            <w:pPr>
              <w:jc w:val="center"/>
              <w:ind w:right="170"/>
              <w:spacing w:after="0"/>
              <w:rPr>
                <w:sz w:val="20"/>
                <w:szCs w:val="20"/>
                <w:color w:val="auto"/>
              </w:rPr>
            </w:pPr>
            <w:r>
              <w:rPr>
                <w:rFonts w:ascii="Arial" w:cs="Arial" w:eastAsia="Arial" w:hAnsi="Arial"/>
                <w:sz w:val="18"/>
                <w:szCs w:val="18"/>
                <w:b w:val="1"/>
                <w:bCs w:val="1"/>
                <w:color w:val="auto"/>
              </w:rPr>
              <w:t>ACTIVISION BLIZZARD, INC.</w:t>
            </w:r>
          </w:p>
        </w:tc>
        <w:tc>
          <w:tcPr>
            <w:tcW w:w="186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40" w:type="dxa"/>
            <w:vAlign w:val="bottom"/>
          </w:tcPr>
          <w:p>
            <w:pPr>
              <w:jc w:val="center"/>
              <w:ind w:right="150"/>
              <w:spacing w:after="0"/>
              <w:rPr>
                <w:sz w:val="20"/>
                <w:szCs w:val="20"/>
                <w:color w:val="auto"/>
              </w:rPr>
            </w:pPr>
            <w:r>
              <w:rPr>
                <w:rFonts w:ascii="Arial" w:cs="Arial" w:eastAsia="Arial" w:hAnsi="Arial"/>
                <w:sz w:val="18"/>
                <w:szCs w:val="18"/>
                <w:b w:val="1"/>
                <w:bCs w:val="1"/>
                <w:color w:val="auto"/>
              </w:rPr>
              <w:t>2014 INCENTIVE PLAN</w:t>
            </w:r>
          </w:p>
        </w:tc>
        <w:tc>
          <w:tcPr>
            <w:tcW w:w="1860" w:type="dxa"/>
            <w:vAlign w:val="bottom"/>
          </w:tcPr>
          <w:p>
            <w:pPr>
              <w:spacing w:after="0"/>
              <w:rPr>
                <w:sz w:val="24"/>
                <w:szCs w:val="24"/>
                <w:color w:val="auto"/>
              </w:rPr>
            </w:pPr>
          </w:p>
        </w:tc>
      </w:tr>
      <w:tr>
        <w:trPr>
          <w:trHeight w:val="432"/>
        </w:trPr>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44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NOTICE OF STOCK OPTION AWARD</w:t>
            </w:r>
          </w:p>
        </w:tc>
        <w:tc>
          <w:tcPr>
            <w:tcW w:w="1860" w:type="dxa"/>
            <w:vAlign w:val="bottom"/>
          </w:tcPr>
          <w:p>
            <w:pPr>
              <w:spacing w:after="0"/>
              <w:rPr>
                <w:sz w:val="24"/>
                <w:szCs w:val="24"/>
                <w:color w:val="auto"/>
              </w:rPr>
            </w:pPr>
          </w:p>
        </w:tc>
      </w:tr>
      <w:tr>
        <w:trPr>
          <w:trHeight w:val="432"/>
        </w:trPr>
        <w:tc>
          <w:tcPr>
            <w:tcW w:w="9560" w:type="dxa"/>
            <w:vAlign w:val="bottom"/>
            <w:gridSpan w:val="3"/>
          </w:tcPr>
          <w:p>
            <w:pPr>
              <w:spacing w:after="0"/>
              <w:rPr>
                <w:sz w:val="20"/>
                <w:szCs w:val="20"/>
                <w:color w:val="auto"/>
              </w:rPr>
            </w:pPr>
            <w:r>
              <w:rPr>
                <w:rFonts w:ascii="Arial" w:cs="Arial" w:eastAsia="Arial" w:hAnsi="Arial"/>
                <w:sz w:val="18"/>
                <w:szCs w:val="18"/>
                <w:color w:val="auto"/>
              </w:rPr>
              <w:t>You have been awarded an option to purchase Common Shares of Activision Blizzard, Inc. (the “Company”), as follows:</w:t>
            </w:r>
          </w:p>
        </w:tc>
        <w:tc>
          <w:tcPr>
            <w:tcW w:w="186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180"/>
              <w:spacing w:after="0"/>
              <w:rPr>
                <w:sz w:val="20"/>
                <w:szCs w:val="20"/>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w:t>
            </w:r>
          </w:p>
        </w:tc>
        <w:tc>
          <w:tcPr>
            <w:tcW w:w="74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9320" w:type="dxa"/>
            <w:vAlign w:val="bottom"/>
            <w:gridSpan w:val="2"/>
          </w:tcPr>
          <w:p>
            <w:pPr>
              <w:ind w:left="180"/>
              <w:spacing w:after="0"/>
              <w:rPr>
                <w:sz w:val="20"/>
                <w:szCs w:val="20"/>
                <w:color w:val="auto"/>
              </w:rPr>
            </w:pPr>
            <w:r>
              <w:rPr>
                <w:rFonts w:ascii="Arial" w:cs="Arial" w:eastAsia="Arial" w:hAnsi="Arial"/>
                <w:sz w:val="18"/>
                <w:szCs w:val="18"/>
                <w:color w:val="auto"/>
              </w:rPr>
              <w:t xml:space="preserve">Total number of Shares purchasable upon exercise of the Stock Option awarded: </w:t>
            </w:r>
            <w:r>
              <w:rPr>
                <w:rFonts w:ascii="Arial" w:cs="Arial" w:eastAsia="Arial" w:hAnsi="Arial"/>
                <w:sz w:val="18"/>
                <w:szCs w:val="18"/>
                <w:b w:val="1"/>
                <w:bCs w:val="1"/>
                <w:color w:val="auto"/>
              </w:rPr>
              <w:t>[</w:t>
            </w: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180"/>
              <w:spacing w:after="0"/>
              <w:rPr>
                <w:sz w:val="20"/>
                <w:szCs w:val="20"/>
                <w:color w:val="auto"/>
              </w:rPr>
            </w:pPr>
            <w:r>
              <w:rPr>
                <w:rFonts w:ascii="Arial" w:cs="Arial" w:eastAsia="Arial" w:hAnsi="Arial"/>
                <w:sz w:val="18"/>
                <w:szCs w:val="18"/>
                <w:color w:val="auto"/>
              </w:rPr>
              <w:t>Exercise Price: US$</w:t>
            </w:r>
            <w:r>
              <w:rPr>
                <w:rFonts w:ascii="Arial" w:cs="Arial" w:eastAsia="Arial" w:hAnsi="Arial"/>
                <w:sz w:val="18"/>
                <w:szCs w:val="18"/>
                <w:b w:val="1"/>
                <w:bCs w:val="1"/>
                <w:color w:val="auto"/>
              </w:rPr>
              <w:t>[</w:t>
            </w:r>
          </w:p>
        </w:tc>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 xml:space="preserve">] </w:t>
            </w:r>
            <w:r>
              <w:rPr>
                <w:rFonts w:ascii="Arial" w:cs="Arial" w:eastAsia="Arial" w:hAnsi="Arial"/>
                <w:sz w:val="18"/>
                <w:szCs w:val="18"/>
                <w:color w:val="auto"/>
              </w:rPr>
              <w:t>per Share</w:t>
            </w:r>
          </w:p>
        </w:tc>
        <w:tc>
          <w:tcPr>
            <w:tcW w:w="1860" w:type="dxa"/>
            <w:vAlign w:val="bottom"/>
          </w:tcPr>
          <w:p>
            <w:pPr>
              <w:spacing w:after="0"/>
              <w:rPr>
                <w:sz w:val="24"/>
                <w:szCs w:val="24"/>
                <w:color w:val="auto"/>
              </w:rPr>
            </w:pP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180"/>
              <w:spacing w:after="0"/>
              <w:rPr>
                <w:sz w:val="20"/>
                <w:szCs w:val="20"/>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w:t>
            </w:r>
          </w:p>
        </w:tc>
        <w:tc>
          <w:tcPr>
            <w:tcW w:w="74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180"/>
              <w:spacing w:after="0"/>
              <w:rPr>
                <w:sz w:val="20"/>
                <w:szCs w:val="20"/>
                <w:color w:val="auto"/>
              </w:rPr>
            </w:pPr>
            <w:r>
              <w:rPr>
                <w:rFonts w:ascii="Arial" w:cs="Arial" w:eastAsia="Arial" w:hAnsi="Arial"/>
                <w:sz w:val="18"/>
                <w:szCs w:val="18"/>
                <w:color w:val="auto"/>
              </w:rPr>
              <w:t xml:space="preserve">Expiration Date: </w:t>
            </w:r>
            <w:r>
              <w:rPr>
                <w:rFonts w:ascii="Arial" w:cs="Arial" w:eastAsia="Arial" w:hAnsi="Arial"/>
                <w:sz w:val="18"/>
                <w:szCs w:val="18"/>
                <w:b w:val="1"/>
                <w:bCs w:val="1"/>
                <w:color w:val="auto"/>
              </w:rPr>
              <w:t>[</w:t>
            </w:r>
          </w:p>
        </w:tc>
        <w:tc>
          <w:tcPr>
            <w:tcW w:w="74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1880" w:type="dxa"/>
            <w:vAlign w:val="bottom"/>
          </w:tcPr>
          <w:p>
            <w:pPr>
              <w:ind w:left="180"/>
              <w:spacing w:after="0"/>
              <w:rPr>
                <w:sz w:val="20"/>
                <w:szCs w:val="20"/>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w:t>
            </w:r>
          </w:p>
        </w:tc>
        <w:tc>
          <w:tcPr>
            <w:tcW w:w="744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left="300" w:hanging="292"/>
        <w:spacing w:after="0"/>
        <w:tabs>
          <w:tab w:leader="none" w:pos="30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Your Award of the Stock Option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this Notice of Stock Option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 xml:space="preserve">the Stock Option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29"/>
        </w:numPr>
        <w:rPr>
          <w:rFonts w:ascii="Arial" w:cs="Arial" w:eastAsia="Arial" w:hAnsi="Arial"/>
          <w:sz w:val="18"/>
          <w:szCs w:val="18"/>
          <w:color w:val="auto"/>
        </w:rPr>
      </w:pPr>
      <w:r>
        <w:rPr>
          <w:rFonts w:ascii="Arial" w:cs="Arial" w:eastAsia="Arial" w:hAnsi="Arial"/>
          <w:sz w:val="18"/>
          <w:szCs w:val="18"/>
          <w:color w:val="auto"/>
        </w:rPr>
        <w:t>the Company’s 2014 Incentive Plan, the receipt of a copy of which you hereby acknowledge.</w:t>
      </w:r>
    </w:p>
    <w:p>
      <w:pPr>
        <w:spacing w:after="0" w:line="225" w:lineRule="exact"/>
        <w:rPr>
          <w:rFonts w:ascii="Arial" w:cs="Arial" w:eastAsia="Arial" w:hAnsi="Arial"/>
          <w:sz w:val="18"/>
          <w:szCs w:val="18"/>
          <w:color w:val="auto"/>
        </w:rPr>
      </w:pPr>
    </w:p>
    <w:p>
      <w:pPr>
        <w:ind w:left="340" w:right="580" w:hanging="332"/>
        <w:spacing w:after="0" w:line="342" w:lineRule="auto"/>
        <w:tabs>
          <w:tab w:leader="none" w:pos="304" w:val="left"/>
        </w:tabs>
        <w:numPr>
          <w:ilvl w:val="0"/>
          <w:numId w:val="129"/>
        </w:numPr>
        <w:rPr>
          <w:rFonts w:ascii="Arial" w:cs="Arial" w:eastAsia="Arial" w:hAnsi="Arial"/>
          <w:sz w:val="16"/>
          <w:szCs w:val="16"/>
          <w:color w:val="auto"/>
        </w:rPr>
      </w:pPr>
      <w:r>
        <w:rPr>
          <w:rFonts w:ascii="Arial" w:cs="Arial" w:eastAsia="Arial" w:hAnsi="Arial"/>
          <w:sz w:val="16"/>
          <w:szCs w:val="16"/>
          <w:i w:val="1"/>
          <w:iCs w:val="1"/>
          <w:color w:val="auto"/>
        </w:rPr>
        <w:t>Schedule for Vesting</w:t>
      </w:r>
      <w:r>
        <w:rPr>
          <w:rFonts w:ascii="Arial" w:cs="Arial" w:eastAsia="Arial" w:hAnsi="Arial"/>
          <w:sz w:val="16"/>
          <w:szCs w:val="16"/>
          <w:color w:val="auto"/>
        </w:rPr>
        <w:t>: Except as otherwise provided under the Award Terms, the Stock Option awarded to you will vest and become exercisable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 provided you remain continuously employed by the Company or one of its subsidiaries through the applicable vesting date:</w:t>
      </w:r>
    </w:p>
    <w:p>
      <w:pPr>
        <w:spacing w:after="0" w:line="103"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No. of Shares</w:t>
            </w: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23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Date of Vesting</w:t>
            </w:r>
          </w:p>
        </w:tc>
        <w:tc>
          <w:tcPr>
            <w:tcW w:w="1080" w:type="dxa"/>
            <w:vAlign w:val="bottom"/>
          </w:tcPr>
          <w:p>
            <w:pPr>
              <w:spacing w:after="0"/>
              <w:rPr>
                <w:sz w:val="12"/>
                <w:szCs w:val="12"/>
                <w:color w:val="auto"/>
              </w:rPr>
            </w:pPr>
          </w:p>
        </w:tc>
        <w:tc>
          <w:tcPr>
            <w:tcW w:w="24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8"/>
              </w:rPr>
              <w:t>Vesting at Vesting</w:t>
            </w:r>
          </w:p>
        </w:tc>
        <w:tc>
          <w:tcPr>
            <w:tcW w:w="0" w:type="dxa"/>
            <w:vAlign w:val="bottom"/>
          </w:tcPr>
          <w:p>
            <w:pPr>
              <w:spacing w:after="0"/>
              <w:rPr>
                <w:sz w:val="1"/>
                <w:szCs w:val="1"/>
                <w:color w:val="auto"/>
              </w:rPr>
            </w:pPr>
          </w:p>
        </w:tc>
      </w:tr>
      <w:tr>
        <w:trPr>
          <w:trHeight w:val="171"/>
        </w:trPr>
        <w:tc>
          <w:tcPr>
            <w:tcW w:w="940" w:type="dxa"/>
            <w:vAlign w:val="bottom"/>
          </w:tcPr>
          <w:p>
            <w:pPr>
              <w:spacing w:after="0"/>
              <w:rPr>
                <w:sz w:val="14"/>
                <w:szCs w:val="14"/>
                <w:color w:val="auto"/>
              </w:rPr>
            </w:pPr>
          </w:p>
        </w:tc>
        <w:tc>
          <w:tcPr>
            <w:tcW w:w="2380" w:type="dxa"/>
            <w:vAlign w:val="bottom"/>
            <w:gridSpan w:val="2"/>
            <w:vMerge w:val="continue"/>
          </w:tcPr>
          <w:p>
            <w:pPr>
              <w:spacing w:after="0"/>
              <w:rPr>
                <w:sz w:val="14"/>
                <w:szCs w:val="14"/>
                <w:color w:val="auto"/>
              </w:rPr>
            </w:pPr>
          </w:p>
        </w:tc>
        <w:tc>
          <w:tcPr>
            <w:tcW w:w="1080" w:type="dxa"/>
            <w:vAlign w:val="bottom"/>
          </w:tcPr>
          <w:p>
            <w:pPr>
              <w:spacing w:after="0"/>
              <w:rPr>
                <w:sz w:val="14"/>
                <w:szCs w:val="14"/>
                <w:color w:val="auto"/>
              </w:rPr>
            </w:pPr>
          </w:p>
        </w:tc>
        <w:tc>
          <w:tcPr>
            <w:tcW w:w="2440" w:type="dxa"/>
            <w:vAlign w:val="bottom"/>
            <w:gridSpan w:val="2"/>
          </w:tcPr>
          <w:p>
            <w:pPr>
              <w:jc w:val="center"/>
              <w:ind w:right="120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100" w:type="dxa"/>
            <w:vAlign w:val="bottom"/>
            <w:tcBorders>
              <w:top w:val="single" w:sz="8" w:color="auto"/>
            </w:tcBorders>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4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2100" w:type="dxa"/>
            <w:vAlign w:val="bottom"/>
          </w:tcPr>
          <w:p>
            <w:pPr>
              <w:jc w:val="right"/>
              <w:ind w:right="694"/>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340" w:type="dxa"/>
            <w:vAlign w:val="bottom"/>
          </w:tcPr>
          <w:p>
            <w:pPr>
              <w:jc w:val="right"/>
              <w:ind w:right="879"/>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2100" w:type="dxa"/>
            <w:vAlign w:val="bottom"/>
            <w:shd w:val="clear" w:color="auto" w:fill="CCEEFF"/>
          </w:tcPr>
          <w:p>
            <w:pPr>
              <w:jc w:val="right"/>
              <w:ind w:right="694"/>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4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0" w:hanging="332"/>
        <w:spacing w:after="0" w:line="277" w:lineRule="auto"/>
        <w:tabs>
          <w:tab w:leader="none" w:pos="304"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Stock Option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Stock Option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hanging="292"/>
        <w:spacing w:after="0"/>
        <w:tabs>
          <w:tab w:leader="none" w:pos="30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The Stock Option is not intended to be an “incentive stock option,” as such term is defined in Section 422 of the Code.</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04"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By accepting the Award, you are deemed to be bound by the terms and conditions set forth in the 2014 Incentive Plan, this Notice of Stock Option Award and the Award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Stock Option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5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Stolz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-130175</wp:posOffset>
            </wp:positionV>
            <wp:extent cx="361886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People Officer</w:t>
      </w:r>
    </w:p>
    <w:p>
      <w:pPr>
        <w:spacing w:after="0" w:line="211" w:lineRule="exact"/>
        <w:rPr>
          <w:sz w:val="20"/>
          <w:szCs w:val="20"/>
          <w:color w:val="auto"/>
        </w:rPr>
      </w:pPr>
    </w:p>
    <w:p>
      <w:pPr>
        <w:jc w:val="center"/>
        <w:ind w:left="420"/>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14605</wp:posOffset>
            </wp:positionV>
            <wp:extent cx="331914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3627755"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ectPr>
          <w:pgSz w:w="11900" w:h="16888" w:orient="portrait"/>
          <w:cols w:equalWidth="0" w:num="1">
            <w:col w:w="11420"/>
          </w:cols>
          <w:pgMar w:left="240" w:top="365" w:right="239" w:bottom="0" w:gutter="0" w:footer="0" w:header="0"/>
        </w:sectPr>
      </w:pPr>
    </w:p>
    <w:bookmarkStart w:id="178" w:name="page179"/>
    <w:bookmarkEnd w:id="178"/>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526415</wp:posOffset>
            </wp:positionH>
            <wp:positionV relativeFrom="page">
              <wp:posOffset>88900</wp:posOffset>
            </wp:positionV>
            <wp:extent cx="32588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29" w:lineRule="exact"/>
        <w:rPr>
          <w:sz w:val="20"/>
          <w:szCs w:val="20"/>
          <w:color w:val="auto"/>
        </w:rPr>
      </w:pPr>
    </w:p>
    <w:p>
      <w:pPr>
        <w:ind w:left="1380" w:hanging="724"/>
        <w:spacing w:after="0"/>
        <w:tabs>
          <w:tab w:leader="none" w:pos="1380"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1900" w:hanging="595"/>
        <w:spacing w:after="0"/>
        <w:tabs>
          <w:tab w:leader="none" w:pos="19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(i) shall have the meaning given to such term in any employment agreement or offer letter between the Holder and any entity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Group in effect at the time of the determination or (ii) if the Holder is not then party to any agreement or offer letter with any entity in the Company Group or any such agreement or offer letter does not contain a definition of “cause,” shall mean a good faith determination by the Company that the Holder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74"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9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and its subsidiaries.</w:t>
      </w:r>
    </w:p>
    <w:p>
      <w:pPr>
        <w:spacing w:after="0" w:line="225" w:lineRule="exact"/>
        <w:rPr>
          <w:sz w:val="20"/>
          <w:szCs w:val="20"/>
          <w:color w:val="auto"/>
        </w:rPr>
      </w:pPr>
    </w:p>
    <w:p>
      <w:pPr>
        <w:jc w:val="both"/>
        <w:ind w:right="18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jc w:val="both"/>
        <w:ind w:right="160" w:firstLine="1297"/>
        <w:spacing w:after="0" w:line="266"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(i) shall have the meaning given to such term in, or otherwise be determined in accordance with, any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offer letter between the Holder and any entity in the Company Group in effect at the time of the determination or (ii) if the Holder is not then party to any agreement or offer letter with any entity in the Company Group 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 Award Agreement for U.S.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such agreement or offer letter does not contain a definition of “disability” or otherwise provide a method for determining whether the Holder is disabled, shall mean the Holder is receiving benefits under any long-term disability plan of the Company Group then in effect.</w:t>
      </w:r>
    </w:p>
    <w:p>
      <w:pPr>
        <w:spacing w:after="0" w:line="166"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the Holder of his or her employment agreement with any entity in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Group for so long as the terms of such employment agreement shall apply to the Holder (with any breach of the post-termination obligations contained therein deemed to be material for purposes of this definition).</w:t>
      </w:r>
    </w:p>
    <w:p>
      <w:pPr>
        <w:spacing w:after="0" w:line="176" w:lineRule="exact"/>
        <w:rPr>
          <w:sz w:val="20"/>
          <w:szCs w:val="20"/>
          <w:color w:val="auto"/>
        </w:rPr>
      </w:pPr>
    </w:p>
    <w:p>
      <w:pPr>
        <w:jc w:val="both"/>
        <w:ind w:right="12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Exercise Price set forth on the Grant Notice.</w:t>
      </w:r>
    </w:p>
    <w:p>
      <w:pPr>
        <w:spacing w:after="0" w:line="225" w:lineRule="exact"/>
        <w:rPr>
          <w:sz w:val="20"/>
          <w:szCs w:val="20"/>
          <w:color w:val="auto"/>
        </w:rPr>
      </w:pPr>
    </w:p>
    <w:p>
      <w:pPr>
        <w:jc w:val="both"/>
        <w:ind w:right="100" w:firstLine="1297"/>
        <w:spacing w:after="0" w:line="281" w:lineRule="auto"/>
        <w:rPr>
          <w:sz w:val="20"/>
          <w:szCs w:val="20"/>
          <w:color w:val="auto"/>
        </w:rPr>
      </w:pPr>
      <w:r>
        <w:rPr>
          <w:rFonts w:ascii="Arial" w:cs="Arial" w:eastAsia="Arial" w:hAnsi="Arial"/>
          <w:sz w:val="17"/>
          <w:szCs w:val="17"/>
          <w:b w:val="1"/>
          <w:bCs w:val="1"/>
          <w:color w:val="auto"/>
        </w:rPr>
        <w:t xml:space="preserve">“Exercise Rules and Regulations” </w:t>
      </w:r>
      <w:r>
        <w:rPr>
          <w:rFonts w:ascii="Arial" w:cs="Arial" w:eastAsia="Arial" w:hAnsi="Arial"/>
          <w:sz w:val="17"/>
          <w:szCs w:val="17"/>
          <w:color w:val="auto"/>
        </w:rPr>
        <w:t>means (i) the Securities Act or any comparable federal securities law and all applicable state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laws,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means the Expiration Date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Stock Option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the Holder,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the Holder and ending on the date of computation of the Recapture Amount with respect to such Employment Violation.</w:t>
      </w:r>
    </w:p>
    <w:p>
      <w:pPr>
        <w:sectPr>
          <w:pgSz w:w="11900" w:h="16933" w:orient="portrait"/>
          <w:cols w:equalWidth="0" w:num="1">
            <w:col w:w="11420"/>
          </w:cols>
          <w:pgMar w:left="240" w:top="355" w:right="239" w:bottom="0" w:gutter="0" w:footer="0" w:header="0"/>
        </w:sectPr>
      </w:pPr>
    </w:p>
    <w:bookmarkStart w:id="179" w:name="page180"/>
    <w:bookmarkEnd w:id="179"/>
    <w:p>
      <w:pPr>
        <w:spacing w:after="0" w:line="114"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the Stock Option to purchase Common Shares awarded to the Holder on the terms and conditions described in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and these Award Terms.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2014 Incentive Plan, as amended from time to time.</w:t>
      </w:r>
    </w:p>
    <w:p>
      <w:pPr>
        <w:spacing w:after="0" w:line="225" w:lineRule="exact"/>
        <w:rPr>
          <w:sz w:val="20"/>
          <w:szCs w:val="20"/>
          <w:color w:val="auto"/>
        </w:rPr>
      </w:pPr>
    </w:p>
    <w:p>
      <w:pPr>
        <w:jc w:val="both"/>
        <w:ind w:right="40" w:firstLine="1297"/>
        <w:spacing w:after="0" w:line="347" w:lineRule="auto"/>
        <w:rPr>
          <w:sz w:val="20"/>
          <w:szCs w:val="20"/>
          <w:color w:val="auto"/>
        </w:rPr>
      </w:pPr>
      <w:r>
        <w:rPr>
          <w:rFonts w:ascii="Arial" w:cs="Arial" w:eastAsia="Arial" w:hAnsi="Arial"/>
          <w:sz w:val="16"/>
          <w:szCs w:val="16"/>
          <w:b w:val="1"/>
          <w:bCs w:val="1"/>
          <w:color w:val="auto"/>
        </w:rPr>
        <w:t xml:space="preserve">“Recapture Amount” </w:t>
      </w:r>
      <w:r>
        <w:rPr>
          <w:rFonts w:ascii="Arial" w:cs="Arial" w:eastAsia="Arial" w:hAnsi="Arial"/>
          <w:sz w:val="16"/>
          <w:szCs w:val="16"/>
          <w:color w:val="auto"/>
        </w:rPr>
        <w:t>means, with respect to any Employment Violation by the Holder, the gross gain realized or unrealized by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upon all exercises of the Stock Option during the Look-back Period with respect to such Employment Violation, which gain shall be calculated as the sum of:</w:t>
      </w:r>
    </w:p>
    <w:p>
      <w:pPr>
        <w:spacing w:after="0" w:line="120" w:lineRule="exact"/>
        <w:rPr>
          <w:sz w:val="20"/>
          <w:szCs w:val="20"/>
          <w:color w:val="auto"/>
        </w:rPr>
      </w:pPr>
    </w:p>
    <w:p>
      <w:pPr>
        <w:jc w:val="both"/>
        <w:ind w:left="660" w:firstLine="645"/>
        <w:spacing w:after="0" w:line="264" w:lineRule="auto"/>
        <w:tabs>
          <w:tab w:leader="none" w:pos="2018"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if the Holder has exercised any portion of the Stock Option during such Look-back Period and sold any of the Shares acquired on exercise thereafter, an amount equal to (A) the sum of the sales price for all such Shares sold minus (B) the aggregate Exercise Price for such Shares; plus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272" w:lineRule="auto"/>
        <w:tabs>
          <w:tab w:leader="none" w:pos="2023" w:val="left"/>
        </w:tabs>
        <w:numPr>
          <w:ilvl w:val="0"/>
          <w:numId w:val="135"/>
        </w:numPr>
        <w:rPr>
          <w:rFonts w:ascii="Arial" w:cs="Arial" w:eastAsia="Arial" w:hAnsi="Arial"/>
          <w:sz w:val="17"/>
          <w:szCs w:val="17"/>
          <w:color w:val="auto"/>
        </w:rPr>
      </w:pPr>
      <w:r>
        <w:rPr>
          <w:rFonts w:ascii="Arial" w:cs="Arial" w:eastAsia="Arial" w:hAnsi="Arial"/>
          <w:sz w:val="17"/>
          <w:szCs w:val="17"/>
          <w:color w:val="auto"/>
        </w:rPr>
        <w:t>if the Holder has exercised any portion of the Stock Option during such Look-back Period and not sold all of the Shares acquired on exercise thereafter, an amount equal to the product of (A) the greatest of the following, minus the Exercise Price: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Shares as to which the Stock Option was exercised and which were not sold.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Common Shares purchasable upon exercise of the Stock Option.</w:t>
      </w:r>
    </w:p>
    <w:p>
      <w:pPr>
        <w:spacing w:after="0" w:line="225"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under any applicable law to be withheld from amounts otherwise payable to the Holder.</w:t>
      </w:r>
    </w:p>
    <w:p>
      <w:pPr>
        <w:spacing w:after="0" w:line="166" w:lineRule="exact"/>
        <w:rPr>
          <w:sz w:val="20"/>
          <w:szCs w:val="20"/>
          <w:color w:val="auto"/>
        </w:rPr>
      </w:pPr>
    </w:p>
    <w:p>
      <w:pPr>
        <w:ind w:left="1920" w:hanging="615"/>
        <w:spacing w:after="0"/>
        <w:tabs>
          <w:tab w:leader="none" w:pos="19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Stock Option shall expire on the Expiration Date and, after such expiration, shall no longer be exercisable.</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Vesting and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80" w:firstLine="1305"/>
        <w:spacing w:after="0" w:line="277" w:lineRule="auto"/>
        <w:tabs>
          <w:tab w:leader="none" w:pos="1901"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otherwise set forth in these Award Terms, the Stock Option shall vest, and thereupon become exercisable, in accordance with the “Schedule for Vesting” set forth on the Grant Notice.</w:t>
      </w:r>
    </w:p>
    <w:p>
      <w:pPr>
        <w:spacing w:after="0" w:line="170" w:lineRule="exact"/>
        <w:rPr>
          <w:rFonts w:ascii="Arial" w:cs="Arial" w:eastAsia="Arial" w:hAnsi="Arial"/>
          <w:sz w:val="18"/>
          <w:szCs w:val="18"/>
          <w:color w:val="auto"/>
        </w:rPr>
      </w:pPr>
    </w:p>
    <w:p>
      <w:pPr>
        <w:ind w:right="420" w:firstLine="1305"/>
        <w:spacing w:after="0" w:line="286" w:lineRule="auto"/>
        <w:tabs>
          <w:tab w:leader="none" w:pos="1911" w:val="left"/>
        </w:tabs>
        <w:numPr>
          <w:ilvl w:val="1"/>
          <w:numId w:val="137"/>
        </w:numPr>
        <w:rPr>
          <w:rFonts w:ascii="Arial" w:cs="Arial" w:eastAsia="Arial" w:hAnsi="Arial"/>
          <w:sz w:val="17"/>
          <w:szCs w:val="17"/>
          <w:color w:val="auto"/>
        </w:rPr>
      </w:pPr>
      <w:r>
        <w:rPr>
          <w:rFonts w:ascii="Arial" w:cs="Arial" w:eastAsia="Arial" w:hAnsi="Arial"/>
          <w:sz w:val="17"/>
          <w:szCs w:val="17"/>
          <w:u w:val="single" w:color="auto"/>
          <w:color w:val="auto"/>
        </w:rPr>
        <w:t>Exercisable Only by the Holder</w:t>
      </w:r>
      <w:r>
        <w:rPr>
          <w:rFonts w:ascii="Arial" w:cs="Arial" w:eastAsia="Arial" w:hAnsi="Arial"/>
          <w:sz w:val="17"/>
          <w:szCs w:val="17"/>
          <w:color w:val="auto"/>
        </w:rPr>
        <w:t>. Except as otherwise permitted under the Plan or Section 11 hereof, the Stock Option may be exercised during the Holder’s lifetime only by the Holder or, in the event of the Holder’s legal incapacity to do so, by the Holder’s guardian or legal representative acting on behalf of the Holder in a fiduciary capacity under court supervision and/or applicable law.</w:t>
      </w:r>
    </w:p>
    <w:p>
      <w:pPr>
        <w:spacing w:after="0" w:line="165" w:lineRule="exact"/>
        <w:rPr>
          <w:rFonts w:ascii="Arial" w:cs="Arial" w:eastAsia="Arial" w:hAnsi="Arial"/>
          <w:sz w:val="17"/>
          <w:szCs w:val="17"/>
          <w:color w:val="auto"/>
        </w:rPr>
      </w:pPr>
    </w:p>
    <w:p>
      <w:pPr>
        <w:ind w:right="380" w:firstLine="1305"/>
        <w:spacing w:after="0" w:line="259" w:lineRule="auto"/>
        <w:tabs>
          <w:tab w:leader="none" w:pos="1901" w:val="left"/>
        </w:tabs>
        <w:numPr>
          <w:ilvl w:val="1"/>
          <w:numId w:val="137"/>
        </w:numPr>
        <w:rPr>
          <w:rFonts w:ascii="Arial" w:cs="Arial" w:eastAsia="Arial" w:hAnsi="Arial"/>
          <w:sz w:val="18"/>
          <w:szCs w:val="18"/>
          <w:color w:val="auto"/>
        </w:rPr>
      </w:pPr>
      <w:r>
        <w:rPr>
          <w:rFonts w:ascii="Arial" w:cs="Arial" w:eastAsia="Arial" w:hAnsi="Arial"/>
          <w:sz w:val="18"/>
          <w:szCs w:val="18"/>
          <w:u w:val="single" w:color="auto"/>
          <w:color w:val="auto"/>
        </w:rPr>
        <w:t>Procedure for Exercise</w:t>
      </w:r>
      <w:r>
        <w:rPr>
          <w:rFonts w:ascii="Arial" w:cs="Arial" w:eastAsia="Arial" w:hAnsi="Arial"/>
          <w:sz w:val="18"/>
          <w:szCs w:val="18"/>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83" w:lineRule="auto"/>
        <w:tabs>
          <w:tab w:leader="none" w:pos="1911" w:val="left"/>
        </w:tabs>
        <w:numPr>
          <w:ilvl w:val="1"/>
          <w:numId w:val="138"/>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by tendering previously owned shares (valued at their Market Value per Share as of the date of tender), (iv) through the withholding of Shares otherwise deliverable upon exercise, or (v) any combination of (i), (ii), (iii) or</w:t>
      </w:r>
    </w:p>
    <w:p>
      <w:pPr>
        <w:spacing w:after="0" w:line="6" w:lineRule="exact"/>
        <w:rPr>
          <w:rFonts w:ascii="Arial" w:cs="Arial" w:eastAsia="Arial" w:hAnsi="Arial"/>
          <w:sz w:val="16"/>
          <w:szCs w:val="16"/>
          <w:color w:val="auto"/>
        </w:rPr>
      </w:pPr>
    </w:p>
    <w:p>
      <w:pPr>
        <w:ind w:left="320" w:hanging="312"/>
        <w:spacing w:after="0"/>
        <w:tabs>
          <w:tab w:leader="none" w:pos="3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above or any other manner permitted pursuant to the Plan.</w:t>
      </w:r>
    </w:p>
    <w:p>
      <w:pPr>
        <w:spacing w:after="0" w:line="210" w:lineRule="exact"/>
        <w:rPr>
          <w:rFonts w:ascii="Arial" w:cs="Arial" w:eastAsia="Arial" w:hAnsi="Arial"/>
          <w:sz w:val="18"/>
          <w:szCs w:val="18"/>
          <w:color w:val="auto"/>
        </w:rPr>
      </w:pPr>
    </w:p>
    <w:p>
      <w:pPr>
        <w:ind w:left="1900" w:hanging="595"/>
        <w:spacing w:after="0"/>
        <w:tabs>
          <w:tab w:leader="none" w:pos="1900"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In no event may the Stock Option be exercised for a fraction of a Share.</w:t>
      </w:r>
    </w:p>
    <w:p>
      <w:pPr>
        <w:spacing w:after="0" w:line="225" w:lineRule="exact"/>
        <w:rPr>
          <w:rFonts w:ascii="Arial" w:cs="Arial" w:eastAsia="Arial" w:hAnsi="Arial"/>
          <w:sz w:val="18"/>
          <w:szCs w:val="18"/>
          <w:color w:val="auto"/>
        </w:rPr>
      </w:pPr>
    </w:p>
    <w:p>
      <w:pPr>
        <w:ind w:firstLine="1305"/>
        <w:spacing w:after="0" w:line="264" w:lineRule="auto"/>
        <w:tabs>
          <w:tab w:leader="none" w:pos="1926"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No Adjustment for Dividends or Other Rights</w:t>
      </w:r>
      <w:r>
        <w:rPr>
          <w:rFonts w:ascii="Arial" w:cs="Arial" w:eastAsia="Arial" w:hAnsi="Arial"/>
          <w:sz w:val="18"/>
          <w:szCs w:val="18"/>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pacing w:after="0" w:line="181" w:lineRule="exact"/>
        <w:rPr>
          <w:rFonts w:ascii="Arial" w:cs="Arial" w:eastAsia="Arial" w:hAnsi="Arial"/>
          <w:sz w:val="18"/>
          <w:szCs w:val="18"/>
          <w:color w:val="auto"/>
        </w:rPr>
      </w:pPr>
    </w:p>
    <w:p>
      <w:pPr>
        <w:ind w:right="160" w:firstLine="1305"/>
        <w:spacing w:after="0" w:line="312" w:lineRule="auto"/>
        <w:tabs>
          <w:tab w:leader="none" w:pos="1911" w:val="left"/>
        </w:tabs>
        <w:numPr>
          <w:ilvl w:val="1"/>
          <w:numId w:val="139"/>
        </w:numPr>
        <w:rPr>
          <w:rFonts w:ascii="Arial" w:cs="Arial" w:eastAsia="Arial" w:hAnsi="Arial"/>
          <w:sz w:val="16"/>
          <w:szCs w:val="16"/>
          <w:color w:val="auto"/>
        </w:rPr>
      </w:pPr>
      <w:r>
        <w:rPr>
          <w:rFonts w:ascii="Arial" w:cs="Arial" w:eastAsia="Arial" w:hAnsi="Arial"/>
          <w:sz w:val="16"/>
          <w:szCs w:val="16"/>
          <w:u w:val="single" w:color="auto"/>
          <w:color w:val="auto"/>
        </w:rPr>
        <w:t>Issuance and Delivery of Shares</w:t>
      </w:r>
      <w:r>
        <w:rPr>
          <w:rFonts w:ascii="Arial" w:cs="Arial" w:eastAsia="Arial" w:hAnsi="Arial"/>
          <w:sz w:val="16"/>
          <w:szCs w:val="16"/>
          <w:color w:val="auto"/>
        </w:rPr>
        <w:t>.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w:t>
      </w:r>
    </w:p>
    <w:p>
      <w:pPr>
        <w:sectPr>
          <w:pgSz w:w="11900" w:h="16953" w:orient="portrait"/>
          <w:cols w:equalWidth="0" w:num="1">
            <w:col w:w="11400"/>
          </w:cols>
          <w:pgMar w:left="240" w:top="337" w:right="259" w:bottom="0" w:gutter="0" w:footer="0" w:header="0"/>
        </w:sectPr>
      </w:pPr>
    </w:p>
    <w:bookmarkStart w:id="180" w:name="page181"/>
    <w:bookmarkEnd w:id="180"/>
    <w:p>
      <w:pPr>
        <w:jc w:val="both"/>
        <w:ind w:right="200"/>
        <w:spacing w:after="0" w:line="264" w:lineRule="auto"/>
        <w:rPr>
          <w:sz w:val="20"/>
          <w:szCs w:val="20"/>
          <w:color w:val="auto"/>
        </w:rPr>
      </w:pPr>
      <w:r>
        <w:rPr>
          <w:rFonts w:ascii="Arial" w:cs="Arial" w:eastAsia="Arial" w:hAnsi="Arial"/>
          <w:sz w:val="18"/>
          <w:szCs w:val="18"/>
          <w:color w:val="auto"/>
        </w:rPr>
        <w:t xml:space="preserve">the person entitled to such Shares (or, with the Company’s consent, such other brokerage account as may be requested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such Shares are subject to a legend as set forth in Section 15 hereof, the Company shall instead cause a certificate evidencing such Shares and bearing such legend to be delivered to the person entitled thereto.</w:t>
      </w:r>
    </w:p>
    <w:p>
      <w:pPr>
        <w:spacing w:after="0" w:line="181" w:lineRule="exact"/>
        <w:rPr>
          <w:sz w:val="20"/>
          <w:szCs w:val="20"/>
          <w:color w:val="auto"/>
        </w:rPr>
      </w:pPr>
    </w:p>
    <w:p>
      <w:pPr>
        <w:ind w:firstLine="1305"/>
        <w:spacing w:after="0" w:line="264" w:lineRule="auto"/>
        <w:tabs>
          <w:tab w:leader="none" w:pos="1911"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right="180" w:firstLine="1305"/>
        <w:spacing w:after="0" w:line="259" w:lineRule="auto"/>
        <w:tabs>
          <w:tab w:leader="none" w:pos="1901"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Unless the Committee determines otherwise, in the event that (a) the Holder’s employment is terminated by any entity in the Company Group for Cause or (b) if the Holder terminates his or her employment with the Company Group in breach of an employment agreement with any entity in the Company Group, as of the date of such termination of employment the Stock Option shall (i) cease to vest, if not then fully vested, (ii) no longer be exercisable, whether or not vested, and (iii) be immediately cancelled.</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91" w:lineRule="auto"/>
        <w:tabs>
          <w:tab w:leader="none" w:pos="1911" w:val="left"/>
        </w:tabs>
        <w:numPr>
          <w:ilvl w:val="2"/>
          <w:numId w:val="142"/>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Unless the Committee determines otherwise, in the event that the Holder dies while employed by any entity in the Company Group or the Holder’s employment with any entity in the Company Group is terminated due to the Holder’s Disability, the Stock Option shall</w:t>
      </w:r>
    </w:p>
    <w:p>
      <w:pPr>
        <w:ind w:left="220" w:hanging="212"/>
        <w:spacing w:after="0"/>
        <w:tabs>
          <w:tab w:leader="none" w:pos="22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cease to vest as of the date of the Holder’s death or the first date of the Holder’s Disability (as determined by the Committee), as the case may be, and</w:t>
      </w:r>
    </w:p>
    <w:p>
      <w:pPr>
        <w:spacing w:after="0" w:line="32" w:lineRule="exact"/>
        <w:rPr>
          <w:rFonts w:ascii="Arial" w:cs="Arial" w:eastAsia="Arial" w:hAnsi="Arial"/>
          <w:sz w:val="16"/>
          <w:szCs w:val="16"/>
          <w:color w:val="auto"/>
        </w:rPr>
      </w:pPr>
    </w:p>
    <w:p>
      <w:pPr>
        <w:ind w:right="140" w:firstLine="8"/>
        <w:spacing w:after="0" w:line="281" w:lineRule="auto"/>
        <w:tabs>
          <w:tab w:leader="none" w:pos="265"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w:t>
      </w:r>
    </w:p>
    <w:p>
      <w:pPr>
        <w:spacing w:after="0" w:line="1" w:lineRule="exact"/>
        <w:rPr>
          <w:rFonts w:ascii="Arial" w:cs="Arial" w:eastAsia="Arial" w:hAnsi="Arial"/>
          <w:sz w:val="16"/>
          <w:szCs w:val="16"/>
          <w:color w:val="auto"/>
        </w:rPr>
      </w:pPr>
    </w:p>
    <w:p>
      <w:pPr>
        <w:ind w:right="60"/>
        <w:spacing w:after="0" w:line="255" w:lineRule="auto"/>
        <w:rPr>
          <w:rFonts w:ascii="Arial" w:cs="Arial" w:eastAsia="Arial" w:hAnsi="Arial"/>
          <w:sz w:val="16"/>
          <w:szCs w:val="16"/>
          <w:color w:val="auto"/>
        </w:rPr>
      </w:pPr>
      <w:r>
        <w:rPr>
          <w:rFonts w:ascii="Arial" w:cs="Arial" w:eastAsia="Arial" w:hAnsi="Arial"/>
          <w:sz w:val="18"/>
          <w:szCs w:val="18"/>
          <w:color w:val="auto"/>
        </w:rPr>
        <w:t>(B) the Expiration Date, after which the 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190" w:lineRule="exact"/>
        <w:rPr>
          <w:rFonts w:ascii="Arial" w:cs="Arial" w:eastAsia="Arial" w:hAnsi="Arial"/>
          <w:sz w:val="16"/>
          <w:szCs w:val="16"/>
          <w:color w:val="auto"/>
        </w:rPr>
      </w:pPr>
    </w:p>
    <w:p>
      <w:pPr>
        <w:ind w:right="20" w:firstLine="1305"/>
        <w:spacing w:after="0" w:line="270" w:lineRule="auto"/>
        <w:tabs>
          <w:tab w:leader="none" w:pos="1901" w:val="left"/>
        </w:tabs>
        <w:numPr>
          <w:ilvl w:val="2"/>
          <w:numId w:val="143"/>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Unless the Committee determines otherwise, in the event that the Holder’s employment is terminated for any reason not addressed by Section 4(a) or 4(b) hereof, the Stock Option shall (i) cease to vest as of the date of such termination of employment and (ii) to the extent vested as of the date of such termination of employment, be exercisable in accordance with these Award Terms until the earlier of (A) (i) in the case of a termination by the Holder, the 30th day after the date of such termination of employment or (ii) in the case of a termination by the Company Group, the 90th day after the date of such termination of employment (or, in either case, if the Holder is prohibited from exercising the Stock Option during some or all of the 30-day or 90-day period, as the case may be, following such termination date because such exercise would not be in compliance with the Exercise Rules and Regulations, whatever later date may be determined in accordance with a Committee-approved policy) and (B) the Expiration Date, after which the Stock Option shall no longer be exercisable and shall be immediately cancelled. To the extent not vested as of the date of such termination of service, the Stock Option shall be immediately cancelled and shall no longer be exercisable.</w:t>
      </w:r>
    </w:p>
    <w:p>
      <w:pPr>
        <w:spacing w:after="0" w:line="181" w:lineRule="exact"/>
        <w:rPr>
          <w:rFonts w:ascii="Arial" w:cs="Arial" w:eastAsia="Arial" w:hAnsi="Arial"/>
          <w:sz w:val="17"/>
          <w:szCs w:val="17"/>
          <w:color w:val="auto"/>
        </w:rPr>
      </w:pPr>
    </w:p>
    <w:p>
      <w:pPr>
        <w:ind w:right="40" w:firstLine="656"/>
        <w:spacing w:after="0" w:line="283" w:lineRule="auto"/>
        <w:tabs>
          <w:tab w:leader="none" w:pos="1368"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the Holder to satisfy any Withholding Taxes resulting from the exercise (in whole or in part) of the Stock Option, the issuance or transfer of any Shares upon exercise of the Stock Option or otherwise in connection with the Award at the time such Withholding Taxes become due. The Company shall determine the method or methods the Holder may use to satisfy any Withholding Taxes contemplated by this Section 5, which may include any of the following: (a) by delivery to the Company of a bank check or certified check or wire transfer of immediately available funds; (b)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w:t>
      </w:r>
    </w:p>
    <w:p>
      <w:pPr>
        <w:spacing w:after="0" w:line="6" w:lineRule="exact"/>
        <w:rPr>
          <w:rFonts w:ascii="Arial" w:cs="Arial" w:eastAsia="Arial" w:hAnsi="Arial"/>
          <w:sz w:val="16"/>
          <w:szCs w:val="16"/>
          <w:color w:val="auto"/>
        </w:rPr>
      </w:pPr>
    </w:p>
    <w:p>
      <w:pPr>
        <w:ind w:right="20"/>
        <w:spacing w:after="0" w:line="302" w:lineRule="auto"/>
        <w:rPr>
          <w:rFonts w:ascii="Arial" w:cs="Arial" w:eastAsia="Arial" w:hAnsi="Arial"/>
          <w:sz w:val="16"/>
          <w:szCs w:val="16"/>
          <w:color w:val="auto"/>
        </w:rPr>
      </w:pPr>
      <w:r>
        <w:rPr>
          <w:rFonts w:ascii="Arial" w:cs="Arial" w:eastAsia="Arial" w:hAnsi="Arial"/>
          <w:sz w:val="16"/>
          <w:szCs w:val="16"/>
          <w:color w:val="auto"/>
        </w:rPr>
        <w:t>(c) by tendering previously owned shares (valued at their Market Value per Share as of the date of tender); (d) through the withholding of Shares otherwise deliverable upon exercise; or (e) by any combination of (a), (b), (c) or (d) above. Notwithstanding anything to the contrary contained herein, any entity in the Company Group shall have the right to ensure that all Withholding Taxes contemplated by this Section 5 are satisfied by (i) withholding from the Holder’s</w:t>
      </w:r>
    </w:p>
    <w:p>
      <w:pPr>
        <w:spacing w:after="0" w:line="1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compensation, (ii) withholding Shares otherwise then deliverable (in which case the Holder will be deemed to have been issued the full number of Shares purchased upon exercise of the Stock Option), and (iii) arranging for the sale, on the Holder’s behalf, of Shares otherwise then deliverable. The Company shall have no obligation to deliver any Shares upon exercise of the Stock Option unless and until all Withholding Taxes contemplated by this Section 5 have been satisfied.</w:t>
      </w:r>
    </w:p>
    <w:p>
      <w:pPr>
        <w:spacing w:after="0" w:line="183" w:lineRule="exact"/>
        <w:rPr>
          <w:sz w:val="20"/>
          <w:szCs w:val="20"/>
          <w:color w:val="auto"/>
        </w:rPr>
      </w:pPr>
    </w:p>
    <w:p>
      <w:pPr>
        <w:ind w:right="140" w:firstLine="656"/>
        <w:spacing w:after="0" w:line="282" w:lineRule="auto"/>
        <w:tabs>
          <w:tab w:leader="none" w:pos="136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By accepting the Award, the Holder is deemed to be bound by the terms and conditions set forth in the Plan,</w:t>
      </w:r>
      <w:r>
        <w:rPr>
          <w:rFonts w:ascii="Arial" w:cs="Arial" w:eastAsia="Arial" w:hAnsi="Arial"/>
          <w:sz w:val="18"/>
          <w:szCs w:val="18"/>
          <w:color w:val="auto"/>
        </w:rPr>
        <w:t xml:space="preserve"> </w:t>
      </w:r>
      <w:r>
        <w:rPr>
          <w:rFonts w:ascii="Arial" w:cs="Arial" w:eastAsia="Arial" w:hAnsi="Arial"/>
          <w:sz w:val="18"/>
          <w:szCs w:val="18"/>
          <w:b w:val="1"/>
          <w:bCs w:val="1"/>
          <w:color w:val="auto"/>
        </w:rPr>
        <w:t>the Grant Notice and these Award Terms.</w:t>
      </w:r>
    </w:p>
    <w:p>
      <w:pPr>
        <w:spacing w:after="0" w:line="165" w:lineRule="exact"/>
        <w:rPr>
          <w:rFonts w:ascii="Arial" w:cs="Arial" w:eastAsia="Arial" w:hAnsi="Arial"/>
          <w:sz w:val="18"/>
          <w:szCs w:val="18"/>
          <w:color w:val="auto"/>
        </w:rPr>
      </w:pPr>
    </w:p>
    <w:p>
      <w:pPr>
        <w:ind w:right="80" w:firstLine="656"/>
        <w:spacing w:after="0" w:line="277" w:lineRule="auto"/>
        <w:tabs>
          <w:tab w:leader="none" w:pos="1368"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exercise of the Stock Option such number of Common Shares as shall be required for issuance or delivery upon exercise thereof.</w:t>
      </w:r>
    </w:p>
    <w:p>
      <w:pPr>
        <w:spacing w:after="0" w:line="170" w:lineRule="exact"/>
        <w:rPr>
          <w:rFonts w:ascii="Arial" w:cs="Arial" w:eastAsia="Arial" w:hAnsi="Arial"/>
          <w:sz w:val="18"/>
          <w:szCs w:val="18"/>
          <w:color w:val="auto"/>
        </w:rPr>
      </w:pPr>
    </w:p>
    <w:p>
      <w:pPr>
        <w:ind w:right="20" w:firstLine="656"/>
        <w:spacing w:after="0" w:line="289" w:lineRule="auto"/>
        <w:tabs>
          <w:tab w:leader="none" w:pos="1368"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Committee Discretion</w:t>
      </w:r>
      <w:r>
        <w:rPr>
          <w:rFonts w:ascii="Arial" w:cs="Arial" w:eastAsia="Arial" w:hAnsi="Arial"/>
          <w:sz w:val="16"/>
          <w:szCs w:val="16"/>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 Section 9 hereof) affecting any entity in the Company Group or any of the Company’s other affiliates or the financial statements of any entity in the Company Group or any of</w:t>
      </w:r>
    </w:p>
    <w:p>
      <w:pPr>
        <w:sectPr>
          <w:pgSz w:w="11900" w:h="16838" w:orient="portrait"/>
          <w:cols w:equalWidth="0" w:num="1">
            <w:col w:w="11380"/>
          </w:cols>
          <w:pgMar w:left="240" w:top="125" w:right="279" w:bottom="0" w:gutter="0" w:footer="0" w:header="0"/>
        </w:sectPr>
      </w:pPr>
    </w:p>
    <w:bookmarkStart w:id="181" w:name="page182"/>
    <w:bookmarkEnd w:id="181"/>
    <w:p>
      <w:pPr>
        <w:spacing w:after="0" w:line="11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Company’s other affiliates, (ii) in response to changes in applicable laws, regulations or accounting principles and interpretations thereof, or (iii) to prevent the Award from becoming subject to Section 409A.</w:t>
      </w:r>
    </w:p>
    <w:p>
      <w:pPr>
        <w:spacing w:after="0" w:line="170" w:lineRule="exact"/>
        <w:rPr>
          <w:sz w:val="20"/>
          <w:szCs w:val="20"/>
          <w:color w:val="auto"/>
        </w:rPr>
      </w:pPr>
    </w:p>
    <w:p>
      <w:pPr>
        <w:ind w:right="100" w:firstLine="656"/>
        <w:spacing w:after="0" w:line="254" w:lineRule="auto"/>
        <w:tabs>
          <w:tab w:leader="none" w:pos="1368" w:val="left"/>
        </w:tabs>
        <w:numPr>
          <w:ilvl w:val="0"/>
          <w:numId w:val="145"/>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herein, pursuant to Section 13 of the Plan, the Committee will make or provide for such adjustments to the Award as are equitably required to prevent dilution or enlargement of the rights of the Holder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53" w:lineRule="auto"/>
        <w:tabs>
          <w:tab w:leader="none" w:pos="132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Registration and Listing</w:t>
      </w:r>
      <w:r>
        <w:rPr>
          <w:rFonts w:ascii="Arial" w:cs="Arial" w:eastAsia="Arial" w:hAnsi="Arial"/>
          <w:sz w:val="18"/>
          <w:szCs w:val="18"/>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the Stock Option or Shares with the SEC, any state securities commission or any securities exchange, securities association, market system or quotation system to effect such compliance. The Holder shall make such representations and furnish such information as may be appropriate to permit the Company, in light of the then existence or non-existence of an effective registration statement under the Securities Act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or any comparable federal securities law or applicable state securities law.</w:t>
      </w:r>
    </w:p>
    <w:p>
      <w:pPr>
        <w:spacing w:after="0" w:line="194" w:lineRule="exact"/>
        <w:rPr>
          <w:rFonts w:ascii="Arial" w:cs="Arial" w:eastAsia="Arial" w:hAnsi="Arial"/>
          <w:sz w:val="18"/>
          <w:szCs w:val="18"/>
          <w:color w:val="auto"/>
        </w:rPr>
      </w:pPr>
    </w:p>
    <w:p>
      <w:pPr>
        <w:ind w:right="120" w:firstLine="656"/>
        <w:spacing w:after="0" w:line="255" w:lineRule="auto"/>
        <w:tabs>
          <w:tab w:leader="none" w:pos="1317"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Subject to the terms of the Plan and only with the Company’s consent, the Holder may transfer all or part of the Stock Option for estate planning purposes or pursuant to a domestic relations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Holder will remain bound by the terms and conditions of the Plan, the Grant Notice and these Award Terms. Except as otherwise permitted under the Plan or this Section 11, the Stock Option shall not be transferable by the Holder other than by will or the laws of descent and distribution.</w:t>
      </w:r>
    </w:p>
    <w:p>
      <w:pPr>
        <w:spacing w:after="0" w:line="193" w:lineRule="exact"/>
        <w:rPr>
          <w:rFonts w:ascii="Arial" w:cs="Arial" w:eastAsia="Arial" w:hAnsi="Arial"/>
          <w:sz w:val="18"/>
          <w:szCs w:val="18"/>
          <w:color w:val="auto"/>
        </w:rPr>
      </w:pPr>
    </w:p>
    <w:p>
      <w:pPr>
        <w:ind w:right="20" w:firstLine="656"/>
        <w:spacing w:after="0" w:line="253" w:lineRule="auto"/>
        <w:tabs>
          <w:tab w:leader="none" w:pos="1323"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Employment Violation</w:t>
      </w:r>
      <w:r>
        <w:rPr>
          <w:rFonts w:ascii="Arial" w:cs="Arial" w:eastAsia="Arial" w:hAnsi="Arial"/>
          <w:sz w:val="18"/>
          <w:szCs w:val="18"/>
          <w:color w:val="auto"/>
        </w:rPr>
        <w:t xml:space="preserve">. The terms of this Section 12 shall apply to the Stock Option if the Holder is or becomes subject to an employment agreement with any entity in the Company Group. In the event of an Employment Violation, the Company shall have the right to require (a) the termination and cancellation of the Stock Option, whether vested or unvested, and (b) payment by the Holder to the Company of the Recapture Amount with respect to such Employment Violation;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(without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197" w:lineRule="exact"/>
        <w:rPr>
          <w:rFonts w:ascii="Arial" w:cs="Arial" w:eastAsia="Arial" w:hAnsi="Arial"/>
          <w:sz w:val="18"/>
          <w:szCs w:val="18"/>
          <w:color w:val="auto"/>
        </w:rPr>
      </w:pPr>
    </w:p>
    <w:p>
      <w:pPr>
        <w:ind w:left="1340" w:hanging="684"/>
        <w:spacing w:after="0"/>
        <w:tabs>
          <w:tab w:leader="none" w:pos="134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7" w:lineRule="auto"/>
        <w:tabs>
          <w:tab w:leader="none" w:pos="1991"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Holder is responsible for complying with (i) any federal, state and local taxation laws applicable to the Holder in connection with the Award and (ii) all Exercise Rules and Regulations.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1305"/>
        <w:spacing w:after="0" w:line="264" w:lineRule="auto"/>
        <w:tabs>
          <w:tab w:leader="none" w:pos="2001"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any policy requiring or permitting the Company to recover any gains realized by the Holder in connection with the Award, including, without limitation, the Policy on Recoupment of Performance-Based Compensation Related to Certain Financial Restatements.</w:t>
      </w:r>
    </w:p>
    <w:p>
      <w:pPr>
        <w:spacing w:after="0" w:line="181" w:lineRule="exact"/>
        <w:rPr>
          <w:rFonts w:ascii="Arial" w:cs="Arial" w:eastAsia="Arial" w:hAnsi="Arial"/>
          <w:sz w:val="18"/>
          <w:szCs w:val="18"/>
          <w:color w:val="auto"/>
        </w:rPr>
      </w:pPr>
    </w:p>
    <w:p>
      <w:pPr>
        <w:ind w:right="20" w:firstLine="656"/>
        <w:spacing w:after="0" w:line="288" w:lineRule="auto"/>
        <w:tabs>
          <w:tab w:leader="none" w:pos="1323" w:val="left"/>
        </w:tabs>
        <w:numPr>
          <w:ilvl w:val="0"/>
          <w:numId w:val="148"/>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(a) nothing in the Plan, the Grant Notice and these Award Terms shall guarantee that the Award is not subject to taxes or penalties under Section 409A and (b)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13 does not create an obligation on the part of the Committee or the Company to make any such modification, and in no event shall the Company be liable for the payment of or gross up in connection with any taxes, interest or penalties owed by the Holder pursuant to Section 409A.</w:t>
      </w:r>
    </w:p>
    <w:p>
      <w:pPr>
        <w:spacing w:after="0" w:line="169" w:lineRule="exact"/>
        <w:rPr>
          <w:rFonts w:ascii="Arial" w:cs="Arial" w:eastAsia="Arial" w:hAnsi="Arial"/>
          <w:sz w:val="16"/>
          <w:szCs w:val="16"/>
          <w:color w:val="auto"/>
        </w:rPr>
      </w:pPr>
    </w:p>
    <w:p>
      <w:pPr>
        <w:ind w:firstLine="656"/>
        <w:spacing w:after="0" w:line="277" w:lineRule="auto"/>
        <w:tabs>
          <w:tab w:leader="none" w:pos="1323"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Shares to bear a legend substantially as follows:</w:t>
      </w:r>
    </w:p>
    <w:p>
      <w:pPr>
        <w:spacing w:after="0" w:line="170"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81" w:lineRule="exact"/>
        <w:rPr>
          <w:sz w:val="20"/>
          <w:szCs w:val="20"/>
          <w:color w:val="auto"/>
        </w:rPr>
      </w:pPr>
    </w:p>
    <w:p>
      <w:pPr>
        <w:ind w:right="120" w:firstLine="656"/>
        <w:spacing w:after="0" w:line="342" w:lineRule="auto"/>
        <w:tabs>
          <w:tab w:leader="none" w:pos="1323" w:val="left"/>
        </w:tabs>
        <w:numPr>
          <w:ilvl w:val="0"/>
          <w:numId w:val="149"/>
        </w:numPr>
        <w:rPr>
          <w:rFonts w:ascii="Arial" w:cs="Arial" w:eastAsia="Arial" w:hAnsi="Arial"/>
          <w:sz w:val="16"/>
          <w:szCs w:val="16"/>
          <w:color w:val="auto"/>
        </w:rPr>
      </w:pPr>
      <w:r>
        <w:rPr>
          <w:rFonts w:ascii="Arial" w:cs="Arial" w:eastAsia="Arial" w:hAnsi="Arial"/>
          <w:sz w:val="16"/>
          <w:szCs w:val="16"/>
          <w:u w:val="single" w:color="auto"/>
          <w:color w:val="auto"/>
        </w:rPr>
        <w:t>No Right to Continued Employment</w:t>
      </w:r>
      <w:r>
        <w:rPr>
          <w:rFonts w:ascii="Arial" w:cs="Arial" w:eastAsia="Arial" w:hAnsi="Arial"/>
          <w:sz w:val="16"/>
          <w:szCs w:val="16"/>
          <w:color w:val="auto"/>
        </w:rPr>
        <w:t>. Nothing contained in the Grant Notice or these Award Terms shall be construed to confer upon the Holder any right to be continued in the employ of any entity in the Company Group or derogate from any right of any entity in the Company Group to retire,</w:t>
      </w:r>
    </w:p>
    <w:p>
      <w:pPr>
        <w:sectPr>
          <w:pgSz w:w="11900" w:h="16948" w:orient="portrait"/>
          <w:cols w:equalWidth="0" w:num="1">
            <w:col w:w="11420"/>
          </w:cols>
          <w:pgMar w:left="240" w:top="125" w:right="239" w:bottom="0" w:gutter="0" w:footer="0" w:header="0"/>
        </w:sectPr>
      </w:pPr>
    </w:p>
    <w:bookmarkStart w:id="182" w:name="page183"/>
    <w:bookmarkEnd w:id="182"/>
    <w:p>
      <w:pPr>
        <w:spacing w:after="0"/>
        <w:rPr>
          <w:sz w:val="20"/>
          <w:szCs w:val="20"/>
          <w:color w:val="auto"/>
        </w:rPr>
      </w:pPr>
      <w:r>
        <w:rPr>
          <w:rFonts w:ascii="Arial" w:cs="Arial" w:eastAsia="Arial" w:hAnsi="Arial"/>
          <w:sz w:val="18"/>
          <w:szCs w:val="18"/>
          <w:color w:val="auto"/>
        </w:rPr>
        <w:t>request the resignation of, or discharge the Holder at any time, with or without Cause.</w:t>
      </w:r>
    </w:p>
    <w:p>
      <w:pPr>
        <w:spacing w:after="0" w:line="225" w:lineRule="exact"/>
        <w:rPr>
          <w:sz w:val="20"/>
          <w:szCs w:val="20"/>
          <w:color w:val="auto"/>
        </w:rPr>
      </w:pPr>
    </w:p>
    <w:p>
      <w:pPr>
        <w:ind w:right="20" w:firstLine="656"/>
        <w:spacing w:after="0" w:line="264" w:lineRule="auto"/>
        <w:tabs>
          <w:tab w:leader="none" w:pos="132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81" w:lineRule="exact"/>
        <w:rPr>
          <w:rFonts w:ascii="Arial" w:cs="Arial" w:eastAsia="Arial" w:hAnsi="Arial"/>
          <w:sz w:val="18"/>
          <w:szCs w:val="18"/>
          <w:color w:val="auto"/>
        </w:rPr>
      </w:pPr>
    </w:p>
    <w:p>
      <w:pPr>
        <w:ind w:right="280" w:firstLine="656"/>
        <w:spacing w:after="0" w:line="264" w:lineRule="auto"/>
        <w:tabs>
          <w:tab w:leader="none" w:pos="1323"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40" w:hanging="684"/>
        <w:spacing w:after="0"/>
        <w:tabs>
          <w:tab w:leader="none" w:pos="13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Venue and 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59" w:lineRule="auto"/>
        <w:tabs>
          <w:tab w:leader="none" w:pos="1901" w:val="left"/>
        </w:tabs>
        <w:numPr>
          <w:ilvl w:val="1"/>
          <w:numId w:val="151"/>
        </w:numPr>
        <w:rPr>
          <w:rFonts w:ascii="Arial" w:cs="Arial" w:eastAsia="Arial" w:hAnsi="Arial"/>
          <w:sz w:val="18"/>
          <w:szCs w:val="18"/>
          <w:color w:val="auto"/>
        </w:rPr>
      </w:pPr>
      <w:r>
        <w:rPr>
          <w:rFonts w:ascii="Arial" w:cs="Arial" w:eastAsia="Arial" w:hAnsi="Arial"/>
          <w:sz w:val="18"/>
          <w:szCs w:val="18"/>
          <w:color w:val="auto"/>
        </w:rPr>
        <w:t>For purposes of litigating any dispute that arises directly or indirectly from the relationship of the parties evidenced by the grant of the Stock Option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Stock Option is made and/or to be performed.</w:t>
      </w:r>
    </w:p>
    <w:p>
      <w:pPr>
        <w:spacing w:after="0" w:line="186" w:lineRule="exact"/>
        <w:rPr>
          <w:rFonts w:ascii="Arial" w:cs="Arial" w:eastAsia="Arial" w:hAnsi="Arial"/>
          <w:sz w:val="18"/>
          <w:szCs w:val="18"/>
          <w:color w:val="auto"/>
        </w:rPr>
      </w:pPr>
    </w:p>
    <w:p>
      <w:pPr>
        <w:ind w:right="340" w:firstLine="1305"/>
        <w:spacing w:after="0" w:line="342" w:lineRule="auto"/>
        <w:tabs>
          <w:tab w:leader="none" w:pos="191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3" w:lineRule="exact"/>
        <w:rPr>
          <w:rFonts w:ascii="Arial" w:cs="Arial" w:eastAsia="Arial" w:hAnsi="Arial"/>
          <w:sz w:val="16"/>
          <w:szCs w:val="16"/>
          <w:color w:val="auto"/>
        </w:rPr>
      </w:pPr>
    </w:p>
    <w:p>
      <w:pPr>
        <w:ind w:right="140" w:firstLine="656"/>
        <w:spacing w:after="0" w:line="264" w:lineRule="auto"/>
        <w:tabs>
          <w:tab w:leader="none" w:pos="1323"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beneficiaries as determined by will or the laws of descent and distribution.</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9" w:lineRule="auto"/>
        <w:tabs>
          <w:tab w:leader="none" w:pos="1901" w:val="left"/>
        </w:tabs>
        <w:numPr>
          <w:ilvl w:val="1"/>
          <w:numId w:val="151"/>
        </w:numPr>
        <w:rPr>
          <w:rFonts w:ascii="Arial" w:cs="Arial" w:eastAsia="Arial" w:hAnsi="Arial"/>
          <w:sz w:val="17"/>
          <w:szCs w:val="17"/>
          <w:color w:val="auto"/>
        </w:rPr>
      </w:pPr>
      <w:r>
        <w:rPr>
          <w:rFonts w:ascii="Arial" w:cs="Arial" w:eastAsia="Arial" w:hAnsi="Arial"/>
          <w:sz w:val="17"/>
          <w:szCs w:val="17"/>
          <w:color w:val="auto"/>
        </w:rPr>
        <w:t>Any notice or other document which the Holder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Attn: Stock Plan Administration, or such other address as the Company by notice to the Holder may designate in writing from time to time. Notices shall be effective upon delivery.</w:t>
      </w:r>
    </w:p>
    <w:p>
      <w:pPr>
        <w:spacing w:after="0" w:line="171" w:lineRule="exact"/>
        <w:rPr>
          <w:rFonts w:ascii="Arial" w:cs="Arial" w:eastAsia="Arial" w:hAnsi="Arial"/>
          <w:sz w:val="17"/>
          <w:szCs w:val="17"/>
          <w:color w:val="auto"/>
        </w:rPr>
      </w:pPr>
    </w:p>
    <w:p>
      <w:pPr>
        <w:ind w:right="40" w:firstLine="1305"/>
        <w:spacing w:after="0" w:line="291" w:lineRule="auto"/>
        <w:tabs>
          <w:tab w:leader="none" w:pos="1911" w:val="left"/>
        </w:tabs>
        <w:numPr>
          <w:ilvl w:val="1"/>
          <w:numId w:val="151"/>
        </w:numPr>
        <w:rPr>
          <w:rFonts w:ascii="Arial" w:cs="Arial" w:eastAsia="Arial" w:hAnsi="Arial"/>
          <w:sz w:val="16"/>
          <w:szCs w:val="16"/>
          <w:color w:val="auto"/>
        </w:rPr>
      </w:pPr>
      <w:r>
        <w:rPr>
          <w:rFonts w:ascii="Arial" w:cs="Arial" w:eastAsia="Arial" w:hAnsi="Arial"/>
          <w:sz w:val="16"/>
          <w:szCs w:val="16"/>
          <w:color w:val="auto"/>
        </w:rPr>
        <w:t>Any notice or other document which the Company may be required or permitted to deliver to the Holder pursuant to or in connection with the Grant Notice or these Award Terms shall be in writing, and may be delivered personally or by mail, postage prepaid, or overnight courier, addressed to the Holder at the address shown on any employment agreement or offer letter between the Holder and any entity in the Company Group in effect at the time, or such other address as the Holder by notice to the Company may designate in writing from time to time. The Company may also, in its sole discretion, deliver any such document to the Holder electronically via an e-mail to the Holder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57" w:lineRule="auto"/>
        <w:tabs>
          <w:tab w:leader="none" w:pos="132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any employment agreement or offer letter between the Holder and any entity in the Company Group in effect at the time and the terms of the Grant Notice or these Award Terms, the terms of the Grant Notice or these Award Terms, as the case may be, shall control. In the event of any conflict between the terms of any employment agreement or offer letter between the Holder and any entity in the Company Group in effect at the time, the Grant Notice or these Award Terms and the terms of the Plan, the terms of the Plan shall control.</w:t>
      </w:r>
    </w:p>
    <w:p>
      <w:pPr>
        <w:spacing w:after="0" w:line="188" w:lineRule="exact"/>
        <w:rPr>
          <w:rFonts w:ascii="Arial" w:cs="Arial" w:eastAsia="Arial" w:hAnsi="Arial"/>
          <w:sz w:val="18"/>
          <w:szCs w:val="18"/>
          <w:color w:val="auto"/>
        </w:rPr>
      </w:pPr>
    </w:p>
    <w:p>
      <w:pPr>
        <w:ind w:right="40" w:firstLine="656"/>
        <w:spacing w:after="0" w:line="312" w:lineRule="auto"/>
        <w:tabs>
          <w:tab w:leader="none" w:pos="1323"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Holder’s participation in the Plan, on the Stock Option and on any Shares acquired under the Plan, to the extent the Company determines it is necessary or advisable in order to facilitate the administration of the Plan, and to require the Holder to sign any additional agreements or undertakings that may be necessary to accomplish the foregoing.</w:t>
      </w:r>
    </w:p>
    <w:p>
      <w:pPr>
        <w:spacing w:after="0" w:line="146" w:lineRule="exact"/>
        <w:rPr>
          <w:rFonts w:ascii="Arial" w:cs="Arial" w:eastAsia="Arial" w:hAnsi="Arial"/>
          <w:sz w:val="16"/>
          <w:szCs w:val="16"/>
          <w:color w:val="auto"/>
        </w:rPr>
      </w:pPr>
    </w:p>
    <w:p>
      <w:pPr>
        <w:ind w:firstLine="656"/>
        <w:spacing w:after="0" w:line="264" w:lineRule="auto"/>
        <w:tabs>
          <w:tab w:leader="none" w:pos="1323"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Holder acknowledges that a waiver by the Company of a breach of any provision of these Award Terms shall not operate or be construed as a waiver of any other provision of these Award Terms, or of any subsequent breach by the Holder or any other holder of an equity award from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83" w:name="page184"/>
    <w:bookmarkEnd w:id="183"/>
    <w:p>
      <w:pPr>
        <w:spacing w:after="0" w:line="11"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10.45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AWARD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an option to purchase Common Shares of Activision Blizzard, Inc. (the “Company”), as follows:</w:t>
      </w:r>
    </w:p>
    <w:p>
      <w:pPr>
        <w:sectPr>
          <w:pgSz w:w="11900" w:h="16849" w:orient="portrait"/>
          <w:cols w:equalWidth="0" w:num="1">
            <w:col w:w="11420"/>
          </w:cols>
          <w:pgMar w:left="240" w:top="364"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Your name: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49" w:orient="portrait"/>
          <w:cols w:equalWidth="0" w:num="2">
            <w:col w:w="9520" w:space="720"/>
            <w:col w:w="1180"/>
          </w:cols>
          <w:pgMar w:left="240" w:top="364" w:right="239" w:bottom="0" w:gutter="0" w:footer="0" w:header="0"/>
          <w:type w:val="continuous"/>
        </w:sectPr>
      </w:pP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Total number of Shares purchasable upon exercise of the Stock Option awarded: </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49" w:orient="portrait"/>
          <w:cols w:equalWidth="0" w:num="2">
            <w:col w:w="9520" w:space="720"/>
            <w:col w:w="1180"/>
          </w:cols>
          <w:pgMar w:left="240" w:top="364"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Exercise Price: US$</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per Share</w:t>
      </w:r>
    </w:p>
    <w:p>
      <w:pPr>
        <w:spacing w:after="0" w:line="211" w:lineRule="exact"/>
        <w:rPr>
          <w:sz w:val="20"/>
          <w:szCs w:val="20"/>
          <w:color w:val="auto"/>
        </w:rPr>
      </w:pPr>
    </w:p>
    <w:p>
      <w:pPr>
        <w:sectPr>
          <w:pgSz w:w="11900" w:h="16849" w:orient="portrait"/>
          <w:cols w:equalWidth="0" w:num="2">
            <w:col w:w="1600" w:space="360"/>
            <w:col w:w="9460"/>
          </w:cols>
          <w:pgMar w:left="240" w:top="364" w:right="239" w:bottom="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Date of Grant: </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49" w:orient="portrait"/>
          <w:cols w:equalWidth="0" w:num="2">
            <w:col w:w="9520" w:space="720"/>
            <w:col w:w="1180"/>
          </w:cols>
          <w:pgMar w:left="240" w:top="364"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Expiration Date: </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49" w:orient="portrait"/>
          <w:cols w:equalWidth="0" w:num="2">
            <w:col w:w="9520" w:space="720"/>
            <w:col w:w="1180"/>
          </w:cols>
          <w:pgMar w:left="240" w:top="364" w:right="239" w:bottom="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 Grant ID: </w:t>
      </w:r>
      <w:r>
        <w:rPr>
          <w:rFonts w:ascii="Arial" w:cs="Arial" w:eastAsia="Arial" w:hAnsi="Arial"/>
          <w:sz w:val="17"/>
          <w:szCs w:val="17"/>
          <w:b w:val="1"/>
          <w:bCs w:val="1"/>
          <w:color w:val="auto"/>
        </w:rPr>
        <w:t>[</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ectPr>
          <w:pgSz w:w="11900" w:h="16849" w:orient="portrait"/>
          <w:cols w:equalWidth="0" w:num="2">
            <w:col w:w="9520" w:space="720"/>
            <w:col w:w="1180"/>
          </w:cols>
          <w:pgMar w:left="240" w:top="364" w:right="239" w:bottom="0" w:gutter="0" w:footer="0" w:header="0"/>
          <w:type w:val="continuous"/>
        </w:sectPr>
      </w:pPr>
    </w:p>
    <w:p>
      <w:pPr>
        <w:spacing w:after="0" w:line="29" w:lineRule="exact"/>
        <w:rPr>
          <w:sz w:val="20"/>
          <w:szCs w:val="20"/>
          <w:color w:val="auto"/>
        </w:rPr>
      </w:pPr>
    </w:p>
    <w:p>
      <w:pPr>
        <w:ind w:left="300" w:hanging="292"/>
        <w:spacing w:after="0"/>
        <w:tabs>
          <w:tab w:leader="none" w:pos="3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Your Award of the Stock Option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this Notice of Stock Option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the Stock Option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 xml:space="preserve">the Appendix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which may include special terms and conditions relating to your country;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53"/>
        </w:numPr>
        <w:rPr>
          <w:rFonts w:ascii="Arial" w:cs="Arial" w:eastAsia="Arial" w:hAnsi="Arial"/>
          <w:sz w:val="18"/>
          <w:szCs w:val="18"/>
          <w:color w:val="auto"/>
        </w:rPr>
      </w:pPr>
      <w:r>
        <w:rPr>
          <w:rFonts w:ascii="Arial" w:cs="Arial" w:eastAsia="Arial" w:hAnsi="Arial"/>
          <w:sz w:val="18"/>
          <w:szCs w:val="18"/>
          <w:color w:val="auto"/>
        </w:rPr>
        <w:t>the Company’s 2014 Incentive Plan, the receipt of a copy of which you hereby acknowledge.</w:t>
      </w:r>
    </w:p>
    <w:p>
      <w:pPr>
        <w:spacing w:after="0" w:line="225" w:lineRule="exact"/>
        <w:rPr>
          <w:rFonts w:ascii="Arial" w:cs="Arial" w:eastAsia="Arial" w:hAnsi="Arial"/>
          <w:sz w:val="18"/>
          <w:szCs w:val="18"/>
          <w:color w:val="auto"/>
        </w:rPr>
      </w:pPr>
    </w:p>
    <w:p>
      <w:pPr>
        <w:ind w:left="340" w:right="220" w:hanging="332"/>
        <w:spacing w:after="0" w:line="259" w:lineRule="auto"/>
        <w:tabs>
          <w:tab w:leader="none" w:pos="304"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Schedule for Vesting</w:t>
      </w:r>
      <w:r>
        <w:rPr>
          <w:rFonts w:ascii="Arial" w:cs="Arial" w:eastAsia="Arial" w:hAnsi="Arial"/>
          <w:sz w:val="18"/>
          <w:szCs w:val="18"/>
          <w:color w:val="auto"/>
        </w:rPr>
        <w:t>: Except as otherwise provided under the Stock Option Award Terms attached hereto as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 as supplemented, modified, or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replaced by the special terms and conditions, if any, set forth under the Holder’s country in the Appendix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“Award Terms”), the Stock Option awarded to you will vest and become exercisable as follows, provided you remain continuously employed by the Company or one of its Subsidiaries through the applicable vesting date:</w:t>
      </w:r>
    </w:p>
    <w:p>
      <w:pPr>
        <w:spacing w:after="0" w:line="16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4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Date of Vesting</w:t>
            </w:r>
          </w:p>
        </w:tc>
        <w:tc>
          <w:tcPr>
            <w:tcW w:w="1460" w:type="dxa"/>
            <w:vAlign w:val="bottom"/>
          </w:tcPr>
          <w:p>
            <w:pPr>
              <w:spacing w:after="0"/>
              <w:rPr>
                <w:sz w:val="14"/>
                <w:szCs w:val="14"/>
                <w:color w:val="auto"/>
              </w:rPr>
            </w:pPr>
          </w:p>
        </w:tc>
        <w:tc>
          <w:tcPr>
            <w:tcW w:w="3060" w:type="dxa"/>
            <w:vAlign w:val="bottom"/>
          </w:tcPr>
          <w:p>
            <w:pPr>
              <w:jc w:val="right"/>
              <w:ind w:right="1477"/>
              <w:spacing w:after="0"/>
              <w:rPr>
                <w:sz w:val="20"/>
                <w:szCs w:val="20"/>
                <w:color w:val="auto"/>
              </w:rPr>
            </w:pPr>
            <w:r>
              <w:rPr>
                <w:rFonts w:ascii="Arial" w:cs="Arial" w:eastAsia="Arial" w:hAnsi="Arial"/>
                <w:sz w:val="14"/>
                <w:szCs w:val="14"/>
                <w:b w:val="1"/>
                <w:bCs w:val="1"/>
                <w:color w:val="auto"/>
                <w:w w:val="91"/>
              </w:rPr>
              <w:t>No. of Shares Vesting at</w:t>
            </w:r>
          </w:p>
        </w:tc>
        <w:tc>
          <w:tcPr>
            <w:tcW w:w="0" w:type="dxa"/>
            <w:vAlign w:val="bottom"/>
          </w:tcPr>
          <w:p>
            <w:pPr>
              <w:spacing w:after="0"/>
              <w:rPr>
                <w:sz w:val="1"/>
                <w:szCs w:val="1"/>
                <w:color w:val="auto"/>
              </w:rPr>
            </w:pPr>
          </w:p>
        </w:tc>
      </w:tr>
      <w:tr>
        <w:trPr>
          <w:trHeight w:val="171"/>
        </w:trPr>
        <w:tc>
          <w:tcPr>
            <w:tcW w:w="1780" w:type="dxa"/>
            <w:vAlign w:val="bottom"/>
          </w:tcPr>
          <w:p>
            <w:pPr>
              <w:spacing w:after="0"/>
              <w:rPr>
                <w:sz w:val="14"/>
                <w:szCs w:val="14"/>
                <w:color w:val="auto"/>
              </w:rPr>
            </w:pPr>
          </w:p>
        </w:tc>
        <w:tc>
          <w:tcPr>
            <w:tcW w:w="3400" w:type="dxa"/>
            <w:vAlign w:val="bottom"/>
            <w:gridSpan w:val="2"/>
            <w:vMerge w:val="continue"/>
          </w:tcPr>
          <w:p>
            <w:pPr>
              <w:spacing w:after="0"/>
              <w:rPr>
                <w:sz w:val="14"/>
                <w:szCs w:val="14"/>
                <w:color w:val="auto"/>
              </w:rPr>
            </w:pPr>
          </w:p>
        </w:tc>
        <w:tc>
          <w:tcPr>
            <w:tcW w:w="1460" w:type="dxa"/>
            <w:vAlign w:val="bottom"/>
          </w:tcPr>
          <w:p>
            <w:pPr>
              <w:spacing w:after="0"/>
              <w:rPr>
                <w:sz w:val="14"/>
                <w:szCs w:val="14"/>
                <w:color w:val="auto"/>
              </w:rPr>
            </w:pPr>
          </w:p>
        </w:tc>
        <w:tc>
          <w:tcPr>
            <w:tcW w:w="3060" w:type="dxa"/>
            <w:vAlign w:val="bottom"/>
          </w:tcPr>
          <w:p>
            <w:pPr>
              <w:jc w:val="right"/>
              <w:ind w:right="1797"/>
              <w:spacing w:after="0"/>
              <w:rPr>
                <w:sz w:val="20"/>
                <w:szCs w:val="20"/>
                <w:color w:val="auto"/>
              </w:rPr>
            </w:pPr>
            <w:r>
              <w:rPr>
                <w:rFonts w:ascii="Arial" w:cs="Arial" w:eastAsia="Arial" w:hAnsi="Arial"/>
                <w:sz w:val="14"/>
                <w:szCs w:val="14"/>
                <w:b w:val="1"/>
                <w:bCs w:val="1"/>
                <w:color w:val="auto"/>
              </w:rPr>
              <w:t>Vesting Date</w:t>
            </w: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020" w:type="dxa"/>
            <w:vAlign w:val="bottom"/>
            <w:tcBorders>
              <w:top w:val="single" w:sz="8" w:color="auto"/>
            </w:tcBorders>
            <w:shd w:val="clear" w:color="auto" w:fill="CCEEFF"/>
          </w:tcPr>
          <w:p>
            <w:pPr>
              <w:jc w:val="right"/>
              <w:ind w:right="1474"/>
              <w:spacing w:after="0"/>
              <w:rPr>
                <w:sz w:val="20"/>
                <w:szCs w:val="20"/>
                <w:color w:val="auto"/>
              </w:rPr>
            </w:pPr>
            <w:r>
              <w:rPr>
                <w:rFonts w:ascii="Arial" w:cs="Arial" w:eastAsia="Arial" w:hAnsi="Arial"/>
                <w:sz w:val="18"/>
                <w:szCs w:val="18"/>
                <w:b w:val="1"/>
                <w:bCs w:val="1"/>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60" w:type="dxa"/>
            <w:vAlign w:val="bottom"/>
            <w:tcBorders>
              <w:top w:val="single" w:sz="8" w:color="auto"/>
            </w:tcBorders>
            <w:shd w:val="clear" w:color="auto" w:fill="CCEEFF"/>
          </w:tcPr>
          <w:p>
            <w:pPr>
              <w:jc w:val="right"/>
              <w:ind w:right="127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3020" w:type="dxa"/>
            <w:vAlign w:val="bottom"/>
          </w:tcPr>
          <w:p>
            <w:pPr>
              <w:jc w:val="right"/>
              <w:ind w:right="147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060" w:type="dxa"/>
            <w:vAlign w:val="bottom"/>
          </w:tcPr>
          <w:p>
            <w:pPr>
              <w:jc w:val="right"/>
              <w:ind w:right="127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3020" w:type="dxa"/>
            <w:vAlign w:val="bottom"/>
            <w:shd w:val="clear" w:color="auto" w:fill="CCEEFF"/>
          </w:tcPr>
          <w:p>
            <w:pPr>
              <w:jc w:val="right"/>
              <w:ind w:right="147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3060" w:type="dxa"/>
            <w:vAlign w:val="bottom"/>
            <w:shd w:val="clear" w:color="auto" w:fill="CCEEFF"/>
          </w:tcPr>
          <w:p>
            <w:pPr>
              <w:jc w:val="right"/>
              <w:ind w:right="1277"/>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00" w:hanging="292"/>
        <w:spacing w:after="0"/>
        <w:tabs>
          <w:tab w:leader="none" w:pos="3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Stock Option is not intended to be an “incentive stock option,” as such term is defined in Section 422 of the Code.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0" w:lineRule="exact"/>
        <w:rPr>
          <w:rFonts w:ascii="Arial" w:cs="Arial" w:eastAsia="Arial" w:hAnsi="Arial"/>
          <w:sz w:val="18"/>
          <w:szCs w:val="18"/>
          <w:color w:val="auto"/>
        </w:rPr>
      </w:pPr>
    </w:p>
    <w:p>
      <w:pPr>
        <w:ind w:left="340" w:right="360" w:hanging="332"/>
        <w:spacing w:after="0" w:line="277" w:lineRule="auto"/>
        <w:tabs>
          <w:tab w:leader="none" w:pos="304" w:val="left"/>
        </w:tabs>
        <w:numPr>
          <w:ilvl w:val="0"/>
          <w:numId w:val="154"/>
        </w:numPr>
        <w:rPr>
          <w:rFonts w:ascii="Arial" w:cs="Arial" w:eastAsia="Arial" w:hAnsi="Arial"/>
          <w:sz w:val="18"/>
          <w:szCs w:val="18"/>
          <w:color w:val="auto"/>
        </w:rPr>
      </w:pPr>
      <w:r>
        <w:rPr>
          <w:rFonts w:ascii="Arial" w:cs="Arial" w:eastAsia="Arial" w:hAnsi="Arial"/>
          <w:sz w:val="18"/>
          <w:szCs w:val="18"/>
          <w:b w:val="1"/>
          <w:bCs w:val="1"/>
          <w:i w:val="1"/>
          <w:iCs w:val="1"/>
          <w:color w:val="auto"/>
        </w:rPr>
        <w:t>By accepting the Award, you are deemed to be bound by the terms and conditions set forth in the 2014 Incentive Plan, this Notice of Stock Option Award and the Award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-681355</wp:posOffset>
            </wp:positionV>
            <wp:extent cx="7267575"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TERMS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EMPLOYEES</w:t>
      </w:r>
    </w:p>
    <w:p>
      <w:pPr>
        <w:spacing w:after="0" w:line="211" w:lineRule="exact"/>
        <w:rPr>
          <w:sz w:val="20"/>
          <w:szCs w:val="20"/>
          <w:color w:val="auto"/>
        </w:rPr>
      </w:pPr>
    </w:p>
    <w:p>
      <w:pPr>
        <w:ind w:left="1380" w:hanging="724"/>
        <w:spacing w:after="0"/>
        <w:tabs>
          <w:tab w:leader="none" w:pos="13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2000" w:hanging="695"/>
        <w:spacing w:after="0"/>
        <w:tabs>
          <w:tab w:leader="none" w:pos="20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“Appendix” </w:t>
      </w:r>
      <w:r>
        <w:rPr>
          <w:rFonts w:ascii="Arial" w:cs="Arial" w:eastAsia="Arial" w:hAnsi="Arial"/>
          <w:sz w:val="18"/>
          <w:szCs w:val="18"/>
          <w:color w:val="auto"/>
        </w:rPr>
        <w:t>means the appendix attached to the Grant Notice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right="160" w:firstLine="1337"/>
        <w:spacing w:after="0" w:line="303"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 shall have the meaning given to such term in any employment agreement, service contract or offer letter between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and any entity in the Company Group in effect at the time of the determination or (ii) if the Holder is not then party to any agreement or offer letter with any entity in the Company Group or any such agreement or offer letter does not contain a definition of “cause,” shall mean a good faith determination by the Company that the Holder (A) engaged in misconduct or gross negligence in the performance of his or her duties or willfully and continuously failed or</w:t>
      </w:r>
    </w:p>
    <w:p>
      <w:pPr>
        <w:sectPr>
          <w:pgSz w:w="11900" w:h="16849" w:orient="portrait"/>
          <w:cols w:equalWidth="0" w:num="1">
            <w:col w:w="11420"/>
          </w:cols>
          <w:pgMar w:left="240" w:top="364" w:right="239" w:bottom="0" w:gutter="0" w:footer="0" w:header="0"/>
          <w:type w:val="continuous"/>
        </w:sectPr>
      </w:pPr>
    </w:p>
    <w:bookmarkStart w:id="184" w:name="page185"/>
    <w:bookmarkEnd w:id="184"/>
    <w:p>
      <w:pPr>
        <w:spacing w:after="0" w:line="297" w:lineRule="auto"/>
        <w:rPr>
          <w:sz w:val="20"/>
          <w:szCs w:val="20"/>
          <w:color w:val="auto"/>
        </w:rPr>
      </w:pPr>
      <w:r>
        <w:rPr>
          <w:rFonts w:ascii="Arial" w:cs="Arial" w:eastAsia="Arial" w:hAnsi="Arial"/>
          <w:sz w:val="16"/>
          <w:szCs w:val="16"/>
          <w:color w:val="auto"/>
        </w:rPr>
        <w:t>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54"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9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and its Subsidiaries.</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 xml:space="preserve">“Disability” </w:t>
      </w:r>
      <w:r>
        <w:rPr>
          <w:rFonts w:ascii="Arial" w:cs="Arial" w:eastAsia="Arial" w:hAnsi="Arial"/>
          <w:sz w:val="17"/>
          <w:szCs w:val="17"/>
          <w:color w:val="auto"/>
        </w:rPr>
        <w:t>shall mean the Holder is receiving benefits under any long-term disability plan of the Company Group then in effect.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Option Grant Award Agreement for Non-U.S.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“Employer” </w:t>
      </w:r>
      <w:r>
        <w:rPr>
          <w:rFonts w:ascii="Arial" w:cs="Arial" w:eastAsia="Arial" w:hAnsi="Arial"/>
          <w:sz w:val="18"/>
          <w:szCs w:val="18"/>
          <w:color w:val="auto"/>
        </w:rPr>
        <w:t>means the Subsidiary of the Company which employs the Holder.</w:t>
      </w:r>
    </w:p>
    <w:p>
      <w:pPr>
        <w:spacing w:after="0" w:line="225" w:lineRule="exact"/>
        <w:rPr>
          <w:sz w:val="20"/>
          <w:szCs w:val="20"/>
          <w:color w:val="auto"/>
        </w:rPr>
      </w:pPr>
    </w:p>
    <w:p>
      <w:pPr>
        <w:jc w:val="both"/>
        <w:ind w:right="10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Exercise Price set forth on the Grant Notice.</w:t>
      </w:r>
    </w:p>
    <w:p>
      <w:pPr>
        <w:spacing w:after="0" w:line="225" w:lineRule="exact"/>
        <w:rPr>
          <w:sz w:val="20"/>
          <w:szCs w:val="20"/>
          <w:color w:val="auto"/>
        </w:rPr>
      </w:pPr>
    </w:p>
    <w:p>
      <w:pPr>
        <w:jc w:val="both"/>
        <w:ind w:right="80" w:firstLine="1297"/>
        <w:spacing w:after="0" w:line="281" w:lineRule="auto"/>
        <w:rPr>
          <w:sz w:val="20"/>
          <w:szCs w:val="20"/>
          <w:color w:val="auto"/>
        </w:rPr>
      </w:pPr>
      <w:r>
        <w:rPr>
          <w:rFonts w:ascii="Arial" w:cs="Arial" w:eastAsia="Arial" w:hAnsi="Arial"/>
          <w:sz w:val="17"/>
          <w:szCs w:val="17"/>
          <w:b w:val="1"/>
          <w:bCs w:val="1"/>
          <w:color w:val="auto"/>
        </w:rPr>
        <w:t xml:space="preserve">“Exercise Rules and Regulations” </w:t>
      </w:r>
      <w:r>
        <w:rPr>
          <w:rFonts w:ascii="Arial" w:cs="Arial" w:eastAsia="Arial" w:hAnsi="Arial"/>
          <w:sz w:val="17"/>
          <w:szCs w:val="17"/>
          <w:color w:val="auto"/>
        </w:rPr>
        <w:t>means (i) the Securities Act or any comparable federal securities law and all applicable state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laws,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means the Expiration Date set forth on the Grant Notice.</w:t>
      </w:r>
    </w:p>
    <w:p>
      <w:pPr>
        <w:spacing w:after="0" w:line="225" w:lineRule="exact"/>
        <w:rPr>
          <w:sz w:val="20"/>
          <w:szCs w:val="20"/>
          <w:color w:val="auto"/>
        </w:rPr>
      </w:pPr>
    </w:p>
    <w:p>
      <w:pPr>
        <w:ind w:right="340" w:firstLine="1297"/>
        <w:spacing w:after="0" w:line="282" w:lineRule="auto"/>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Stock Option Award to which these Award Terms and the Appendix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and</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 respectively.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the Stock Option to purchase Common Shares awarded to the Holder on the terms and conditions described in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and these Award Terms.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Activision Blizzard, Inc. 2014 Incentive Plan, as amended from time to time.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U.S. Securities Act of 1933,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Common Shares purchasable upon exercise of the Stock Option.</w:t>
      </w:r>
    </w:p>
    <w:p>
      <w:pPr>
        <w:spacing w:after="0" w:line="225" w:lineRule="exact"/>
        <w:rPr>
          <w:sz w:val="20"/>
          <w:szCs w:val="20"/>
          <w:color w:val="auto"/>
        </w:rPr>
      </w:pPr>
    </w:p>
    <w:p>
      <w:pPr>
        <w:ind w:right="400" w:firstLine="1297"/>
        <w:spacing w:after="0" w:line="313" w:lineRule="auto"/>
        <w:rPr>
          <w:sz w:val="20"/>
          <w:szCs w:val="20"/>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means any taxes, including, but not limited to, income tax, social insurance, payroll tax, fringe benefits tax, and</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on account, required or permitted under any applicable law to be withheld from amounts otherwise payable to the Holder.</w:t>
      </w:r>
    </w:p>
    <w:p>
      <w:pPr>
        <w:spacing w:after="0" w:line="142" w:lineRule="exact"/>
        <w:rPr>
          <w:sz w:val="20"/>
          <w:szCs w:val="20"/>
          <w:color w:val="auto"/>
        </w:rPr>
      </w:pPr>
    </w:p>
    <w:p>
      <w:pPr>
        <w:ind w:left="2000" w:hanging="695"/>
        <w:spacing w:after="0"/>
        <w:tabs>
          <w:tab w:leader="none" w:pos="20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left="1380" w:hanging="724"/>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Stock Option shall expire on the Expiration Date and, after such expiration, shall no longer be exercisable.</w:t>
      </w:r>
    </w:p>
    <w:p>
      <w:pPr>
        <w:spacing w:after="0" w:line="225"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A-2</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24" w:lineRule="exact"/>
        <w:rPr>
          <w:rFonts w:ascii="Arial" w:cs="Arial" w:eastAsia="Arial" w:hAnsi="Arial"/>
          <w:sz w:val="18"/>
          <w:szCs w:val="18"/>
          <w:color w:val="auto"/>
        </w:rPr>
      </w:pPr>
    </w:p>
    <w:p>
      <w:pPr>
        <w:ind w:left="1380" w:hanging="724"/>
        <w:spacing w:after="0"/>
        <w:tabs>
          <w:tab w:leader="none" w:pos="1380"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Vesting and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580" w:firstLine="1305"/>
        <w:spacing w:after="0" w:line="277" w:lineRule="auto"/>
        <w:tabs>
          <w:tab w:leader="none" w:pos="1991" w:val="left"/>
        </w:tabs>
        <w:numPr>
          <w:ilvl w:val="1"/>
          <w:numId w:val="158"/>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otherwise set forth in these Award Terms, the Stock Option shall vest, and thereupon become exercisable, in accordance with the “Schedule for Vesting” set forth on the Grant Notice.</w:t>
      </w:r>
    </w:p>
    <w:p>
      <w:pPr>
        <w:spacing w:after="0" w:line="170" w:lineRule="exact"/>
        <w:rPr>
          <w:rFonts w:ascii="Arial" w:cs="Arial" w:eastAsia="Arial" w:hAnsi="Arial"/>
          <w:sz w:val="18"/>
          <w:szCs w:val="18"/>
          <w:color w:val="auto"/>
        </w:rPr>
      </w:pPr>
    </w:p>
    <w:p>
      <w:pPr>
        <w:ind w:right="340" w:firstLine="1305"/>
        <w:spacing w:after="0" w:line="286" w:lineRule="auto"/>
        <w:tabs>
          <w:tab w:leader="none" w:pos="2001" w:val="left"/>
        </w:tabs>
        <w:numPr>
          <w:ilvl w:val="1"/>
          <w:numId w:val="158"/>
        </w:numPr>
        <w:rPr>
          <w:rFonts w:ascii="Arial" w:cs="Arial" w:eastAsia="Arial" w:hAnsi="Arial"/>
          <w:sz w:val="17"/>
          <w:szCs w:val="17"/>
          <w:color w:val="auto"/>
        </w:rPr>
      </w:pPr>
      <w:r>
        <w:rPr>
          <w:rFonts w:ascii="Arial" w:cs="Arial" w:eastAsia="Arial" w:hAnsi="Arial"/>
          <w:sz w:val="17"/>
          <w:szCs w:val="17"/>
          <w:u w:val="single" w:color="auto"/>
          <w:color w:val="auto"/>
        </w:rPr>
        <w:t>Exercisable Only by the Holder</w:t>
      </w:r>
      <w:r>
        <w:rPr>
          <w:rFonts w:ascii="Arial" w:cs="Arial" w:eastAsia="Arial" w:hAnsi="Arial"/>
          <w:sz w:val="17"/>
          <w:szCs w:val="17"/>
          <w:color w:val="auto"/>
        </w:rPr>
        <w:t>. Except as otherwise permitted under the Plan or Section 11 hereof, the Stock Option may be exercised during the Holder’s lifetime only by the Holder or, in the event of the Holder’s legal incapacity to do so, by the Holder’s guardian or legal representative acting on behalf of the Holder in a fiduciary capacity under court supervision and/or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-1508125</wp:posOffset>
            </wp:positionV>
            <wp:extent cx="7267575"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0" w:gutter="0" w:footer="0" w:header="0"/>
        </w:sectPr>
      </w:pPr>
    </w:p>
    <w:bookmarkStart w:id="185" w:name="page186"/>
    <w:bookmarkEnd w:id="185"/>
    <w:p>
      <w:pPr>
        <w:spacing w:after="0" w:line="96" w:lineRule="exact"/>
        <w:rPr>
          <w:sz w:val="20"/>
          <w:szCs w:val="20"/>
          <w:color w:val="auto"/>
        </w:rPr>
      </w:pPr>
    </w:p>
    <w:p>
      <w:pPr>
        <w:ind w:right="360" w:firstLine="1305"/>
        <w:spacing w:after="0" w:line="259" w:lineRule="auto"/>
        <w:tabs>
          <w:tab w:leader="none" w:pos="1991" w:val="left"/>
        </w:tabs>
        <w:numPr>
          <w:ilvl w:val="1"/>
          <w:numId w:val="159"/>
        </w:numPr>
        <w:rPr>
          <w:rFonts w:ascii="Arial" w:cs="Arial" w:eastAsia="Arial" w:hAnsi="Arial"/>
          <w:sz w:val="18"/>
          <w:szCs w:val="18"/>
          <w:color w:val="auto"/>
        </w:rPr>
      </w:pPr>
      <w:r>
        <w:rPr>
          <w:rFonts w:ascii="Arial" w:cs="Arial" w:eastAsia="Arial" w:hAnsi="Arial"/>
          <w:sz w:val="18"/>
          <w:szCs w:val="18"/>
          <w:u w:val="single" w:color="auto"/>
          <w:color w:val="auto"/>
        </w:rPr>
        <w:t>Procedure for Exercise</w:t>
      </w:r>
      <w:r>
        <w:rPr>
          <w:rFonts w:ascii="Arial" w:cs="Arial" w:eastAsia="Arial" w:hAnsi="Arial"/>
          <w:sz w:val="18"/>
          <w:szCs w:val="18"/>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86" w:lineRule="exact"/>
        <w:rPr>
          <w:rFonts w:ascii="Arial" w:cs="Arial" w:eastAsia="Arial" w:hAnsi="Arial"/>
          <w:sz w:val="18"/>
          <w:szCs w:val="18"/>
          <w:color w:val="auto"/>
        </w:rPr>
      </w:pPr>
    </w:p>
    <w:p>
      <w:pPr>
        <w:ind w:right="20" w:firstLine="1305"/>
        <w:spacing w:after="0" w:line="284" w:lineRule="auto"/>
        <w:tabs>
          <w:tab w:leader="none" w:pos="2001" w:val="left"/>
        </w:tabs>
        <w:numPr>
          <w:ilvl w:val="1"/>
          <w:numId w:val="159"/>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through the withholding of Shares otherwise deliverable upon exercise, or</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combination of (i), (ii) or (iii) above or any other manner permitted pursuant to the Plan.</w:t>
      </w:r>
    </w:p>
    <w:p>
      <w:pPr>
        <w:spacing w:after="0" w:line="210" w:lineRule="exact"/>
        <w:rPr>
          <w:rFonts w:ascii="Arial" w:cs="Arial" w:eastAsia="Arial" w:hAnsi="Arial"/>
          <w:sz w:val="18"/>
          <w:szCs w:val="18"/>
          <w:color w:val="auto"/>
        </w:rPr>
      </w:pPr>
    </w:p>
    <w:p>
      <w:pPr>
        <w:ind w:left="2000" w:hanging="695"/>
        <w:spacing w:after="0"/>
        <w:tabs>
          <w:tab w:leader="none" w:pos="2000"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In no event may the Stock Option be exercised for a fraction of a Share.</w:t>
      </w:r>
    </w:p>
    <w:p>
      <w:pPr>
        <w:spacing w:after="0" w:line="225" w:lineRule="exact"/>
        <w:rPr>
          <w:rFonts w:ascii="Arial" w:cs="Arial" w:eastAsia="Arial" w:hAnsi="Arial"/>
          <w:sz w:val="18"/>
          <w:szCs w:val="18"/>
          <w:color w:val="auto"/>
        </w:rPr>
      </w:pPr>
    </w:p>
    <w:p>
      <w:pPr>
        <w:ind w:right="100" w:firstLine="1305"/>
        <w:spacing w:after="0" w:line="264" w:lineRule="auto"/>
        <w:tabs>
          <w:tab w:leader="none" w:pos="2016"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No Adjustment for Dividends or Other Rights</w:t>
      </w:r>
      <w:r>
        <w:rPr>
          <w:rFonts w:ascii="Arial" w:cs="Arial" w:eastAsia="Arial" w:hAnsi="Arial"/>
          <w:sz w:val="18"/>
          <w:szCs w:val="18"/>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pacing w:after="0" w:line="181" w:lineRule="exact"/>
        <w:rPr>
          <w:rFonts w:ascii="Arial" w:cs="Arial" w:eastAsia="Arial" w:hAnsi="Arial"/>
          <w:sz w:val="18"/>
          <w:szCs w:val="18"/>
          <w:color w:val="auto"/>
        </w:rPr>
      </w:pPr>
    </w:p>
    <w:p>
      <w:pPr>
        <w:jc w:val="both"/>
        <w:ind w:right="180" w:firstLine="1305"/>
        <w:spacing w:after="0" w:line="259" w:lineRule="auto"/>
        <w:tabs>
          <w:tab w:leader="none" w:pos="2001"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Issuance and Delivery of Shares</w:t>
      </w:r>
      <w:r>
        <w:rPr>
          <w:rFonts w:ascii="Arial" w:cs="Arial" w:eastAsia="Arial" w:hAnsi="Arial"/>
          <w:sz w:val="18"/>
          <w:szCs w:val="18"/>
          <w:color w:val="auto"/>
        </w:rPr>
        <w:t>.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 xml:space="preserve">entitled to such Shares (or, with the Company’s consent, such other brokerage account as may be requested by such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such Shares are subject to a legend as set forth in Section 14 hereof, the Company shall instead cause a certificate evidencing such Shares and bearing such legend to be delivered to the person entitled thereto.</w:t>
      </w:r>
    </w:p>
    <w:p>
      <w:pPr>
        <w:spacing w:after="0" w:line="181" w:lineRule="exact"/>
        <w:rPr>
          <w:sz w:val="20"/>
          <w:szCs w:val="20"/>
          <w:color w:val="auto"/>
        </w:rPr>
      </w:pPr>
    </w:p>
    <w:p>
      <w:pPr>
        <w:ind w:right="60" w:firstLine="1305"/>
        <w:spacing w:after="0" w:line="264" w:lineRule="auto"/>
        <w:tabs>
          <w:tab w:leader="none" w:pos="2001" w:val="left"/>
        </w:tabs>
        <w:numPr>
          <w:ilvl w:val="2"/>
          <w:numId w:val="161"/>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81" w:lineRule="exact"/>
        <w:rPr>
          <w:rFonts w:ascii="Arial" w:cs="Arial" w:eastAsia="Arial" w:hAnsi="Arial"/>
          <w:sz w:val="18"/>
          <w:szCs w:val="18"/>
          <w:color w:val="auto"/>
        </w:rPr>
      </w:pPr>
    </w:p>
    <w:p>
      <w:pPr>
        <w:ind w:left="1380" w:hanging="724"/>
        <w:spacing w:after="0"/>
        <w:tabs>
          <w:tab w:leader="none" w:pos="1380" w:val="left"/>
        </w:tabs>
        <w:numPr>
          <w:ilvl w:val="1"/>
          <w:numId w:val="16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59" w:lineRule="auto"/>
        <w:tabs>
          <w:tab w:leader="none" w:pos="1991" w:val="left"/>
        </w:tabs>
        <w:numPr>
          <w:ilvl w:val="2"/>
          <w:numId w:val="162"/>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Unless the Committee determines otherwise, in the event that (a) the Holder’s employment is terminated by any entity in the Company Group for Cause or (b) if the Holder terminates his or her employment with the Company Group in breach of an employment agreement with any entity in the Company Group, as of the date of such termination of employment the Stock Option shall (i) cease to vest, if not then fully vested, (ii) no longer be exercisable, whether or not vested, and (iii) be immediately cancelled.</w:t>
      </w:r>
    </w:p>
    <w:p>
      <w:pPr>
        <w:spacing w:after="0" w:line="186" w:lineRule="exact"/>
        <w:rPr>
          <w:rFonts w:ascii="Arial" w:cs="Arial" w:eastAsia="Arial" w:hAnsi="Arial"/>
          <w:sz w:val="18"/>
          <w:szCs w:val="18"/>
          <w:color w:val="auto"/>
        </w:rPr>
      </w:pPr>
    </w:p>
    <w:p>
      <w:pPr>
        <w:ind w:firstLine="1305"/>
        <w:spacing w:after="0" w:line="291" w:lineRule="auto"/>
        <w:tabs>
          <w:tab w:leader="none" w:pos="2001" w:val="left"/>
        </w:tabs>
        <w:numPr>
          <w:ilvl w:val="2"/>
          <w:numId w:val="162"/>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Unless the Committee determines otherwise, in the event that the Holder dies while employed by any entity in the Company Group or the Holder’s employment with any entity in the Company Group is terminated due to the Holder’s Disability, the Stock Option shall</w:t>
      </w:r>
    </w:p>
    <w:p>
      <w:pPr>
        <w:ind w:left="220" w:hanging="212"/>
        <w:spacing w:after="0"/>
        <w:tabs>
          <w:tab w:leader="none" w:pos="220" w:val="left"/>
        </w:tabs>
        <w:numPr>
          <w:ilvl w:val="0"/>
          <w:numId w:val="163"/>
        </w:numPr>
        <w:rPr>
          <w:rFonts w:ascii="Arial" w:cs="Arial" w:eastAsia="Arial" w:hAnsi="Arial"/>
          <w:sz w:val="16"/>
          <w:szCs w:val="16"/>
          <w:color w:val="auto"/>
        </w:rPr>
      </w:pPr>
      <w:r>
        <w:rPr>
          <w:rFonts w:ascii="Arial" w:cs="Arial" w:eastAsia="Arial" w:hAnsi="Arial"/>
          <w:sz w:val="16"/>
          <w:szCs w:val="16"/>
          <w:color w:val="auto"/>
        </w:rPr>
        <w:t>cease to vest as of the date of the Holder’s death or the first date of the Holder’s Disability (as determined by the Committee), as the case may be, and</w:t>
      </w:r>
    </w:p>
    <w:p>
      <w:pPr>
        <w:spacing w:after="0" w:line="32" w:lineRule="exact"/>
        <w:rPr>
          <w:rFonts w:ascii="Arial" w:cs="Arial" w:eastAsia="Arial" w:hAnsi="Arial"/>
          <w:sz w:val="16"/>
          <w:szCs w:val="16"/>
          <w:color w:val="auto"/>
        </w:rPr>
      </w:pPr>
    </w:p>
    <w:p>
      <w:pPr>
        <w:ind w:right="180" w:firstLine="8"/>
        <w:spacing w:after="0" w:line="281" w:lineRule="auto"/>
        <w:tabs>
          <w:tab w:leader="none" w:pos="265" w:val="left"/>
        </w:tabs>
        <w:numPr>
          <w:ilvl w:val="0"/>
          <w:numId w:val="163"/>
        </w:numPr>
        <w:rPr>
          <w:rFonts w:ascii="Arial" w:cs="Arial" w:eastAsia="Arial" w:hAnsi="Arial"/>
          <w:sz w:val="16"/>
          <w:szCs w:val="16"/>
          <w:color w:val="auto"/>
        </w:rPr>
      </w:pPr>
      <w:r>
        <w:rPr>
          <w:rFonts w:ascii="Arial" w:cs="Arial" w:eastAsia="Arial" w:hAnsi="Arial"/>
          <w:sz w:val="16"/>
          <w:szCs w:val="16"/>
          <w:color w:val="auto"/>
        </w:rPr>
        <w:t>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w:t>
      </w:r>
    </w:p>
    <w:p>
      <w:pPr>
        <w:spacing w:after="0" w:line="1" w:lineRule="exact"/>
        <w:rPr>
          <w:rFonts w:ascii="Arial" w:cs="Arial" w:eastAsia="Arial" w:hAnsi="Arial"/>
          <w:sz w:val="16"/>
          <w:szCs w:val="16"/>
          <w:color w:val="auto"/>
        </w:rPr>
      </w:pPr>
    </w:p>
    <w:p>
      <w:pPr>
        <w:ind w:right="100"/>
        <w:spacing w:after="0" w:line="255" w:lineRule="auto"/>
        <w:rPr>
          <w:rFonts w:ascii="Arial" w:cs="Arial" w:eastAsia="Arial" w:hAnsi="Arial"/>
          <w:sz w:val="16"/>
          <w:szCs w:val="16"/>
          <w:color w:val="auto"/>
        </w:rPr>
      </w:pPr>
      <w:r>
        <w:rPr>
          <w:rFonts w:ascii="Arial" w:cs="Arial" w:eastAsia="Arial" w:hAnsi="Arial"/>
          <w:sz w:val="18"/>
          <w:szCs w:val="18"/>
          <w:color w:val="auto"/>
        </w:rPr>
        <w:t>(B) the Expiration Date, after which the 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190" w:lineRule="exact"/>
        <w:rPr>
          <w:rFonts w:ascii="Arial" w:cs="Arial" w:eastAsia="Arial" w:hAnsi="Arial"/>
          <w:sz w:val="16"/>
          <w:szCs w:val="16"/>
          <w:color w:val="auto"/>
        </w:rPr>
      </w:pPr>
    </w:p>
    <w:p>
      <w:pPr>
        <w:ind w:right="60" w:firstLine="1305"/>
        <w:spacing w:after="0" w:line="270" w:lineRule="auto"/>
        <w:tabs>
          <w:tab w:leader="none" w:pos="1991" w:val="left"/>
        </w:tabs>
        <w:numPr>
          <w:ilvl w:val="2"/>
          <w:numId w:val="163"/>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Unless the Committee determines otherwise, in the event that the Holder’s employment is terminated for any reason not addressed by Section 4(a) or 4(b) hereof, the Stock Option shall (i) cease to vest as of the date of such termination of employment and (ii) to the extent vested as of the date of such termination of employment, be exercisable in accordance with these Award Terms until the earlier of (A) (i) in the case of a termination by the Holder, the 30th day after the date of such termination of employment or (ii) in the case of a termination by the Company Group, the 90th day after the date of such termination of employment (or, in either case, if the Holder is prohibited from exercising the Stock Option during some or all of the 30-day or 90-day period, as the case may be, following such termination date because such exercise would not be in compliance with the Exercise Rules and Regulations, whatever later date may be determined in accordance with a Committee-approved policy) and (B) the Expiration Date, after which the Stock Option shall no longer be exercisable and shall be immediately cancelled. To the extent not vested as of the date of such termination of service, the Stock Option shall be immediately cancelled and shall no longer be exercisable.</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80" w:hanging="724"/>
        <w:spacing w:after="0"/>
        <w:tabs>
          <w:tab w:leader="none" w:pos="1380" w:val="left"/>
        </w:tabs>
        <w:numPr>
          <w:ilvl w:val="0"/>
          <w:numId w:val="164"/>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93" w:lineRule="auto"/>
        <w:tabs>
          <w:tab w:leader="none" w:pos="1991" w:val="left"/>
        </w:tabs>
        <w:numPr>
          <w:ilvl w:val="1"/>
          <w:numId w:val="164"/>
        </w:numPr>
        <w:rPr>
          <w:rFonts w:ascii="Arial" w:cs="Arial" w:eastAsia="Arial" w:hAnsi="Arial"/>
          <w:sz w:val="16"/>
          <w:szCs w:val="16"/>
          <w:color w:val="auto"/>
        </w:rPr>
      </w:pPr>
      <w:r>
        <w:rPr>
          <w:rFonts w:ascii="Arial" w:cs="Arial" w:eastAsia="Arial" w:hAnsi="Arial"/>
          <w:sz w:val="16"/>
          <w:szCs w:val="16"/>
          <w:color w:val="auto"/>
        </w:rPr>
        <w:t>Regardless of any action the Company or the Employer takes with respect to any Withholding Taxes related to the Holder’s participation in the Plan and legally applicable to the Holder, the Holder acknowledges that the ultimate liability for all Withholding Taxes is and remains the Holder’s responsibility and may exceed the amount actually withheld by the Company or the Employer. The Holder further acknowledges that the Company and/or the Employer (A) make no representations or undertakings regarding the treatment of any Withholding Taxes in connection with any aspect of the Stock Option, including, without limitation, the grant, vesting or exercise of the Stock Option, the subsequent sale of Shares acquired pursuant to such exercise and the receipt of any dividends; and (B) do not commit to and are under no obligation to structure the terms of the grant or any aspect of the Stock</w:t>
      </w:r>
    </w:p>
    <w:p>
      <w:pPr>
        <w:sectPr>
          <w:pgSz w:w="11900" w:h="16934" w:orient="portrait"/>
          <w:cols w:equalWidth="0" w:num="1">
            <w:col w:w="11420"/>
          </w:cols>
          <w:pgMar w:left="240" w:top="125" w:right="239" w:bottom="0" w:gutter="0" w:footer="0" w:header="0"/>
        </w:sectPr>
      </w:pPr>
    </w:p>
    <w:bookmarkStart w:id="186" w:name="page187"/>
    <w:bookmarkEnd w:id="186"/>
    <w:p>
      <w:pPr>
        <w:spacing w:after="0" w:line="10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Option to reduce or eliminate the Holder’s liability for Withholding Taxes or achieve any particular tax result. Further, if the Holder is subject to tax in more than one jurisdiction, the Holder acknowledges that the Company and/or the Employer (or former employer, as applicable) may be required to withhold or account for Withholding Taxes in more than one jurisdiction. The Company shall have no obligation to deliver any Shares upon exercise of the Stock Option unless and until all Withholding Taxes contemplated by this Section 5 have been satisfied.</w:t>
      </w:r>
    </w:p>
    <w:p>
      <w:pPr>
        <w:spacing w:after="0" w:line="187" w:lineRule="exact"/>
        <w:rPr>
          <w:sz w:val="20"/>
          <w:szCs w:val="20"/>
          <w:color w:val="auto"/>
        </w:rPr>
      </w:pPr>
    </w:p>
    <w:p>
      <w:pPr>
        <w:ind w:firstLine="1305"/>
        <w:spacing w:after="0" w:line="287" w:lineRule="auto"/>
        <w:tabs>
          <w:tab w:leader="none" w:pos="2001"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Company shall determine the method or methods the Holder may use to satisfy any Withholding Taxes resulting from the exercise (in whole or in part) of the Stock Option, the issuance or transfer of any Shares upon exercise of the Stock Option or otherwise in connection with the Award at the time such Withholding Taxes become due, which may include any of the following: (i) by delivery to the Company of a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 (iii) through the withholding of Shares otherwise deliverable upon exercise; or (iv) by any combination of (i), (ii) or (iii) above. Further, any entity in the Company Group shall have the right to require the Holder to satisfy any Withholding Taxes contemplated by this Section 5 by any of the aforementioned methods or by withholding from the Holder’s wages or other cash compensation.</w:t>
      </w:r>
    </w:p>
    <w:p>
      <w:pPr>
        <w:spacing w:after="0" w:line="172" w:lineRule="exact"/>
        <w:rPr>
          <w:rFonts w:ascii="Arial" w:cs="Arial" w:eastAsia="Arial" w:hAnsi="Arial"/>
          <w:sz w:val="16"/>
          <w:szCs w:val="16"/>
          <w:color w:val="auto"/>
        </w:rPr>
      </w:pPr>
    </w:p>
    <w:p>
      <w:pPr>
        <w:ind w:right="220" w:firstLine="1305"/>
        <w:spacing w:after="0" w:line="255" w:lineRule="auto"/>
        <w:tabs>
          <w:tab w:leader="none" w:pos="199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Company Group may withhold or account for Withholding Taxes contemplated by this Section 5 by reference to applicable withholding rates, including minimum or maximum applicable statutory rates, and if the Company Group withholds more than the amount necessary to satisfy the liability, the Holder will receive a refund of any over-withheld amount in cash and will have no entitlement to the equivalent Shares. If the obligation for Withholding Taxes is satisfied by withholding in Shares, for tax purposes the Holder will be deemed to have been issued the full number of Shares, notwithstanding that a number of the Shares is held back solely for the purpose of paying the Withholding Taxes due as a result of any aspect of the Holder’s participation in the Plan. No fractional Shares will be withheld or issued pursuant to the exercise of the Stock Option and the issuance of Withholding Taxes thereunder.</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right="180" w:firstLine="656"/>
        <w:spacing w:after="0" w:line="282" w:lineRule="auto"/>
        <w:tabs>
          <w:tab w:leader="none" w:pos="136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By accepting the Award, the Holder is deemed to be bound by the terms and conditions set forth in the Plan,</w:t>
      </w:r>
      <w:r>
        <w:rPr>
          <w:rFonts w:ascii="Arial" w:cs="Arial" w:eastAsia="Arial" w:hAnsi="Arial"/>
          <w:sz w:val="18"/>
          <w:szCs w:val="18"/>
          <w:color w:val="auto"/>
        </w:rPr>
        <w:t xml:space="preserve"> </w:t>
      </w:r>
      <w:r>
        <w:rPr>
          <w:rFonts w:ascii="Arial" w:cs="Arial" w:eastAsia="Arial" w:hAnsi="Arial"/>
          <w:sz w:val="18"/>
          <w:szCs w:val="18"/>
          <w:b w:val="1"/>
          <w:bCs w:val="1"/>
          <w:color w:val="auto"/>
        </w:rPr>
        <w:t>the Grant Notice and these Award Terms.</w:t>
      </w:r>
    </w:p>
    <w:p>
      <w:pPr>
        <w:spacing w:after="0" w:line="165" w:lineRule="exact"/>
        <w:rPr>
          <w:rFonts w:ascii="Arial" w:cs="Arial" w:eastAsia="Arial" w:hAnsi="Arial"/>
          <w:sz w:val="18"/>
          <w:szCs w:val="18"/>
          <w:color w:val="auto"/>
        </w:rPr>
      </w:pPr>
    </w:p>
    <w:p>
      <w:pPr>
        <w:ind w:right="120" w:firstLine="656"/>
        <w:spacing w:after="0" w:line="277" w:lineRule="auto"/>
        <w:tabs>
          <w:tab w:leader="none" w:pos="136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exercise of the Stock Option such number of Common Shares as shall be required for issuance or delivery upon exercise thereof.</w:t>
      </w:r>
    </w:p>
    <w:p>
      <w:pPr>
        <w:spacing w:after="0" w:line="170" w:lineRule="exact"/>
        <w:rPr>
          <w:rFonts w:ascii="Arial" w:cs="Arial" w:eastAsia="Arial" w:hAnsi="Arial"/>
          <w:sz w:val="18"/>
          <w:szCs w:val="18"/>
          <w:color w:val="auto"/>
        </w:rPr>
      </w:pPr>
    </w:p>
    <w:p>
      <w:pPr>
        <w:ind w:right="60" w:firstLine="656"/>
        <w:spacing w:after="0" w:line="269" w:lineRule="auto"/>
        <w:tabs>
          <w:tab w:leader="none" w:pos="1368"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Committee Discretion</w:t>
      </w:r>
      <w:r>
        <w:rPr>
          <w:rFonts w:ascii="Arial" w:cs="Arial" w:eastAsia="Arial" w:hAnsi="Arial"/>
          <w:sz w:val="17"/>
          <w:szCs w:val="17"/>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 amend the terms of the Award (i) in recognition of unusual or nonrecurring events (including, without limitation, events described in Section 9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Section 409A.</w:t>
      </w:r>
    </w:p>
    <w:p>
      <w:pPr>
        <w:spacing w:after="0" w:line="182" w:lineRule="exact"/>
        <w:rPr>
          <w:rFonts w:ascii="Arial" w:cs="Arial" w:eastAsia="Arial" w:hAnsi="Arial"/>
          <w:sz w:val="17"/>
          <w:szCs w:val="17"/>
          <w:color w:val="auto"/>
        </w:rPr>
      </w:pPr>
    </w:p>
    <w:p>
      <w:pPr>
        <w:ind w:right="100" w:firstLine="656"/>
        <w:spacing w:after="0" w:line="254" w:lineRule="auto"/>
        <w:tabs>
          <w:tab w:leader="none" w:pos="136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herein, pursuant to Section 12 of the Plan, the Committee will make or provide for such adjustments to the Award as are equitably required to prevent dilution or enlargement of the rights of the Holder that otherwise would result from (a) any stock dividend, extraordinary dividend, stock split, combination of shares, recapitalization or other change in the capital structure of the Company, (b) any change of control, merger, consolidation, spin-off, split- 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92" w:lineRule="exact"/>
        <w:rPr>
          <w:rFonts w:ascii="Arial" w:cs="Arial" w:eastAsia="Arial" w:hAnsi="Arial"/>
          <w:sz w:val="18"/>
          <w:szCs w:val="18"/>
          <w:color w:val="auto"/>
        </w:rPr>
      </w:pPr>
    </w:p>
    <w:p>
      <w:pPr>
        <w:ind w:right="60" w:firstLine="656"/>
        <w:spacing w:after="0" w:line="273" w:lineRule="auto"/>
        <w:tabs>
          <w:tab w:leader="none" w:pos="1323" w:val="left"/>
        </w:tabs>
        <w:numPr>
          <w:ilvl w:val="0"/>
          <w:numId w:val="166"/>
        </w:numPr>
        <w:rPr>
          <w:rFonts w:ascii="Arial" w:cs="Arial" w:eastAsia="Arial" w:hAnsi="Arial"/>
          <w:sz w:val="17"/>
          <w:szCs w:val="17"/>
          <w:color w:val="auto"/>
        </w:rPr>
      </w:pPr>
      <w:r>
        <w:rPr>
          <w:rFonts w:ascii="Arial" w:cs="Arial" w:eastAsia="Arial" w:hAnsi="Arial"/>
          <w:sz w:val="17"/>
          <w:szCs w:val="17"/>
          <w:u w:val="single" w:color="auto"/>
          <w:color w:val="auto"/>
        </w:rPr>
        <w:t>Registration and Listing</w:t>
      </w:r>
      <w:r>
        <w:rPr>
          <w:rFonts w:ascii="Arial" w:cs="Arial" w:eastAsia="Arial" w:hAnsi="Arial"/>
          <w:sz w:val="17"/>
          <w:szCs w:val="17"/>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the Stock Option or Shares with the United States Securities and Exchange Commission, any state securities commission or any securities exchange, securities association, market system or quotation system to effect such compliance. The Holder shall make such representations and furnish such</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information as may be appropriate to permit the Company, in light of the then existence or non-existence of an effective registration statement under the Securities Act,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or any comparable federal securities law or applicable state securities law.</w:t>
      </w:r>
    </w:p>
    <w:p>
      <w:pPr>
        <w:spacing w:after="0" w:line="171" w:lineRule="exact"/>
        <w:rPr>
          <w:sz w:val="20"/>
          <w:szCs w:val="20"/>
          <w:color w:val="auto"/>
        </w:rPr>
      </w:pPr>
    </w:p>
    <w:p>
      <w:pPr>
        <w:ind w:right="100" w:firstLine="656"/>
        <w:spacing w:after="0" w:line="302" w:lineRule="auto"/>
        <w:tabs>
          <w:tab w:leader="none" w:pos="1317" w:val="left"/>
        </w:tabs>
        <w:numPr>
          <w:ilvl w:val="0"/>
          <w:numId w:val="167"/>
        </w:numPr>
        <w:rPr>
          <w:rFonts w:ascii="Arial" w:cs="Arial" w:eastAsia="Arial" w:hAnsi="Arial"/>
          <w:sz w:val="16"/>
          <w:szCs w:val="16"/>
          <w:color w:val="auto"/>
        </w:rPr>
      </w:pPr>
      <w:r>
        <w:rPr>
          <w:rFonts w:ascii="Arial" w:cs="Arial" w:eastAsia="Arial" w:hAnsi="Arial"/>
          <w:sz w:val="16"/>
          <w:szCs w:val="16"/>
          <w:u w:val="single" w:color="auto"/>
          <w:color w:val="auto"/>
        </w:rPr>
        <w:t>Transferability</w:t>
      </w:r>
      <w:r>
        <w:rPr>
          <w:rFonts w:ascii="Arial" w:cs="Arial" w:eastAsia="Arial" w:hAnsi="Arial"/>
          <w:sz w:val="16"/>
          <w:szCs w:val="16"/>
          <w:color w:val="auto"/>
        </w:rPr>
        <w:t xml:space="preserve">. Subject to the terms of the Plan, and only with the Company’s consent, the Holder may transfer all or part of the Stock Option for estate planning purposes or pursuant to a domestic relations order (or a comparable order under applicable local law);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6"/>
          <w:szCs w:val="16"/>
          <w:u w:val="single" w:color="auto"/>
          <w:color w:val="auto"/>
        </w:rPr>
        <w:t>provided further</w:t>
      </w:r>
      <w:r>
        <w:rPr>
          <w:rFonts w:ascii="Arial" w:cs="Arial" w:eastAsia="Arial" w:hAnsi="Arial"/>
          <w:sz w:val="16"/>
          <w:szCs w:val="16"/>
          <w:color w:val="auto"/>
        </w:rPr>
        <w:t xml:space="preserve"> that the Holder will remain bound by the terms and conditions</w:t>
      </w:r>
    </w:p>
    <w:p>
      <w:pPr>
        <w:sectPr>
          <w:pgSz w:w="11900" w:h="16945" w:orient="portrait"/>
          <w:cols w:equalWidth="0" w:num="1">
            <w:col w:w="11420"/>
          </w:cols>
          <w:pgMar w:left="240" w:top="125" w:right="239" w:bottom="0" w:gutter="0" w:footer="0" w:header="0"/>
        </w:sectPr>
      </w:pPr>
    </w:p>
    <w:bookmarkStart w:id="187" w:name="page188"/>
    <w:bookmarkEnd w:id="187"/>
    <w:p>
      <w:pPr>
        <w:ind w:right="740"/>
        <w:spacing w:after="0" w:line="277" w:lineRule="auto"/>
        <w:rPr>
          <w:sz w:val="20"/>
          <w:szCs w:val="20"/>
          <w:color w:val="auto"/>
        </w:rPr>
      </w:pPr>
      <w:r>
        <w:rPr>
          <w:rFonts w:ascii="Arial" w:cs="Arial" w:eastAsia="Arial" w:hAnsi="Arial"/>
          <w:sz w:val="18"/>
          <w:szCs w:val="18"/>
          <w:color w:val="auto"/>
        </w:rPr>
        <w:t>of the Plan, the Grant Notice and these Award Terms. Except as otherwise permitted under the Plan or this Section 11, the Stock Option shall not be transferable by the Holder other than by will or the laws of descent and distribution.</w:t>
      </w:r>
    </w:p>
    <w:p>
      <w:pPr>
        <w:spacing w:after="0" w:line="170" w:lineRule="exact"/>
        <w:rPr>
          <w:sz w:val="20"/>
          <w:szCs w:val="20"/>
          <w:color w:val="auto"/>
        </w:rPr>
      </w:pPr>
    </w:p>
    <w:p>
      <w:pPr>
        <w:ind w:left="1340" w:hanging="684"/>
        <w:spacing w:after="0"/>
        <w:tabs>
          <w:tab w:leader="none" w:pos="1340" w:val="left"/>
        </w:tabs>
        <w:numPr>
          <w:ilvl w:val="0"/>
          <w:numId w:val="168"/>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20" w:firstLine="1305"/>
        <w:spacing w:after="0" w:line="308" w:lineRule="auto"/>
        <w:tabs>
          <w:tab w:leader="none" w:pos="1991" w:val="left"/>
        </w:tabs>
        <w:numPr>
          <w:ilvl w:val="1"/>
          <w:numId w:val="168"/>
        </w:numPr>
        <w:rPr>
          <w:rFonts w:ascii="Arial" w:cs="Arial" w:eastAsia="Arial" w:hAnsi="Arial"/>
          <w:sz w:val="17"/>
          <w:szCs w:val="17"/>
          <w:color w:val="auto"/>
        </w:rPr>
      </w:pPr>
      <w:r>
        <w:rPr>
          <w:rFonts w:ascii="Arial" w:cs="Arial" w:eastAsia="Arial" w:hAnsi="Arial"/>
          <w:sz w:val="17"/>
          <w:szCs w:val="17"/>
          <w:color w:val="auto"/>
        </w:rPr>
        <w:t>The Holder is responsible for complying with (i) any tax, social insurance, national insurance contributions, payroll tax, payment on account or other tax liabilities applicable to the Holder in connection with the Award and (ii) all Exercise Rules and Regulations.</w:t>
      </w:r>
    </w:p>
    <w:p>
      <w:pPr>
        <w:spacing w:after="0" w:line="146" w:lineRule="exact"/>
        <w:rPr>
          <w:rFonts w:ascii="Arial" w:cs="Arial" w:eastAsia="Arial" w:hAnsi="Arial"/>
          <w:sz w:val="17"/>
          <w:szCs w:val="17"/>
          <w:color w:val="auto"/>
        </w:rPr>
      </w:pPr>
    </w:p>
    <w:p>
      <w:pPr>
        <w:ind w:firstLine="1305"/>
        <w:spacing w:after="0" w:line="264" w:lineRule="auto"/>
        <w:tabs>
          <w:tab w:leader="none" w:pos="2001" w:val="left"/>
        </w:tabs>
        <w:numPr>
          <w:ilvl w:val="1"/>
          <w:numId w:val="168"/>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any policy requiring or permitting the Company to recover any gains realized by the Holder in connection with the Award, including, without limitation, the Policy on Recoupment of Performance-Based Compensation Related to Certain Financial Restatements.</w:t>
      </w:r>
    </w:p>
    <w:p>
      <w:pPr>
        <w:spacing w:after="0" w:line="181" w:lineRule="exact"/>
        <w:rPr>
          <w:rFonts w:ascii="Arial" w:cs="Arial" w:eastAsia="Arial" w:hAnsi="Arial"/>
          <w:sz w:val="18"/>
          <w:szCs w:val="18"/>
          <w:color w:val="auto"/>
        </w:rPr>
      </w:pPr>
    </w:p>
    <w:p>
      <w:pPr>
        <w:ind w:right="20" w:firstLine="656"/>
        <w:spacing w:after="0" w:line="288" w:lineRule="auto"/>
        <w:tabs>
          <w:tab w:leader="none" w:pos="1323" w:val="left"/>
        </w:tabs>
        <w:numPr>
          <w:ilvl w:val="0"/>
          <w:numId w:val="168"/>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(a) nothing in the Plan, the Grant Notice and these Award Terms shall guarantee that the Award is not subject to taxes or penalties under Section 409A and (b)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13 does not create an obligation on the part of the Committee or the Company to make any such modification, and in no event shall the Company be liable for the payment of or gross up in connection with any taxes, interest or penalties owed by the Holder pursuant to Section 409A.</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firstLine="656"/>
        <w:spacing w:after="0" w:line="277" w:lineRule="auto"/>
        <w:tabs>
          <w:tab w:leader="none" w:pos="1323" w:val="left"/>
        </w:tabs>
        <w:numPr>
          <w:ilvl w:val="0"/>
          <w:numId w:val="169"/>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Shares to bear a legend substantially as follows:</w:t>
      </w:r>
    </w:p>
    <w:p>
      <w:pPr>
        <w:spacing w:after="0" w:line="170"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81" w:lineRule="exact"/>
        <w:rPr>
          <w:sz w:val="20"/>
          <w:szCs w:val="20"/>
          <w:color w:val="auto"/>
        </w:rPr>
      </w:pPr>
    </w:p>
    <w:p>
      <w:pPr>
        <w:ind w:left="1340" w:hanging="684"/>
        <w:spacing w:after="0"/>
        <w:tabs>
          <w:tab w:leader="none" w:pos="1340"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By accepting the Stock Option, the Holder acknowledges, understands, and agrees that:</w:t>
      </w:r>
    </w:p>
    <w:p>
      <w:pPr>
        <w:spacing w:after="0" w:line="225" w:lineRule="exact"/>
        <w:rPr>
          <w:rFonts w:ascii="Arial" w:cs="Arial" w:eastAsia="Arial" w:hAnsi="Arial"/>
          <w:sz w:val="18"/>
          <w:szCs w:val="18"/>
          <w:color w:val="auto"/>
        </w:rPr>
      </w:pPr>
    </w:p>
    <w:p>
      <w:pPr>
        <w:ind w:right="220" w:firstLine="1305"/>
        <w:spacing w:after="0" w:line="277" w:lineRule="auto"/>
        <w:tabs>
          <w:tab w:leader="none" w:pos="199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and/or these Award Terms;</w:t>
      </w:r>
    </w:p>
    <w:p>
      <w:pPr>
        <w:spacing w:after="0" w:line="170" w:lineRule="exact"/>
        <w:rPr>
          <w:rFonts w:ascii="Arial" w:cs="Arial" w:eastAsia="Arial" w:hAnsi="Arial"/>
          <w:sz w:val="18"/>
          <w:szCs w:val="18"/>
          <w:color w:val="auto"/>
        </w:rPr>
      </w:pPr>
    </w:p>
    <w:p>
      <w:pPr>
        <w:ind w:right="60" w:firstLine="1305"/>
        <w:spacing w:after="0" w:line="264" w:lineRule="auto"/>
        <w:tabs>
          <w:tab w:leader="none" w:pos="200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grant of the Stock Option is exceptional, voluntary and occasional and does not create any contractual or other right to receive future grants of rights to purchase Common Shares, or benefits in lieu of grants of rights to purchase Common Shares, even if grants of rights to purchase Common Shares have been granted in the past;</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1"/>
          <w:numId w:val="170"/>
        </w:numPr>
        <w:rPr>
          <w:rFonts w:ascii="Arial" w:cs="Arial" w:eastAsia="Arial" w:hAnsi="Arial"/>
          <w:sz w:val="17"/>
          <w:szCs w:val="17"/>
          <w:color w:val="auto"/>
        </w:rPr>
      </w:pPr>
      <w:r>
        <w:rPr>
          <w:rFonts w:ascii="Arial" w:cs="Arial" w:eastAsia="Arial" w:hAnsi="Arial"/>
          <w:sz w:val="17"/>
          <w:szCs w:val="17"/>
          <w:color w:val="auto"/>
        </w:rPr>
        <w:t>all decisions with respect to future grants of rights to purchase Common Shares, if any, will be at the sole discretion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2000" w:hanging="695"/>
        <w:spacing w:after="0"/>
        <w:tabs>
          <w:tab w:leader="none" w:pos="200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Holder’s participation in the Plan is voluntary;</w:t>
      </w:r>
    </w:p>
    <w:p>
      <w:pPr>
        <w:spacing w:after="0" w:line="225" w:lineRule="exact"/>
        <w:rPr>
          <w:rFonts w:ascii="Arial" w:cs="Arial" w:eastAsia="Arial" w:hAnsi="Arial"/>
          <w:sz w:val="18"/>
          <w:szCs w:val="18"/>
          <w:color w:val="auto"/>
        </w:rPr>
      </w:pPr>
    </w:p>
    <w:p>
      <w:pPr>
        <w:ind w:right="40" w:firstLine="1305"/>
        <w:spacing w:after="0" w:line="308" w:lineRule="auto"/>
        <w:tabs>
          <w:tab w:leader="none" w:pos="1991"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Holder’s participation in the Plan shall not create a right to employment with the Employer or any other entity in the Company Group and shall not interfere with the ability of the Employer to terminate the Holder’s employment or service relationship at any time;</w:t>
      </w:r>
    </w:p>
    <w:p>
      <w:pPr>
        <w:spacing w:after="0" w:line="146" w:lineRule="exact"/>
        <w:rPr>
          <w:rFonts w:ascii="Arial" w:cs="Arial" w:eastAsia="Arial" w:hAnsi="Arial"/>
          <w:sz w:val="17"/>
          <w:szCs w:val="17"/>
          <w:color w:val="auto"/>
        </w:rPr>
      </w:pPr>
    </w:p>
    <w:p>
      <w:pPr>
        <w:ind w:right="60" w:firstLine="1305"/>
        <w:spacing w:after="0" w:line="259" w:lineRule="auto"/>
        <w:tabs>
          <w:tab w:leader="none" w:pos="201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grant of the Stock Option and any Shares acquired under the Plan and the income in respect of and the value of the same are extraordinary items that do not constitute compensation of any kind for services of any kind rendered to the Company or the Employer, and which are outside the scope of the employment agreement or service contract between the Holder and the Company, the Employer or any other entity in the Company Group, if any;</w:t>
      </w:r>
    </w:p>
    <w:p>
      <w:pPr>
        <w:spacing w:after="0" w:line="186" w:lineRule="exact"/>
        <w:rPr>
          <w:rFonts w:ascii="Arial" w:cs="Arial" w:eastAsia="Arial" w:hAnsi="Arial"/>
          <w:sz w:val="18"/>
          <w:szCs w:val="18"/>
          <w:color w:val="auto"/>
        </w:rPr>
      </w:pPr>
    </w:p>
    <w:p>
      <w:pPr>
        <w:ind w:right="140" w:firstLine="1305"/>
        <w:spacing w:after="0" w:line="277" w:lineRule="auto"/>
        <w:tabs>
          <w:tab w:leader="none" w:pos="2001"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Stock Option and any Shares acquired under the Plan and the income in respect of and the value of the same are not intended to replace any pension rights or compensation;</w:t>
      </w:r>
    </w:p>
    <w:p>
      <w:pPr>
        <w:spacing w:after="0" w:line="170" w:lineRule="exact"/>
        <w:rPr>
          <w:rFonts w:ascii="Arial" w:cs="Arial" w:eastAsia="Arial" w:hAnsi="Arial"/>
          <w:sz w:val="18"/>
          <w:szCs w:val="18"/>
          <w:color w:val="auto"/>
        </w:rPr>
      </w:pPr>
    </w:p>
    <w:p>
      <w:pPr>
        <w:ind w:right="200" w:firstLine="1305"/>
        <w:spacing w:after="0" w:line="286" w:lineRule="auto"/>
        <w:tabs>
          <w:tab w:leader="none" w:pos="2001" w:val="left"/>
        </w:tabs>
        <w:numPr>
          <w:ilvl w:val="1"/>
          <w:numId w:val="170"/>
        </w:numPr>
        <w:rPr>
          <w:rFonts w:ascii="Arial" w:cs="Arial" w:eastAsia="Arial" w:hAnsi="Arial"/>
          <w:sz w:val="17"/>
          <w:szCs w:val="17"/>
          <w:color w:val="auto"/>
        </w:rPr>
      </w:pPr>
      <w:r>
        <w:rPr>
          <w:rFonts w:ascii="Arial" w:cs="Arial" w:eastAsia="Arial" w:hAnsi="Arial"/>
          <w:sz w:val="17"/>
          <w:szCs w:val="17"/>
          <w:color w:val="auto"/>
        </w:rPr>
        <w:t>the Stock Option and any Shares acquired under the Plan,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pension or retirement or welfare benefit or similar payments;</w:t>
      </w:r>
    </w:p>
    <w:p>
      <w:pPr>
        <w:spacing w:after="0" w:line="165" w:lineRule="exact"/>
        <w:rPr>
          <w:rFonts w:ascii="Arial" w:cs="Arial" w:eastAsia="Arial" w:hAnsi="Arial"/>
          <w:sz w:val="17"/>
          <w:szCs w:val="17"/>
          <w:color w:val="auto"/>
        </w:rPr>
      </w:pPr>
    </w:p>
    <w:p>
      <w:pPr>
        <w:ind w:firstLine="1305"/>
        <w:spacing w:after="0" w:line="277" w:lineRule="auto"/>
        <w:tabs>
          <w:tab w:leader="none" w:pos="200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the Stock Option grant and the Holder’s participation in the Plan will not be interpreted to form an employment or service contract or relationship with the Company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furthermore, the Stock Option grant will not be interpreted to form an employment agreement or service contract or relationship with any other company in the Company Group;</w:t>
      </w:r>
    </w:p>
    <w:p>
      <w:pPr>
        <w:spacing w:after="0" w:line="170" w:lineRule="exact"/>
        <w:rPr>
          <w:sz w:val="20"/>
          <w:szCs w:val="20"/>
          <w:color w:val="auto"/>
        </w:rPr>
      </w:pPr>
    </w:p>
    <w:p>
      <w:pPr>
        <w:ind w:left="1960" w:hanging="655"/>
        <w:spacing w:after="0"/>
        <w:tabs>
          <w:tab w:leader="none" w:pos="19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future value of the underlying Shares is unknown and cannot be predicted with certainty;</w:t>
      </w:r>
    </w:p>
    <w:p>
      <w:pPr>
        <w:spacing w:after="0" w:line="225" w:lineRule="exact"/>
        <w:rPr>
          <w:rFonts w:ascii="Arial" w:cs="Arial" w:eastAsia="Arial" w:hAnsi="Arial"/>
          <w:sz w:val="18"/>
          <w:szCs w:val="18"/>
          <w:color w:val="auto"/>
        </w:rPr>
      </w:pPr>
    </w:p>
    <w:p>
      <w:pPr>
        <w:ind w:left="1960" w:hanging="655"/>
        <w:spacing w:after="0"/>
        <w:tabs>
          <w:tab w:leader="none" w:pos="19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if the underlying Shares do not increase in value, the Stock Option will have no value;</w:t>
      </w:r>
    </w:p>
    <w:p>
      <w:pPr>
        <w:sectPr>
          <w:pgSz w:w="11900" w:h="16838" w:orient="portrait"/>
          <w:cols w:equalWidth="0" w:num="1">
            <w:col w:w="11420"/>
          </w:cols>
          <w:pgMar w:left="240" w:top="125" w:right="239" w:bottom="0" w:gutter="0" w:footer="0" w:header="0"/>
        </w:sectPr>
      </w:pPr>
    </w:p>
    <w:bookmarkStart w:id="188" w:name="page189"/>
    <w:bookmarkEnd w:id="188"/>
    <w:p>
      <w:pPr>
        <w:spacing w:after="0" w:line="137" w:lineRule="exact"/>
        <w:rPr>
          <w:sz w:val="20"/>
          <w:szCs w:val="20"/>
          <w:color w:val="auto"/>
        </w:rPr>
      </w:pPr>
    </w:p>
    <w:p>
      <w:pPr>
        <w:ind w:right="360" w:firstLine="1305"/>
        <w:spacing w:after="0" w:line="277" w:lineRule="auto"/>
        <w:tabs>
          <w:tab w:leader="none" w:pos="196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if the Holder exercises the Stock Option and obtains Shares, the value of those Shares acquired upon exercise may increase or decrease in value, even below the Exercise Price;</w:t>
      </w:r>
    </w:p>
    <w:p>
      <w:pPr>
        <w:spacing w:after="0" w:line="170" w:lineRule="exact"/>
        <w:rPr>
          <w:rFonts w:ascii="Arial" w:cs="Arial" w:eastAsia="Arial" w:hAnsi="Arial"/>
          <w:sz w:val="18"/>
          <w:szCs w:val="18"/>
          <w:color w:val="auto"/>
        </w:rPr>
      </w:pPr>
    </w:p>
    <w:p>
      <w:pPr>
        <w:ind w:right="20" w:firstLine="1305"/>
        <w:spacing w:after="0" w:line="342" w:lineRule="auto"/>
        <w:tabs>
          <w:tab w:leader="none" w:pos="1948" w:val="left"/>
        </w:tabs>
        <w:numPr>
          <w:ilvl w:val="0"/>
          <w:numId w:val="172"/>
        </w:numPr>
        <w:rPr>
          <w:rFonts w:ascii="Arial" w:cs="Arial" w:eastAsia="Arial" w:hAnsi="Arial"/>
          <w:sz w:val="16"/>
          <w:szCs w:val="16"/>
          <w:color w:val="auto"/>
        </w:rPr>
      </w:pPr>
      <w:r>
        <w:rPr>
          <w:rFonts w:ascii="Arial" w:cs="Arial" w:eastAsia="Arial" w:hAnsi="Arial"/>
          <w:sz w:val="16"/>
          <w:szCs w:val="16"/>
          <w:color w:val="auto"/>
        </w:rPr>
        <w:t>unless otherwise agreed with the Company, the Stock Option and the Shares subject to the Stock Option, and the income and value of same, are not granted as consideration for, or in connection with, the service the Holder may provide as a director of any entity of Company Group;</w:t>
      </w:r>
    </w:p>
    <w:p>
      <w:pPr>
        <w:spacing w:after="0" w:line="123" w:lineRule="exact"/>
        <w:rPr>
          <w:rFonts w:ascii="Arial" w:cs="Arial" w:eastAsia="Arial" w:hAnsi="Arial"/>
          <w:sz w:val="16"/>
          <w:szCs w:val="16"/>
          <w:color w:val="auto"/>
        </w:rPr>
      </w:pPr>
    </w:p>
    <w:p>
      <w:pPr>
        <w:ind w:right="160" w:firstLine="1305"/>
        <w:spacing w:after="0" w:line="259" w:lineRule="auto"/>
        <w:tabs>
          <w:tab w:leader="none" w:pos="19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Stock Option resulting from termination of the Holder’s continuous service with the Company or the Employer (for any reason whatsoever, whether or not later found to be invalid or in breach of employment laws in the jurisdiction in which the Holder is employed or the terms of the employment agreement or service contract between the Holder and the Company, the Employer or any other entity in the Company Group, if any);</w:t>
      </w:r>
    </w:p>
    <w:p>
      <w:pPr>
        <w:spacing w:after="0" w:line="186" w:lineRule="exact"/>
        <w:rPr>
          <w:rFonts w:ascii="Arial" w:cs="Arial" w:eastAsia="Arial" w:hAnsi="Arial"/>
          <w:sz w:val="18"/>
          <w:szCs w:val="18"/>
          <w:color w:val="auto"/>
        </w:rPr>
      </w:pPr>
    </w:p>
    <w:p>
      <w:pPr>
        <w:ind w:firstLine="1305"/>
        <w:spacing w:after="0" w:line="287" w:lineRule="auto"/>
        <w:tabs>
          <w:tab w:leader="none" w:pos="1952" w:val="left"/>
        </w:tabs>
        <w:numPr>
          <w:ilvl w:val="0"/>
          <w:numId w:val="172"/>
        </w:numPr>
        <w:rPr>
          <w:rFonts w:ascii="Arial" w:cs="Arial" w:eastAsia="Arial" w:hAnsi="Arial"/>
          <w:sz w:val="16"/>
          <w:szCs w:val="16"/>
          <w:color w:val="auto"/>
        </w:rPr>
      </w:pPr>
      <w:r>
        <w:rPr>
          <w:rFonts w:ascii="Arial" w:cs="Arial" w:eastAsia="Arial" w:hAnsi="Arial"/>
          <w:sz w:val="16"/>
          <w:szCs w:val="16"/>
          <w:color w:val="auto"/>
        </w:rPr>
        <w:t>unless the Committee determines otherwise, in the event of the termination of the Holder’s continuous service (regardless of the reason for such termination and whether or not later found to be invalid or in breach of employment laws in the jurisdiction in which the Holder is employed or the terms of the employment agreement or service contract between the Holder and the Company, the Employer or any other entity in the Company Group, if any), the Holder’s right to receive or vest in the Stock Option under the Plan, if any, will terminate effective as of the date that the Holder is no longer actively employed and will not be extended by any notice period mandated under local law (</w:t>
      </w:r>
      <w:r>
        <w:rPr>
          <w:rFonts w:ascii="Arial" w:cs="Arial" w:eastAsia="Arial" w:hAnsi="Arial"/>
          <w:sz w:val="16"/>
          <w:szCs w:val="16"/>
          <w:i w:val="1"/>
          <w:iCs w:val="1"/>
          <w:color w:val="auto"/>
        </w:rPr>
        <w:t>e.g.</w:t>
      </w:r>
      <w:r>
        <w:rPr>
          <w:rFonts w:ascii="Arial" w:cs="Arial" w:eastAsia="Arial" w:hAnsi="Arial"/>
          <w:sz w:val="16"/>
          <w:szCs w:val="16"/>
          <w:color w:val="auto"/>
        </w:rPr>
        <w:t>, active employment would not include a period of “garden leave” or similar period pursuant to local law); furthermore, in the event of the termination of the Holder’s continuous service (regardless of the reason for such termination and whether or not later found to be invalid or in breach of employment laws in the jurisdiction in which the Holder is employed or the terms of the Holder’s employment agreement or service contract, if any), the Holder’s right to exercise the Stock Option after termination of the Holder’s continuous service, if any, will be measured by the date of termination of the Holder’s active employment and will not be extended by any notice period mandated under local law; the Committee shall have the exclusive discretion to determine when the Holder is no longer actively employed for purposes of the Holder’s Stock Option grant (including whether the Holder may still be considered actively employed while on a leave of absence);</w:t>
      </w:r>
    </w:p>
    <w:p>
      <w:pPr>
        <w:spacing w:after="0" w:line="172" w:lineRule="exact"/>
        <w:rPr>
          <w:rFonts w:ascii="Arial" w:cs="Arial" w:eastAsia="Arial" w:hAnsi="Arial"/>
          <w:sz w:val="16"/>
          <w:szCs w:val="16"/>
          <w:color w:val="auto"/>
        </w:rPr>
      </w:pPr>
    </w:p>
    <w:p>
      <w:pPr>
        <w:ind w:right="180" w:firstLine="1305"/>
        <w:spacing w:after="0" w:line="277" w:lineRule="auto"/>
        <w:tabs>
          <w:tab w:leader="none" w:pos="195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is not providing any tax, legal or financial advice, nor is the Company making any recommendations regarding the Holder’s participation in the Plan, or the Holder’s acquisition or sale of the underlying Shares;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20" w:firstLine="1305"/>
        <w:spacing w:after="0" w:line="277" w:lineRule="auto"/>
        <w:tabs>
          <w:tab w:leader="none" w:pos="1952"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Holder is hereby advised to consult with the Holder’s own personal tax, legal and financial advisors regarding the Holder’s participation in the Plan before taking any action related to the Plan;</w:t>
      </w:r>
    </w:p>
    <w:p>
      <w:pPr>
        <w:spacing w:after="0" w:line="170" w:lineRule="exact"/>
        <w:rPr>
          <w:rFonts w:ascii="Arial" w:cs="Arial" w:eastAsia="Arial" w:hAnsi="Arial"/>
          <w:sz w:val="18"/>
          <w:szCs w:val="18"/>
          <w:color w:val="auto"/>
        </w:rPr>
      </w:pPr>
    </w:p>
    <w:p>
      <w:pPr>
        <w:ind w:right="240" w:firstLine="1305"/>
        <w:spacing w:after="0" w:line="286" w:lineRule="auto"/>
        <w:tabs>
          <w:tab w:leader="none" w:pos="1963" w:val="left"/>
        </w:tabs>
        <w:numPr>
          <w:ilvl w:val="0"/>
          <w:numId w:val="173"/>
        </w:numPr>
        <w:rPr>
          <w:rFonts w:ascii="Arial" w:cs="Arial" w:eastAsia="Arial" w:hAnsi="Arial"/>
          <w:sz w:val="17"/>
          <w:szCs w:val="17"/>
          <w:color w:val="auto"/>
        </w:rPr>
      </w:pPr>
      <w:r>
        <w:rPr>
          <w:rFonts w:ascii="Arial" w:cs="Arial" w:eastAsia="Arial" w:hAnsi="Arial"/>
          <w:sz w:val="17"/>
          <w:szCs w:val="17"/>
          <w:color w:val="auto"/>
        </w:rPr>
        <w:t>unless otherwise provided in the Plan or by the Company in its discretion, the Stock Option and the benefits evidenced by these Award Terms do not create any entitlement to have the Stock Option or any such benefits transferred to, or assumed by, another company, nor to be exchanged, cashed out or substituted for, in connection with any corporate transaction affecting the Shares; and</w:t>
      </w:r>
    </w:p>
    <w:p>
      <w:pPr>
        <w:spacing w:after="0" w:line="165" w:lineRule="exact"/>
        <w:rPr>
          <w:rFonts w:ascii="Arial" w:cs="Arial" w:eastAsia="Arial" w:hAnsi="Arial"/>
          <w:sz w:val="17"/>
          <w:szCs w:val="17"/>
          <w:color w:val="auto"/>
        </w:rPr>
      </w:pPr>
    </w:p>
    <w:p>
      <w:pPr>
        <w:jc w:val="both"/>
        <w:ind w:right="500" w:firstLine="1305"/>
        <w:spacing w:after="0" w:line="286" w:lineRule="auto"/>
        <w:tabs>
          <w:tab w:leader="none" w:pos="1959" w:val="left"/>
        </w:tabs>
        <w:numPr>
          <w:ilvl w:val="0"/>
          <w:numId w:val="173"/>
        </w:numPr>
        <w:rPr>
          <w:rFonts w:ascii="Arial" w:cs="Arial" w:eastAsia="Arial" w:hAnsi="Arial"/>
          <w:sz w:val="17"/>
          <w:szCs w:val="17"/>
          <w:color w:val="auto"/>
        </w:rPr>
      </w:pPr>
      <w:r>
        <w:rPr>
          <w:rFonts w:ascii="Arial" w:cs="Arial" w:eastAsia="Arial" w:hAnsi="Arial"/>
          <w:sz w:val="17"/>
          <w:szCs w:val="17"/>
          <w:color w:val="auto"/>
        </w:rPr>
        <w:t>neither the Company, the Employer nor any other entity in the Company Group shall be liable for any foreign exchange rate fluctuation between the Holder’s local currency and the United States Dollar that may affect the value of the Stock Option or of any amounts due to the Holder pursuant to the exercise of the Stock Option or the subsequent sale of any Shares acquired upon exercise.</w:t>
      </w:r>
    </w:p>
    <w:p>
      <w:pPr>
        <w:spacing w:after="0" w:line="166" w:lineRule="exact"/>
        <w:rPr>
          <w:sz w:val="20"/>
          <w:szCs w:val="20"/>
          <w:color w:val="auto"/>
        </w:rPr>
      </w:pPr>
    </w:p>
    <w:p>
      <w:pPr>
        <w:ind w:right="60" w:firstLine="656"/>
        <w:spacing w:after="0" w:line="312" w:lineRule="auto"/>
        <w:tabs>
          <w:tab w:leader="none" w:pos="1292" w:val="left"/>
        </w:tabs>
        <w:numPr>
          <w:ilvl w:val="0"/>
          <w:numId w:val="174"/>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The Holder hereby explicitly and unambiguously consents to the collection, use and transfer, in electronic or other form, of the Holder’s personal data as described in the Grant Notice and these Award Terms by and among, as applicable, the Employer or any other entity in the Company Group for the exclusive purpose of implementing, administering and managing the Holder’s participation in the Plan.</w:t>
      </w:r>
    </w:p>
    <w:p>
      <w:pPr>
        <w:spacing w:after="0" w:line="147"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b w:val="1"/>
          <w:bCs w:val="1"/>
          <w:i w:val="1"/>
          <w:iCs w:val="1"/>
          <w:color w:val="auto"/>
        </w:rPr>
        <w:t>The Holder understands that the Company and the Employer may hold certain personal information about the Holder, including, without limitation, the Holder’s name, home address, email address and telephone number, date of birth, social insurance, passport or other identification number, salary, nationality, job title, any directorships held in any entity in the Company Group, any Shares owned, details of all options or any other entitlement to Shares awarded, canceled, exercised, vested, unvested or outstanding in the Holder’s favor (the “Data”), for the purpose of implementing, administering and managing the Plan.</w:t>
      </w:r>
    </w:p>
    <w:p>
      <w:pPr>
        <w:spacing w:after="0" w:line="188"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b w:val="1"/>
          <w:bCs w:val="1"/>
          <w:i w:val="1"/>
          <w:iCs w:val="1"/>
          <w:color w:val="auto"/>
        </w:rPr>
        <w:t>The Holder understands that the Data will be transferred to the Equity Account Administrator, which is assisting the Company with the implementation, administration and management of the Plan. The Holder understands that the recipients of the Data may be located in the Holder’s country, or elsewhere, and that any recipient’s country may have different data privacy laws and protections than the Holder’s country. The Holder understands that the Holder may request a list with the names and addresses of any potential recipients of the Data by contacting the Holder’s local human resources representative. The Holder authorizes the Company, the Equity Account Administrator and any other possible recipients which may assist the Company (presently or in the future) with implementing, administering and managing the Plan to receive, possess, use, retain and transfer the Data, in electronic or other form, for the purpose of implementing, administering and managing the Holder’s participation in the Plan. The Holder understands that Data will be held only as long as is necessary to implement, administer and manage the Holder’s participation in the Plan. The Holder understands that the Holder may, at any time, view the Data, request additional information about the storage and processing of the Data, require any necessary amendments to the Data or refuse or withdraw the consents herein, in any case without cost, by contacting in writing the Holder’s local human resources representative. Further, the Holder understands that he or she is providing the consents herein on a purely voluntary basis. If the Holder does not consent, or if the Holder later seeks to revoke his or her consent, his or</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b w:val="1"/>
          <w:bCs w:val="1"/>
          <w:i w:val="1"/>
          <w:iCs w:val="1"/>
          <w:color w:val="auto"/>
        </w:rPr>
        <w:t>her employment status or service with the Employer will not be affected; the only consequence of refusing or withdrawing the Holder’s consent is that the Company would not be able to grant the Holder Stock Options or other equity awards or administer or maintain such awards. Therefore, the Holder understands that refusal or withdrawal of consent may affect the Holder’s ability to participate in the Plan. For more information on the consequences of the Holder’s refusal to consent or withdrawal of consent, the Holder understands that the Holder may contact the Holder’s local human resources representative.</w:t>
      </w:r>
    </w:p>
    <w:p>
      <w:pPr>
        <w:spacing w:after="0" w:line="188" w:lineRule="exact"/>
        <w:rPr>
          <w:sz w:val="20"/>
          <w:szCs w:val="20"/>
          <w:color w:val="auto"/>
        </w:rPr>
      </w:pPr>
    </w:p>
    <w:p>
      <w:pPr>
        <w:ind w:right="40" w:firstLine="656"/>
        <w:spacing w:after="0" w:line="342" w:lineRule="auto"/>
        <w:tabs>
          <w:tab w:leader="none" w:pos="1292" w:val="left"/>
        </w:tabs>
        <w:numPr>
          <w:ilvl w:val="0"/>
          <w:numId w:val="175"/>
        </w:numPr>
        <w:rPr>
          <w:rFonts w:ascii="Arial" w:cs="Arial" w:eastAsia="Arial" w:hAnsi="Arial"/>
          <w:sz w:val="16"/>
          <w:szCs w:val="16"/>
          <w:color w:val="auto"/>
        </w:rPr>
      </w:pPr>
      <w:r>
        <w:rPr>
          <w:rFonts w:ascii="Arial" w:cs="Arial" w:eastAsia="Arial" w:hAnsi="Arial"/>
          <w:sz w:val="16"/>
          <w:szCs w:val="16"/>
          <w:u w:val="single" w:color="auto"/>
          <w:color w:val="auto"/>
        </w:rPr>
        <w:t>No Rights as Stockholder</w:t>
      </w:r>
      <w:r>
        <w:rPr>
          <w:rFonts w:ascii="Arial" w:cs="Arial" w:eastAsia="Arial" w:hAnsi="Arial"/>
          <w:sz w:val="16"/>
          <w:szCs w:val="16"/>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w:t>
      </w:r>
    </w:p>
    <w:p>
      <w:pPr>
        <w:sectPr>
          <w:pgSz w:w="11900" w:h="16976" w:orient="portrait"/>
          <w:cols w:equalWidth="0" w:num="1">
            <w:col w:w="11400"/>
          </w:cols>
          <w:pgMar w:left="240" w:top="125" w:right="259" w:bottom="0" w:gutter="0" w:footer="0" w:header="0"/>
        </w:sectPr>
      </w:pPr>
    </w:p>
    <w:bookmarkStart w:id="189" w:name="page190"/>
    <w:bookmarkEnd w:id="189"/>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the Company except to the extent set forth, in the Plan, the Grant Notice or these Award Terms.</w:t>
      </w:r>
    </w:p>
    <w:p>
      <w:pPr>
        <w:spacing w:after="0" w:line="225" w:lineRule="exact"/>
        <w:rPr>
          <w:sz w:val="20"/>
          <w:szCs w:val="20"/>
          <w:color w:val="auto"/>
        </w:rPr>
      </w:pPr>
    </w:p>
    <w:p>
      <w:pPr>
        <w:ind w:right="280" w:firstLine="656"/>
        <w:spacing w:after="0" w:line="264" w:lineRule="auto"/>
        <w:tabs>
          <w:tab w:leader="none" w:pos="1292"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Venue and 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60" w:firstLine="1305"/>
        <w:spacing w:after="0" w:line="259" w:lineRule="auto"/>
        <w:tabs>
          <w:tab w:leader="none" w:pos="194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For purposes of litigating any dispute that arises directly or indirectly from the relationship of the parties evidenced by the grant of the Stock Option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Stock Option is made and/or to be performed.</w:t>
      </w:r>
    </w:p>
    <w:p>
      <w:pPr>
        <w:spacing w:after="0" w:line="186" w:lineRule="exact"/>
        <w:rPr>
          <w:rFonts w:ascii="Arial" w:cs="Arial" w:eastAsia="Arial" w:hAnsi="Arial"/>
          <w:sz w:val="18"/>
          <w:szCs w:val="18"/>
          <w:color w:val="auto"/>
        </w:rPr>
      </w:pPr>
    </w:p>
    <w:p>
      <w:pPr>
        <w:ind w:firstLine="1305"/>
        <w:spacing w:after="0" w:line="264" w:lineRule="auto"/>
        <w:tabs>
          <w:tab w:leader="none" w:pos="195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To the extent that United States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81" w:lineRule="exact"/>
        <w:rPr>
          <w:rFonts w:ascii="Arial" w:cs="Arial" w:eastAsia="Arial" w:hAnsi="Arial"/>
          <w:sz w:val="18"/>
          <w:szCs w:val="18"/>
          <w:color w:val="auto"/>
        </w:rPr>
      </w:pPr>
    </w:p>
    <w:p>
      <w:pPr>
        <w:ind w:right="140" w:firstLine="656"/>
        <w:spacing w:after="0" w:line="264" w:lineRule="auto"/>
        <w:tabs>
          <w:tab w:leader="none" w:pos="1292"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beneficiaries as determined by will or the laws of descent and distribution.</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Delivery of Notices and Other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59" w:lineRule="auto"/>
        <w:tabs>
          <w:tab w:leader="none" w:pos="194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notice or other document which the Holder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Attn: Stock Plan Administration, or such other address as the Company by notice to the Holder may designate in writing from time to time.</w:t>
      </w:r>
    </w:p>
    <w:p>
      <w:pPr>
        <w:spacing w:after="0" w:line="186" w:lineRule="exact"/>
        <w:rPr>
          <w:rFonts w:ascii="Arial" w:cs="Arial" w:eastAsia="Arial" w:hAnsi="Arial"/>
          <w:sz w:val="18"/>
          <w:szCs w:val="18"/>
          <w:color w:val="auto"/>
        </w:rPr>
      </w:pPr>
    </w:p>
    <w:p>
      <w:pPr>
        <w:ind w:right="700" w:firstLine="1305"/>
        <w:spacing w:after="0" w:line="277" w:lineRule="auto"/>
        <w:tabs>
          <w:tab w:leader="none" w:pos="1952" w:val="left"/>
        </w:tabs>
        <w:numPr>
          <w:ilvl w:val="1"/>
          <w:numId w:val="176"/>
        </w:numPr>
        <w:rPr>
          <w:rFonts w:ascii="Arial" w:cs="Arial" w:eastAsia="Arial" w:hAnsi="Arial"/>
          <w:sz w:val="18"/>
          <w:szCs w:val="18"/>
          <w:color w:val="auto"/>
        </w:rPr>
      </w:pPr>
      <w:r>
        <w:rPr>
          <w:rFonts w:ascii="Arial" w:cs="Arial" w:eastAsia="Arial" w:hAnsi="Arial"/>
          <w:sz w:val="18"/>
          <w:szCs w:val="18"/>
          <w:color w:val="auto"/>
        </w:rPr>
        <w:t>Any notice or other document which the Company may be required or permitted to deliver to the Holder pursuant to or in connection with the Grant Notice or these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Award Terms shall be in writing, and may be delivered personally or by mail, postage prepaid, or overnight courier, addressed to the Holder at the address shown on any employment agreement, service contract or offer letter between the Holder and any entity in the Company Group in effect at the time, or such other address as the Holder by notice to the Company may designate in writing from time to time. The Company may also, in its sole discretion, deliver any such document to the Holder electronically via an e-mail to the Holder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78" w:lineRule="exact"/>
        <w:rPr>
          <w:sz w:val="20"/>
          <w:szCs w:val="20"/>
          <w:color w:val="auto"/>
        </w:rPr>
      </w:pPr>
    </w:p>
    <w:p>
      <w:pPr>
        <w:ind w:right="60" w:firstLine="656"/>
        <w:spacing w:after="0" w:line="257" w:lineRule="auto"/>
        <w:tabs>
          <w:tab w:leader="none" w:pos="1292"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any employment agreement, service contract or offer letter between the Holder and any entity in the Company Group in effect at the time and the terms of the Grant Notice or these Award Terms, the terms of the Grant Notice or these Award Terms, as the case may be, shall control. In the event of any conflict between the terms of any employment agreement, service contract or offer letter between the Holder and any entity in the Company Group in effect at the time, the Grant Notice or these Award Terms and the terms of the Plan, the terms of the Plan shall control.</w:t>
      </w:r>
    </w:p>
    <w:p>
      <w:pPr>
        <w:spacing w:after="0" w:line="188" w:lineRule="exact"/>
        <w:rPr>
          <w:rFonts w:ascii="Arial" w:cs="Arial" w:eastAsia="Arial" w:hAnsi="Arial"/>
          <w:sz w:val="18"/>
          <w:szCs w:val="18"/>
          <w:color w:val="auto"/>
        </w:rPr>
      </w:pPr>
    </w:p>
    <w:p>
      <w:pPr>
        <w:ind w:right="100" w:firstLine="656"/>
        <w:spacing w:after="0" w:line="264" w:lineRule="auto"/>
        <w:tabs>
          <w:tab w:leader="none" w:pos="1292"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Grant Notice, these Award Terms or any other document related to the Plan has been translated into a language other than English and the meaning of the translated version is different than the English version then, by accepting the Award, the Holder acknowledges that the English version will control.</w:t>
      </w:r>
    </w:p>
    <w:p>
      <w:pPr>
        <w:spacing w:after="0" w:line="181" w:lineRule="exact"/>
        <w:rPr>
          <w:rFonts w:ascii="Arial" w:cs="Arial" w:eastAsia="Arial" w:hAnsi="Arial"/>
          <w:sz w:val="18"/>
          <w:szCs w:val="18"/>
          <w:color w:val="auto"/>
        </w:rPr>
      </w:pPr>
    </w:p>
    <w:p>
      <w:pPr>
        <w:ind w:right="20" w:firstLine="656"/>
        <w:spacing w:after="0" w:line="302" w:lineRule="auto"/>
        <w:tabs>
          <w:tab w:leader="none" w:pos="1292"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Appendix</w:t>
      </w:r>
      <w:r>
        <w:rPr>
          <w:rFonts w:ascii="Arial" w:cs="Arial" w:eastAsia="Arial" w:hAnsi="Arial"/>
          <w:sz w:val="16"/>
          <w:szCs w:val="16"/>
          <w:color w:val="auto"/>
        </w:rPr>
        <w:t>. Notwithstanding anything to the contrary contained herein, the Stock Option shall be subject to any special terms and conditions set forth in the Appendix for the Holder’s country, which constitutes a part of these Award Terms. Moreover, if the Holder relocates to one of the countries included in the Appendix, the special terms and conditions for such country will apply to the Holder, to the extent the Company determines that the application of such terms and conditions is necessary or advisable in order to comply with applicable local law or facilitate the administration of the Plan.</w:t>
      </w:r>
    </w:p>
    <w:p>
      <w:pPr>
        <w:spacing w:after="0" w:line="154" w:lineRule="exact"/>
        <w:rPr>
          <w:rFonts w:ascii="Arial" w:cs="Arial" w:eastAsia="Arial" w:hAnsi="Arial"/>
          <w:sz w:val="16"/>
          <w:szCs w:val="16"/>
          <w:color w:val="auto"/>
        </w:rPr>
      </w:pPr>
    </w:p>
    <w:p>
      <w:pPr>
        <w:ind w:right="80" w:firstLine="656"/>
        <w:spacing w:after="0" w:line="259" w:lineRule="auto"/>
        <w:tabs>
          <w:tab w:leader="none" w:pos="1292" w:val="left"/>
        </w:tabs>
        <w:numPr>
          <w:ilvl w:val="0"/>
          <w:numId w:val="177"/>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the Holder’s participation in the Plan, on the Stock Option and on any Shares acquired under the Plan, to the extent the Company determines it is necessary or advisable in order to comply with applicable local law or facilitate the administration of the Plan, and to require the Holder to sign any additional agreements or undertakings that may be necessary to accomplish the foregoing.</w:t>
      </w:r>
    </w:p>
    <w:p>
      <w:pPr>
        <w:spacing w:after="0" w:line="186" w:lineRule="exact"/>
        <w:rPr>
          <w:rFonts w:ascii="Arial" w:cs="Arial" w:eastAsia="Arial" w:hAnsi="Arial"/>
          <w:sz w:val="18"/>
          <w:szCs w:val="18"/>
          <w:color w:val="auto"/>
        </w:rPr>
      </w:pPr>
    </w:p>
    <w:p>
      <w:pPr>
        <w:ind w:right="60" w:firstLine="656"/>
        <w:spacing w:after="0" w:line="297" w:lineRule="auto"/>
        <w:tabs>
          <w:tab w:leader="none" w:pos="1292" w:val="left"/>
        </w:tabs>
        <w:numPr>
          <w:ilvl w:val="0"/>
          <w:numId w:val="177"/>
        </w:numPr>
        <w:rPr>
          <w:rFonts w:ascii="Arial" w:cs="Arial" w:eastAsia="Arial" w:hAnsi="Arial"/>
          <w:sz w:val="16"/>
          <w:szCs w:val="16"/>
          <w:color w:val="auto"/>
        </w:rPr>
      </w:pPr>
      <w:r>
        <w:rPr>
          <w:rFonts w:ascii="Arial" w:cs="Arial" w:eastAsia="Arial" w:hAnsi="Arial"/>
          <w:sz w:val="16"/>
          <w:szCs w:val="16"/>
          <w:u w:val="single" w:color="auto"/>
          <w:color w:val="auto"/>
        </w:rPr>
        <w:t>Insider Trading/Market Abuse Restrictions</w:t>
      </w:r>
      <w:r>
        <w:rPr>
          <w:rFonts w:ascii="Arial" w:cs="Arial" w:eastAsia="Arial" w:hAnsi="Arial"/>
          <w:sz w:val="16"/>
          <w:szCs w:val="16"/>
          <w:color w:val="auto"/>
        </w:rPr>
        <w:t>. Depending on the Holder’s country, the Holder may be subject to insider trading restrictions and/or market abuse laws in applicable jurisdictions, which may affect the Holder’s ability to, directly or indirectly, acquire, sell, or attempt to sell Shares or rights to Shares (</w:t>
      </w:r>
      <w:r>
        <w:rPr>
          <w:rFonts w:ascii="Arial" w:cs="Arial" w:eastAsia="Arial" w:hAnsi="Arial"/>
          <w:sz w:val="16"/>
          <w:szCs w:val="16"/>
          <w:i w:val="1"/>
          <w:iCs w:val="1"/>
          <w:color w:val="auto"/>
        </w:rPr>
        <w:t>e.g.</w:t>
      </w:r>
      <w:r>
        <w:rPr>
          <w:rFonts w:ascii="Arial" w:cs="Arial" w:eastAsia="Arial" w:hAnsi="Arial"/>
          <w:sz w:val="16"/>
          <w:szCs w:val="16"/>
          <w:color w:val="auto"/>
        </w:rPr>
        <w:t>, Stock Options) under the Plan during such times as the Holder is considered to have “inside information” regarding the Company (as defined by the laws in the applicable jurisdictions or the Holder’s country). Any restrictions under these laws or regulations are separate from and in addition to any restrictions that may be imposed under any applicable Company insider trading policy. The Holder is responsible for ensuring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compliance with any applicable restrictions and should consult his or her personal legal advisor on this matter.</w:t>
      </w:r>
    </w:p>
    <w:p>
      <w:pPr>
        <w:spacing w:after="0" w:line="225" w:lineRule="exact"/>
        <w:rPr>
          <w:sz w:val="20"/>
          <w:szCs w:val="20"/>
          <w:color w:val="auto"/>
        </w:rPr>
      </w:pPr>
    </w:p>
    <w:p>
      <w:pPr>
        <w:ind w:right="20" w:firstLine="656"/>
        <w:spacing w:after="0" w:line="342" w:lineRule="auto"/>
        <w:tabs>
          <w:tab w:leader="none" w:pos="1292" w:val="left"/>
        </w:tabs>
        <w:numPr>
          <w:ilvl w:val="0"/>
          <w:numId w:val="178"/>
        </w:numPr>
        <w:rPr>
          <w:rFonts w:ascii="Arial" w:cs="Arial" w:eastAsia="Arial" w:hAnsi="Arial"/>
          <w:sz w:val="16"/>
          <w:szCs w:val="16"/>
          <w:color w:val="auto"/>
        </w:rPr>
      </w:pPr>
      <w:r>
        <w:rPr>
          <w:rFonts w:ascii="Arial" w:cs="Arial" w:eastAsia="Arial" w:hAnsi="Arial"/>
          <w:sz w:val="16"/>
          <w:szCs w:val="16"/>
          <w:u w:val="single" w:color="auto"/>
          <w:color w:val="auto"/>
        </w:rPr>
        <w:t>Foreign Asset/Account Reporting Requirements</w:t>
      </w:r>
      <w:r>
        <w:rPr>
          <w:rFonts w:ascii="Arial" w:cs="Arial" w:eastAsia="Arial" w:hAnsi="Arial"/>
          <w:sz w:val="16"/>
          <w:szCs w:val="16"/>
          <w:color w:val="auto"/>
        </w:rPr>
        <w:t>. The Holder acknowledges that there may be certain foreign asset and/or account reporting requirements which may affect the Holder’s ability to acquire or hold Shares acquired under the Plan or cash received from participating in the Plan</w:t>
      </w:r>
    </w:p>
    <w:p>
      <w:pPr>
        <w:sectPr>
          <w:pgSz w:w="11900" w:h="16975" w:orient="portrait"/>
          <w:cols w:equalWidth="0" w:num="1">
            <w:col w:w="11420"/>
          </w:cols>
          <w:pgMar w:left="240" w:top="125" w:right="239" w:bottom="0" w:gutter="0" w:footer="0" w:header="0"/>
        </w:sectPr>
      </w:pPr>
    </w:p>
    <w:bookmarkStart w:id="190" w:name="page191"/>
    <w:bookmarkEnd w:id="190"/>
    <w:p>
      <w:pPr>
        <w:ind w:right="40"/>
        <w:spacing w:after="0" w:line="257" w:lineRule="auto"/>
        <w:rPr>
          <w:sz w:val="20"/>
          <w:szCs w:val="20"/>
          <w:color w:val="auto"/>
        </w:rPr>
      </w:pPr>
      <w:r>
        <w:rPr>
          <w:rFonts w:ascii="Arial" w:cs="Arial" w:eastAsia="Arial" w:hAnsi="Arial"/>
          <w:sz w:val="18"/>
          <w:szCs w:val="18"/>
          <w:color w:val="auto"/>
        </w:rPr>
        <w:t>(including from any dividends paid on Shares acquired under the Plan) in a brokerage or bank account outside the Holder’s country. The Holder may be required to report such accounts, assets or transactions to the tax or other authorities in his or her country. The Holder also may be required to repatriate sale proceeds or other funds received as a result of the Holder’s participation in the Plan to his or her country through a designated bank or broker within a certain time after receipt. The Holder acknowledges that it his or her responsibility to be compliant with such regulations, and the Holder is advised to consult his or her personal legal advisor for any details.</w:t>
      </w:r>
    </w:p>
    <w:p>
      <w:pPr>
        <w:spacing w:after="0" w:line="188" w:lineRule="exact"/>
        <w:rPr>
          <w:sz w:val="20"/>
          <w:szCs w:val="20"/>
          <w:color w:val="auto"/>
        </w:rPr>
      </w:pPr>
    </w:p>
    <w:p>
      <w:pPr>
        <w:ind w:firstLine="656"/>
        <w:spacing w:after="0" w:line="264" w:lineRule="auto"/>
        <w:tabs>
          <w:tab w:leader="none" w:pos="1292"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Holder acknowledges that a waiver by the Company of a breach of any provision of these Award Terms shall not operate or be construed as a waiver of any other provision of these Award Terms, or of any subsequent breach by the Holder or any other holder of an equity award from the Company.</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TERMS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EMPLOYEES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 NON-U.S. EMPLOYEES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herein shall have the meanings given to such terms in the Plan or the Award Terms, as the case may be.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Appendix includes special terms and conditions applicable to Holders who reside in and/or work in the countries covered by the Appendix. These terms and conditions are in addition to or, if so indicated, in place of, the terms and conditions set forth in the Award Terms.</w:t>
      </w:r>
    </w:p>
    <w:p>
      <w:pPr>
        <w:spacing w:after="0" w:line="170"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If the Holder is a citizen or resident of a country other than the one in which he or she is currently residing and/or working, transferred or transfers employment and/or residency after the Stock Option was granted or is considered a resident of another country for local law purposes (</w:t>
      </w:r>
      <w:r>
        <w:rPr>
          <w:rFonts w:ascii="Arial" w:cs="Arial" w:eastAsia="Arial" w:hAnsi="Arial"/>
          <w:sz w:val="16"/>
          <w:szCs w:val="16"/>
          <w:i w:val="1"/>
          <w:iCs w:val="1"/>
          <w:color w:val="auto"/>
        </w:rPr>
        <w:t>i.e</w:t>
      </w:r>
      <w:r>
        <w:rPr>
          <w:rFonts w:ascii="Arial" w:cs="Arial" w:eastAsia="Arial" w:hAnsi="Arial"/>
          <w:sz w:val="16"/>
          <w:szCs w:val="16"/>
          <w:color w:val="auto"/>
        </w:rPr>
        <w:t>., the Holder is a “mobile employee”), the Company shall have the sole discretion to determine to what extent the special terms and conditions shall apply to the Holder.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This Appendix also includes notifications relating to exchange control and other issues of which the Holder should be aware with respect to his or her participation in the Plan. The information is based on the exchange control, securities and other laws in effect in the countries to which this Appendix refers as of October 2016. Such laws are often complex and change frequently. As a result, the Company strongly recommends that the Holder not rely on the notifications herein as the only source of information relating to the consequences of participation in the Plan because the information may be out of date at the time Shares are purchased upon exercise of the Stock Option or Shares purchased under the Plan are sold.</w:t>
      </w:r>
    </w:p>
    <w:p>
      <w:pPr>
        <w:spacing w:after="0" w:line="173"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In addition, the notifications are general in nature and may not apply to the particular situation of the Holder, and the Company is not in a position to assure the Holder of any particular result. Accordingly, each Holder is advised to seek appropriate professional advice as to how the relevant laws in his or her country may apply to his or her situation. Finally, if the Holder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mobile employee, the information contained herein may not be applicable to the Holder in the same manner.</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ARGENTINA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The Stock Option and any Shares acquired upon exercise are offered as a private transaction. This offering is not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supervision by any Argentine governmental authority.</w:t>
      </w:r>
    </w:p>
    <w:p>
      <w:pPr>
        <w:spacing w:after="0" w:line="16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Stamp Tax. </w:t>
      </w:r>
      <w:r>
        <w:rPr>
          <w:rFonts w:ascii="Arial" w:cs="Arial" w:eastAsia="Arial" w:hAnsi="Arial"/>
          <w:sz w:val="18"/>
          <w:szCs w:val="18"/>
          <w:color w:val="auto"/>
        </w:rPr>
        <w:t>A stamp tax may apply upon execution of Plan documents (</w:t>
      </w:r>
      <w:r>
        <w:rPr>
          <w:rFonts w:ascii="Arial" w:cs="Arial" w:eastAsia="Arial" w:hAnsi="Arial"/>
          <w:sz w:val="18"/>
          <w:szCs w:val="18"/>
          <w:i w:val="1"/>
          <w:iCs w:val="1"/>
          <w:color w:val="auto"/>
        </w:rPr>
        <w:t>e.g.</w:t>
      </w:r>
      <w:r>
        <w:rPr>
          <w:rFonts w:ascii="Arial" w:cs="Arial" w:eastAsia="Arial" w:hAnsi="Arial"/>
          <w:sz w:val="18"/>
          <w:szCs w:val="18"/>
          <w:color w:val="auto"/>
        </w:rPr>
        <w:t>, the Award Terms). The tax is paid upon execution of the documents and both</w:t>
      </w:r>
      <w:r>
        <w:rPr>
          <w:rFonts w:ascii="Arial" w:cs="Arial" w:eastAsia="Arial" w:hAnsi="Arial"/>
          <w:sz w:val="18"/>
          <w:szCs w:val="18"/>
          <w:b w:val="1"/>
          <w:bCs w:val="1"/>
          <w:color w:val="auto"/>
        </w:rPr>
        <w:t xml:space="preserve"> </w:t>
      </w:r>
      <w:r>
        <w:rPr>
          <w:rFonts w:ascii="Arial" w:cs="Arial" w:eastAsia="Arial" w:hAnsi="Arial"/>
          <w:sz w:val="18"/>
          <w:szCs w:val="18"/>
          <w:color w:val="auto"/>
        </w:rPr>
        <w:t>the rate and the term for payment will depend on the particular province in which the Holder executes the documents.</w:t>
      </w:r>
    </w:p>
    <w:p>
      <w:pPr>
        <w:sectPr>
          <w:pgSz w:w="11900" w:h="16838" w:orient="portrait"/>
          <w:cols w:equalWidth="0" w:num="1">
            <w:col w:w="11380"/>
          </w:cols>
          <w:pgMar w:left="240" w:top="125" w:right="279" w:bottom="0" w:gutter="0" w:footer="0" w:header="0"/>
        </w:sectPr>
      </w:pPr>
    </w:p>
    <w:bookmarkStart w:id="191" w:name="page192"/>
    <w:bookmarkEnd w:id="191"/>
    <w:p>
      <w:pPr>
        <w:ind w:right="20"/>
        <w:spacing w:after="0" w:line="281" w:lineRule="auto"/>
        <w:rPr>
          <w:sz w:val="20"/>
          <w:szCs w:val="20"/>
          <w:color w:val="auto"/>
        </w:rPr>
      </w:pPr>
      <w:r>
        <w:rPr>
          <w:rFonts w:ascii="Arial" w:cs="Arial" w:eastAsia="Arial" w:hAnsi="Arial"/>
          <w:sz w:val="17"/>
          <w:szCs w:val="17"/>
          <w:b w:val="1"/>
          <w:bCs w:val="1"/>
          <w:color w:val="auto"/>
        </w:rPr>
        <w:t xml:space="preserve">Exchange Control Notification. </w:t>
      </w:r>
      <w:r>
        <w:rPr>
          <w:rFonts w:ascii="Arial" w:cs="Arial" w:eastAsia="Arial" w:hAnsi="Arial"/>
          <w:sz w:val="17"/>
          <w:szCs w:val="17"/>
          <w:color w:val="auto"/>
        </w:rPr>
        <w:t>If the Holder transfers proceeds from the sale of Shares or the receipt of any dividends paid on such Shares into Argentina,</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may be required to deposit a portion of the proceeds into a non-interest bearing account in Argentina for 365 days unless certain conditions are met. The Argentine bank handling the transaction may request certain documentation in connection with the Holder’s request to transfer proceeds into Argentina, including evidence of the sale or dividend payment and proof of the source of the funds used to acquire the Shares.</w:t>
      </w:r>
    </w:p>
    <w:p>
      <w:pPr>
        <w:spacing w:after="0" w:line="16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i w:val="1"/>
          <w:iCs w:val="1"/>
          <w:color w:val="auto"/>
        </w:rPr>
        <w:t>The Holder is solely responsible for complying with the exchange control rules that may apply in connection with the Holder’s participation in the Plan and/or transfer of proceeds into Argentina. Prior to transferring proceeds into Argentina, the Holder should consult his or her local bank and/or exchange control advisor to confirm the exchange control rules and required documentation.</w:t>
      </w:r>
    </w:p>
    <w:p>
      <w:pPr>
        <w:spacing w:after="0" w:line="177"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 xml:space="preserve">Foreign Asset/Account Reporting Notification. </w:t>
      </w:r>
      <w:r>
        <w:rPr>
          <w:rFonts w:ascii="Arial" w:cs="Arial" w:eastAsia="Arial" w:hAnsi="Arial"/>
          <w:sz w:val="18"/>
          <w:szCs w:val="18"/>
          <w:color w:val="auto"/>
        </w:rPr>
        <w:t>The Holder must report holdings of any equity interest in a foreign company (</w:t>
      </w:r>
      <w:r>
        <w:rPr>
          <w:rFonts w:ascii="Arial" w:cs="Arial" w:eastAsia="Arial" w:hAnsi="Arial"/>
          <w:sz w:val="18"/>
          <w:szCs w:val="18"/>
          <w:i w:val="1"/>
          <w:iCs w:val="1"/>
          <w:color w:val="auto"/>
        </w:rPr>
        <w:t>e.g.</w:t>
      </w:r>
      <w:r>
        <w:rPr>
          <w:rFonts w:ascii="Arial" w:cs="Arial" w:eastAsia="Arial" w:hAnsi="Arial"/>
          <w:sz w:val="18"/>
          <w:szCs w:val="18"/>
          <w:color w:val="auto"/>
        </w:rPr>
        <w:t>, Shares acquired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the Plan) on his or her annual tax return each year.</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FOR AUSTRALIA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If the Holder exercises the Stock Option and subsequently offers the Shares purchased upon exercise for sale to a person or</w:t>
      </w:r>
      <w:r>
        <w:rPr>
          <w:rFonts w:ascii="Arial" w:cs="Arial" w:eastAsia="Arial" w:hAnsi="Arial"/>
          <w:sz w:val="18"/>
          <w:szCs w:val="18"/>
          <w:b w:val="1"/>
          <w:bCs w:val="1"/>
          <w:color w:val="auto"/>
        </w:rPr>
        <w:t xml:space="preserve"> </w:t>
      </w:r>
      <w:r>
        <w:rPr>
          <w:rFonts w:ascii="Arial" w:cs="Arial" w:eastAsia="Arial" w:hAnsi="Arial"/>
          <w:sz w:val="18"/>
          <w:szCs w:val="18"/>
          <w:color w:val="auto"/>
        </w:rPr>
        <w:t>entity resident in Australia, the offer may be subject to disclosure requirements under Australian law and the Holder should obtain legal advice regarding any applicable disclosure obligations prior to making any such offer.</w:t>
      </w:r>
    </w:p>
    <w:p>
      <w:pPr>
        <w:spacing w:after="0" w:line="176"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Exchange control reporting is required for cash transactions exceeding A$10,000 and all international fund transfers. The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bank assisting with the transaction will file the report for the Holder. If there is no Australian bank involved in the transfer, the Holder will be required to file the report him/herself.</w:t>
      </w:r>
    </w:p>
    <w:p>
      <w:pPr>
        <w:spacing w:after="0" w:line="176" w:lineRule="exact"/>
        <w:rPr>
          <w:sz w:val="20"/>
          <w:szCs w:val="20"/>
          <w:color w:val="auto"/>
        </w:rPr>
      </w:pPr>
    </w:p>
    <w:p>
      <w:pPr>
        <w:jc w:val="center"/>
        <w:ind w:right="380"/>
        <w:spacing w:after="0"/>
        <w:rPr>
          <w:sz w:val="20"/>
          <w:szCs w:val="20"/>
          <w:color w:val="auto"/>
        </w:rPr>
      </w:pPr>
      <w:r>
        <w:rPr>
          <w:rFonts w:ascii="Arial" w:cs="Arial" w:eastAsia="Arial" w:hAnsi="Arial"/>
          <w:sz w:val="16"/>
          <w:szCs w:val="16"/>
          <w:b w:val="1"/>
          <w:bCs w:val="1"/>
          <w:color w:val="auto"/>
        </w:rPr>
        <w:t>Tax Information</w:t>
      </w:r>
      <w:r>
        <w:rPr>
          <w:rFonts w:ascii="Arial" w:cs="Arial" w:eastAsia="Arial" w:hAnsi="Arial"/>
          <w:sz w:val="16"/>
          <w:szCs w:val="16"/>
          <w:color w:val="auto"/>
        </w:rPr>
        <w:t>. The Plan is a plan to which subdivision 83A-C of the Income Tax Assessment Act 1997 (Cth) applies (subject to conditions therein).</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FOR BRAZIL</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jc w:val="both"/>
        <w:ind w:right="80"/>
        <w:spacing w:after="0" w:line="266" w:lineRule="auto"/>
        <w:rPr>
          <w:sz w:val="20"/>
          <w:szCs w:val="20"/>
          <w:color w:val="auto"/>
        </w:rPr>
      </w:pPr>
      <w:r>
        <w:rPr>
          <w:rFonts w:ascii="Arial" w:cs="Arial" w:eastAsia="Arial" w:hAnsi="Arial"/>
          <w:sz w:val="18"/>
          <w:szCs w:val="18"/>
          <w:b w:val="1"/>
          <w:bCs w:val="1"/>
          <w:color w:val="auto"/>
        </w:rPr>
        <w:t xml:space="preserve">Compliance with Law. </w:t>
      </w:r>
      <w:r>
        <w:rPr>
          <w:rFonts w:ascii="Arial" w:cs="Arial" w:eastAsia="Arial" w:hAnsi="Arial"/>
          <w:sz w:val="18"/>
          <w:szCs w:val="18"/>
          <w:color w:val="auto"/>
        </w:rPr>
        <w:t>By accepting the Stock Option, the Holder acknowledges that he or she agrees to comply with applicable Brazilian laws and to pay</w:t>
      </w:r>
      <w:r>
        <w:rPr>
          <w:rFonts w:ascii="Arial" w:cs="Arial" w:eastAsia="Arial" w:hAnsi="Arial"/>
          <w:sz w:val="18"/>
          <w:szCs w:val="18"/>
          <w:b w:val="1"/>
          <w:bCs w:val="1"/>
          <w:color w:val="auto"/>
        </w:rPr>
        <w:t xml:space="preserve"> </w:t>
      </w:r>
      <w:r>
        <w:rPr>
          <w:rFonts w:ascii="Arial" w:cs="Arial" w:eastAsia="Arial" w:hAnsi="Arial"/>
          <w:sz w:val="18"/>
          <w:szCs w:val="18"/>
          <w:color w:val="auto"/>
        </w:rPr>
        <w:t>any and all applicable taxes associated with the Holder’s participation in the Plan, including the exercise of the Stock Option and the sale of Shares acquired under the Plan.</w:t>
      </w:r>
    </w:p>
    <w:p>
      <w:pPr>
        <w:spacing w:after="0" w:line="176" w:lineRule="exact"/>
        <w:rPr>
          <w:sz w:val="20"/>
          <w:szCs w:val="20"/>
          <w:color w:val="auto"/>
        </w:rPr>
      </w:pPr>
    </w:p>
    <w:p>
      <w:pPr>
        <w:jc w:val="both"/>
        <w:ind w:right="140"/>
        <w:spacing w:after="0" w:line="314" w:lineRule="auto"/>
        <w:rPr>
          <w:sz w:val="20"/>
          <w:szCs w:val="20"/>
          <w:color w:val="auto"/>
        </w:rPr>
      </w:pPr>
      <w:r>
        <w:rPr>
          <w:rFonts w:ascii="Arial" w:cs="Arial" w:eastAsia="Arial" w:hAnsi="Arial"/>
          <w:sz w:val="16"/>
          <w:szCs w:val="16"/>
          <w:b w:val="1"/>
          <w:bCs w:val="1"/>
          <w:color w:val="auto"/>
        </w:rPr>
        <w:t xml:space="preserve">Nature of Company Stock Option Grants. </w:t>
      </w:r>
      <w:r>
        <w:rPr>
          <w:rFonts w:ascii="Arial" w:cs="Arial" w:eastAsia="Arial" w:hAnsi="Arial"/>
          <w:sz w:val="16"/>
          <w:szCs w:val="16"/>
          <w:color w:val="auto"/>
        </w:rPr>
        <w:t>By accepting the Stock Option, the Holder agrees that (1) he or she is making an investment decision, (2)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will be issued to the Holder only if the vesting conditions are met and any necessary services are rendered by the Holder over the vesting period and (3) the value of the underlying Shares is not fixed and may increase or decrease in value over time without compensation to the Holder.</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Exchange Control Notification</w:t>
      </w:r>
      <w:r>
        <w:rPr>
          <w:rFonts w:ascii="Arial" w:cs="Arial" w:eastAsia="Arial" w:hAnsi="Arial"/>
          <w:sz w:val="18"/>
          <w:szCs w:val="18"/>
          <w:color w:val="auto"/>
        </w:rPr>
        <w:t>. If the Holder is resident or domiciled in Brazil, he or she will be required to submit an annual declaration of assets and</w:t>
      </w:r>
      <w:r>
        <w:rPr>
          <w:rFonts w:ascii="Arial" w:cs="Arial" w:eastAsia="Arial" w:hAnsi="Arial"/>
          <w:sz w:val="18"/>
          <w:szCs w:val="18"/>
          <w:b w:val="1"/>
          <w:bCs w:val="1"/>
          <w:color w:val="auto"/>
        </w:rPr>
        <w:t xml:space="preserve"> </w:t>
      </w:r>
      <w:r>
        <w:rPr>
          <w:rFonts w:ascii="Arial" w:cs="Arial" w:eastAsia="Arial" w:hAnsi="Arial"/>
          <w:sz w:val="18"/>
          <w:szCs w:val="18"/>
          <w:color w:val="auto"/>
        </w:rPr>
        <w:t>rights held outside of Brazil to the Central Bank of Brazil if the aggregate value of such assets and rights equals or exceeds US$100,000. Assets and rights that must be reported include any Shares acquired under the Plan.</w:t>
      </w:r>
    </w:p>
    <w:p>
      <w:pPr>
        <w:spacing w:after="0" w:line="176"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Tax on Financial Transaction (IOF)</w:t>
      </w:r>
      <w:r>
        <w:rPr>
          <w:rFonts w:ascii="Arial" w:cs="Arial" w:eastAsia="Arial" w:hAnsi="Arial"/>
          <w:sz w:val="18"/>
          <w:szCs w:val="18"/>
          <w:color w:val="auto"/>
        </w:rPr>
        <w:t>. Cross-border financial transactions relating to the Stock Option may be subject to the IOF (</w:t>
      </w:r>
      <w:r>
        <w:rPr>
          <w:rFonts w:ascii="Arial" w:cs="Arial" w:eastAsia="Arial" w:hAnsi="Arial"/>
          <w:sz w:val="18"/>
          <w:szCs w:val="18"/>
          <w:i w:val="1"/>
          <w:iCs w:val="1"/>
          <w:color w:val="auto"/>
        </w:rPr>
        <w:t>i.e.</w:t>
      </w:r>
      <w:r>
        <w:rPr>
          <w:rFonts w:ascii="Arial" w:cs="Arial" w:eastAsia="Arial" w:hAnsi="Arial"/>
          <w:sz w:val="18"/>
          <w:szCs w:val="18"/>
          <w:color w:val="auto"/>
        </w:rPr>
        <w:t>, tax on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The Holder should consult with his or her personal tax advisor for additional details.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FOR CANADA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OPTION AWARD TERMS</w:t>
      </w:r>
    </w:p>
    <w:p>
      <w:pPr>
        <w:sectPr>
          <w:pgSz w:w="11900" w:h="16838" w:orient="portrait"/>
          <w:cols w:equalWidth="0" w:num="1">
            <w:col w:w="11340"/>
          </w:cols>
          <w:pgMar w:left="240" w:top="337" w:right="319" w:bottom="0" w:gutter="0" w:footer="0" w:header="0"/>
        </w:sectPr>
      </w:pPr>
    </w:p>
    <w:bookmarkStart w:id="192" w:name="page193"/>
    <w:bookmarkEnd w:id="192"/>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Form of Payment. </w:t>
      </w:r>
      <w:r>
        <w:rPr>
          <w:rFonts w:ascii="Arial" w:cs="Arial" w:eastAsia="Arial" w:hAnsi="Arial"/>
          <w:sz w:val="18"/>
          <w:szCs w:val="18"/>
          <w:color w:val="auto"/>
        </w:rPr>
        <w:t>The Holder is prohibited from surrendering Shares that he or she already owns or attesting to the ownership of Shares to pay the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or any Withholding Taxes in connection with the Stock Option.</w:t>
      </w:r>
    </w:p>
    <w:p>
      <w:pPr>
        <w:spacing w:after="0" w:line="162" w:lineRule="exact"/>
        <w:rPr>
          <w:sz w:val="20"/>
          <w:szCs w:val="20"/>
          <w:color w:val="auto"/>
        </w:rPr>
      </w:pPr>
    </w:p>
    <w:p>
      <w:pPr>
        <w:spacing w:after="0" w:line="285" w:lineRule="auto"/>
        <w:rPr>
          <w:sz w:val="20"/>
          <w:szCs w:val="20"/>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Notwithstanding anything to the contrary in Section 4(c) of the Award Terms, unless the Committee determines otherwise,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of the termination of the Holder’s continuous service (regardless of the reason for such termination and whether or not later found to be invalid or in breach of employment laws in the jurisdiction in which the Holder is employed or the terms of the Holder’s employment agreement or service contract, if any), vesting will terminate and the period remaining to exercise the Stock Option will be measured effective as of the date that is the earliest of: (1) the date the Holder’s employment or service with the Company Group is terminated, (2) the date the Holder receives notice of termination of employment or service from the Employer, and (3) the date the Holder is no longer actively employed or rendering services to the Company Group, regardless of any notice period or period of pay in lieu of such notice required under local law(including, but not limited to, statutory law, regulatory law and/or common law);</w:t>
      </w:r>
    </w:p>
    <w:p>
      <w:pPr>
        <w:spacing w:after="0" w:line="2"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the Committee shall have the exclusive discretion to determine when the Holder is no longer actively employed for purposes of the Stock Option (including whether the Holder may still be considered actively employed while on a leave of absence).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provisions will apply to Holders who are residents of Quebec:</w:t>
      </w:r>
    </w:p>
    <w:p>
      <w:pPr>
        <w:spacing w:after="0" w:line="225" w:lineRule="exact"/>
        <w:rPr>
          <w:sz w:val="20"/>
          <w:szCs w:val="20"/>
          <w:color w:val="auto"/>
        </w:rPr>
      </w:pPr>
    </w:p>
    <w:p>
      <w:pPr>
        <w:ind w:right="160"/>
        <w:spacing w:after="0" w:line="313" w:lineRule="auto"/>
        <w:rPr>
          <w:sz w:val="20"/>
          <w:szCs w:val="20"/>
          <w:color w:val="auto"/>
        </w:rPr>
      </w:pPr>
      <w:r>
        <w:rPr>
          <w:rFonts w:ascii="Arial" w:cs="Arial" w:eastAsia="Arial" w:hAnsi="Arial"/>
          <w:sz w:val="17"/>
          <w:szCs w:val="17"/>
          <w:b w:val="1"/>
          <w:bCs w:val="1"/>
          <w:color w:val="auto"/>
        </w:rPr>
        <w:t xml:space="preserve">Language Consent. </w:t>
      </w:r>
      <w:r>
        <w:rPr>
          <w:rFonts w:ascii="Arial" w:cs="Arial" w:eastAsia="Arial" w:hAnsi="Arial"/>
          <w:sz w:val="17"/>
          <w:szCs w:val="17"/>
          <w:color w:val="auto"/>
        </w:rPr>
        <w:t>The parties acknowledge that it is their express wish that the Award Terms, including this Appendix, as well as all documents, notices,</w:t>
      </w:r>
      <w:r>
        <w:rPr>
          <w:rFonts w:ascii="Arial" w:cs="Arial" w:eastAsia="Arial" w:hAnsi="Arial"/>
          <w:sz w:val="17"/>
          <w:szCs w:val="17"/>
          <w:b w:val="1"/>
          <w:bCs w:val="1"/>
          <w:color w:val="auto"/>
        </w:rPr>
        <w:t xml:space="preserve"> </w:t>
      </w:r>
      <w:r>
        <w:rPr>
          <w:rFonts w:ascii="Arial" w:cs="Arial" w:eastAsia="Arial" w:hAnsi="Arial"/>
          <w:sz w:val="17"/>
          <w:szCs w:val="17"/>
          <w:color w:val="auto"/>
        </w:rPr>
        <w:t>and legal proceedings entered into, given or instituted pursuant hereto or relating directly or indirectly hereto, be drawn up in English.</w:t>
      </w:r>
    </w:p>
    <w:p>
      <w:pPr>
        <w:spacing w:after="0" w:line="142"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b w:val="1"/>
          <w:bCs w:val="1"/>
          <w:i w:val="1"/>
          <w:iCs w:val="1"/>
          <w:color w:val="auto"/>
        </w:rPr>
        <w:t>Consentement relatif à la langue utilisée</w:t>
      </w:r>
      <w:r>
        <w:rPr>
          <w:rFonts w:ascii="Arial" w:cs="Arial" w:eastAsia="Arial" w:hAnsi="Arial"/>
          <w:sz w:val="16"/>
          <w:szCs w:val="16"/>
          <w:i w:val="1"/>
          <w:iCs w:val="1"/>
          <w:color w:val="auto"/>
        </w:rPr>
        <w:t>: Les parties reconnaissent avoir exigé la rédaction en anglais de cette annexe, la convention afférente, ainsi que de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tous documents, avis donnés et procédures judiciaires, exécutés, donnés ou intentés en vertu de, ou liés directement ou indirectement aux présentes.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Notice and Consent. </w:t>
      </w:r>
      <w:r>
        <w:rPr>
          <w:rFonts w:ascii="Arial" w:cs="Arial" w:eastAsia="Arial" w:hAnsi="Arial"/>
          <w:sz w:val="18"/>
          <w:szCs w:val="18"/>
          <w:color w:val="auto"/>
        </w:rPr>
        <w:t>This provision supplements Section 16 of the Award Terms:</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The Holder hereby authorizes the Company and the Company’s representatives to discuss with and obtain all relevant information from all personnel, professional or not, involved in the administration and operation of the Plan. The Holder further authorizes the Company Group and the Equity Account Administrator to disclose and discuss the Plan with their respective advisors.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The Holder further authorizes the Company Group to record such information and to keep such information in the Holder’s employee file.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200"/>
        <w:spacing w:after="0" w:line="266" w:lineRule="auto"/>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The Holder is permitted to sell Shares acquired under the Plan through the Equity Account Administrator, provided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resale of Shares acquired under the Plan takes place outside of Canada through the facilities of a stock exchange on which the Shares are listed. The Shares are currently listed on the NASDAQ.</w:t>
      </w:r>
    </w:p>
    <w:p>
      <w:pPr>
        <w:spacing w:after="0" w:line="176" w:lineRule="exact"/>
        <w:rPr>
          <w:sz w:val="20"/>
          <w:szCs w:val="20"/>
          <w:color w:val="auto"/>
        </w:rPr>
      </w:pPr>
    </w:p>
    <w:p>
      <w:pPr>
        <w:ind w:right="60"/>
        <w:spacing w:after="0" w:line="282" w:lineRule="auto"/>
        <w:rPr>
          <w:sz w:val="20"/>
          <w:szCs w:val="20"/>
          <w:color w:val="auto"/>
        </w:rPr>
      </w:pPr>
      <w:r>
        <w:rPr>
          <w:rFonts w:ascii="Arial" w:cs="Arial" w:eastAsia="Arial" w:hAnsi="Arial"/>
          <w:sz w:val="16"/>
          <w:szCs w:val="16"/>
          <w:b w:val="1"/>
          <w:bCs w:val="1"/>
          <w:color w:val="auto"/>
        </w:rPr>
        <w:t xml:space="preserve">Foreign Asset/Account Reporting Notification. </w:t>
      </w:r>
      <w:r>
        <w:rPr>
          <w:rFonts w:ascii="Arial" w:cs="Arial" w:eastAsia="Arial" w:hAnsi="Arial"/>
          <w:sz w:val="16"/>
          <w:szCs w:val="16"/>
          <w:color w:val="auto"/>
        </w:rPr>
        <w:t>Foreign property (including Shares) held by Canadian residents must be reported annually on Form T1135</w:t>
      </w:r>
      <w:r>
        <w:rPr>
          <w:rFonts w:ascii="Arial" w:cs="Arial" w:eastAsia="Arial" w:hAnsi="Arial"/>
          <w:sz w:val="16"/>
          <w:szCs w:val="16"/>
          <w:b w:val="1"/>
          <w:bCs w:val="1"/>
          <w:color w:val="auto"/>
        </w:rPr>
        <w:t xml:space="preserve"> </w:t>
      </w:r>
      <w:r>
        <w:rPr>
          <w:rFonts w:ascii="Arial" w:cs="Arial" w:eastAsia="Arial" w:hAnsi="Arial"/>
          <w:sz w:val="16"/>
          <w:szCs w:val="16"/>
          <w:color w:val="auto"/>
        </w:rPr>
        <w:t>(Foreign Income Verification Statement) if the total value of such foreign property exceeds C$100,000 at any time during the year. Foreign property includes Shares acquired under the Plan and may include the Stock Option. The Stock Option must be reported—generally at a nil cost—if the C$100,000 cost threshold is exceeded because of other foreign property the Holder holds. If Shares are acquired, their cost generally is the adjusted cost base (“ACB”) of the Shares. The ACB would normally equal the fair market value of the Shares at exercise, but if the Holder owns other shares of the Company’s common stock, this ACB may have to be averaged with the ACB of those other shares. If due, the form must be filed by April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following year. The Holder should speak with a personal tax advisor to determine the scope of foreign property that must be considered for purposes of this requirement.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CHINA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The Holder understands, acknowledges and agrees that certain exchange control restrictions may apply to the Holder’s</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Plan, including to the remittance of funds out of China to pay the Exercise Price and the remittance into China of any sale proceeds or dividends paid on Shares acquired under the Plan. The Holder understands that it is his or her sole responsibility to comply with applicable exchange control restrictions in China.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DENMARK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ectPr>
          <w:pgSz w:w="11900" w:h="16838" w:orient="portrait"/>
          <w:cols w:equalWidth="0" w:num="1">
            <w:col w:w="11420"/>
          </w:cols>
          <w:pgMar w:left="240" w:top="341" w:right="239" w:bottom="0" w:gutter="0" w:footer="0" w:header="0"/>
        </w:sectPr>
      </w:pPr>
    </w:p>
    <w:bookmarkStart w:id="193" w:name="page194"/>
    <w:bookmarkEnd w:id="193"/>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This provision supplements Section 15 of the Award Terms:</w:t>
      </w:r>
    </w:p>
    <w:p>
      <w:pPr>
        <w:spacing w:after="0" w:line="229"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By participating in the Plan, the Holder acknowledges that he or she understands and agrees that the grant of the Option relates to future services to be performed and is not a bonus or compensation for past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jc w:val="both"/>
        <w:ind w:right="520"/>
        <w:spacing w:after="0" w:line="266"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The establishment of an account holding Shares or an account holding cash outside Denmark must be reported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Danish Tax Administration. The form which should be used in this respect may be obtained from a local bank. (Please note that these obligations are separate from and in addition to the securities/tax reporting obligations described below.)</w:t>
      </w:r>
    </w:p>
    <w:p>
      <w:pPr>
        <w:spacing w:after="0" w:line="176" w:lineRule="exact"/>
        <w:rPr>
          <w:sz w:val="20"/>
          <w:szCs w:val="20"/>
          <w:color w:val="auto"/>
        </w:rPr>
      </w:pPr>
    </w:p>
    <w:p>
      <w:pPr>
        <w:ind w:right="200"/>
        <w:spacing w:after="0" w:line="270" w:lineRule="auto"/>
        <w:rPr>
          <w:sz w:val="20"/>
          <w:szCs w:val="20"/>
          <w:color w:val="auto"/>
        </w:rPr>
      </w:pPr>
      <w:r>
        <w:rPr>
          <w:rFonts w:ascii="Arial" w:cs="Arial" w:eastAsia="Arial" w:hAnsi="Arial"/>
          <w:sz w:val="17"/>
          <w:szCs w:val="17"/>
          <w:b w:val="1"/>
          <w:bCs w:val="1"/>
          <w:color w:val="auto"/>
        </w:rPr>
        <w:t xml:space="preserve">Securities/Foreign Asset/Account Reporting Notification. </w:t>
      </w:r>
      <w:r>
        <w:rPr>
          <w:rFonts w:ascii="Arial" w:cs="Arial" w:eastAsia="Arial" w:hAnsi="Arial"/>
          <w:sz w:val="17"/>
          <w:szCs w:val="17"/>
          <w:color w:val="auto"/>
        </w:rPr>
        <w:t>The Holder may hold Shares acquired under the Plan in a safety-deposit account (</w:t>
      </w:r>
      <w:r>
        <w:rPr>
          <w:rFonts w:ascii="Arial" w:cs="Arial" w:eastAsia="Arial" w:hAnsi="Arial"/>
          <w:sz w:val="17"/>
          <w:szCs w:val="17"/>
          <w:i w:val="1"/>
          <w:iCs w:val="1"/>
          <w:color w:val="auto"/>
        </w:rPr>
        <w:t>e.g</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brokerage account) with either a Danish bank or with an approved foreign broker or bank, such as the Equity Account Administrator. If the Shares are held with a foreign broker or bank, the Holder is required to inform the Danish Tax Administration about the safety-deposit account. For this purpose, he or she must file a Form V (</w:t>
      </w:r>
      <w:r>
        <w:rPr>
          <w:rFonts w:ascii="Arial" w:cs="Arial" w:eastAsia="Arial" w:hAnsi="Arial"/>
          <w:sz w:val="17"/>
          <w:szCs w:val="17"/>
          <w:i w:val="1"/>
          <w:iCs w:val="1"/>
          <w:color w:val="auto"/>
        </w:rPr>
        <w:t>Erklaering V</w:t>
      </w:r>
      <w:r>
        <w:rPr>
          <w:rFonts w:ascii="Arial" w:cs="Arial" w:eastAsia="Arial" w:hAnsi="Arial"/>
          <w:sz w:val="17"/>
          <w:szCs w:val="17"/>
          <w:color w:val="auto"/>
        </w:rPr>
        <w:t>) with the Danish Tax Administration. Both the Holder and the broker or bank must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Shares in the account. In the event that the applicable broker or bank with which the account is held does not wish to, or, pursuant to the laws of the country in question, is not allowed to assume such obligation to report, the Holder acknowledges that he or she is solely responsible for providing certain details regarding the foreign brokerage account and Shares deposited therein to the Danish Tax Administration as part of his or her annual income tax return. By signing the Form V, the Holder authorizes the Danish Tax Administration to examine the account.</w:t>
      </w:r>
    </w:p>
    <w:p>
      <w:pPr>
        <w:spacing w:after="0" w:line="18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In addition, if the Holder opens a brokerage account (or a deposit account with a U.S. bank), the brokerage account (or bank account, as applicable) will be treated as a deposit account because cash can be held in the account. Therefore, the Holder must also file a Form K (</w:t>
      </w:r>
      <w:r>
        <w:rPr>
          <w:rFonts w:ascii="Arial" w:cs="Arial" w:eastAsia="Arial" w:hAnsi="Arial"/>
          <w:sz w:val="17"/>
          <w:szCs w:val="17"/>
          <w:i w:val="1"/>
          <w:iCs w:val="1"/>
          <w:color w:val="auto"/>
        </w:rPr>
        <w:t>Erklaering K</w:t>
      </w:r>
      <w:r>
        <w:rPr>
          <w:rFonts w:ascii="Arial" w:cs="Arial" w:eastAsia="Arial" w:hAnsi="Arial"/>
          <w:sz w:val="17"/>
          <w:szCs w:val="17"/>
          <w:color w:val="auto"/>
        </w:rPr>
        <w:t>) with the Danish Tax Administration. Both the Holder and the broker must sign the Form K. By signing the Form K, the broker undertakes an obligation, without further request each year and not later than on February 1 of the year following the calendar year to which the information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the Holder acknowledges that he or she is solely responsible for providing certain details regarding the foreign brokerage or bank account to the Danish Tax Administration as part of the Holder’s annual income tax return. By signing the Form K, the Holder authorizes the Danish Tax Administration to examine the account.</w:t>
      </w:r>
    </w:p>
    <w:p>
      <w:pPr>
        <w:spacing w:after="0" w:line="18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If the Holder uses the full cashless method of exercise, whereby upon exercise of the Stock Option, the Holder immediately sells all of the Shares being purchased upon such exercise through a brokerage firm acceptable to the Company and the proceeds of such sale, less an amount in cash equal to the Exercise Price for the Shares being so purchased, any Withholding Taxes and any brokers’ fees or commissions, are remitted to the Holder, the Holder will not be required to file a Form V because he or she will not hold any Shares from such exercise thereafter. However, if the Holder opens a deposit account with a foreign broker or bank to hold the remaining cash proceeds of such sale, he or she will be required to file a Form K, as described above. These obligations are separate from and in addition to the obligations described above.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FOR FRANCE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120"/>
        <w:spacing w:after="0" w:line="266"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By accepting the Award, the Holder confirms that he or she has read and understood the documents relating to the Stock Option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Notice, the Plan, and the Award Terms, including this Appendix) which were provided in the English language. The Holder accepts the terms of these documents accordingly.</w:t>
      </w:r>
    </w:p>
    <w:p>
      <w:pPr>
        <w:spacing w:after="0" w:line="180"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b w:val="1"/>
          <w:bCs w:val="1"/>
          <w:i w:val="1"/>
          <w:iCs w:val="1"/>
          <w:color w:val="auto"/>
        </w:rPr>
        <w:t xml:space="preserve">Consentement relatif à la langue utilisée: </w:t>
      </w:r>
      <w:r>
        <w:rPr>
          <w:rFonts w:ascii="Arial" w:cs="Arial" w:eastAsia="Arial" w:hAnsi="Arial"/>
          <w:sz w:val="18"/>
          <w:szCs w:val="18"/>
          <w:i w:val="1"/>
          <w:iCs w:val="1"/>
          <w:color w:val="auto"/>
        </w:rPr>
        <w:t>En acceptant l’Attribution, le Titulaire confirme qu’il ou qu’elle a lu et compris les documents afférents à l’Option</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(la Notification d’Attribution, le Plan et les Termes de l’Attribution, ainsi que la présente Annexe) qui sont produits en langue anglaise. Le Titulaire accepte les termes de ces documents en connaissance de cause.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60"/>
        <w:spacing w:after="0" w:line="289" w:lineRule="auto"/>
        <w:rPr>
          <w:sz w:val="20"/>
          <w:szCs w:val="20"/>
          <w:color w:val="auto"/>
        </w:rPr>
      </w:pPr>
      <w:r>
        <w:rPr>
          <w:rFonts w:ascii="Arial" w:cs="Arial" w:eastAsia="Arial" w:hAnsi="Arial"/>
          <w:sz w:val="17"/>
          <w:szCs w:val="17"/>
          <w:b w:val="1"/>
          <w:bCs w:val="1"/>
          <w:color w:val="auto"/>
        </w:rPr>
        <w:t xml:space="preserve">Foreign Asset/Account Reporting Notification. </w:t>
      </w:r>
      <w:r>
        <w:rPr>
          <w:rFonts w:ascii="Arial" w:cs="Arial" w:eastAsia="Arial" w:hAnsi="Arial"/>
          <w:sz w:val="17"/>
          <w:szCs w:val="17"/>
          <w:color w:val="auto"/>
        </w:rPr>
        <w:t>If the Holder retains Shares acquired under the Plan outside of France or maintains a foreign bank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the Holder is required to report such to the French tax authorities when filing his or her annual tax return. Failure to comply could trigger significant penalties. Further, French residents with foreign account balances exceeding €1,000,000 may have additional monthly reporting obligations.</w:t>
      </w:r>
    </w:p>
    <w:p>
      <w:pPr>
        <w:sectPr>
          <w:pgSz w:w="11900" w:h="16937" w:orient="portrait"/>
          <w:cols w:equalWidth="0" w:num="1">
            <w:col w:w="11420"/>
          </w:cols>
          <w:pgMar w:left="240" w:top="121" w:right="239" w:bottom="0" w:gutter="0" w:footer="0" w:header="0"/>
        </w:sectPr>
      </w:pPr>
    </w:p>
    <w:bookmarkStart w:id="194" w:name="page195"/>
    <w:bookmarkEnd w:id="194"/>
    <w:p>
      <w:pPr>
        <w:jc w:val="center"/>
        <w:ind w:right="-3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GERMANY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60"/>
        <w:spacing w:after="0" w:line="277" w:lineRule="auto"/>
        <w:rPr>
          <w:sz w:val="20"/>
          <w:szCs w:val="20"/>
          <w:color w:val="auto"/>
        </w:rPr>
      </w:pPr>
      <w:r>
        <w:rPr>
          <w:rFonts w:ascii="Arial" w:cs="Arial" w:eastAsia="Arial" w:hAnsi="Arial"/>
          <w:sz w:val="17"/>
          <w:szCs w:val="17"/>
          <w:b w:val="1"/>
          <w:bCs w:val="1"/>
          <w:color w:val="auto"/>
        </w:rPr>
        <w:t xml:space="preserve">Exchange Control Notification. </w:t>
      </w:r>
      <w:r>
        <w:rPr>
          <w:rFonts w:ascii="Arial" w:cs="Arial" w:eastAsia="Arial" w:hAnsi="Arial"/>
          <w:sz w:val="17"/>
          <w:szCs w:val="17"/>
          <w:color w:val="auto"/>
        </w:rPr>
        <w:t>Cross-border payments in excess of €12,500 must be reported monthly to the German Federal Bank. No report is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for payments less than €12,500. In case of payments in connection with securities (including proceeds realized upon the sale of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17"/>
          <w:szCs w:val="17"/>
          <w:i w:val="1"/>
          <w:iCs w:val="1"/>
          <w:color w:val="auto"/>
        </w:rPr>
        <w:t>Allgemeine Meldeportal Statistik</w:t>
      </w:r>
      <w:r>
        <w:rPr>
          <w:rFonts w:ascii="Arial" w:cs="Arial" w:eastAsia="Arial" w:hAnsi="Arial"/>
          <w:sz w:val="17"/>
          <w:szCs w:val="17"/>
          <w:color w:val="auto"/>
        </w:rPr>
        <w:t xml:space="preserve">”) can be accessed via the </w:t>
      </w:r>
      <w:r>
        <w:rPr>
          <w:rFonts w:ascii="Arial" w:cs="Arial" w:eastAsia="Arial" w:hAnsi="Arial"/>
          <w:sz w:val="17"/>
          <w:szCs w:val="17"/>
          <w:i w:val="1"/>
          <w:iCs w:val="1"/>
          <w:color w:val="auto"/>
        </w:rPr>
        <w:t>Bundesbank’s</w:t>
      </w:r>
      <w:r>
        <w:rPr>
          <w:rFonts w:ascii="Arial" w:cs="Arial" w:eastAsia="Arial" w:hAnsi="Arial"/>
          <w:sz w:val="17"/>
          <w:szCs w:val="17"/>
          <w:color w:val="auto"/>
        </w:rPr>
        <w:t xml:space="preserve"> website (www.bundesbank.de) and is available in both German and English. The Holder is responsible for satisfying the reporting obligation.</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HONG KONG</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Sale of Shares. </w:t>
      </w:r>
      <w:r>
        <w:rPr>
          <w:rFonts w:ascii="Arial" w:cs="Arial" w:eastAsia="Arial" w:hAnsi="Arial"/>
          <w:sz w:val="18"/>
          <w:szCs w:val="18"/>
          <w:color w:val="auto"/>
        </w:rPr>
        <w:t>In the event the Stock Option vests and is exercised within six months of the Date of Grant, the Holder agrees that he or she will not offer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public, or otherwise dispose of, the Shares acquired prior to the six-month anniversary of the Date of Grant. Any Shares acquired under the Plan are accepted as a personal investment.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Securities Warning: </w:t>
      </w:r>
      <w:r>
        <w:rPr>
          <w:rFonts w:ascii="Arial" w:cs="Arial" w:eastAsia="Arial" w:hAnsi="Arial"/>
          <w:sz w:val="16"/>
          <w:szCs w:val="16"/>
          <w:i w:val="1"/>
          <w:iCs w:val="1"/>
          <w:color w:val="auto"/>
        </w:rPr>
        <w:t>The contents of this document have not been reviewed by any regulatory authority in Hong Kong. The Holder is advised to exercise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caution in relation to the offer. If the Holder is in any doubt about any of the meaning or intent of anything contained in the Award Terms, the Plan or any</w:t>
      </w:r>
    </w:p>
    <w:p>
      <w:pPr>
        <w:spacing w:after="0" w:line="32" w:lineRule="exact"/>
        <w:rPr>
          <w:sz w:val="20"/>
          <w:szCs w:val="20"/>
          <w:color w:val="auto"/>
        </w:rPr>
      </w:pPr>
    </w:p>
    <w:p>
      <w:pPr>
        <w:spacing w:after="0" w:line="252" w:lineRule="auto"/>
        <w:rPr>
          <w:sz w:val="20"/>
          <w:szCs w:val="20"/>
          <w:color w:val="auto"/>
        </w:rPr>
      </w:pPr>
      <w:r>
        <w:rPr>
          <w:rFonts w:ascii="Arial" w:cs="Arial" w:eastAsia="Arial" w:hAnsi="Arial"/>
          <w:sz w:val="18"/>
          <w:szCs w:val="18"/>
          <w:i w:val="1"/>
          <w:iCs w:val="1"/>
          <w:color w:val="auto"/>
        </w:rPr>
        <w:t>other incidental communication materials distributed in connection with the Stock Option, the Holder is advised to obtain independent professional advice. The Stock Option and any Shares issued pursuant to the Stock Option do not constitute a public offering of securities under Hong Kong law and are available only to employees of the Company Group. The Award Terms, including this Appendix, the Plan, the Grant Notice and other incidental communication materials (i) have not been prepared in accordance with and are not intended to constitute a “prospectus” for a public offering of securities under the applicable securities legislation in Hong Kong and (ii) any related documentation are intended only for the personal use of the Holder and may not be distributed to any other person.</w:t>
      </w:r>
    </w:p>
    <w:p>
      <w:pPr>
        <w:spacing w:after="0" w:line="190" w:lineRule="exact"/>
        <w:rPr>
          <w:sz w:val="20"/>
          <w:szCs w:val="20"/>
          <w:color w:val="auto"/>
        </w:rPr>
      </w:pPr>
    </w:p>
    <w:p>
      <w:pPr>
        <w:ind w:right="700"/>
        <w:spacing w:after="0" w:line="282" w:lineRule="auto"/>
        <w:rPr>
          <w:sz w:val="20"/>
          <w:szCs w:val="20"/>
          <w:color w:val="auto"/>
        </w:rPr>
      </w:pPr>
      <w:r>
        <w:rPr>
          <w:rFonts w:ascii="Arial" w:cs="Arial" w:eastAsia="Arial" w:hAnsi="Arial"/>
          <w:sz w:val="18"/>
          <w:szCs w:val="18"/>
          <w:b w:val="1"/>
          <w:bCs w:val="1"/>
          <w:color w:val="auto"/>
        </w:rPr>
        <w:t xml:space="preserve">Nature of Scheme. </w:t>
      </w:r>
      <w:r>
        <w:rPr>
          <w:rFonts w:ascii="Arial" w:cs="Arial" w:eastAsia="Arial" w:hAnsi="Arial"/>
          <w:sz w:val="18"/>
          <w:szCs w:val="18"/>
          <w:color w:val="auto"/>
        </w:rPr>
        <w:t>The Company specifically intends that the Plan will not be an occupational retirement scheme for purposes of the Occupational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Schemes Ordinance.</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IRELAND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This provision supplements Section 15 of the Award Terms:</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In accepting the grant of the Stock Option, the Holder acknowledges that he or she understands and agrees that the benefits received under the Plan will not be taken into account for any redundancy or unfair dismissal claim.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Director Notification Requirements. </w:t>
      </w:r>
      <w:r>
        <w:rPr>
          <w:rFonts w:ascii="Arial" w:cs="Arial" w:eastAsia="Arial" w:hAnsi="Arial"/>
          <w:sz w:val="16"/>
          <w:szCs w:val="16"/>
          <w:color w:val="auto"/>
        </w:rPr>
        <w:t>If the Holder is a director, shadow director or secretary of an Irish Subsidiary and the Holder’s aggregate shareholding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equals or exceeds 1% of the voting rights of the Company, the Holder must notify the Irish Subsidiary in writing within a certain time period of</w:t>
      </w:r>
    </w:p>
    <w:p>
      <w:pPr>
        <w:spacing w:after="0" w:line="1" w:lineRule="exact"/>
        <w:rPr>
          <w:sz w:val="20"/>
          <w:szCs w:val="20"/>
          <w:color w:val="auto"/>
        </w:rPr>
      </w:pPr>
    </w:p>
    <w:p>
      <w:pPr>
        <w:ind w:left="220" w:hanging="212"/>
        <w:spacing w:after="0"/>
        <w:tabs>
          <w:tab w:leader="none" w:pos="220" w:val="left"/>
        </w:tabs>
        <w:numPr>
          <w:ilvl w:val="0"/>
          <w:numId w:val="180"/>
        </w:numPr>
        <w:rPr>
          <w:rFonts w:ascii="Arial" w:cs="Arial" w:eastAsia="Arial" w:hAnsi="Arial"/>
          <w:sz w:val="17"/>
          <w:szCs w:val="17"/>
          <w:color w:val="auto"/>
        </w:rPr>
      </w:pPr>
      <w:r>
        <w:rPr>
          <w:rFonts w:ascii="Arial" w:cs="Arial" w:eastAsia="Arial" w:hAnsi="Arial"/>
          <w:sz w:val="17"/>
          <w:szCs w:val="17"/>
          <w:color w:val="auto"/>
        </w:rPr>
        <w:t>receiving or disposing of an interest in the Company (</w:t>
      </w:r>
      <w:r>
        <w:rPr>
          <w:rFonts w:ascii="Arial" w:cs="Arial" w:eastAsia="Arial" w:hAnsi="Arial"/>
          <w:sz w:val="17"/>
          <w:szCs w:val="17"/>
          <w:i w:val="1"/>
          <w:iCs w:val="1"/>
          <w:color w:val="auto"/>
        </w:rPr>
        <w:t>e.g.,</w:t>
      </w:r>
      <w:r>
        <w:rPr>
          <w:rFonts w:ascii="Arial" w:cs="Arial" w:eastAsia="Arial" w:hAnsi="Arial"/>
          <w:sz w:val="17"/>
          <w:szCs w:val="17"/>
          <w:color w:val="auto"/>
        </w:rPr>
        <w:t xml:space="preserve"> Stock Options, Shares), (ii) becoming aware of the event giving rise to the notification</w:t>
      </w:r>
    </w:p>
    <w:p>
      <w:pPr>
        <w:spacing w:after="0" w:line="20"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requirement, or (iii) becoming a director or secretary if such an interest exists at the time. This notification requirement also applies with respect to the</w:t>
      </w:r>
    </w:p>
    <w:p>
      <w:pPr>
        <w:sectPr>
          <w:pgSz w:w="11900" w:h="16838" w:orient="portrait"/>
          <w:cols w:equalWidth="0" w:num="1">
            <w:col w:w="11380"/>
          </w:cols>
          <w:pgMar w:left="240" w:top="341" w:right="279" w:bottom="0" w:gutter="0" w:footer="0" w:header="0"/>
        </w:sectPr>
      </w:pPr>
    </w:p>
    <w:bookmarkStart w:id="195" w:name="page196"/>
    <w:bookmarkEnd w:id="195"/>
    <w:p>
      <w:pPr>
        <w:ind w:right="200"/>
        <w:spacing w:after="0" w:line="277" w:lineRule="auto"/>
        <w:rPr>
          <w:sz w:val="20"/>
          <w:szCs w:val="20"/>
          <w:color w:val="auto"/>
        </w:rPr>
      </w:pPr>
      <w:r>
        <w:rPr>
          <w:rFonts w:ascii="Arial" w:cs="Arial" w:eastAsia="Arial" w:hAnsi="Arial"/>
          <w:sz w:val="18"/>
          <w:szCs w:val="18"/>
          <w:color w:val="auto"/>
        </w:rPr>
        <w:t>interests of a spouse or minor children (whose interests will be attributed to the director, shadow director or secretary, as the case may be). The Holder may contact Stock Plan Administration to obtain a sample form that can be used to satisfy this notification requirement.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FOR ITALY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 xml:space="preserve">Cashless Exercise Restriction. </w:t>
      </w:r>
      <w:r>
        <w:rPr>
          <w:rFonts w:ascii="Arial" w:cs="Arial" w:eastAsia="Arial" w:hAnsi="Arial"/>
          <w:sz w:val="17"/>
          <w:szCs w:val="17"/>
          <w:color w:val="auto"/>
        </w:rPr>
        <w:t>Notwithstanding any provision of the Award Terms to the contrary, due to regulatory requirements in Italy, the Holder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required to pay the Exercise Price by a full cashless method of exercise, whereby upon exercise of the Stock Option, the Holder immediately sells all of the Shares being purchased upon such exercise through a brokerage firm acceptable to the Company and the proceeds of such sale, less an amount in cash equal to the Exercise Price for the Shares being so purchased, any Withholding Taxes and any brokers’ fees or commissions, are remitted to the Holder. The Company reserves the right to provide the Holder with additional methods of exercise depending on local developments.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This provision replaces Section 16 of the Award Terms:</w:t>
      </w:r>
    </w:p>
    <w:p>
      <w:pPr>
        <w:spacing w:after="0" w:line="229"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The Holder understands that the Employer, the Company, and any other entity in the Company Group may hold certain personal information about the Holder, including, without limitation, the Holder’s name, home address, email address and telephone number, date of birth, passport, social insurance number or other identification number, salary, nationality, job title, any directorships held in the Company or any other entity in the Company Group, any Shares owned, details of all options to purchase Shares, or any other entitlement to Shares awarded, canceled, exercised, vested, unvested, or outstanding in the Holder’s favor (the “Data”), for the purpose of implementing, managing, and administering the Plan and in compliance with applicable laws and regulations.</w:t>
      </w:r>
    </w:p>
    <w:p>
      <w:pPr>
        <w:spacing w:after="0" w:line="19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b w:val="1"/>
          <w:bCs w:val="1"/>
          <w:i w:val="1"/>
          <w:iCs w:val="1"/>
          <w:color w:val="auto"/>
        </w:rPr>
        <w:t>The Holder also understands that providing the Company with the Data is mandatory for compliance with local law and necessary for the performance of the Plan and that his or her denial to provide the Data would make it impossible for the Company to perform its contractual obligations and may affect the Holder’s ability to participate in the Plan. The Controller of personal data processing is Activision Blizzard, Inc., with registered offices at 3100 Ocean Park Blvd., Suite 1000, Santa Monica, California 90405, United States of America, and, pursuant to Legislative Decree no. 196/2003, its representative in Italy is Activision Italia, S.r.l, Corso Sempione 221, 20025 Legnano (MI), Italy.</w:t>
      </w:r>
    </w:p>
    <w:p>
      <w:pPr>
        <w:spacing w:after="0" w:line="173"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b w:val="1"/>
          <w:bCs w:val="1"/>
          <w:i w:val="1"/>
          <w:iCs w:val="1"/>
          <w:color w:val="auto"/>
        </w:rPr>
        <w:t>The Holder understands that the Data will not be publicized, but it may be transferred to the Equity Account Administrator, or any other financial institution or broker involved in the management and administration of the Plan. The Holder further understands that the Company and/or any entity in the Company Group will transfer the Data amongst themselves as necessary for the purpose of implementing, administering, and managing the Holder’s participation in the Plan, and that the Company and/or any entity in the Company Group may each further transfer the Data to third parties assisting the Company in the implementation,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administration, and management of the Plan, including any requisite transfer to the Equity Account Administrator or other third party with whom the Holder may elect to deposit any Shares purchased under the Plan. Such recipients may receive, possess, use, retain, and transfer the Data in electronic or other form, for the purposes of implementing, administering and managing the Holder’s participation in the Plan. The Holder understands that these recipients may be located in or outside the European Economic Area, and may be located in the United States or elsewhere and in locations that might not provide the same level of protection as intended under Italian data privacy laws. Should the Company exercise its discretion in suspending all necessary legal obligations connected with the management and administration of the Plan, it will delete the Data as soon as it has accomplished all the necessary legal obligations connected with the management and administration of the Plan.</w:t>
      </w:r>
    </w:p>
    <w:p>
      <w:pPr>
        <w:spacing w:after="0" w:line="167"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b w:val="1"/>
          <w:bCs w:val="1"/>
          <w:i w:val="1"/>
          <w:iCs w:val="1"/>
          <w:color w:val="auto"/>
        </w:rPr>
        <w:t>The Holder understands that the processing of the Data in connection with the purposes specified above shall take place under automated or non-automated conditions, anonymously when possible, that comply with the purposes for which the Data is collected and with confidentiality and security provisions as set forth by applicable laws and regulations, including without limitation Legislative Decree no. 196/2003.</w:t>
      </w:r>
    </w:p>
    <w:p>
      <w:pPr>
        <w:spacing w:after="0" w:line="147"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b w:val="1"/>
          <w:bCs w:val="1"/>
          <w:i w:val="1"/>
          <w:iCs w:val="1"/>
          <w:color w:val="auto"/>
        </w:rPr>
        <w:t>The processing activity, including communication of the Data or transfer of the Data abroad (including outside of the European Economic Area), as herein specified and pursuant to applicable laws and regulations, does not require the Holder’s consent thereto, as the processing is necessary to performance of contractual obligations related to implementation, administration and management of the Plan. The Holder understands that, pursuant to Section 7 of the Legislative Decree no. 196/2003, he or she has the right to access, delete, update, correct, or stop, for legitimate reason, the processing of the Data. Furthermore, the Holder is aware that the Data will not be used for direct marketing purposes. In addition, the Data provided can be reviewed and questions or complaints can be addressed by contacting the Holder’s local human resources representative.</w:t>
      </w:r>
    </w:p>
    <w:p>
      <w:pPr>
        <w:spacing w:after="0" w:line="161" w:lineRule="exact"/>
        <w:rPr>
          <w:sz w:val="20"/>
          <w:szCs w:val="20"/>
          <w:color w:val="auto"/>
        </w:rPr>
      </w:pPr>
    </w:p>
    <w:p>
      <w:pPr>
        <w:jc w:val="both"/>
        <w:ind w:right="160"/>
        <w:spacing w:after="0" w:line="266" w:lineRule="auto"/>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accepting the grant of the Stock Option, the Holder acknowledges that he or she has received a copy of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Terms (including this Appendix) and has reviewed the Plan and the Award Terms (including this Appendix) in their entirety and fully understand and accept all provisions of the Plan and the Award Terms (including this Appendix).</w:t>
      </w:r>
    </w:p>
    <w:p>
      <w:pPr>
        <w:spacing w:after="0" w:line="180"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Holder further acknowledges that he or she has read and specifically and expressly approves the following sections of the Award Terms: Section 4 regarding “Termination of Employment;” Section 5 regarding “Tax Withholding;” Section 15 regarding the “Nature of the Grant;” Section 19 regarding the “Governing Law and Venue;” Section 24 regarding “Language;” and the Data Privacy Notice provision included in this Appendix.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ectPr>
          <w:pgSz w:w="11900" w:h="16838" w:orient="portrait"/>
          <w:cols w:equalWidth="0" w:num="1">
            <w:col w:w="11420"/>
          </w:cols>
          <w:pgMar w:left="240" w:top="125" w:right="239" w:bottom="59" w:gutter="0" w:footer="0" w:header="0"/>
        </w:sectPr>
      </w:pPr>
    </w:p>
    <w:bookmarkStart w:id="196" w:name="page197"/>
    <w:bookmarkEnd w:id="196"/>
    <w:p>
      <w:pPr>
        <w:ind w:right="80"/>
        <w:spacing w:after="0" w:line="313" w:lineRule="auto"/>
        <w:rPr>
          <w:sz w:val="20"/>
          <w:szCs w:val="20"/>
          <w:color w:val="auto"/>
        </w:rPr>
      </w:pPr>
      <w:r>
        <w:rPr>
          <w:rFonts w:ascii="Arial" w:cs="Arial" w:eastAsia="Arial" w:hAnsi="Arial"/>
          <w:sz w:val="17"/>
          <w:szCs w:val="17"/>
          <w:b w:val="1"/>
          <w:bCs w:val="1"/>
          <w:color w:val="auto"/>
        </w:rPr>
        <w:t xml:space="preserve">Foreign Asset/Account Reporting Notification. </w:t>
      </w:r>
      <w:r>
        <w:rPr>
          <w:rFonts w:ascii="Arial" w:cs="Arial" w:eastAsia="Arial" w:hAnsi="Arial"/>
          <w:sz w:val="17"/>
          <w:szCs w:val="17"/>
          <w:color w:val="auto"/>
        </w:rPr>
        <w:t>The Holder is required to report investments held abroad or foreign financial assets (</w:t>
      </w:r>
      <w:r>
        <w:rPr>
          <w:rFonts w:ascii="Arial" w:cs="Arial" w:eastAsia="Arial" w:hAnsi="Arial"/>
          <w:sz w:val="17"/>
          <w:szCs w:val="17"/>
          <w:i w:val="1"/>
          <w:iCs w:val="1"/>
          <w:color w:val="auto"/>
        </w:rPr>
        <w:t>e.g.</w:t>
      </w:r>
      <w:r>
        <w:rPr>
          <w:rFonts w:ascii="Arial" w:cs="Arial" w:eastAsia="Arial" w:hAnsi="Arial"/>
          <w:sz w:val="17"/>
          <w:szCs w:val="17"/>
          <w:color w:val="auto"/>
        </w:rPr>
        <w:t>, cash, Shares and</w:t>
      </w:r>
      <w:r>
        <w:rPr>
          <w:rFonts w:ascii="Arial" w:cs="Arial" w:eastAsia="Arial" w:hAnsi="Arial"/>
          <w:sz w:val="17"/>
          <w:szCs w:val="17"/>
          <w:b w:val="1"/>
          <w:bCs w:val="1"/>
          <w:color w:val="auto"/>
        </w:rPr>
        <w:t xml:space="preserve"> </w:t>
      </w:r>
      <w:r>
        <w:rPr>
          <w:rFonts w:ascii="Arial" w:cs="Arial" w:eastAsia="Arial" w:hAnsi="Arial"/>
          <w:sz w:val="17"/>
          <w:szCs w:val="17"/>
          <w:color w:val="auto"/>
        </w:rPr>
        <w:t>Stock Options) that may generate income taxable in Italy on an annual tax return (UNICO Form, RW Schedule) or on a special</w:t>
      </w:r>
    </w:p>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form if no tax return is due, irrespective of their value. The same reporting duties apply to Italian residents who, even if they do not directly hold investments abroad or foreign financial assets (</w:t>
      </w:r>
      <w:r>
        <w:rPr>
          <w:rFonts w:ascii="Arial" w:cs="Arial" w:eastAsia="Arial" w:hAnsi="Arial"/>
          <w:sz w:val="18"/>
          <w:szCs w:val="18"/>
          <w:i w:val="1"/>
          <w:iCs w:val="1"/>
          <w:color w:val="auto"/>
        </w:rPr>
        <w:t>e.g.</w:t>
      </w:r>
      <w:r>
        <w:rPr>
          <w:rFonts w:ascii="Arial" w:cs="Arial" w:eastAsia="Arial" w:hAnsi="Arial"/>
          <w:sz w:val="18"/>
          <w:szCs w:val="18"/>
          <w:color w:val="auto"/>
        </w:rPr>
        <w:t>, cash, Shares, Stock Options), are beneficial owners of the investment pursuant to Italian money laundering provisions. The Holder should consult his or her personal tax advisor for details regarding this requirement.</w:t>
      </w:r>
    </w:p>
    <w:p>
      <w:pPr>
        <w:spacing w:after="0" w:line="177"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Foreign Financial Assets Tax Notification. </w:t>
      </w:r>
      <w:r>
        <w:rPr>
          <w:rFonts w:ascii="Arial" w:cs="Arial" w:eastAsia="Arial" w:hAnsi="Arial"/>
          <w:sz w:val="18"/>
          <w:szCs w:val="18"/>
          <w:color w:val="auto"/>
        </w:rPr>
        <w:t>The fair market value of any Common Shares held outside of Italy is subject to an annual foreign assets tax.</w:t>
      </w:r>
      <w:r>
        <w:rPr>
          <w:rFonts w:ascii="Arial" w:cs="Arial" w:eastAsia="Arial" w:hAnsi="Arial"/>
          <w:sz w:val="18"/>
          <w:szCs w:val="18"/>
          <w:b w:val="1"/>
          <w:bCs w:val="1"/>
          <w:color w:val="auto"/>
        </w:rPr>
        <w:t xml:space="preserve"> </w:t>
      </w:r>
      <w:r>
        <w:rPr>
          <w:rFonts w:ascii="Arial" w:cs="Arial" w:eastAsia="Arial" w:hAnsi="Arial"/>
          <w:sz w:val="18"/>
          <w:szCs w:val="18"/>
          <w:color w:val="auto"/>
        </w:rPr>
        <w:t>The fair market value for this purpose is the value of the Common Shares on the Nasdaq Stock Market, Inc. on December 31 of the year or, for shares disposed of during the course of the year, on the last day the Holder held the Common Shares (in such case, or when the Common Shares are acquired during the course of the year, the tax is levied in proportion to the actual days of holding over the calendar year). The Holder should consult with his or her personal tax advisor about the foreign financial assets tax.</w:t>
      </w:r>
    </w:p>
    <w:p>
      <w:pPr>
        <w:spacing w:after="0" w:line="1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FOR JAPAN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jc w:val="both"/>
        <w:ind w:right="460"/>
        <w:spacing w:after="0" w:line="347" w:lineRule="auto"/>
        <w:rPr>
          <w:sz w:val="20"/>
          <w:szCs w:val="20"/>
          <w:color w:val="auto"/>
        </w:rPr>
      </w:pPr>
      <w:r>
        <w:rPr>
          <w:rFonts w:ascii="Arial" w:cs="Arial" w:eastAsia="Arial" w:hAnsi="Arial"/>
          <w:sz w:val="16"/>
          <w:szCs w:val="16"/>
          <w:b w:val="1"/>
          <w:bCs w:val="1"/>
          <w:color w:val="auto"/>
        </w:rPr>
        <w:t xml:space="preserve">Exchange Control Notification. </w:t>
      </w:r>
      <w:r>
        <w:rPr>
          <w:rFonts w:ascii="Arial" w:cs="Arial" w:eastAsia="Arial" w:hAnsi="Arial"/>
          <w:sz w:val="16"/>
          <w:szCs w:val="16"/>
          <w:color w:val="auto"/>
        </w:rPr>
        <w:t>If the Holder is a Japanese resident and acquires Shares valued at more than ¥100,000,000 in a single transaction,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Holder must file a Securities Acquisition Report with the Ministry of Finance through the Bank of Japan within 20 days of the purchase of such Shares.</w:t>
      </w:r>
    </w:p>
    <w:p>
      <w:pPr>
        <w:spacing w:after="0" w:line="120" w:lineRule="exact"/>
        <w:rPr>
          <w:sz w:val="20"/>
          <w:szCs w:val="20"/>
          <w:color w:val="auto"/>
        </w:rPr>
      </w:pPr>
    </w:p>
    <w:p>
      <w:pPr>
        <w:ind w:right="140"/>
        <w:spacing w:after="0" w:line="203" w:lineRule="auto"/>
        <w:rPr>
          <w:sz w:val="20"/>
          <w:szCs w:val="20"/>
          <w:color w:val="auto"/>
        </w:rPr>
      </w:pPr>
      <w:r>
        <w:rPr>
          <w:rFonts w:ascii="Arial" w:cs="Arial" w:eastAsia="Arial" w:hAnsi="Arial"/>
          <w:sz w:val="18"/>
          <w:szCs w:val="18"/>
          <w:color w:val="auto"/>
        </w:rPr>
        <w:t>In addition, if the Holder is a Japanese resident and pays more than ¥30,000,000 in a single transaction for the purchase of Shares upon the exercise of the Stock Option, the Holder must file a Payment Report with the Ministry of Finance through the Bank of Japan by the 20</w:t>
      </w:r>
      <w:r>
        <w:rPr>
          <w:rFonts w:ascii="Arial" w:cs="Arial" w:eastAsia="Arial" w:hAnsi="Arial"/>
          <w:sz w:val="36"/>
          <w:szCs w:val="36"/>
          <w:color w:val="auto"/>
          <w:vertAlign w:val="superscript"/>
        </w:rPr>
        <w:t>th</w:t>
      </w:r>
      <w:r>
        <w:rPr>
          <w:rFonts w:ascii="Arial" w:cs="Arial" w:eastAsia="Arial" w:hAnsi="Arial"/>
          <w:sz w:val="18"/>
          <w:szCs w:val="18"/>
          <w:color w:val="auto"/>
        </w:rPr>
        <w:t xml:space="preserve"> day of the month following the month in which the payment was made. The precise reporting requirements vary depending on whether or not the relevant payment is made through a bank in Japan.</w:t>
      </w:r>
    </w:p>
    <w:p>
      <w:pPr>
        <w:spacing w:after="0" w:line="205"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A Payment Report is required independently from a Securities Acquisition Report. Therefore, if the total amount that the Holder pays upon a one-time transaction for exercising the Stock Option and purchasing Shares exceeds ¥100,000,000, then the Holder must file both a Payment Report and a Securities Acquisition Report.</w:t>
      </w:r>
    </w:p>
    <w:p>
      <w:pPr>
        <w:spacing w:after="0" w:line="177" w:lineRule="exact"/>
        <w:rPr>
          <w:sz w:val="20"/>
          <w:szCs w:val="20"/>
          <w:color w:val="auto"/>
        </w:rPr>
      </w:pPr>
    </w:p>
    <w:p>
      <w:pPr>
        <w:spacing w:after="0" w:line="261" w:lineRule="auto"/>
        <w:rPr>
          <w:sz w:val="20"/>
          <w:szCs w:val="20"/>
          <w:color w:val="auto"/>
        </w:rPr>
      </w:pPr>
      <w:r>
        <w:rPr>
          <w:rFonts w:ascii="Arial" w:cs="Arial" w:eastAsia="Arial" w:hAnsi="Arial"/>
          <w:sz w:val="16"/>
          <w:szCs w:val="16"/>
          <w:b w:val="1"/>
          <w:bCs w:val="1"/>
          <w:color w:val="auto"/>
        </w:rPr>
        <w:t xml:space="preserve">Foreign Asset/Account Reporting Notification. </w:t>
      </w:r>
      <w:r>
        <w:rPr>
          <w:rFonts w:ascii="Arial" w:cs="Arial" w:eastAsia="Arial" w:hAnsi="Arial"/>
          <w:sz w:val="16"/>
          <w:szCs w:val="16"/>
          <w:color w:val="auto"/>
        </w:rPr>
        <w:t>The Holder will be required to report details of any assets (including any Shares acquired under the Plan)</w:t>
      </w:r>
      <w:r>
        <w:rPr>
          <w:rFonts w:ascii="Arial" w:cs="Arial" w:eastAsia="Arial" w:hAnsi="Arial"/>
          <w:sz w:val="16"/>
          <w:szCs w:val="16"/>
          <w:b w:val="1"/>
          <w:bCs w:val="1"/>
          <w:color w:val="auto"/>
        </w:rPr>
        <w:t xml:space="preserve"> </w:t>
      </w:r>
      <w:r>
        <w:rPr>
          <w:rFonts w:ascii="Arial" w:cs="Arial" w:eastAsia="Arial" w:hAnsi="Arial"/>
          <w:sz w:val="16"/>
          <w:szCs w:val="16"/>
          <w:color w:val="auto"/>
        </w:rPr>
        <w:t>held outside of Japan as of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year, to the extent such assets have a total net fair market value exceeding ¥50,000,000. Such report will be due by March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following year. The Holder should consult with his or her personal tax advisor as to whether the reporting obligation applies to the Holder and whether the Holder will be required to report details of any outstanding Stock Options or Shares held by the Holder in the report.</w:t>
      </w:r>
    </w:p>
    <w:p>
      <w:pPr>
        <w:spacing w:after="0" w:line="18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FOR KOREA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Exchange control laws require Korean residents who realize US$500,000 or more from the sale of Shares or the receipt of</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paid on such Shares in a single transaction to repatriate the proceeds to Korea within 36 months of receipt.</w:t>
      </w:r>
    </w:p>
    <w:p>
      <w:pPr>
        <w:spacing w:after="0" w:line="166"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If the Holder remits funds out of Korea to pay the Exercise Price, the remittance of funds must be confirmed by a foreign exchange bank in Korea. This confirmation is not necessary if the Holder pays the Exercise Price through an arrangement with a broker approved by the Company whereby payment of the Exercise Price is accomplished with the proceeds of the sale of Shares, because in this case there is no remittance of funds out of Korea.</w:t>
      </w:r>
    </w:p>
    <w:p>
      <w:pPr>
        <w:spacing w:after="0" w:line="162"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Foreign Asset/Account Reporting Notification. </w:t>
      </w:r>
      <w:r>
        <w:rPr>
          <w:rFonts w:ascii="Arial" w:cs="Arial" w:eastAsia="Arial" w:hAnsi="Arial"/>
          <w:sz w:val="17"/>
          <w:szCs w:val="17"/>
          <w:color w:val="auto"/>
        </w:rPr>
        <w:t>Korean residents must declare all foreign financial accounts (</w:t>
      </w:r>
      <w:r>
        <w:rPr>
          <w:rFonts w:ascii="Arial" w:cs="Arial" w:eastAsia="Arial" w:hAnsi="Arial"/>
          <w:sz w:val="17"/>
          <w:szCs w:val="17"/>
          <w:i w:val="1"/>
          <w:iCs w:val="1"/>
          <w:color w:val="auto"/>
        </w:rPr>
        <w:t>e.g.</w:t>
      </w:r>
      <w:r>
        <w:rPr>
          <w:rFonts w:ascii="Arial" w:cs="Arial" w:eastAsia="Arial" w:hAnsi="Arial"/>
          <w:sz w:val="17"/>
          <w:szCs w:val="17"/>
          <w:color w:val="auto"/>
        </w:rPr>
        <w:t>, non-Korean bank accounts, brokerage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etc.) in countries that have not entered into an “intergovernmental agreement for automatic exchange of tax information” with Korea to the Korean tax authority and file a report with respect to such accounts if the value of such accounts exceeds KRW 1 billion (or an equivalent amount in foreign currency). The Holder should consult with his or her personal tax advisor to determine how to value the Holder’s foreign accounts for purposes of this reporting requirement and whether the Holder is required to file a report with respect to such accounts.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1" w:right="279" w:bottom="0" w:gutter="0" w:footer="0" w:header="0"/>
        </w:sectPr>
      </w:pPr>
    </w:p>
    <w:bookmarkStart w:id="197" w:name="page198"/>
    <w:bookmarkEnd w:id="197"/>
    <w:p>
      <w:pPr>
        <w:jc w:val="center"/>
        <w:ind w:right="-39"/>
        <w:spacing w:after="0"/>
        <w:rPr>
          <w:sz w:val="20"/>
          <w:szCs w:val="20"/>
          <w:color w:val="auto"/>
        </w:rPr>
      </w:pPr>
      <w:r>
        <w:rPr>
          <w:rFonts w:ascii="Arial" w:cs="Arial" w:eastAsia="Arial" w:hAnsi="Arial"/>
          <w:sz w:val="18"/>
          <w:szCs w:val="18"/>
          <w:b w:val="1"/>
          <w:bCs w:val="1"/>
          <w:color w:val="auto"/>
        </w:rPr>
        <w:t>APPENDIX FOR MEXICO</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 xml:space="preserve">Acknowledgement of the Award Terms. </w:t>
      </w:r>
      <w:r>
        <w:rPr>
          <w:rFonts w:ascii="Arial" w:cs="Arial" w:eastAsia="Arial" w:hAnsi="Arial"/>
          <w:sz w:val="18"/>
          <w:szCs w:val="18"/>
          <w:color w:val="auto"/>
        </w:rPr>
        <w:t>By accepting the Stock Option, the Holder acknowledges that he or she has received a copy of the Plan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Award Terms, including this Appendix, which he or she has reviewed. The Holder further acknowledges that he or she accepts all the provisions of the Plan and the Award Terms, including this Appendix. The Holder also acknowledges that he or she has read and specifically and expressly approves the terms and conditions set forth in Section 15 of the Award Terms, which clearly provide as follows:</w:t>
      </w:r>
    </w:p>
    <w:p>
      <w:pPr>
        <w:spacing w:after="0" w:line="184" w:lineRule="exact"/>
        <w:rPr>
          <w:sz w:val="20"/>
          <w:szCs w:val="20"/>
          <w:color w:val="auto"/>
        </w:rPr>
      </w:pPr>
    </w:p>
    <w:p>
      <w:pPr>
        <w:ind w:left="1320" w:hanging="664"/>
        <w:spacing w:after="0"/>
        <w:tabs>
          <w:tab w:leader="none" w:pos="13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Holder’s participation in the Plan does not constitute an acquired right;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Plan and the Holder’s participation in it are offered by the Company on a wholly discretionary basis;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Holder’s participation in the Plan is voluntary; and</w:t>
      </w:r>
    </w:p>
    <w:p>
      <w:pPr>
        <w:spacing w:after="0" w:line="225" w:lineRule="exact"/>
        <w:rPr>
          <w:rFonts w:ascii="Arial" w:cs="Arial" w:eastAsia="Arial" w:hAnsi="Arial"/>
          <w:sz w:val="18"/>
          <w:szCs w:val="18"/>
          <w:color w:val="auto"/>
        </w:rPr>
      </w:pPr>
    </w:p>
    <w:p>
      <w:pPr>
        <w:ind w:left="1300" w:right="680" w:hanging="644"/>
        <w:spacing w:after="0" w:line="277" w:lineRule="auto"/>
        <w:tabs>
          <w:tab w:leader="none" w:pos="1307"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Company and any entity in the Company Group are not responsible for any decrease in the value of any Shares acquired upon settlement of the Stock Option.</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Labor Law Acknowledgement and Policy Statement. </w:t>
      </w:r>
      <w:r>
        <w:rPr>
          <w:rFonts w:ascii="Arial" w:cs="Arial" w:eastAsia="Arial" w:hAnsi="Arial"/>
          <w:sz w:val="18"/>
          <w:szCs w:val="18"/>
          <w:color w:val="auto"/>
        </w:rPr>
        <w:t>By accepting the Stock Option, the Holder acknowledges that the Company, with registered offices</w:t>
      </w:r>
      <w:r>
        <w:rPr>
          <w:rFonts w:ascii="Arial" w:cs="Arial" w:eastAsia="Arial" w:hAnsi="Arial"/>
          <w:sz w:val="18"/>
          <w:szCs w:val="18"/>
          <w:b w:val="1"/>
          <w:bCs w:val="1"/>
          <w:color w:val="auto"/>
        </w:rPr>
        <w:t xml:space="preserve"> </w:t>
      </w:r>
      <w:r>
        <w:rPr>
          <w:rFonts w:ascii="Arial" w:cs="Arial" w:eastAsia="Arial" w:hAnsi="Arial"/>
          <w:sz w:val="18"/>
          <w:szCs w:val="18"/>
          <w:color w:val="auto"/>
        </w:rPr>
        <w:t>at 3100 Ocean Park Boulevard, Santa Monica, California 90405, U.S.A., is solely responsible for the administration of the Plan. The Holder further acknowledges that his or her participation in the Plan, the grant of the Stock Option and any acquisition of Shares under the Plan do not constitute an employment relationship between the Holder and the Company because the Holder is participating in the Plan on a wholly commercial basis and his or her sole employer is Actibliz Mexico S. de RL de CV, Tihuatlan 41,602, San Jerónimo Aculco, Federal District, México (“Activision-Mexico”). Based on the foregoing, the Holder expressly acknowledges that the Plan and the benefits that he or she may derive from participation in the Plan do not establish any rights between the Holder and his or her employer, Activision-Mexico, and do not form part of the employment conditions and/or benefits provided by Activision-Mexico, and any modification of the Plan or its termination shall not constitute a change or impairment of the terms and conditions of the Holder’s employment.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Holder further understands that his or her participation in the Plan is the result of a unilateral and discretionary decision of the Company and, therefore, the Company reserves the absolute right to amend and/or discontinue the Holder’s participation in the Plan at any time, without any liability to the Holder.</w:t>
      </w:r>
    </w:p>
    <w:p>
      <w:pPr>
        <w:spacing w:after="0" w:line="1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Finally, the Holder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SPANISH TRANSLATION</w:t>
      </w:r>
    </w:p>
    <w:p>
      <w:pPr>
        <w:spacing w:after="0" w:line="225"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b w:val="1"/>
          <w:bCs w:val="1"/>
          <w:i w:val="1"/>
          <w:iCs w:val="1"/>
          <w:color w:val="auto"/>
        </w:rPr>
        <w:t xml:space="preserve">Reconicimiento de los terminos del otorgamiento de acciones. </w:t>
      </w:r>
      <w:r>
        <w:rPr>
          <w:rFonts w:ascii="Arial" w:cs="Arial" w:eastAsia="Arial" w:hAnsi="Arial"/>
          <w:sz w:val="16"/>
          <w:szCs w:val="16"/>
          <w:i w:val="1"/>
          <w:iCs w:val="1"/>
          <w:color w:val="auto"/>
        </w:rPr>
        <w:t>Al aceptar las Opciones Acciones, el Tenedor reconoce que ha recibido una copia del Plan y</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de los Términos del Otorgamiento de acciones, incluyendo este anexo, los cuales ha revisado. El Tenedor también reconoce que acepta los términos del Plan y del Otorgamiento de Acciones, incluyendo este anexo. Así mismo el Tenedor reconoce que ha leído y expresamente aprueba los términos y condiciones establecidas en la cláusula 15 del los Términos de Otorgamiento de Acciones, las cuales claramente establecen lo siguiente:</w:t>
      </w:r>
    </w:p>
    <w:p>
      <w:pPr>
        <w:spacing w:after="0" w:line="154" w:lineRule="exact"/>
        <w:rPr>
          <w:sz w:val="20"/>
          <w:szCs w:val="20"/>
          <w:color w:val="auto"/>
        </w:rPr>
      </w:pPr>
    </w:p>
    <w:p>
      <w:pPr>
        <w:ind w:left="260" w:hanging="252"/>
        <w:spacing w:after="0"/>
        <w:tabs>
          <w:tab w:leader="none" w:pos="260" w:val="left"/>
        </w:tabs>
        <w:numPr>
          <w:ilvl w:val="0"/>
          <w:numId w:val="182"/>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Tenedor en el Plan no constituye un derecho adquirido</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182"/>
        </w:numPr>
        <w:rPr>
          <w:rFonts w:ascii="Arial" w:cs="Arial" w:eastAsia="Arial" w:hAnsi="Arial"/>
          <w:sz w:val="18"/>
          <w:szCs w:val="18"/>
          <w:i w:val="1"/>
          <w:iCs w:val="1"/>
          <w:color w:val="auto"/>
        </w:rPr>
      </w:pPr>
      <w:r>
        <w:rPr>
          <w:rFonts w:ascii="Arial" w:cs="Arial" w:eastAsia="Arial" w:hAnsi="Arial"/>
          <w:sz w:val="18"/>
          <w:szCs w:val="18"/>
          <w:i w:val="1"/>
          <w:iCs w:val="1"/>
          <w:color w:val="auto"/>
        </w:rPr>
        <w:t>El plan y la participación del Tenedor en dicho Plan son ofrecidos por la Empresa en forma totalmente discrecional.</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182"/>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Tenedor en el Plan es voluntaria; y</w:t>
      </w:r>
    </w:p>
    <w:p>
      <w:pPr>
        <w:spacing w:after="0" w:line="225" w:lineRule="exact"/>
        <w:rPr>
          <w:rFonts w:ascii="Arial" w:cs="Arial" w:eastAsia="Arial" w:hAnsi="Arial"/>
          <w:sz w:val="18"/>
          <w:szCs w:val="18"/>
          <w:i w:val="1"/>
          <w:iCs w:val="1"/>
          <w:color w:val="auto"/>
        </w:rPr>
      </w:pPr>
    </w:p>
    <w:p>
      <w:pPr>
        <w:ind w:right="120" w:firstLine="8"/>
        <w:spacing w:after="0" w:line="277" w:lineRule="auto"/>
        <w:tabs>
          <w:tab w:leader="none" w:pos="255" w:val="left"/>
        </w:tabs>
        <w:numPr>
          <w:ilvl w:val="0"/>
          <w:numId w:val="182"/>
        </w:numPr>
        <w:rPr>
          <w:rFonts w:ascii="Arial" w:cs="Arial" w:eastAsia="Arial" w:hAnsi="Arial"/>
          <w:sz w:val="18"/>
          <w:szCs w:val="18"/>
          <w:i w:val="1"/>
          <w:iCs w:val="1"/>
          <w:color w:val="auto"/>
        </w:rPr>
      </w:pPr>
      <w:r>
        <w:rPr>
          <w:rFonts w:ascii="Arial" w:cs="Arial" w:eastAsia="Arial" w:hAnsi="Arial"/>
          <w:sz w:val="18"/>
          <w:szCs w:val="18"/>
          <w:i w:val="1"/>
          <w:iCs w:val="1"/>
          <w:color w:val="auto"/>
        </w:rPr>
        <w:t>La Empresa y cualquier empresa del Grupo de Empresas no son responsables por la reducción en el valor de las acciones comunes que sean adquiridas en virtud de las Opciones Accionarias.</w:t>
      </w:r>
    </w:p>
    <w:p>
      <w:pPr>
        <w:spacing w:after="0" w:line="170"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b w:val="1"/>
          <w:bCs w:val="1"/>
          <w:i w:val="1"/>
          <w:iCs w:val="1"/>
          <w:color w:val="auto"/>
        </w:rPr>
        <w:t>Política de Ley Laboral y Reconocimiento</w:t>
      </w:r>
      <w:r>
        <w:rPr>
          <w:rFonts w:ascii="Arial" w:cs="Arial" w:eastAsia="Arial" w:hAnsi="Arial"/>
          <w:sz w:val="18"/>
          <w:szCs w:val="18"/>
          <w:i w:val="1"/>
          <w:iCs w:val="1"/>
          <w:color w:val="auto"/>
        </w:rPr>
        <w:t>. Al aceptar las Opciones Accionarias, el Tenedor expresamente reconoce que la Empresa, con domicilio ubicado</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 310 Ocean Park Boulevard, Santa Mónica, California, 90405 U.S.A. es el único responsable para la administración de Plan y que su participación en los Plan y adquisición de acciones no constituye una relación de trabajo entre la Empresa y el Tenedor, toda vez que su participación en el Plan es totalmente en base a una relación comercial entre mi único patrón Actibliz Mexico S. de RL de CV, Tihuatlan 41,602, San Jerónimo Aculco, Federal District, México (“Activision Mexico”) Derivado de lo anterior, el Tenedor expresamente reconoce que el Plan y beneficios que pudieran derivar de su participación en el Plan no establecen derechos entre mi único patrón Activision Mexico y el suscrito, no forman parte de mis condiciones y/o prestaciones de trabajo otorgadas por Ativision Mexico y cualquier modificación del Plan o su terminación no constituye un cambio o detrimento en los términos y condiciones de mi relación de trabajo.</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580" w:right="279" w:bottom="289" w:gutter="0" w:footer="0" w:header="0"/>
        </w:sectPr>
      </w:pPr>
    </w:p>
    <w:bookmarkStart w:id="198" w:name="page199"/>
    <w:bookmarkEnd w:id="198"/>
    <w:p>
      <w:pPr>
        <w:jc w:val="both"/>
        <w:ind w:right="140"/>
        <w:spacing w:after="0" w:line="342" w:lineRule="auto"/>
        <w:rPr>
          <w:sz w:val="20"/>
          <w:szCs w:val="20"/>
          <w:color w:val="auto"/>
        </w:rPr>
      </w:pPr>
      <w:r>
        <w:rPr>
          <w:rFonts w:ascii="Arial" w:cs="Arial" w:eastAsia="Arial" w:hAnsi="Arial"/>
          <w:sz w:val="16"/>
          <w:szCs w:val="16"/>
          <w:i w:val="1"/>
          <w:iCs w:val="1"/>
          <w:color w:val="auto"/>
        </w:rPr>
        <w:t>Asimismo, el Tenedor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Tenedor.</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Finalmente, en este acto el Tenedor declara que no se reserva acción o derecho alguno para presentar cualquier reclamación en contra de la Empresa por cualquier compensación o daño en relación con cualquier disposición del Plan o de los beneficios derivados del Plan y, por lo tanto, usted otorga el más amplio y total finiquito a la Empresa, sus afiliadas, sucursales, oficinas de representación, accionistas, funcionarios, agentes o representantes en relación con cualquier reclamación que pudiera surgir.</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THE NETHERLANDS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This provision supplements Section 15 of the Award Terms: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accepting the grant of the Stock Option, the Holder acknowledges that the Stock Option granted under the Plan is intended as an incentive for the Holder to remain employed with the Employer and is not intended as remuneration for labor performed.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NORWAY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ROMANIA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If the Holder deposits the proceeds from the sale of Shares issued to him or her at exercise of the Stock Option or any cash</w:t>
      </w:r>
      <w:r>
        <w:rPr>
          <w:rFonts w:ascii="Arial" w:cs="Arial" w:eastAsia="Arial" w:hAnsi="Arial"/>
          <w:sz w:val="18"/>
          <w:szCs w:val="18"/>
          <w:b w:val="1"/>
          <w:bCs w:val="1"/>
          <w:color w:val="auto"/>
        </w:rPr>
        <w:t xml:space="preserve"> </w:t>
      </w:r>
      <w:r>
        <w:rPr>
          <w:rFonts w:ascii="Arial" w:cs="Arial" w:eastAsia="Arial" w:hAnsi="Arial"/>
          <w:sz w:val="18"/>
          <w:szCs w:val="18"/>
          <w:color w:val="auto"/>
        </w:rPr>
        <w:t>dividends or dividend equivalent payments in a bank account in Romania, the Holder may be required to provide the Romanian bank with appropriate documentation explaining the source of the funds.</w:t>
      </w:r>
    </w:p>
    <w:p>
      <w:pPr>
        <w:spacing w:after="0" w:line="180" w:lineRule="exact"/>
        <w:rPr>
          <w:sz w:val="20"/>
          <w:szCs w:val="20"/>
          <w:color w:val="auto"/>
        </w:rPr>
      </w:pPr>
    </w:p>
    <w:p>
      <w:pPr>
        <w:jc w:val="center"/>
        <w:ind w:right="80"/>
        <w:spacing w:after="0"/>
        <w:rPr>
          <w:sz w:val="20"/>
          <w:szCs w:val="20"/>
          <w:color w:val="auto"/>
        </w:rPr>
      </w:pPr>
      <w:r>
        <w:rPr>
          <w:rFonts w:ascii="Arial" w:cs="Arial" w:eastAsia="Arial" w:hAnsi="Arial"/>
          <w:sz w:val="16"/>
          <w:szCs w:val="16"/>
          <w:color w:val="auto"/>
        </w:rPr>
        <w:t>The Holder should consult his or her personal advisor to determine whether the Holder will be required to submit such documentation to the Romanian bank.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SINGAPORE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120"/>
        <w:spacing w:after="0" w:line="314" w:lineRule="auto"/>
        <w:rPr>
          <w:sz w:val="20"/>
          <w:szCs w:val="20"/>
          <w:color w:val="auto"/>
        </w:rPr>
      </w:pPr>
      <w:r>
        <w:rPr>
          <w:rFonts w:ascii="Arial" w:cs="Arial" w:eastAsia="Arial" w:hAnsi="Arial"/>
          <w:sz w:val="16"/>
          <w:szCs w:val="16"/>
          <w:b w:val="1"/>
          <w:bCs w:val="1"/>
          <w:color w:val="auto"/>
        </w:rPr>
        <w:t>Securities Law Notification</w:t>
      </w:r>
      <w:r>
        <w:rPr>
          <w:rFonts w:ascii="Arial" w:cs="Arial" w:eastAsia="Arial" w:hAnsi="Arial"/>
          <w:sz w:val="16"/>
          <w:szCs w:val="16"/>
          <w:b w:val="1"/>
          <w:bCs w:val="1"/>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The grant of the Stock Option is being made pursuant to the “Qualifying Person exemption” under section 273(1)(f)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and Futures Act (Chapter 289, 2006 Ed.) (the </w:t>
      </w:r>
      <w:r>
        <w:rPr>
          <w:rFonts w:ascii="Arial" w:cs="Arial" w:eastAsia="Arial" w:hAnsi="Arial"/>
          <w:sz w:val="16"/>
          <w:szCs w:val="16"/>
          <w:i w:val="1"/>
          <w:iCs w:val="1"/>
          <w:color w:val="auto"/>
        </w:rPr>
        <w:t>“</w:t>
      </w:r>
      <w:r>
        <w:rPr>
          <w:rFonts w:ascii="Arial" w:cs="Arial" w:eastAsia="Arial" w:hAnsi="Arial"/>
          <w:sz w:val="16"/>
          <w:szCs w:val="16"/>
          <w:color w:val="auto"/>
        </w:rPr>
        <w:t>SFA</w:t>
      </w:r>
      <w:r>
        <w:rPr>
          <w:rFonts w:ascii="Arial" w:cs="Arial" w:eastAsia="Arial" w:hAnsi="Arial"/>
          <w:sz w:val="16"/>
          <w:szCs w:val="16"/>
          <w:i w:val="1"/>
          <w:iCs w:val="1"/>
          <w:color w:val="auto"/>
        </w:rPr>
        <w:t>”</w:t>
      </w:r>
      <w:r>
        <w:rPr>
          <w:rFonts w:ascii="Arial" w:cs="Arial" w:eastAsia="Arial" w:hAnsi="Arial"/>
          <w:sz w:val="16"/>
          <w:szCs w:val="16"/>
          <w:color w:val="auto"/>
        </w:rPr>
        <w:t>). The Plan has not been lodged or registered as a prospectus with the Monetary Authority of Singapore. The Holder should note that the Stock Option is subject to section 257 of the SFA and the Holder should not make (i) any subsequent sale of</w:t>
      </w:r>
    </w:p>
    <w:p>
      <w:pPr>
        <w:sectPr>
          <w:pgSz w:w="11900" w:h="16838" w:orient="portrait"/>
          <w:cols w:equalWidth="0" w:num="1">
            <w:col w:w="11420"/>
          </w:cols>
          <w:pgMar w:left="240" w:top="341" w:right="239" w:bottom="0" w:gutter="0" w:footer="0" w:header="0"/>
        </w:sectPr>
      </w:pPr>
    </w:p>
    <w:bookmarkStart w:id="199" w:name="page200"/>
    <w:bookmarkEnd w:id="199"/>
    <w:p>
      <w:pPr>
        <w:ind w:right="160"/>
        <w:spacing w:after="0" w:line="342" w:lineRule="auto"/>
        <w:rPr>
          <w:sz w:val="20"/>
          <w:szCs w:val="20"/>
          <w:color w:val="auto"/>
        </w:rPr>
      </w:pPr>
      <w:r>
        <w:rPr>
          <w:rFonts w:ascii="Arial" w:cs="Arial" w:eastAsia="Arial" w:hAnsi="Arial"/>
          <w:sz w:val="16"/>
          <w:szCs w:val="16"/>
          <w:color w:val="auto"/>
        </w:rPr>
        <w:t>Shares in Singapore or (ii) any offer of such subsequent sale of Shares subject to the Stock Option in Singapore, unless such sale or offer in is made (a) after six months of the Date of Grant, or (b) pursuant to the exemptions under Part XIII Division (1) Subdivision (4) (other than section 280) of the SFA.</w:t>
      </w:r>
    </w:p>
    <w:p>
      <w:pPr>
        <w:spacing w:after="0" w:line="120"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Chief Executive Officer and Director Notification Requirements. </w:t>
      </w:r>
      <w:r>
        <w:rPr>
          <w:rFonts w:ascii="Arial" w:cs="Arial" w:eastAsia="Arial" w:hAnsi="Arial"/>
          <w:sz w:val="18"/>
          <w:szCs w:val="18"/>
          <w:color w:val="auto"/>
        </w:rPr>
        <w:t>If the Holder is a chief executive officer, director of a Singapore Subsidiary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Holder must notify the Singapore Subsidiary in writing within two business days of: (i) receiving or disposing of an interest (</w:t>
      </w:r>
      <w:r>
        <w:rPr>
          <w:rFonts w:ascii="Arial" w:cs="Arial" w:eastAsia="Arial" w:hAnsi="Arial"/>
          <w:sz w:val="18"/>
          <w:szCs w:val="18"/>
          <w:i w:val="1"/>
          <w:iCs w:val="1"/>
          <w:color w:val="auto"/>
        </w:rPr>
        <w:t>e.g.</w:t>
      </w:r>
      <w:r>
        <w:rPr>
          <w:rFonts w:ascii="Arial" w:cs="Arial" w:eastAsia="Arial" w:hAnsi="Arial"/>
          <w:sz w:val="18"/>
          <w:szCs w:val="18"/>
          <w:color w:val="auto"/>
        </w:rPr>
        <w:t>, Stock Options, Shares) in the Company (ii) any change in a previously disclosed interest (</w:t>
      </w:r>
      <w:r>
        <w:rPr>
          <w:rFonts w:ascii="Arial" w:cs="Arial" w:eastAsia="Arial" w:hAnsi="Arial"/>
          <w:sz w:val="18"/>
          <w:szCs w:val="18"/>
          <w:i w:val="1"/>
          <w:iCs w:val="1"/>
          <w:color w:val="auto"/>
        </w:rPr>
        <w:t>e.g.</w:t>
      </w:r>
      <w:r>
        <w:rPr>
          <w:rFonts w:ascii="Arial" w:cs="Arial" w:eastAsia="Arial" w:hAnsi="Arial"/>
          <w:sz w:val="18"/>
          <w:szCs w:val="18"/>
          <w:color w:val="auto"/>
        </w:rPr>
        <w:t>, exercise of Stock Options, Shares, etc.) or (iii) becoming a director if such an interest exists at the time. This notification requirement also applies to an associate director and to a shadow director (</w:t>
      </w:r>
      <w:r>
        <w:rPr>
          <w:rFonts w:ascii="Arial" w:cs="Arial" w:eastAsia="Arial" w:hAnsi="Arial"/>
          <w:sz w:val="18"/>
          <w:szCs w:val="18"/>
          <w:i w:val="1"/>
          <w:iCs w:val="1"/>
          <w:color w:val="auto"/>
        </w:rPr>
        <w:t>i.e.</w:t>
      </w:r>
      <w:r>
        <w:rPr>
          <w:rFonts w:ascii="Arial" w:cs="Arial" w:eastAsia="Arial" w:hAnsi="Arial"/>
          <w:sz w:val="18"/>
          <w:szCs w:val="18"/>
          <w:color w:val="auto"/>
        </w:rPr>
        <w:t>, an individual who is not on the board of directors but who has sufficient control so that the board of directors acts in accordance with the “directions and instructions” of the individual) of a Singapore Subsidiary or affiliate. The Holder may contact Stock Plan Administration to obtain a sample form that can be used to satisfy this notification requirement.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FOR SPAIN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This provision supplements Section 15 of the Award Terms: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 accepting the Stock Option, the Holder consents to participate in the Plan and acknowledges having received and read a copy of the Plan.</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Holder understands that the Company has unilaterally, gratuitously and discretionally decided to grant an Option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the Holder understands that the Stock Option is granted on the assumption and condition that such Option and any Shares acquired upon exercise of the Stock Option shall not become a part of any employment contract (either with the Company or any other entity in the Company Group) and shall not be considered a mandatory benefit, salary for any purposes (including severance compensation) or any other right whatsoever. In addition, the Holder understands that the Stock Option would not granted but for the assumptions and conditions referred to above; thus, the Holder acknowledges and freely accepts that should any or all of the assumptions be mistaken or should any of the conditions not be met for any reason, then any grant of the Stock Option shall be null and void.</w:t>
      </w:r>
    </w:p>
    <w:p>
      <w:pPr>
        <w:spacing w:after="0" w:line="166"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Further, the vesting of the Stock Options is expressly conditioned on the Holder’s active employment, such that if the Holder’s employment or service terminates for any reason whatsoever, the Stock Options cease vesting immediately effective on the date of termination of employment. This will be the case, for example, even if the Holder (1) is considered to be unfairly dismissed without good cause (i.e., subject to a “</w:t>
      </w:r>
      <w:r>
        <w:rPr>
          <w:rFonts w:ascii="Arial" w:cs="Arial" w:eastAsia="Arial" w:hAnsi="Arial"/>
          <w:sz w:val="17"/>
          <w:szCs w:val="17"/>
          <w:i w:val="1"/>
          <w:iCs w:val="1"/>
          <w:color w:val="auto"/>
        </w:rPr>
        <w:t>despido improcedente</w:t>
      </w:r>
      <w:r>
        <w:rPr>
          <w:rFonts w:ascii="Arial" w:cs="Arial" w:eastAsia="Arial" w:hAnsi="Arial"/>
          <w:sz w:val="17"/>
          <w:szCs w:val="17"/>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 (5) is terminated from employment for any other reason whatsoever. Consequently, upon the Holder’s termination of employment for any of the above reasons, the Holder may automatically lose any rights to Stock Options that were unvested on the date of termination.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The acquisition, ownership and sale of Shares under the Plan must be declared for statistical purposes to the Spanish</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Dirección General de Comercio 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i w:val="1"/>
          <w:iCs w:val="1"/>
          <w:color w:val="auto"/>
        </w:rPr>
        <w:t xml:space="preserve">Inversiones </w:t>
      </w:r>
      <w:r>
        <w:rPr>
          <w:rFonts w:ascii="Arial" w:cs="Arial" w:eastAsia="Arial" w:hAnsi="Arial"/>
          <w:sz w:val="16"/>
          <w:szCs w:val="16"/>
          <w:color w:val="auto"/>
        </w:rPr>
        <w:t>(the “DGCI”), the Bureau for Commerce and Investments, which is a department of the Ministry of Economy and Competitiveness.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the declaration must be made each January for Shares owned as of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the prior year, by means of a D-6 form; however, if the value of the Shares acquired or sold exceeds €1,502,530 (or if the Holder holds 10% or more of the share capital of the Company or such other amount that would entitle the Holder to join the Company’s board of directors), the declaration must be filed also within one month of the acquisition or sale, as applicable.</w:t>
      </w:r>
    </w:p>
    <w:p>
      <w:pPr>
        <w:spacing w:after="0" w:line="175"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Holder is required to declare electronically to the Bank of Spain any securities accounts (including brokerage accounts held abroad), and foreign instruments (including any Shares acquired under the Plan) and any transactions with non-Spanish residents (including any payments of Shares made to the Holder by the Company) depending on the amount of the transactions during the relevant year or the balances in such accounts as of December 31 of the relevant year. Generally, the report is required on an annual basis (by January 20 of each year); however, if the balances in the Holder’s foreign accounts, together with value of his or her foreign instruments and the aggregate volume of his or her transactions with non-Spanish residents, exceed €100,000,000, more frequent reporting will be required. The Holder should consult with his or her personal advisor to ensure that the Holder are properly complying with his or her reporting obligations.</w:t>
      </w:r>
    </w:p>
    <w:p>
      <w:pPr>
        <w:spacing w:after="0" w:line="185"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 xml:space="preserve">Foreign Asset/Account Reporting Notification. </w:t>
      </w:r>
      <w:r>
        <w:rPr>
          <w:rFonts w:ascii="Arial" w:cs="Arial" w:eastAsia="Arial" w:hAnsi="Arial"/>
          <w:sz w:val="18"/>
          <w:szCs w:val="18"/>
          <w:color w:val="auto"/>
        </w:rPr>
        <w:t>If the Holder holds rights or assets (e.g., Shares or cash held in a bank or brokerage account) outside of</w:t>
      </w:r>
      <w:r>
        <w:rPr>
          <w:rFonts w:ascii="Arial" w:cs="Arial" w:eastAsia="Arial" w:hAnsi="Arial"/>
          <w:sz w:val="18"/>
          <w:szCs w:val="18"/>
          <w:b w:val="1"/>
          <w:bCs w:val="1"/>
          <w:color w:val="auto"/>
        </w:rPr>
        <w:t xml:space="preserve"> </w:t>
      </w:r>
      <w:r>
        <w:rPr>
          <w:rFonts w:ascii="Arial" w:cs="Arial" w:eastAsia="Arial" w:hAnsi="Arial"/>
          <w:sz w:val="18"/>
          <w:szCs w:val="18"/>
          <w:color w:val="auto"/>
        </w:rPr>
        <w:t>Spain with a value in excess of €50,000 per type of right or asset (e.g., Shares, cash, etc.) as of December 31 each year, the Holder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w:t>
      </w:r>
    </w:p>
    <w:p>
      <w:pPr>
        <w:spacing w:after="0" w:line="184" w:lineRule="exact"/>
        <w:rPr>
          <w:sz w:val="20"/>
          <w:szCs w:val="20"/>
          <w:color w:val="auto"/>
        </w:rPr>
      </w:pPr>
    </w:p>
    <w:p>
      <w:pPr>
        <w:ind w:right="40"/>
        <w:spacing w:after="0" w:line="347" w:lineRule="auto"/>
        <w:rPr>
          <w:sz w:val="20"/>
          <w:szCs w:val="20"/>
          <w:color w:val="auto"/>
        </w:rPr>
      </w:pPr>
      <w:r>
        <w:rPr>
          <w:rFonts w:ascii="Arial" w:cs="Arial" w:eastAsia="Arial" w:hAnsi="Arial"/>
          <w:sz w:val="16"/>
          <w:szCs w:val="16"/>
          <w:b w:val="1"/>
          <w:bCs w:val="1"/>
          <w:color w:val="auto"/>
        </w:rPr>
        <w:t xml:space="preserve">Securities Law Notification. </w:t>
      </w:r>
      <w:r>
        <w:rPr>
          <w:rFonts w:ascii="Arial" w:cs="Arial" w:eastAsia="Arial" w:hAnsi="Arial"/>
          <w:sz w:val="16"/>
          <w:szCs w:val="16"/>
          <w:color w:val="auto"/>
        </w:rPr>
        <w:t>The Stock Options described in this document do not qualify as securities under Spanish regulations. No “offer of securities to</w:t>
      </w:r>
      <w:r>
        <w:rPr>
          <w:rFonts w:ascii="Arial" w:cs="Arial" w:eastAsia="Arial" w:hAnsi="Arial"/>
          <w:sz w:val="16"/>
          <w:szCs w:val="16"/>
          <w:b w:val="1"/>
          <w:bCs w:val="1"/>
          <w:color w:val="auto"/>
        </w:rPr>
        <w:t xml:space="preserve"> </w:t>
      </w:r>
      <w:r>
        <w:rPr>
          <w:rFonts w:ascii="Arial" w:cs="Arial" w:eastAsia="Arial" w:hAnsi="Arial"/>
          <w:sz w:val="16"/>
          <w:szCs w:val="16"/>
          <w:color w:val="auto"/>
        </w:rPr>
        <w:t>the public,” within the meaning of Spanish law, has taken place or will take place in the Spanish territory. The Plan, the Award Terms (including this</w:t>
      </w:r>
    </w:p>
    <w:p>
      <w:pPr>
        <w:sectPr>
          <w:pgSz w:w="11900" w:h="16838" w:orient="portrait"/>
          <w:cols w:equalWidth="0" w:num="1">
            <w:col w:w="11420"/>
          </w:cols>
          <w:pgMar w:left="240" w:top="125" w:right="239" w:bottom="0" w:gutter="0" w:footer="0" w:header="0"/>
        </w:sectPr>
      </w:pPr>
    </w:p>
    <w:bookmarkStart w:id="200" w:name="page201"/>
    <w:bookmarkEnd w:id="200"/>
    <w:p>
      <w:pPr>
        <w:ind w:right="460"/>
        <w:spacing w:after="0" w:line="342" w:lineRule="auto"/>
        <w:rPr>
          <w:sz w:val="20"/>
          <w:szCs w:val="20"/>
          <w:color w:val="auto"/>
        </w:rPr>
      </w:pPr>
      <w:r>
        <w:rPr>
          <w:rFonts w:ascii="Arial" w:cs="Arial" w:eastAsia="Arial" w:hAnsi="Arial"/>
          <w:sz w:val="16"/>
          <w:szCs w:val="16"/>
          <w:color w:val="auto"/>
        </w:rPr>
        <w:t xml:space="preserve">Appendix), and any other documents evidencing the award of Stock Options have not been, nor will they be, registered with the </w:t>
      </w:r>
      <w:r>
        <w:rPr>
          <w:rFonts w:ascii="Arial" w:cs="Arial" w:eastAsia="Arial" w:hAnsi="Arial"/>
          <w:sz w:val="16"/>
          <w:szCs w:val="16"/>
          <w:i w:val="1"/>
          <w:iCs w:val="1"/>
          <w:color w:val="auto"/>
        </w:rPr>
        <w:t>Comisión Nacional del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Mercado de Valores </w:t>
      </w:r>
      <w:r>
        <w:rPr>
          <w:rFonts w:ascii="Arial" w:cs="Arial" w:eastAsia="Arial" w:hAnsi="Arial"/>
          <w:sz w:val="16"/>
          <w:szCs w:val="16"/>
          <w:color w:val="auto"/>
        </w:rPr>
        <w:t>(Spanish Securities Exchange Commission), and none of those documents constitutes a public offering prospectus.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SWEDEN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SWITZERLAND</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The offer of participation in the Plan is not intended to be publicly offered in or from Switzerland. Because the offer of</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participation in the Plan is considered a private offering, it is not subject to registration in Switzerland. Neither this document nor any other materials relating to the Stock Option constitutes a prospectus as such term is understood pursuant to article 652a of the Swiss Code of Obligations, and neither this document nor any other materials relating to the Stock Option may be publicly distributed nor otherwise made publicly available in Switzerland. Neither this document nor any other offering or marketing material relating to the Stock Option has been or will be filed with, approved or supervised by any Swiss regulatory authority (in particular, the Swiss Financial Supervisory Authority (FINMA)).</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TAIWAN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line="256" w:lineRule="auto"/>
        <w:rPr>
          <w:sz w:val="20"/>
          <w:szCs w:val="20"/>
          <w:color w:val="auto"/>
        </w:rPr>
      </w:pPr>
      <w:r>
        <w:rPr>
          <w:rFonts w:ascii="Arial" w:cs="Arial" w:eastAsia="Arial" w:hAnsi="Arial"/>
          <w:sz w:val="18"/>
          <w:szCs w:val="18"/>
          <w:b w:val="1"/>
          <w:bCs w:val="1"/>
          <w:color w:val="auto"/>
        </w:rPr>
        <w:t xml:space="preserve">Data Privacy Acknowledgement. </w:t>
      </w:r>
      <w:r>
        <w:rPr>
          <w:rFonts w:ascii="Arial" w:cs="Arial" w:eastAsia="Arial" w:hAnsi="Arial"/>
          <w:sz w:val="18"/>
          <w:szCs w:val="18"/>
          <w:color w:val="auto"/>
        </w:rPr>
        <w:t>The Holder hereby acknowledges that he or she has read and understands the terms regarding collection, processing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Data contained in Section 16 of the Award Terms and, by participating in the Plan, the Holder agrees to such terms. In this regard, upon request of the Company or the Employer, the Holder agrees to provide an executed data privacy consent form to the Employer or the Company (or any other agreements or consents that may be required by the Employer or the Company) that the Company and/or the Employer may deem necessary to obtain under the data privacy laws in the Holder’s country, either now or in the future. The Holder understands that he or she will not be able to participate in the Plan if he or she fails to execute any such consent or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The offer of participation in the Plan is available only for employees of the Company Group. The offer of participation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not a public offer of securities by a Taiwanese company.</w:t>
      </w:r>
    </w:p>
    <w:p>
      <w:pPr>
        <w:spacing w:after="0" w:line="16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Exchange Control Notification. </w:t>
      </w:r>
      <w:r>
        <w:rPr>
          <w:rFonts w:ascii="Arial" w:cs="Arial" w:eastAsia="Arial" w:hAnsi="Arial"/>
          <w:sz w:val="16"/>
          <w:szCs w:val="16"/>
          <w:color w:val="auto"/>
        </w:rPr>
        <w:t>The Holder may acquire and remit foreign currency (including proceeds from the sale of Shares or the receipt of dividends</w:t>
      </w:r>
      <w:r>
        <w:rPr>
          <w:rFonts w:ascii="Arial" w:cs="Arial" w:eastAsia="Arial" w:hAnsi="Arial"/>
          <w:sz w:val="16"/>
          <w:szCs w:val="16"/>
          <w:b w:val="1"/>
          <w:bCs w:val="1"/>
          <w:color w:val="auto"/>
        </w:rPr>
        <w:t xml:space="preserve"> </w:t>
      </w:r>
      <w:r>
        <w:rPr>
          <w:rFonts w:ascii="Arial" w:cs="Arial" w:eastAsia="Arial" w:hAnsi="Arial"/>
          <w:sz w:val="16"/>
          <w:szCs w:val="16"/>
          <w:color w:val="auto"/>
        </w:rPr>
        <w:t>paid on such Shares) into and out of Taiwan up to US$5,000,000 per year. If the transaction amount is TWD$500,000 or more in a single transaction, the Holder must submit a Foreign Exchange Transaction Form to the bank involved in the transaction. If the transaction amount is US$500,000 or more in a single transaction, the Holder may be required to provide additional supporting documentation to the satisfaction of the bank involved in the transaction. The Holder should consult his or her personal advisor to ensure compliance with any applicable exchange control laws in Taiwan.</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THE UNITED KINGDOM</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ectPr>
          <w:pgSz w:w="11900" w:h="16838" w:orient="portrait"/>
          <w:cols w:equalWidth="0" w:num="1">
            <w:col w:w="11380"/>
          </w:cols>
          <w:pgMar w:left="240" w:top="125" w:right="279" w:bottom="0" w:gutter="0" w:footer="0" w:header="0"/>
        </w:sectPr>
      </w:pPr>
    </w:p>
    <w:bookmarkStart w:id="201" w:name="page202"/>
    <w:bookmarkEnd w:id="201"/>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Tax Withholding and Payment. </w:t>
      </w:r>
      <w:r>
        <w:rPr>
          <w:rFonts w:ascii="Arial" w:cs="Arial" w:eastAsia="Arial" w:hAnsi="Arial"/>
          <w:sz w:val="18"/>
          <w:szCs w:val="18"/>
          <w:color w:val="auto"/>
        </w:rPr>
        <w:t>This section supplements Section 5 of the Award Terms: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payment or withholding of any income tax due is not made within ninety (90) days of the end of the U.K. tax year in which the event giving rise to the Withholding Taxes occurs or such other period specified in Section 222(1)(c) of the U.K. Income Tax (Earnings and Pensions) Act 2003 (the “Due Date”), the amount of any uncollected income tax shall constitute a loan owed by the Holder to the Employer, effective on the Due Date. The Holder agrees that the loan will bear interest at the then-current Official Rate of Her Majesty’s Revenue &amp; Customs (“HMRC”), it shall be immediately due and repayable, and the Company or the Employer may recover it at any time thereafter by any of the means referred to in Section 5 of the Award Terms.</w:t>
      </w:r>
    </w:p>
    <w:p>
      <w:pPr>
        <w:spacing w:after="0" w:line="173"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Notwithstanding the foregoing, if the Holder is a director or executive officer of the Company (within the meaning of Section 13(k) of the Exchange Act), he or she shall not be eligible for a loan from the Company to cover the income tax. In the event that the Holder is a director or executive officer and the income tax due is not collected from or paid by the Holder by the Due Date, the amount of any uncollected income tax may constitute a benefit to the Holder on which additional income tax and national insurance contributions (“NICs”) may be payable. The Holder understands that he or she will be responsible for reporting and paying any income tax and NICs due on this additional benefit directly to HMRC under the self-assessment regime and for reimbursing the Company or the Employer (as applicable) for the value of any employee NICs due on this additional benefit which the Company or the Employer may recover from the Holder at any time thereafter by any of the means referred to in Section 5 of the Award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10.46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RESTRICTED SHARE UNIT AWARD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Restricted Share Units of Activision Blizzard, Inc. (the “Company”),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6420" w:type="dxa"/>
            <w:vAlign w:val="bottom"/>
          </w:tcPr>
          <w:p>
            <w:pPr>
              <w:ind w:left="120"/>
              <w:spacing w:after="0"/>
              <w:rPr>
                <w:sz w:val="20"/>
                <w:szCs w:val="20"/>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6420" w:type="dxa"/>
            <w:vAlign w:val="bottom"/>
          </w:tcPr>
          <w:p>
            <w:pPr>
              <w:ind w:left="120"/>
              <w:spacing w:after="0"/>
              <w:rPr>
                <w:sz w:val="20"/>
                <w:szCs w:val="20"/>
                <w:color w:val="auto"/>
              </w:rPr>
            </w:pPr>
            <w:r>
              <w:rPr>
                <w:rFonts w:ascii="Arial" w:cs="Arial" w:eastAsia="Arial" w:hAnsi="Arial"/>
                <w:sz w:val="18"/>
                <w:szCs w:val="18"/>
                <w:color w:val="auto"/>
              </w:rPr>
              <w:t xml:space="preserve">Total number of Restricted Share Units awarded: </w:t>
            </w:r>
            <w:r>
              <w:rPr>
                <w:rFonts w:ascii="Arial" w:cs="Arial" w:eastAsia="Arial" w:hAnsi="Arial"/>
                <w:sz w:val="18"/>
                <w:szCs w:val="18"/>
                <w:b w:val="1"/>
                <w:bCs w:val="1"/>
                <w:color w:val="auto"/>
              </w:rPr>
              <w:t>[</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6420" w:type="dxa"/>
            <w:vAlign w:val="bottom"/>
          </w:tcPr>
          <w:p>
            <w:pPr>
              <w:ind w:left="120"/>
              <w:spacing w:after="0"/>
              <w:rPr>
                <w:sz w:val="20"/>
                <w:szCs w:val="20"/>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432"/>
        </w:trPr>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6420" w:type="dxa"/>
            <w:vAlign w:val="bottom"/>
          </w:tcPr>
          <w:p>
            <w:pPr>
              <w:ind w:left="120"/>
              <w:spacing w:after="0"/>
              <w:rPr>
                <w:sz w:val="20"/>
                <w:szCs w:val="20"/>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w:t>
            </w:r>
          </w:p>
        </w:tc>
        <w:tc>
          <w:tcPr>
            <w:tcW w:w="274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left="300" w:hanging="292"/>
        <w:spacing w:after="0"/>
        <w:tabs>
          <w:tab w:leader="none" w:pos="30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Your Award of Restricted Share Units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this Notice of Restricted Share Unit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the Restricted Share Unit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the Appendix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which may include special terms and conditions relating to your country;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183"/>
        </w:numPr>
        <w:rPr>
          <w:rFonts w:ascii="Arial" w:cs="Arial" w:eastAsia="Arial" w:hAnsi="Arial"/>
          <w:sz w:val="18"/>
          <w:szCs w:val="18"/>
          <w:color w:val="auto"/>
        </w:rPr>
      </w:pPr>
      <w:r>
        <w:rPr>
          <w:rFonts w:ascii="Arial" w:cs="Arial" w:eastAsia="Arial" w:hAnsi="Arial"/>
          <w:sz w:val="18"/>
          <w:szCs w:val="18"/>
          <w:color w:val="auto"/>
        </w:rPr>
        <w:t>the Company’s 2014 Incentive Plan, the receipt of a copy of which you hereby acknowledge.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Schedule for Vesting</w:t>
      </w:r>
      <w:r>
        <w:rPr>
          <w:rFonts w:ascii="Arial" w:cs="Arial" w:eastAsia="Arial" w:hAnsi="Arial"/>
          <w:sz w:val="18"/>
          <w:szCs w:val="18"/>
          <w:color w:val="auto"/>
        </w:rPr>
        <w:t>:</w:t>
      </w:r>
    </w:p>
    <w:p>
      <w:pPr>
        <w:spacing w:after="0" w:line="225" w:lineRule="exact"/>
        <w:rPr>
          <w:sz w:val="20"/>
          <w:szCs w:val="20"/>
          <w:color w:val="auto"/>
        </w:rPr>
      </w:pPr>
    </w:p>
    <w:p>
      <w:pPr>
        <w:ind w:left="340" w:right="20"/>
        <w:spacing w:after="0" w:line="259" w:lineRule="auto"/>
        <w:rPr>
          <w:sz w:val="20"/>
          <w:szCs w:val="20"/>
          <w:color w:val="auto"/>
        </w:rPr>
      </w:pPr>
      <w:r>
        <w:rPr>
          <w:rFonts w:ascii="Arial" w:cs="Arial" w:eastAsia="Arial" w:hAnsi="Arial"/>
          <w:sz w:val="18"/>
          <w:szCs w:val="18"/>
          <w:color w:val="auto"/>
        </w:rPr>
        <w:t xml:space="preserve">Except as otherwise provided under the Restricted Share Unit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as supplemented, modified, or replaced by the special terms and conditions, if any, set forth under Grantee’s country in the Appendix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“Award Terms”), the Restricted Share Units awarded to you will vest as follows, provided you remain continuously employed by the Company or one of its Subsidiaries through the applicable vesting date:</w:t>
      </w:r>
    </w:p>
    <w:p>
      <w:pPr>
        <w:spacing w:after="0" w:line="166" w:lineRule="exact"/>
        <w:rPr>
          <w:sz w:val="20"/>
          <w:szCs w:val="20"/>
          <w:color w:val="auto"/>
        </w:rPr>
      </w:pPr>
    </w:p>
    <w:tbl>
      <w:tblPr>
        <w:tblLayout w:type="fixed"/>
        <w:tblInd w:w="1960" w:type="dxa"/>
        <w:tblCellMar>
          <w:top w:w="0" w:type="dxa"/>
          <w:left w:w="0" w:type="dxa"/>
          <w:bottom w:w="0" w:type="dxa"/>
          <w:right w:w="0" w:type="dxa"/>
        </w:tblCellMar>
      </w:tblPr>
      <w:tr>
        <w:trPr>
          <w:trHeight w:val="161"/>
        </w:trPr>
        <w:tc>
          <w:tcPr>
            <w:tcW w:w="15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2"/>
              </w:rPr>
              <w:t>No. of Restricted</w:t>
            </w:r>
          </w:p>
        </w:tc>
        <w:tc>
          <w:tcPr>
            <w:tcW w:w="0" w:type="dxa"/>
            <w:vAlign w:val="bottom"/>
          </w:tcPr>
          <w:p>
            <w:pPr>
              <w:spacing w:after="0"/>
              <w:rPr>
                <w:sz w:val="1"/>
                <w:szCs w:val="1"/>
                <w:color w:val="auto"/>
              </w:rPr>
            </w:pPr>
          </w:p>
        </w:tc>
      </w:tr>
      <w:tr>
        <w:trPr>
          <w:trHeight w:val="149"/>
        </w:trPr>
        <w:tc>
          <w:tcPr>
            <w:tcW w:w="1560" w:type="dxa"/>
            <w:vAlign w:val="bottom"/>
            <w:vMerge w:val="restart"/>
          </w:tcPr>
          <w:p>
            <w:pPr>
              <w:jc w:val="right"/>
              <w:ind w:right="554"/>
              <w:spacing w:after="0"/>
              <w:rPr>
                <w:sz w:val="20"/>
                <w:szCs w:val="20"/>
                <w:color w:val="auto"/>
              </w:rPr>
            </w:pPr>
            <w:r>
              <w:rPr>
                <w:rFonts w:ascii="Arial" w:cs="Arial" w:eastAsia="Arial" w:hAnsi="Arial"/>
                <w:sz w:val="14"/>
                <w:szCs w:val="14"/>
                <w:b w:val="1"/>
                <w:bCs w:val="1"/>
                <w:color w:val="auto"/>
                <w:w w:val="88"/>
              </w:rPr>
              <w:t>Date of Vesting</w:t>
            </w: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6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0"/>
              </w:rPr>
              <w:t>Share Units Vesting</w:t>
            </w:r>
          </w:p>
        </w:tc>
        <w:tc>
          <w:tcPr>
            <w:tcW w:w="0" w:type="dxa"/>
            <w:vAlign w:val="bottom"/>
          </w:tcPr>
          <w:p>
            <w:pPr>
              <w:spacing w:after="0"/>
              <w:rPr>
                <w:sz w:val="1"/>
                <w:szCs w:val="1"/>
                <w:color w:val="auto"/>
              </w:rPr>
            </w:pPr>
          </w:p>
        </w:tc>
      </w:tr>
      <w:tr>
        <w:trPr>
          <w:trHeight w:val="171"/>
        </w:trPr>
        <w:tc>
          <w:tcPr>
            <w:tcW w:w="1560" w:type="dxa"/>
            <w:vAlign w:val="bottom"/>
            <w:vMerge w:val="continue"/>
          </w:tcPr>
          <w:p>
            <w:pPr>
              <w:spacing w:after="0"/>
              <w:rPr>
                <w:sz w:val="14"/>
                <w:szCs w:val="14"/>
                <w:color w:val="auto"/>
              </w:rPr>
            </w:pPr>
          </w:p>
        </w:tc>
        <w:tc>
          <w:tcPr>
            <w:tcW w:w="1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60" w:type="dxa"/>
            <w:vAlign w:val="bottom"/>
            <w:gridSpan w:val="2"/>
          </w:tcPr>
          <w:p>
            <w:pPr>
              <w:jc w:val="center"/>
              <w:ind w:right="1180"/>
              <w:spacing w:after="0"/>
              <w:rPr>
                <w:sz w:val="20"/>
                <w:szCs w:val="20"/>
                <w:color w:val="auto"/>
              </w:rPr>
            </w:pPr>
            <w:r>
              <w:rPr>
                <w:rFonts w:ascii="Arial" w:cs="Arial" w:eastAsia="Arial" w:hAnsi="Arial"/>
                <w:sz w:val="14"/>
                <w:szCs w:val="14"/>
                <w:b w:val="1"/>
                <w:bCs w:val="1"/>
                <w:color w:val="auto"/>
                <w:w w:val="90"/>
              </w:rPr>
              <w:t>at Vesting Date</w:t>
            </w:r>
          </w:p>
        </w:tc>
        <w:tc>
          <w:tcPr>
            <w:tcW w:w="0" w:type="dxa"/>
            <w:vAlign w:val="bottom"/>
          </w:tcPr>
          <w:p>
            <w:pPr>
              <w:spacing w:after="0"/>
              <w:rPr>
                <w:sz w:val="1"/>
                <w:szCs w:val="1"/>
                <w:color w:val="auto"/>
              </w:rPr>
            </w:pPr>
          </w:p>
        </w:tc>
      </w:tr>
      <w:tr>
        <w:trPr>
          <w:trHeight w:val="210"/>
        </w:trPr>
        <w:tc>
          <w:tcPr>
            <w:tcW w:w="1560" w:type="dxa"/>
            <w:vAlign w:val="bottom"/>
            <w:tcBorders>
              <w:top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b w:val="1"/>
                <w:bCs w:val="1"/>
                <w:color w:val="auto"/>
              </w:rPr>
              <w:t>[</w:t>
            </w:r>
          </w:p>
        </w:tc>
        <w:tc>
          <w:tcPr>
            <w:tcW w:w="14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28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Borders>
              <w:top w:val="single" w:sz="8" w:color="auto"/>
            </w:tcBorders>
            <w:shd w:val="clear" w:color="auto" w:fill="CCEEFF"/>
          </w:tcPr>
          <w:p>
            <w:pPr>
              <w:jc w:val="right"/>
              <w:ind w:right="879"/>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tcPr>
          <w:p>
            <w:pPr>
              <w:jc w:val="right"/>
              <w:ind w:right="654"/>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69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tcPr>
          <w:p>
            <w:pPr>
              <w:jc w:val="right"/>
              <w:ind w:right="879"/>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60" w:type="dxa"/>
            <w:vAlign w:val="bottom"/>
            <w:shd w:val="clear" w:color="auto" w:fill="CCEEFF"/>
          </w:tcPr>
          <w:p>
            <w:pPr>
              <w:jc w:val="right"/>
              <w:ind w:right="654"/>
              <w:spacing w:after="0"/>
              <w:rPr>
                <w:sz w:val="20"/>
                <w:szCs w:val="20"/>
                <w:color w:val="auto"/>
              </w:rPr>
            </w:pPr>
            <w:r>
              <w:rPr>
                <w:rFonts w:ascii="Arial" w:cs="Arial" w:eastAsia="Arial" w:hAnsi="Arial"/>
                <w:sz w:val="18"/>
                <w:szCs w:val="18"/>
                <w:b w:val="1"/>
                <w:bCs w:val="1"/>
                <w:color w:val="auto"/>
              </w:rPr>
              <w:t>[</w:t>
            </w:r>
          </w:p>
        </w:tc>
        <w:tc>
          <w:tcPr>
            <w:tcW w:w="1480" w:type="dxa"/>
            <w:vAlign w:val="bottom"/>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360" w:type="dxa"/>
            <w:vAlign w:val="bottom"/>
            <w:shd w:val="clear" w:color="auto" w:fill="CCEEFF"/>
          </w:tcPr>
          <w:p>
            <w:pPr>
              <w:jc w:val="right"/>
              <w:ind w:right="879"/>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00" w:hanging="332"/>
        <w:spacing w:after="0" w:line="277" w:lineRule="auto"/>
        <w:tabs>
          <w:tab w:leader="none" w:pos="304" w:val="left"/>
        </w:tabs>
        <w:numPr>
          <w:ilvl w:val="0"/>
          <w:numId w:val="184"/>
        </w:numPr>
        <w:rPr>
          <w:rFonts w:ascii="Arial" w:cs="Arial" w:eastAsia="Arial" w:hAnsi="Arial"/>
          <w:sz w:val="18"/>
          <w:szCs w:val="18"/>
          <w:color w:val="auto"/>
        </w:rPr>
      </w:pPr>
      <w:r>
        <w:rPr>
          <w:rFonts w:ascii="Arial" w:cs="Arial" w:eastAsia="Arial" w:hAnsi="Arial"/>
          <w:sz w:val="18"/>
          <w:szCs w:val="18"/>
          <w:b w:val="1"/>
          <w:bCs w:val="1"/>
          <w:i w:val="1"/>
          <w:iCs w:val="1"/>
          <w:color w:val="auto"/>
        </w:rPr>
        <w:t>By accepting the Award, you are deemed to be bound by the terms and conditions set forth in the 2014 Incentive Plan, this Notice of Restricted Share Unit Award and the Award Terms.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AWARD TERMS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NON-U.S. EMPLOYEES</w:t>
      </w:r>
    </w:p>
    <w:p>
      <w:pPr>
        <w:spacing w:after="0" w:line="211" w:lineRule="exact"/>
        <w:rPr>
          <w:sz w:val="20"/>
          <w:szCs w:val="20"/>
          <w:color w:val="auto"/>
        </w:rPr>
      </w:pPr>
    </w:p>
    <w:p>
      <w:pPr>
        <w:ind w:left="1380" w:hanging="724"/>
        <w:spacing w:after="0"/>
        <w:tabs>
          <w:tab w:leader="none" w:pos="1380" w:val="left"/>
        </w:tabs>
        <w:numPr>
          <w:ilvl w:val="0"/>
          <w:numId w:val="18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2000" w:hanging="695"/>
        <w:spacing w:after="0"/>
        <w:tabs>
          <w:tab w:leader="none" w:pos="2000" w:val="left"/>
        </w:tabs>
        <w:numPr>
          <w:ilvl w:val="1"/>
          <w:numId w:val="185"/>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“Appendix” </w:t>
      </w:r>
      <w:r>
        <w:rPr>
          <w:rFonts w:ascii="Arial" w:cs="Arial" w:eastAsia="Arial" w:hAnsi="Arial"/>
          <w:sz w:val="18"/>
          <w:szCs w:val="18"/>
          <w:color w:val="auto"/>
        </w:rPr>
        <w:t>means the appendix attached to the Grant Notice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B</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right="20" w:firstLine="1297"/>
        <w:spacing w:after="0" w:line="298"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 shall have the meaning given to such term in any employment agreement, service contract or offer letter between Grantee and</w:t>
      </w:r>
      <w:r>
        <w:rPr>
          <w:rFonts w:ascii="Arial" w:cs="Arial" w:eastAsia="Arial" w:hAnsi="Arial"/>
          <w:sz w:val="16"/>
          <w:szCs w:val="16"/>
          <w:b w:val="1"/>
          <w:bCs w:val="1"/>
          <w:color w:val="auto"/>
        </w:rPr>
        <w:t xml:space="preserve"> </w:t>
      </w:r>
      <w:r>
        <w:rPr>
          <w:rFonts w:ascii="Arial" w:cs="Arial" w:eastAsia="Arial" w:hAnsi="Arial"/>
          <w:sz w:val="16"/>
          <w:szCs w:val="16"/>
          <w:color w:val="auto"/>
        </w:rPr>
        <w:t>any entity in the Company Group in effect at the time of the determination or (ii) if Grantee is not then party to any agreement or offer letter with any entity in the Company Group or any such agreement or offer letter does not contain a definition of “cause,” shall mean a good faith determination by the Company that Grantee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w:t>
      </w:r>
    </w:p>
    <w:p>
      <w:pPr>
        <w:sectPr>
          <w:pgSz w:w="11900" w:h="16838" w:orient="portrait"/>
          <w:cols w:equalWidth="0" w:num="1">
            <w:col w:w="11420"/>
          </w:cols>
          <w:pgMar w:left="240" w:top="365" w:right="239" w:bottom="0" w:gutter="0" w:footer="0" w:header="0"/>
        </w:sectPr>
      </w:pPr>
    </w:p>
    <w:bookmarkStart w:id="203" w:name="page204"/>
    <w:bookmarkEnd w:id="203"/>
    <w:p>
      <w:pPr>
        <w:ind w:right="120"/>
        <w:spacing w:after="0" w:line="279" w:lineRule="auto"/>
        <w:rPr>
          <w:sz w:val="20"/>
          <w:szCs w:val="20"/>
          <w:color w:val="auto"/>
        </w:rPr>
      </w:pPr>
      <w:r>
        <w:rPr>
          <w:rFonts w:ascii="Arial" w:cs="Arial" w:eastAsia="Arial" w:hAnsi="Arial"/>
          <w:sz w:val="17"/>
          <w:szCs w:val="17"/>
          <w:color w:val="auto"/>
        </w:rPr>
        <w:t>cause, harm to any entity in the Company Group, including its business reputation or financial condition; (C) violated any lawful directives or policies of the Company Group or any applicable laws, rules or regulations; (D) materially breached his or her employment agreement, service contract,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67"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10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and its Subsidiaries.</w:t>
      </w:r>
    </w:p>
    <w:p>
      <w:pPr>
        <w:spacing w:after="0" w:line="225"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Online RSU Grant Award Agreement for Non-U.S. Employees (Pro Rata)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“Employer” </w:t>
      </w:r>
      <w:r>
        <w:rPr>
          <w:rFonts w:ascii="Arial" w:cs="Arial" w:eastAsia="Arial" w:hAnsi="Arial"/>
          <w:sz w:val="18"/>
          <w:szCs w:val="18"/>
          <w:color w:val="auto"/>
        </w:rPr>
        <w:t>means the Subsidiary of the Company which employs Grantee.</w:t>
      </w:r>
    </w:p>
    <w:p>
      <w:pPr>
        <w:spacing w:after="0" w:line="225" w:lineRule="exact"/>
        <w:rPr>
          <w:sz w:val="20"/>
          <w:szCs w:val="20"/>
          <w:color w:val="auto"/>
        </w:rPr>
      </w:pPr>
    </w:p>
    <w:p>
      <w:pPr>
        <w:jc w:val="both"/>
        <w:ind w:right="12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jc w:val="both"/>
        <w:ind w:right="100" w:firstLine="1297"/>
        <w:spacing w:after="0" w:line="281" w:lineRule="auto"/>
        <w:rPr>
          <w:sz w:val="20"/>
          <w:szCs w:val="20"/>
          <w:color w:val="auto"/>
        </w:rPr>
      </w:pPr>
      <w:r>
        <w:rPr>
          <w:rFonts w:ascii="Arial" w:cs="Arial" w:eastAsia="Arial" w:hAnsi="Arial"/>
          <w:sz w:val="17"/>
          <w:szCs w:val="17"/>
          <w:b w:val="1"/>
          <w:bCs w:val="1"/>
          <w:color w:val="auto"/>
        </w:rPr>
        <w:t xml:space="preserve">“Exercise Rules and Regulations” </w:t>
      </w:r>
      <w:r>
        <w:rPr>
          <w:rFonts w:ascii="Arial" w:cs="Arial" w:eastAsia="Arial" w:hAnsi="Arial"/>
          <w:sz w:val="17"/>
          <w:szCs w:val="17"/>
          <w:color w:val="auto"/>
        </w:rPr>
        <w:t>means (i) the Securities Act or any comparable federal securities law and all applicable state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laws,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right="60" w:firstLine="1297"/>
        <w:spacing w:after="0" w:line="282" w:lineRule="auto"/>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Restricted Share Unit Award to which these Award Terms and the Appendix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 </w:t>
      </w:r>
      <w:r>
        <w:rPr>
          <w:rFonts w:ascii="Arial" w:cs="Arial" w:eastAsia="Arial" w:hAnsi="Arial"/>
          <w:sz w:val="18"/>
          <w:szCs w:val="18"/>
          <w:u w:val="single" w:color="auto"/>
          <w:color w:val="auto"/>
        </w:rPr>
        <w:t>Exhibit B</w:t>
      </w:r>
      <w:r>
        <w:rPr>
          <w:rFonts w:ascii="Arial" w:cs="Arial" w:eastAsia="Arial" w:hAnsi="Arial"/>
          <w:sz w:val="18"/>
          <w:szCs w:val="18"/>
          <w:color w:val="auto"/>
        </w:rPr>
        <w:t>, respectively.</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Activision Blizzard, Inc. 2014 Incentive Plan, as amended from time to time.</w:t>
      </w:r>
    </w:p>
    <w:p>
      <w:pPr>
        <w:spacing w:after="0" w:line="225"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“Restricted Share Units” </w:t>
      </w:r>
      <w:r>
        <w:rPr>
          <w:rFonts w:ascii="Arial" w:cs="Arial" w:eastAsia="Arial" w:hAnsi="Arial"/>
          <w:sz w:val="18"/>
          <w:szCs w:val="18"/>
          <w:color w:val="auto"/>
        </w:rPr>
        <w:t>means units subject to the Award, which represent the conditional right to receive Common Shares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Grant Notice and these Award Terms, unless and until such units become vested or are forfeited to the Company in accordance with the Grant Notice and these Award Terms.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U.S. Securities Act of 1933, as amended.</w:t>
      </w:r>
    </w:p>
    <w:p>
      <w:pPr>
        <w:spacing w:after="0" w:line="225" w:lineRule="exact"/>
        <w:rPr>
          <w:sz w:val="20"/>
          <w:szCs w:val="20"/>
          <w:color w:val="auto"/>
        </w:rPr>
      </w:pPr>
    </w:p>
    <w:p>
      <w:pPr>
        <w:ind w:right="320" w:firstLine="129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the Common Shares to which the holder of the Restricted Share Units becomes entitled upon vesting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 or 3 hereof.</w:t>
      </w:r>
    </w:p>
    <w:p>
      <w:pPr>
        <w:spacing w:after="0" w:line="162" w:lineRule="exact"/>
        <w:rPr>
          <w:sz w:val="20"/>
          <w:szCs w:val="20"/>
          <w:color w:val="auto"/>
        </w:rPr>
      </w:pPr>
    </w:p>
    <w:p>
      <w:pPr>
        <w:ind w:right="420" w:firstLine="1297"/>
        <w:spacing w:after="0" w:line="313" w:lineRule="auto"/>
        <w:rPr>
          <w:sz w:val="20"/>
          <w:szCs w:val="20"/>
          <w:color w:val="auto"/>
        </w:rPr>
      </w:pPr>
      <w:r>
        <w:rPr>
          <w:rFonts w:ascii="Arial" w:cs="Arial" w:eastAsia="Arial" w:hAnsi="Arial"/>
          <w:sz w:val="17"/>
          <w:szCs w:val="17"/>
          <w:b w:val="1"/>
          <w:bCs w:val="1"/>
          <w:color w:val="auto"/>
        </w:rPr>
        <w:t xml:space="preserve">“Withholding Taxes” </w:t>
      </w:r>
      <w:r>
        <w:rPr>
          <w:rFonts w:ascii="Arial" w:cs="Arial" w:eastAsia="Arial" w:hAnsi="Arial"/>
          <w:sz w:val="17"/>
          <w:szCs w:val="17"/>
          <w:color w:val="auto"/>
        </w:rPr>
        <w:t>means any taxes, including, but not limited to, income tax, social insurance, payroll tax, fringe benefits tax, and</w:t>
      </w:r>
      <w:r>
        <w:rPr>
          <w:rFonts w:ascii="Arial" w:cs="Arial" w:eastAsia="Arial" w:hAnsi="Arial"/>
          <w:sz w:val="17"/>
          <w:szCs w:val="17"/>
          <w:b w:val="1"/>
          <w:bCs w:val="1"/>
          <w:color w:val="auto"/>
        </w:rPr>
        <w:t xml:space="preserve"> </w:t>
      </w:r>
      <w:r>
        <w:rPr>
          <w:rFonts w:ascii="Arial" w:cs="Arial" w:eastAsia="Arial" w:hAnsi="Arial"/>
          <w:sz w:val="17"/>
          <w:szCs w:val="17"/>
          <w:color w:val="auto"/>
        </w:rPr>
        <w:t>payment on account, required or permitted under any applicable law to be withheld from amounts otherwise payable to Grantee.</w:t>
      </w:r>
    </w:p>
    <w:p>
      <w:pPr>
        <w:spacing w:after="0" w:line="142" w:lineRule="exact"/>
        <w:rPr>
          <w:sz w:val="20"/>
          <w:szCs w:val="20"/>
          <w:color w:val="auto"/>
        </w:rPr>
      </w:pPr>
    </w:p>
    <w:p>
      <w:pPr>
        <w:ind w:left="2000" w:hanging="695"/>
        <w:spacing w:after="0"/>
        <w:tabs>
          <w:tab w:leader="none" w:pos="2000" w:val="left"/>
        </w:tabs>
        <w:numPr>
          <w:ilvl w:val="1"/>
          <w:numId w:val="186"/>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right="360" w:firstLine="656"/>
        <w:spacing w:after="0" w:line="264" w:lineRule="auto"/>
        <w:tabs>
          <w:tab w:leader="none" w:pos="1368"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80" w:hanging="724"/>
        <w:spacing w:after="0"/>
        <w:tabs>
          <w:tab w:leader="none" w:pos="138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80" w:firstLine="1305"/>
        <w:spacing w:after="0" w:line="286" w:lineRule="auto"/>
        <w:tabs>
          <w:tab w:leader="none" w:pos="1991" w:val="left"/>
        </w:tabs>
        <w:numPr>
          <w:ilvl w:val="1"/>
          <w:numId w:val="188"/>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65" w:lineRule="exact"/>
        <w:rPr>
          <w:rFonts w:ascii="Arial" w:cs="Arial" w:eastAsia="Arial" w:hAnsi="Arial"/>
          <w:sz w:val="17"/>
          <w:szCs w:val="17"/>
          <w:color w:val="auto"/>
        </w:rPr>
      </w:pPr>
    </w:p>
    <w:p>
      <w:pPr>
        <w:ind w:right="240" w:firstLine="1305"/>
        <w:spacing w:after="0" w:line="312" w:lineRule="auto"/>
        <w:tabs>
          <w:tab w:leader="none" w:pos="2001" w:val="left"/>
        </w:tabs>
        <w:numPr>
          <w:ilvl w:val="1"/>
          <w:numId w:val="188"/>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8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ind w:left="1380" w:hanging="724"/>
        <w:spacing w:after="0"/>
        <w:tabs>
          <w:tab w:leader="none" w:pos="1380" w:val="left"/>
        </w:tabs>
        <w:numPr>
          <w:ilvl w:val="0"/>
          <w:numId w:val="188"/>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w:t>
      </w:r>
    </w:p>
    <w:p>
      <w:pPr>
        <w:sectPr>
          <w:pgSz w:w="11900" w:h="16838" w:orient="portrait"/>
          <w:cols w:equalWidth="0" w:num="1">
            <w:col w:w="11420"/>
          </w:cols>
          <w:pgMar w:left="240" w:top="125" w:right="239" w:bottom="0" w:gutter="0" w:footer="0" w:header="0"/>
        </w:sectPr>
      </w:pPr>
    </w:p>
    <w:bookmarkStart w:id="204" w:name="page205"/>
    <w:bookmarkEnd w:id="204"/>
    <w:p>
      <w:pPr>
        <w:spacing w:after="0" w:line="69" w:lineRule="exact"/>
        <w:rPr>
          <w:sz w:val="20"/>
          <w:szCs w:val="20"/>
          <w:color w:val="auto"/>
        </w:rPr>
      </w:pPr>
    </w:p>
    <w:p>
      <w:pPr>
        <w:ind w:firstLine="1305"/>
        <w:spacing w:after="0" w:line="270" w:lineRule="auto"/>
        <w:tabs>
          <w:tab w:leader="none" w:pos="199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Regardless of any action the Company or the Employer takes with respect to any Withholding Taxes related to Grantee’s participation in the Plan and legally applicable to Grantee, Grantee acknowledges that the ultimate liability for all Withholding Taxes is and remains Grantee’s responsibility and may exceed the amount actually withheld by the Company or the Employer. Grantee further acknowledges that the Company and/or the Employer (A) make no representations or undertakings regarding the treatment of any Withholding Taxes in connection with any aspect of the Restricted Share Units, including, without limitation, the grant, vesting or payment of the Award, the subsequent sale of Vested Shares acquired, and the receipt of any dividends; and (B) do not commit to and are under no obligation to structure the terms of the grant or any aspect of the Restricted Share Units to reduce or eliminate Grantee’s liability for Withholding Taxes or achieve any particular tax result. Further, if Grantee is subject to tax in more than one jurisdiction, Grantee acknowledges that the Company and/or the Employer (or former employer, as applicable) may be required to withhold or account for Withholding Taxes in more than one jurisdiction. The Company shall have no obligation to deliver any Vested Shares unless and until all Withholding Taxes contemplated by this Section 4 have been satisfied.</w:t>
      </w:r>
    </w:p>
    <w:p>
      <w:pPr>
        <w:spacing w:after="0" w:line="177" w:lineRule="exact"/>
        <w:rPr>
          <w:rFonts w:ascii="Arial" w:cs="Arial" w:eastAsia="Arial" w:hAnsi="Arial"/>
          <w:sz w:val="17"/>
          <w:szCs w:val="17"/>
          <w:color w:val="auto"/>
        </w:rPr>
      </w:pPr>
    </w:p>
    <w:p>
      <w:pPr>
        <w:ind w:right="160" w:firstLine="1305"/>
        <w:spacing w:after="0" w:line="271" w:lineRule="auto"/>
        <w:tabs>
          <w:tab w:leader="none" w:pos="2001" w:val="left"/>
        </w:tabs>
        <w:numPr>
          <w:ilvl w:val="0"/>
          <w:numId w:val="189"/>
        </w:numPr>
        <w:rPr>
          <w:rFonts w:ascii="Arial" w:cs="Arial" w:eastAsia="Arial" w:hAnsi="Arial"/>
          <w:sz w:val="17"/>
          <w:szCs w:val="17"/>
          <w:color w:val="auto"/>
        </w:rPr>
      </w:pPr>
      <w:r>
        <w:rPr>
          <w:rFonts w:ascii="Arial" w:cs="Arial" w:eastAsia="Arial" w:hAnsi="Arial"/>
          <w:sz w:val="17"/>
          <w:szCs w:val="17"/>
          <w:color w:val="auto"/>
        </w:rPr>
        <w:t>The Company shall determine the method or methods Grantee may use to satisfy any Withholding Taxes resulting from the vesting of any Restricted Share Units, the issuance or transfer of any Vested Shares or otherwise in connection with the Award at the time such Withholding Taxes become due, which may include any of the following: (i) by delivery to the Company of a bank check or certified check or wire transfer of immediately available funds; (ii)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(iii) arranging for the sale, on Grantee’s behalf, of Vested Shares otherwise then deliverable to Grantee (valued in the same manner used in computing the amount of such Withholding Taxes); or (iv) by any combination of (i), (ii) or (iii) above. Further, any entity in the Company Group shall have the right to require Grantee to satisfy any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Withholding Taxes contemplated by this Section 4 by any of the aforementioned methods or by withholding from Grantee’s wages or other cash compensation.</w:t>
      </w:r>
    </w:p>
    <w:p>
      <w:pPr>
        <w:spacing w:after="0" w:line="170" w:lineRule="exact"/>
        <w:rPr>
          <w:sz w:val="20"/>
          <w:szCs w:val="20"/>
          <w:color w:val="auto"/>
        </w:rPr>
      </w:pPr>
    </w:p>
    <w:p>
      <w:pPr>
        <w:ind w:right="40" w:firstLine="1305"/>
        <w:spacing w:after="0" w:line="293" w:lineRule="auto"/>
        <w:tabs>
          <w:tab w:leader="none" w:pos="1991" w:val="left"/>
        </w:tabs>
        <w:numPr>
          <w:ilvl w:val="1"/>
          <w:numId w:val="190"/>
        </w:numPr>
        <w:rPr>
          <w:rFonts w:ascii="Arial" w:cs="Arial" w:eastAsia="Arial" w:hAnsi="Arial"/>
          <w:sz w:val="16"/>
          <w:szCs w:val="16"/>
          <w:color w:val="auto"/>
        </w:rPr>
      </w:pPr>
      <w:r>
        <w:rPr>
          <w:rFonts w:ascii="Arial" w:cs="Arial" w:eastAsia="Arial" w:hAnsi="Arial"/>
          <w:sz w:val="16"/>
          <w:szCs w:val="16"/>
          <w:color w:val="auto"/>
        </w:rPr>
        <w:t>The Company Group may withhold or account for Withholding Taxes contemplated by this Section 4 by reference to applicable withholding rates, including minimum or maximum applicable statutory rates, and if the Company Group withholds more than the amount necessary to satisfy the liability, Grantee will receive a refund of any over-withheld amount in cash and will have no entitlement to the equivalent Shares. If the obligation for Withholding Taxes is satisfied by withholding in Shares, for tax purposes, Grantee will be deemed to have been issued the full number of Vested Shares underlying the Restricted Share Units, notwithstanding that a number of the Shares is held back solely for the purpose of paying the Withholding Taxes. No fractional Shares will be withheld or issued pursuant to the settlement of the Restricted Share Units and the Withholding Taxes thereunder.</w:t>
      </w:r>
    </w:p>
    <w:p>
      <w:pPr>
        <w:spacing w:after="0" w:line="160" w:lineRule="exact"/>
        <w:rPr>
          <w:rFonts w:ascii="Arial" w:cs="Arial" w:eastAsia="Arial" w:hAnsi="Arial"/>
          <w:sz w:val="16"/>
          <w:szCs w:val="16"/>
          <w:color w:val="auto"/>
        </w:rPr>
      </w:pPr>
    </w:p>
    <w:p>
      <w:pPr>
        <w:ind w:left="1380" w:hanging="724"/>
        <w:spacing w:after="0"/>
        <w:tabs>
          <w:tab w:leader="none" w:pos="1380" w:val="left"/>
        </w:tabs>
        <w:numPr>
          <w:ilvl w:val="0"/>
          <w:numId w:val="191"/>
        </w:numPr>
        <w:rPr>
          <w:rFonts w:ascii="Arial" w:cs="Arial" w:eastAsia="Arial" w:hAnsi="Arial"/>
          <w:sz w:val="16"/>
          <w:szCs w:val="16"/>
          <w:color w:val="auto"/>
        </w:rPr>
      </w:pPr>
      <w:r>
        <w:rPr>
          <w:rFonts w:ascii="Arial" w:cs="Arial" w:eastAsia="Arial" w:hAnsi="Arial"/>
          <w:sz w:val="16"/>
          <w:szCs w:val="16"/>
          <w:u w:val="single" w:color="auto"/>
          <w:color w:val="auto"/>
        </w:rPr>
        <w:t>Deemed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By accepting the Award, Grantee is deemed to be bound by the terms and conditions set forth in the Plan,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Grant Notice and these Award Terms.</w:t>
      </w:r>
    </w:p>
    <w:p>
      <w:pPr>
        <w:spacing w:after="0" w:line="210" w:lineRule="exact"/>
        <w:rPr>
          <w:rFonts w:ascii="Arial" w:cs="Arial" w:eastAsia="Arial" w:hAnsi="Arial"/>
          <w:sz w:val="16"/>
          <w:szCs w:val="16"/>
          <w:color w:val="auto"/>
        </w:rPr>
      </w:pPr>
    </w:p>
    <w:p>
      <w:pPr>
        <w:ind w:right="300" w:firstLine="656"/>
        <w:spacing w:after="0" w:line="277" w:lineRule="auto"/>
        <w:tabs>
          <w:tab w:leader="none" w:pos="136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vesting of the Restricted Share Units such number of Common Shares as shall be required for issuance or delivery upon vesting thereof.</w:t>
      </w:r>
    </w:p>
    <w:p>
      <w:pPr>
        <w:spacing w:after="0" w:line="170" w:lineRule="exact"/>
        <w:rPr>
          <w:rFonts w:ascii="Arial" w:cs="Arial" w:eastAsia="Arial" w:hAnsi="Arial"/>
          <w:sz w:val="18"/>
          <w:szCs w:val="18"/>
          <w:color w:val="auto"/>
        </w:rPr>
      </w:pPr>
    </w:p>
    <w:p>
      <w:pPr>
        <w:ind w:right="440" w:firstLine="656"/>
        <w:spacing w:after="0" w:line="277" w:lineRule="auto"/>
        <w:tabs>
          <w:tab w:leader="none" w:pos="136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holder of the Restricted Share Units shall not be entitled to receive any payment, payment-in-kind or any equivalent with regard to any cash or other dividends that are declared and paid on Common Shares.</w:t>
      </w:r>
    </w:p>
    <w:p>
      <w:pPr>
        <w:spacing w:after="0" w:line="170" w:lineRule="exact"/>
        <w:rPr>
          <w:rFonts w:ascii="Arial" w:cs="Arial" w:eastAsia="Arial" w:hAnsi="Arial"/>
          <w:sz w:val="18"/>
          <w:szCs w:val="18"/>
          <w:color w:val="auto"/>
        </w:rPr>
      </w:pPr>
    </w:p>
    <w:p>
      <w:pPr>
        <w:ind w:firstLine="656"/>
        <w:spacing w:after="0" w:line="273" w:lineRule="auto"/>
        <w:tabs>
          <w:tab w:leader="none" w:pos="1368" w:val="left"/>
        </w:tabs>
        <w:numPr>
          <w:ilvl w:val="0"/>
          <w:numId w:val="191"/>
        </w:numPr>
        <w:rPr>
          <w:rFonts w:ascii="Arial" w:cs="Arial" w:eastAsia="Arial" w:hAnsi="Arial"/>
          <w:sz w:val="17"/>
          <w:szCs w:val="17"/>
          <w:color w:val="auto"/>
        </w:rPr>
      </w:pPr>
      <w:r>
        <w:rPr>
          <w:rFonts w:ascii="Arial" w:cs="Arial" w:eastAsia="Arial" w:hAnsi="Arial"/>
          <w:sz w:val="17"/>
          <w:szCs w:val="17"/>
          <w:u w:val="single" w:color="auto"/>
          <w:color w:val="auto"/>
        </w:rPr>
        <w:t>Receipt and Delivery</w:t>
      </w:r>
      <w:r>
        <w:rPr>
          <w:rFonts w:ascii="Arial" w:cs="Arial" w:eastAsia="Arial" w:hAnsi="Arial"/>
          <w:sz w:val="17"/>
          <w:szCs w:val="17"/>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Vested Shares are subject to a legend as set forth in Section 15 hereof, the Company shall instead cause a certificate evidencing such Vested Shares and bearing such legend to be delivered to the person entitled thereto.</w:t>
      </w:r>
    </w:p>
    <w:p>
      <w:pPr>
        <w:spacing w:after="0" w:line="178" w:lineRule="exact"/>
        <w:rPr>
          <w:rFonts w:ascii="Arial" w:cs="Arial" w:eastAsia="Arial" w:hAnsi="Arial"/>
          <w:sz w:val="17"/>
          <w:szCs w:val="17"/>
          <w:color w:val="auto"/>
        </w:rPr>
      </w:pPr>
    </w:p>
    <w:p>
      <w:pPr>
        <w:ind w:right="40" w:firstLine="656"/>
        <w:spacing w:after="0" w:line="255" w:lineRule="auto"/>
        <w:tabs>
          <w:tab w:leader="none" w:pos="1368"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r>
        <w:rPr>
          <w:rFonts w:ascii="Arial" w:cs="Arial" w:eastAsia="Arial" w:hAnsi="Arial"/>
          <w:sz w:val="18"/>
          <w:szCs w:val="18"/>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88" w:lineRule="exact"/>
        <w:rPr>
          <w:sz w:val="20"/>
          <w:szCs w:val="20"/>
          <w:color w:val="auto"/>
        </w:rPr>
      </w:pPr>
    </w:p>
    <w:p>
      <w:pPr>
        <w:ind w:right="80" w:firstLine="656"/>
        <w:spacing w:after="0" w:line="254" w:lineRule="auto"/>
        <w:tabs>
          <w:tab w:leader="none" w:pos="1323" w:val="left"/>
        </w:tabs>
        <w:numPr>
          <w:ilvl w:val="0"/>
          <w:numId w:val="192"/>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 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ectPr>
          <w:pgSz w:w="11900" w:h="16907" w:orient="portrait"/>
          <w:cols w:equalWidth="0" w:num="1">
            <w:col w:w="11400"/>
          </w:cols>
          <w:pgMar w:left="240" w:top="125" w:right="259" w:bottom="0" w:gutter="0" w:footer="0" w:header="0"/>
        </w:sectPr>
      </w:pPr>
    </w:p>
    <w:bookmarkStart w:id="205" w:name="page206"/>
    <w:bookmarkEnd w:id="205"/>
    <w:p>
      <w:pPr>
        <w:spacing w:after="0" w:line="90" w:lineRule="exact"/>
        <w:rPr>
          <w:sz w:val="20"/>
          <w:szCs w:val="20"/>
          <w:color w:val="auto"/>
        </w:rPr>
      </w:pPr>
    </w:p>
    <w:p>
      <w:pPr>
        <w:ind w:firstLine="656"/>
        <w:spacing w:after="0" w:line="269" w:lineRule="auto"/>
        <w:tabs>
          <w:tab w:leader="none" w:pos="1317"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Registration and Listing</w:t>
      </w:r>
      <w:r>
        <w:rPr>
          <w:rFonts w:ascii="Arial" w:cs="Arial" w:eastAsia="Arial" w:hAnsi="Arial"/>
          <w:sz w:val="17"/>
          <w:szCs w:val="17"/>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United States Securities and Exchange Commission,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82" w:lineRule="exact"/>
        <w:rPr>
          <w:rFonts w:ascii="Arial" w:cs="Arial" w:eastAsia="Arial" w:hAnsi="Arial"/>
          <w:sz w:val="17"/>
          <w:szCs w:val="17"/>
          <w:color w:val="auto"/>
        </w:rPr>
      </w:pPr>
    </w:p>
    <w:p>
      <w:pPr>
        <w:ind w:right="120" w:firstLine="656"/>
        <w:spacing w:after="0" w:line="279" w:lineRule="auto"/>
        <w:tabs>
          <w:tab w:leader="none" w:pos="1323" w:val="left"/>
        </w:tabs>
        <w:numPr>
          <w:ilvl w:val="0"/>
          <w:numId w:val="193"/>
        </w:numPr>
        <w:rPr>
          <w:rFonts w:ascii="Arial" w:cs="Arial" w:eastAsia="Arial" w:hAnsi="Arial"/>
          <w:sz w:val="17"/>
          <w:szCs w:val="17"/>
          <w:color w:val="auto"/>
        </w:rPr>
      </w:pPr>
      <w:r>
        <w:rPr>
          <w:rFonts w:ascii="Arial" w:cs="Arial" w:eastAsia="Arial" w:hAnsi="Arial"/>
          <w:sz w:val="17"/>
          <w:szCs w:val="17"/>
          <w:u w:val="single" w:color="auto"/>
          <w:color w:val="auto"/>
        </w:rPr>
        <w:t>Transferability</w:t>
      </w:r>
      <w:r>
        <w:rPr>
          <w:rFonts w:ascii="Arial" w:cs="Arial" w:eastAsia="Arial" w:hAnsi="Arial"/>
          <w:sz w:val="17"/>
          <w:szCs w:val="17"/>
          <w:color w:val="auto"/>
        </w:rPr>
        <w:t xml:space="preserve">. Subject to the terms of the Plan, and only with the Company’s consent, Grantee may transfer Restricted Share Units for estate planning purposes or pursuant to a domestic relations order (or a comparable order under applicable local law);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Grantee</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47" w:lineRule="exact"/>
        <w:rPr>
          <w:sz w:val="20"/>
          <w:szCs w:val="20"/>
          <w:color w:val="auto"/>
        </w:rPr>
      </w:pPr>
    </w:p>
    <w:p>
      <w:pPr>
        <w:ind w:left="1340" w:hanging="684"/>
        <w:spacing w:after="0"/>
        <w:tabs>
          <w:tab w:leader="none" w:pos="13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40" w:firstLine="1305"/>
        <w:spacing w:after="0" w:line="277" w:lineRule="auto"/>
        <w:tabs>
          <w:tab w:leader="none" w:pos="199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Grantee is responsible for complying with (i) any tax, social insurance, national insurance contributions, payroll tax, payment on account or other tax liabilities applicable to Grantee in connection with the Award and (ii) all Exercise Rules and Regulations.</w:t>
      </w:r>
    </w:p>
    <w:p>
      <w:pPr>
        <w:spacing w:after="0" w:line="170" w:lineRule="exact"/>
        <w:rPr>
          <w:rFonts w:ascii="Arial" w:cs="Arial" w:eastAsia="Arial" w:hAnsi="Arial"/>
          <w:sz w:val="18"/>
          <w:szCs w:val="18"/>
          <w:color w:val="auto"/>
        </w:rPr>
      </w:pPr>
    </w:p>
    <w:p>
      <w:pPr>
        <w:ind w:right="60" w:firstLine="1305"/>
        <w:spacing w:after="0" w:line="264" w:lineRule="auto"/>
        <w:tabs>
          <w:tab w:leader="none" w:pos="2001" w:val="left"/>
        </w:tabs>
        <w:numPr>
          <w:ilvl w:val="1"/>
          <w:numId w:val="194"/>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194"/>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83" w:lineRule="auto"/>
        <w:tabs>
          <w:tab w:leader="none" w:pos="1991" w:val="left"/>
        </w:tabs>
        <w:numPr>
          <w:ilvl w:val="1"/>
          <w:numId w:val="194"/>
        </w:numPr>
        <w:rPr>
          <w:rFonts w:ascii="Arial" w:cs="Arial" w:eastAsia="Arial" w:hAnsi="Arial"/>
          <w:sz w:val="16"/>
          <w:szCs w:val="16"/>
          <w:color w:val="auto"/>
        </w:rPr>
      </w:pPr>
      <w:r>
        <w:rPr>
          <w:rFonts w:ascii="Arial" w:cs="Arial" w:eastAsia="Arial" w:hAnsi="Arial"/>
          <w:sz w:val="16"/>
          <w:szCs w:val="16"/>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14 does not create an obligation on the part of the Committee or the Company to make any such modification, and in no event shall the Company be liable for the payment of or gross up in connection with any taxes, interest or penalties owed by Grantee pursuant to</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210" w:lineRule="exact"/>
        <w:rPr>
          <w:rFonts w:ascii="Arial" w:cs="Arial" w:eastAsia="Arial" w:hAnsi="Arial"/>
          <w:sz w:val="16"/>
          <w:szCs w:val="16"/>
          <w:color w:val="auto"/>
        </w:rPr>
      </w:pPr>
    </w:p>
    <w:p>
      <w:pPr>
        <w:jc w:val="both"/>
        <w:ind w:right="140" w:firstLine="1305"/>
        <w:spacing w:after="0" w:line="302" w:lineRule="auto"/>
        <w:tabs>
          <w:tab w:leader="none" w:pos="2001" w:val="left"/>
        </w:tabs>
        <w:numPr>
          <w:ilvl w:val="1"/>
          <w:numId w:val="194"/>
        </w:numPr>
        <w:rPr>
          <w:rFonts w:ascii="Arial" w:cs="Arial" w:eastAsia="Arial" w:hAnsi="Arial"/>
          <w:sz w:val="16"/>
          <w:szCs w:val="16"/>
          <w:color w:val="auto"/>
        </w:rPr>
      </w:pPr>
      <w:r>
        <w:rPr>
          <w:rFonts w:ascii="Arial" w:cs="Arial" w:eastAsia="Arial" w:hAnsi="Arial"/>
          <w:sz w:val="16"/>
          <w:szCs w:val="16"/>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4" w:lineRule="exact"/>
        <w:rPr>
          <w:rFonts w:ascii="Arial" w:cs="Arial" w:eastAsia="Arial" w:hAnsi="Arial"/>
          <w:sz w:val="16"/>
          <w:szCs w:val="16"/>
          <w:color w:val="auto"/>
        </w:rPr>
      </w:pPr>
    </w:p>
    <w:p>
      <w:pPr>
        <w:ind w:right="60" w:firstLine="1305"/>
        <w:spacing w:after="0" w:line="308" w:lineRule="auto"/>
        <w:tabs>
          <w:tab w:leader="none" w:pos="1991" w:val="left"/>
        </w:tabs>
        <w:numPr>
          <w:ilvl w:val="1"/>
          <w:numId w:val="194"/>
        </w:numPr>
        <w:rPr>
          <w:rFonts w:ascii="Arial" w:cs="Arial" w:eastAsia="Arial" w:hAnsi="Arial"/>
          <w:sz w:val="17"/>
          <w:szCs w:val="17"/>
          <w:color w:val="auto"/>
        </w:rPr>
      </w:pPr>
      <w:r>
        <w:rPr>
          <w:rFonts w:ascii="Arial" w:cs="Arial" w:eastAsia="Arial" w:hAnsi="Arial"/>
          <w:sz w:val="17"/>
          <w:szCs w:val="17"/>
          <w:color w:val="auto"/>
        </w:rPr>
        <w:t>Notwithstanding anything to the contrary contained herein, if (i) the Committee determines in good faith that the Restricted Share Units do not qualify for the “short-term deferral exception” under Section 409A, (ii) Grantee is a “specified employee” (as defined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20"/>
        <w:spacing w:after="0" w:line="286" w:lineRule="auto"/>
        <w:rPr>
          <w:sz w:val="20"/>
          <w:szCs w:val="20"/>
          <w:color w:val="auto"/>
        </w:rPr>
      </w:pPr>
      <w:r>
        <w:rPr>
          <w:rFonts w:ascii="Arial" w:cs="Arial" w:eastAsia="Arial" w:hAnsi="Arial"/>
          <w:sz w:val="16"/>
          <w:szCs w:val="16"/>
          <w:color w:val="auto"/>
        </w:rPr>
        <w:t>in Section 409A) and (iii) 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 (A) the date that is the first business day following the date that is six months after the date of Grantee’s separation from service and</w:t>
      </w:r>
    </w:p>
    <w:p>
      <w:pPr>
        <w:spacing w:after="0" w:line="2" w:lineRule="exact"/>
        <w:rPr>
          <w:sz w:val="20"/>
          <w:szCs w:val="20"/>
          <w:color w:val="auto"/>
        </w:rPr>
      </w:pPr>
    </w:p>
    <w:p>
      <w:pPr>
        <w:ind w:left="300" w:hanging="292"/>
        <w:spacing w:after="0"/>
        <w:tabs>
          <w:tab w:leader="none" w:pos="3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Grantee’s death.</w:t>
      </w:r>
    </w:p>
    <w:p>
      <w:pPr>
        <w:spacing w:after="0" w:line="210" w:lineRule="exact"/>
        <w:rPr>
          <w:rFonts w:ascii="Arial" w:cs="Arial" w:eastAsia="Arial" w:hAnsi="Arial"/>
          <w:sz w:val="18"/>
          <w:szCs w:val="18"/>
          <w:color w:val="auto"/>
        </w:rPr>
      </w:pPr>
    </w:p>
    <w:p>
      <w:pPr>
        <w:ind w:right="160" w:firstLine="656"/>
        <w:spacing w:after="0" w:line="277" w:lineRule="auto"/>
        <w:tabs>
          <w:tab w:leader="none" w:pos="1323" w:val="left"/>
        </w:tabs>
        <w:numPr>
          <w:ilvl w:val="1"/>
          <w:numId w:val="195"/>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Vested Shares to bear a legend substantially as follows:</w:t>
      </w:r>
    </w:p>
    <w:p>
      <w:pPr>
        <w:spacing w:after="0" w:line="170" w:lineRule="exact"/>
        <w:rPr>
          <w:sz w:val="20"/>
          <w:szCs w:val="20"/>
          <w:color w:val="auto"/>
        </w:rPr>
      </w:pPr>
    </w:p>
    <w:p>
      <w:pPr>
        <w:ind w:left="1300" w:right="420"/>
        <w:spacing w:after="0" w:line="286" w:lineRule="auto"/>
        <w:rPr>
          <w:sz w:val="20"/>
          <w:szCs w:val="20"/>
          <w:color w:val="auto"/>
        </w:rPr>
      </w:pPr>
      <w:r>
        <w:rPr>
          <w:rFonts w:ascii="Arial" w:cs="Arial" w:eastAsia="Arial" w:hAnsi="Arial"/>
          <w:sz w:val="17"/>
          <w:szCs w:val="17"/>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66" w:lineRule="exact"/>
        <w:rPr>
          <w:sz w:val="20"/>
          <w:szCs w:val="20"/>
          <w:color w:val="auto"/>
        </w:rPr>
      </w:pPr>
    </w:p>
    <w:p>
      <w:pPr>
        <w:ind w:left="1340" w:hanging="684"/>
        <w:spacing w:after="0"/>
        <w:tabs>
          <w:tab w:leader="none" w:pos="1340"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Nature of Grant</w:t>
      </w:r>
      <w:r>
        <w:rPr>
          <w:rFonts w:ascii="Arial" w:cs="Arial" w:eastAsia="Arial" w:hAnsi="Arial"/>
          <w:sz w:val="18"/>
          <w:szCs w:val="18"/>
          <w:color w:val="auto"/>
        </w:rPr>
        <w:t>. By accepting the Award, Grantee acknowledges, understands, and agrees that:</w:t>
      </w:r>
    </w:p>
    <w:p>
      <w:pPr>
        <w:spacing w:after="0" w:line="225" w:lineRule="exact"/>
        <w:rPr>
          <w:rFonts w:ascii="Arial" w:cs="Arial" w:eastAsia="Arial" w:hAnsi="Arial"/>
          <w:sz w:val="18"/>
          <w:szCs w:val="18"/>
          <w:color w:val="auto"/>
        </w:rPr>
      </w:pPr>
    </w:p>
    <w:p>
      <w:pPr>
        <w:ind w:right="200" w:firstLine="1305"/>
        <w:spacing w:after="0" w:line="277" w:lineRule="auto"/>
        <w:tabs>
          <w:tab w:leader="none" w:pos="1991" w:val="left"/>
        </w:tabs>
        <w:numPr>
          <w:ilvl w:val="1"/>
          <w:numId w:val="196"/>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unless otherwise provided in the Plan and/or these Award Terms;</w:t>
      </w:r>
    </w:p>
    <w:p>
      <w:pPr>
        <w:sectPr>
          <w:pgSz w:w="11900" w:h="16929" w:orient="portrait"/>
          <w:cols w:equalWidth="0" w:num="1">
            <w:col w:w="11400"/>
          </w:cols>
          <w:pgMar w:left="240" w:top="341" w:right="259" w:bottom="0" w:gutter="0" w:footer="0" w:header="0"/>
        </w:sectPr>
      </w:pPr>
    </w:p>
    <w:bookmarkStart w:id="206" w:name="page207"/>
    <w:bookmarkEnd w:id="206"/>
    <w:p>
      <w:pPr>
        <w:spacing w:after="0" w:line="87" w:lineRule="exact"/>
        <w:rPr>
          <w:sz w:val="20"/>
          <w:szCs w:val="20"/>
          <w:color w:val="auto"/>
        </w:rPr>
      </w:pPr>
    </w:p>
    <w:p>
      <w:pPr>
        <w:ind w:firstLine="1305"/>
        <w:spacing w:after="0" w:line="264" w:lineRule="auto"/>
        <w:tabs>
          <w:tab w:leader="none" w:pos="2001"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grant of the Restricted Share Units is exceptional, voluntary and occasional and does not create any contractual or other right to receive future grants of rights to receive Common Shares, or benefits in lieu of rights to receive Common Shares, even if rights to receive Common Shares have been granted in the past;</w:t>
      </w:r>
    </w:p>
    <w:p>
      <w:pPr>
        <w:spacing w:after="0" w:line="181" w:lineRule="exact"/>
        <w:rPr>
          <w:rFonts w:ascii="Arial" w:cs="Arial" w:eastAsia="Arial" w:hAnsi="Arial"/>
          <w:sz w:val="18"/>
          <w:szCs w:val="18"/>
          <w:color w:val="auto"/>
        </w:rPr>
      </w:pPr>
    </w:p>
    <w:p>
      <w:pPr>
        <w:ind w:left="2000" w:hanging="695"/>
        <w:spacing w:after="0"/>
        <w:tabs>
          <w:tab w:leader="none" w:pos="200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all decisions with respect to future grants of rights to receive Common Shares, if any, will be at the sole discretion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10" w:lineRule="exact"/>
        <w:rPr>
          <w:rFonts w:ascii="Arial" w:cs="Arial" w:eastAsia="Arial" w:hAnsi="Arial"/>
          <w:sz w:val="17"/>
          <w:szCs w:val="17"/>
          <w:color w:val="auto"/>
        </w:rPr>
      </w:pPr>
    </w:p>
    <w:p>
      <w:pPr>
        <w:ind w:left="2000" w:hanging="695"/>
        <w:spacing w:after="0"/>
        <w:tabs>
          <w:tab w:leader="none" w:pos="20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Grantee’s participation in the Plan is voluntary;</w:t>
      </w:r>
    </w:p>
    <w:p>
      <w:pPr>
        <w:spacing w:after="0" w:line="225" w:lineRule="exact"/>
        <w:rPr>
          <w:rFonts w:ascii="Arial" w:cs="Arial" w:eastAsia="Arial" w:hAnsi="Arial"/>
          <w:sz w:val="18"/>
          <w:szCs w:val="18"/>
          <w:color w:val="auto"/>
        </w:rPr>
      </w:pPr>
    </w:p>
    <w:p>
      <w:pPr>
        <w:ind w:right="160" w:firstLine="1305"/>
        <w:spacing w:after="0" w:line="308" w:lineRule="auto"/>
        <w:tabs>
          <w:tab w:leader="none" w:pos="1991" w:val="left"/>
        </w:tabs>
        <w:numPr>
          <w:ilvl w:val="0"/>
          <w:numId w:val="197"/>
        </w:numPr>
        <w:rPr>
          <w:rFonts w:ascii="Arial" w:cs="Arial" w:eastAsia="Arial" w:hAnsi="Arial"/>
          <w:sz w:val="17"/>
          <w:szCs w:val="17"/>
          <w:color w:val="auto"/>
        </w:rPr>
      </w:pPr>
      <w:r>
        <w:rPr>
          <w:rFonts w:ascii="Arial" w:cs="Arial" w:eastAsia="Arial" w:hAnsi="Arial"/>
          <w:sz w:val="17"/>
          <w:szCs w:val="17"/>
          <w:color w:val="auto"/>
        </w:rPr>
        <w:t>Grantee’s participation in the Plan shall not create a right to employment with the Employer or any other entity in the Company Group and shall not interfere with the ability of the Employer to terminate Grantee’s employment or service relationship at any time;</w:t>
      </w:r>
    </w:p>
    <w:p>
      <w:pPr>
        <w:spacing w:after="0" w:line="146" w:lineRule="exact"/>
        <w:rPr>
          <w:rFonts w:ascii="Arial" w:cs="Arial" w:eastAsia="Arial" w:hAnsi="Arial"/>
          <w:sz w:val="17"/>
          <w:szCs w:val="17"/>
          <w:color w:val="auto"/>
        </w:rPr>
      </w:pPr>
    </w:p>
    <w:p>
      <w:pPr>
        <w:jc w:val="both"/>
        <w:ind w:firstLine="1305"/>
        <w:spacing w:after="0" w:line="264" w:lineRule="auto"/>
        <w:tabs>
          <w:tab w:leader="none" w:pos="2016"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 grant of the Restricted Share Units and any Common Shares underlying the Restricted Share Units, and the income in respect of and the value of the same, are extraordinary items that do not constitute compensation of any kind for services of any kind rendered to the Company or the Employer, and are outside the scope of the employment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agreement or service contract between Grantee and the Company, the Employer or any other entity in the Company Group, if any;</w:t>
      </w:r>
    </w:p>
    <w:p>
      <w:pPr>
        <w:spacing w:after="0" w:line="225" w:lineRule="exact"/>
        <w:rPr>
          <w:sz w:val="20"/>
          <w:szCs w:val="20"/>
          <w:color w:val="auto"/>
        </w:rPr>
      </w:pPr>
    </w:p>
    <w:p>
      <w:pPr>
        <w:ind w:right="140" w:firstLine="1305"/>
        <w:spacing w:after="0" w:line="277" w:lineRule="auto"/>
        <w:tabs>
          <w:tab w:leader="none" w:pos="20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Restricted Share Units and any Common Shares underlying the Restricted Share Units, and the income in respect of and the value of the same, are not intended to replace any pension rights or compensation;</w:t>
      </w:r>
    </w:p>
    <w:p>
      <w:pPr>
        <w:spacing w:after="0" w:line="170" w:lineRule="exact"/>
        <w:rPr>
          <w:rFonts w:ascii="Arial" w:cs="Arial" w:eastAsia="Arial" w:hAnsi="Arial"/>
          <w:sz w:val="18"/>
          <w:szCs w:val="18"/>
          <w:color w:val="auto"/>
        </w:rPr>
      </w:pPr>
    </w:p>
    <w:p>
      <w:pPr>
        <w:ind w:right="40" w:firstLine="1305"/>
        <w:spacing w:after="0" w:line="259" w:lineRule="auto"/>
        <w:tabs>
          <w:tab w:leader="none" w:pos="20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Restricted Share Units and any Common Shares underlying the Restricted Share Units, and the income in respect of and the value of the same, are not part of normal or expected compensation or salary for any purpose, including, without limitation, the calculation of any severance, resignation, termination, redundancy, dismissal, end of service payment, bonus, long-service award, pension or retirement or welfare benefit or similar payments;</w:t>
      </w:r>
    </w:p>
    <w:p>
      <w:pPr>
        <w:spacing w:after="0" w:line="186" w:lineRule="exact"/>
        <w:rPr>
          <w:rFonts w:ascii="Arial" w:cs="Arial" w:eastAsia="Arial" w:hAnsi="Arial"/>
          <w:sz w:val="18"/>
          <w:szCs w:val="18"/>
          <w:color w:val="auto"/>
        </w:rPr>
      </w:pPr>
    </w:p>
    <w:p>
      <w:pPr>
        <w:ind w:right="160" w:firstLine="1305"/>
        <w:spacing w:after="0" w:line="264" w:lineRule="auto"/>
        <w:tabs>
          <w:tab w:leader="none" w:pos="200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Restricted Share Unit grant and Grantee’s participation in the Plan will not be interpreted to form an employment or service contract or relationship with the Company and, furthermore, the Restricted Share Unit grant will not be interpreted to form an employment agreement or service contract or relationship with any other company in the Company Group;</w:t>
      </w:r>
    </w:p>
    <w:p>
      <w:pPr>
        <w:spacing w:after="0" w:line="181" w:lineRule="exact"/>
        <w:rPr>
          <w:rFonts w:ascii="Arial" w:cs="Arial" w:eastAsia="Arial" w:hAnsi="Arial"/>
          <w:sz w:val="18"/>
          <w:szCs w:val="18"/>
          <w:color w:val="auto"/>
        </w:rPr>
      </w:pPr>
    </w:p>
    <w:p>
      <w:pPr>
        <w:ind w:left="2020" w:hanging="715"/>
        <w:spacing w:after="0"/>
        <w:tabs>
          <w:tab w:leader="none" w:pos="20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future value of the underlying Common Shares is unknown and cannot be predicted with certainty;</w:t>
      </w:r>
    </w:p>
    <w:p>
      <w:pPr>
        <w:spacing w:after="0" w:line="225" w:lineRule="exact"/>
        <w:rPr>
          <w:rFonts w:ascii="Arial" w:cs="Arial" w:eastAsia="Arial" w:hAnsi="Arial"/>
          <w:sz w:val="18"/>
          <w:szCs w:val="18"/>
          <w:color w:val="auto"/>
        </w:rPr>
      </w:pPr>
    </w:p>
    <w:p>
      <w:pPr>
        <w:ind w:right="40" w:firstLine="1305"/>
        <w:spacing w:after="0" w:line="264" w:lineRule="auto"/>
        <w:tabs>
          <w:tab w:leader="none" w:pos="2001"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unless otherwise agreed with the Company, the Restricted Share Units and the Common Shares subject to the Restricted Share Units, and the income and value of same, are not granted as consideration for, or in connection with, the service the Grantee may provide as a director of any entity of Company Group;</w:t>
      </w:r>
    </w:p>
    <w:p>
      <w:pPr>
        <w:spacing w:after="0" w:line="181" w:lineRule="exact"/>
        <w:rPr>
          <w:rFonts w:ascii="Arial" w:cs="Arial" w:eastAsia="Arial" w:hAnsi="Arial"/>
          <w:sz w:val="18"/>
          <w:szCs w:val="18"/>
          <w:color w:val="auto"/>
        </w:rPr>
      </w:pPr>
    </w:p>
    <w:p>
      <w:pPr>
        <w:ind w:right="40" w:firstLine="1305"/>
        <w:spacing w:after="0" w:line="259" w:lineRule="auto"/>
        <w:tabs>
          <w:tab w:leader="none" w:pos="200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claim or entitlement to compensation or damages shall arise from forfeiture of the Restricted Share Units resulting from termination of Grantee’s continuous service with the Company or the Employer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w:t>
      </w:r>
    </w:p>
    <w:p>
      <w:pPr>
        <w:spacing w:after="0" w:line="186" w:lineRule="exact"/>
        <w:rPr>
          <w:rFonts w:ascii="Arial" w:cs="Arial" w:eastAsia="Arial" w:hAnsi="Arial"/>
          <w:sz w:val="18"/>
          <w:szCs w:val="18"/>
          <w:color w:val="auto"/>
        </w:rPr>
      </w:pPr>
    </w:p>
    <w:p>
      <w:pPr>
        <w:ind w:right="40" w:firstLine="1305"/>
        <w:spacing w:after="0" w:line="255" w:lineRule="auto"/>
        <w:tabs>
          <w:tab w:leader="none" w:pos="2006" w:val="left"/>
        </w:tabs>
        <w:numPr>
          <w:ilvl w:val="0"/>
          <w:numId w:val="198"/>
        </w:numPr>
        <w:rPr>
          <w:rFonts w:ascii="Arial" w:cs="Arial" w:eastAsia="Arial" w:hAnsi="Arial"/>
          <w:sz w:val="18"/>
          <w:szCs w:val="18"/>
          <w:color w:val="auto"/>
        </w:rPr>
      </w:pPr>
      <w:r>
        <w:rPr>
          <w:rFonts w:ascii="Arial" w:cs="Arial" w:eastAsia="Arial" w:hAnsi="Arial"/>
          <w:sz w:val="18"/>
          <w:szCs w:val="18"/>
          <w:color w:val="auto"/>
        </w:rPr>
        <w:t>unless the Committee determines otherwise, in the event of the termination of Grantee’s continuous service (for any reason whatsoever and whether or not later found to be invalid or in breach of employment laws in the jurisdiction in which Grantee is employed or the terms of the employment agreement or service contract between Grantee and the Company, the Employer or any other entity in the Company Group, if any), Grantee’s right to receive or vest in the Restricted Share Units under the Plan, if any, will terminate effective as of the date that Grantee is no longer actively employed and will not be extended by any notice period mandated under local law (</w:t>
      </w:r>
      <w:r>
        <w:rPr>
          <w:rFonts w:ascii="Arial" w:cs="Arial" w:eastAsia="Arial" w:hAnsi="Arial"/>
          <w:sz w:val="18"/>
          <w:szCs w:val="18"/>
          <w:i w:val="1"/>
          <w:iCs w:val="1"/>
          <w:color w:val="auto"/>
        </w:rPr>
        <w:t>e.g.</w:t>
      </w:r>
      <w:r>
        <w:rPr>
          <w:rFonts w:ascii="Arial" w:cs="Arial" w:eastAsia="Arial" w:hAnsi="Arial"/>
          <w:sz w:val="18"/>
          <w:szCs w:val="18"/>
          <w:color w:val="auto"/>
        </w:rPr>
        <w:t>, active employment would not include a period of “garden leave” or similar period pursuant to local law); the Committee shall have the exclusive discretion to determine when Grantee is no longer actively employed for purposes of Grantee’s Restricted</w:t>
      </w:r>
    </w:p>
    <w:p>
      <w:pPr>
        <w:spacing w:after="0" w:line="1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Share Unit grant (including whether Grantee may still be considered actively employed while on a leave of absence);</w:t>
      </w:r>
    </w:p>
    <w:p>
      <w:pPr>
        <w:spacing w:after="0" w:line="225" w:lineRule="exact"/>
        <w:rPr>
          <w:sz w:val="20"/>
          <w:szCs w:val="20"/>
          <w:color w:val="auto"/>
        </w:rPr>
      </w:pPr>
    </w:p>
    <w:p>
      <w:pPr>
        <w:ind w:right="340" w:firstLine="1305"/>
        <w:spacing w:after="0" w:line="277" w:lineRule="auto"/>
        <w:tabs>
          <w:tab w:leader="none" w:pos="200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Company is not providing any tax, legal or financial advice, nor is the Company making any recommendations regarding Grantee’s participation in the Plan, or Grantee’s acquisition or sale of the underlying Common Shares;</w:t>
      </w:r>
    </w:p>
    <w:p>
      <w:pPr>
        <w:spacing w:after="0" w:line="170" w:lineRule="exact"/>
        <w:rPr>
          <w:rFonts w:ascii="Arial" w:cs="Arial" w:eastAsia="Arial" w:hAnsi="Arial"/>
          <w:sz w:val="18"/>
          <w:szCs w:val="18"/>
          <w:color w:val="auto"/>
        </w:rPr>
      </w:pPr>
    </w:p>
    <w:p>
      <w:pPr>
        <w:ind w:right="800" w:firstLine="1305"/>
        <w:spacing w:after="0" w:line="277" w:lineRule="auto"/>
        <w:tabs>
          <w:tab w:leader="none" w:pos="2001" w:val="left"/>
        </w:tabs>
        <w:numPr>
          <w:ilvl w:val="1"/>
          <w:numId w:val="199"/>
        </w:numPr>
        <w:rPr>
          <w:rFonts w:ascii="Arial" w:cs="Arial" w:eastAsia="Arial" w:hAnsi="Arial"/>
          <w:sz w:val="18"/>
          <w:szCs w:val="18"/>
          <w:color w:val="auto"/>
        </w:rPr>
      </w:pPr>
      <w:r>
        <w:rPr>
          <w:rFonts w:ascii="Arial" w:cs="Arial" w:eastAsia="Arial" w:hAnsi="Arial"/>
          <w:sz w:val="18"/>
          <w:szCs w:val="18"/>
          <w:color w:val="auto"/>
        </w:rPr>
        <w:t>Grantee is hereby advised to consult with Grantee’s own personal tax, legal and financial advisors regarding Grantee’s participation in the Plan before taking any action related to the Plan;</w:t>
      </w:r>
    </w:p>
    <w:p>
      <w:pPr>
        <w:spacing w:after="0" w:line="170" w:lineRule="exact"/>
        <w:rPr>
          <w:rFonts w:ascii="Arial" w:cs="Arial" w:eastAsia="Arial" w:hAnsi="Arial"/>
          <w:sz w:val="18"/>
          <w:szCs w:val="18"/>
          <w:color w:val="auto"/>
        </w:rPr>
      </w:pPr>
    </w:p>
    <w:p>
      <w:pPr>
        <w:jc w:val="both"/>
        <w:ind w:right="100" w:firstLine="1305"/>
        <w:spacing w:after="0" w:line="312" w:lineRule="auto"/>
        <w:tabs>
          <w:tab w:leader="none" w:pos="200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unless otherwise provided in the Plan or by the Company in its discretion, the Restricted Share Units and the benefits evidenced by these Award Terms do not create any entitlement to have the Restricted Share Units or any such benefits transferred to, or assumed by, another company, nor be exchanged, cashed out or substituted for, in connection with any corporate transaction affecting the Common Shares; and</w:t>
      </w:r>
    </w:p>
    <w:p>
      <w:pPr>
        <w:spacing w:after="0" w:line="146" w:lineRule="exact"/>
        <w:rPr>
          <w:rFonts w:ascii="Arial" w:cs="Arial" w:eastAsia="Arial" w:hAnsi="Arial"/>
          <w:sz w:val="16"/>
          <w:szCs w:val="16"/>
          <w:color w:val="auto"/>
        </w:rPr>
      </w:pPr>
    </w:p>
    <w:p>
      <w:pPr>
        <w:ind w:right="240" w:firstLine="1305"/>
        <w:spacing w:after="0" w:line="312" w:lineRule="auto"/>
        <w:tabs>
          <w:tab w:leader="none" w:pos="2001" w:val="left"/>
        </w:tabs>
        <w:numPr>
          <w:ilvl w:val="1"/>
          <w:numId w:val="199"/>
        </w:numPr>
        <w:rPr>
          <w:rFonts w:ascii="Arial" w:cs="Arial" w:eastAsia="Arial" w:hAnsi="Arial"/>
          <w:sz w:val="16"/>
          <w:szCs w:val="16"/>
          <w:color w:val="auto"/>
        </w:rPr>
      </w:pPr>
      <w:r>
        <w:rPr>
          <w:rFonts w:ascii="Arial" w:cs="Arial" w:eastAsia="Arial" w:hAnsi="Arial"/>
          <w:sz w:val="16"/>
          <w:szCs w:val="16"/>
          <w:color w:val="auto"/>
        </w:rPr>
        <w:t>neither the Company, the Employer nor any other entity in the Company Group shall be liable for any foreign exchange rate fluctuation between Grantee’s local currency and the United States Dollar that may affect the value of the Restricted Share Units or of any amounts due to Grantee pursuant to the settlement of the Restricted Share Units or the subsequent sale of any Common Shares acquired upon settlement.</w:t>
      </w:r>
    </w:p>
    <w:p>
      <w:pPr>
        <w:spacing w:after="0" w:line="146" w:lineRule="exact"/>
        <w:rPr>
          <w:rFonts w:ascii="Arial" w:cs="Arial" w:eastAsia="Arial" w:hAnsi="Arial"/>
          <w:sz w:val="16"/>
          <w:szCs w:val="16"/>
          <w:color w:val="auto"/>
        </w:rPr>
      </w:pPr>
    </w:p>
    <w:p>
      <w:pPr>
        <w:ind w:right="20" w:firstLine="656"/>
        <w:spacing w:after="0" w:line="312" w:lineRule="auto"/>
        <w:tabs>
          <w:tab w:leader="none" w:pos="1323" w:val="left"/>
        </w:tabs>
        <w:numPr>
          <w:ilvl w:val="0"/>
          <w:numId w:val="200"/>
        </w:numPr>
        <w:rPr>
          <w:rFonts w:ascii="Arial" w:cs="Arial" w:eastAsia="Arial" w:hAnsi="Arial"/>
          <w:sz w:val="16"/>
          <w:szCs w:val="16"/>
          <w:color w:val="auto"/>
        </w:rPr>
      </w:pPr>
      <w:r>
        <w:rPr>
          <w:rFonts w:ascii="Arial" w:cs="Arial" w:eastAsia="Arial" w:hAnsi="Arial"/>
          <w:sz w:val="16"/>
          <w:szCs w:val="16"/>
          <w:b w:val="1"/>
          <w:bCs w:val="1"/>
          <w:i w:val="1"/>
          <w:iCs w:val="1"/>
          <w:u w:val="single" w:color="auto"/>
          <w:color w:val="auto"/>
        </w:rPr>
        <w:t>Data Privacy</w:t>
      </w:r>
      <w:r>
        <w:rPr>
          <w:rFonts w:ascii="Arial" w:cs="Arial" w:eastAsia="Arial" w:hAnsi="Arial"/>
          <w:sz w:val="16"/>
          <w:szCs w:val="16"/>
          <w:b w:val="1"/>
          <w:bCs w:val="1"/>
          <w:i w:val="1"/>
          <w:iCs w:val="1"/>
          <w:color w:val="auto"/>
        </w:rPr>
        <w:t>. Grantee hereby explicitly and unambiguously consents to the collection, use and transfer, in electronic or other form, of Grantee’s personal data as described in the Grant Notice and these Award Terms by and among, as applicable, the Employer or any other entity in the Company Group for the exclusive purpose of implementing, administering and managing Grantee’s participation in the Plan.</w:t>
      </w:r>
    </w:p>
    <w:p>
      <w:pPr>
        <w:sectPr>
          <w:pgSz w:w="11900" w:h="16925" w:orient="portrait"/>
          <w:cols w:equalWidth="0" w:num="1">
            <w:col w:w="11340"/>
          </w:cols>
          <w:pgMar w:left="240" w:top="341" w:right="319" w:bottom="0" w:gutter="0" w:footer="0" w:header="0"/>
        </w:sectPr>
      </w:pPr>
    </w:p>
    <w:bookmarkStart w:id="207" w:name="page208"/>
    <w:bookmarkEnd w:id="207"/>
    <w:p>
      <w:pPr>
        <w:ind w:right="180" w:firstLine="648"/>
        <w:spacing w:after="0" w:line="257" w:lineRule="auto"/>
        <w:rPr>
          <w:sz w:val="20"/>
          <w:szCs w:val="20"/>
          <w:color w:val="auto"/>
        </w:rPr>
      </w:pPr>
      <w:r>
        <w:rPr>
          <w:rFonts w:ascii="Arial" w:cs="Arial" w:eastAsia="Arial" w:hAnsi="Arial"/>
          <w:sz w:val="18"/>
          <w:szCs w:val="18"/>
          <w:b w:val="1"/>
          <w:bCs w:val="1"/>
          <w:i w:val="1"/>
          <w:iCs w:val="1"/>
          <w:color w:val="auto"/>
        </w:rPr>
        <w:t>Grantee understands that the Company and the Employer may hold certain personal information about Grantee, including, without limitation, Grantee’s name, home address, email address and telephone number, date of birth, social insurance, passport or other identification number, salary, nationality, job title, any directorships held in any entity in the Company Group, any Shares owned, details of all Restricted Share Units or any other entitlement to the Common Shares awarded, canceled, exercised, vested, unvested or outstanding in Grantee’s favor (the “Data”), for the purpose of implementing, administering and managing the Plan.</w:t>
      </w:r>
    </w:p>
    <w:p>
      <w:pPr>
        <w:spacing w:after="0" w:line="188" w:lineRule="exact"/>
        <w:rPr>
          <w:sz w:val="20"/>
          <w:szCs w:val="20"/>
          <w:color w:val="auto"/>
        </w:rPr>
      </w:pPr>
    </w:p>
    <w:p>
      <w:pPr>
        <w:ind w:right="160" w:firstLine="648"/>
        <w:spacing w:after="0" w:line="320" w:lineRule="auto"/>
        <w:rPr>
          <w:sz w:val="20"/>
          <w:szCs w:val="20"/>
          <w:color w:val="auto"/>
        </w:rPr>
      </w:pPr>
      <w:r>
        <w:rPr>
          <w:rFonts w:ascii="Arial" w:cs="Arial" w:eastAsia="Arial" w:hAnsi="Arial"/>
          <w:sz w:val="15"/>
          <w:szCs w:val="15"/>
          <w:b w:val="1"/>
          <w:bCs w:val="1"/>
          <w:i w:val="1"/>
          <w:iCs w:val="1"/>
          <w:color w:val="auto"/>
        </w:rPr>
        <w:t>Grantee understands that the Data will be transferred to the Equity Account Administrator, which is assisting the Company with the implementation, administration and management of the Plan. Grantee understands that the recipients of the Data may be located in Grantee’s country, or elsewhere, and that any recipient’s country may have different data privacy laws and protections than Grantee’s country. Grantee understands that Grantee may request a list with the names and addresses of any potential recipients of the Data by contacting Grantee’s local human resources representative. Grantee authorizes the Company, the Equity Account Administrator and any other possible recipients which may assist the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b w:val="1"/>
          <w:bCs w:val="1"/>
          <w:i w:val="1"/>
          <w:iCs w:val="1"/>
          <w:color w:val="auto"/>
        </w:rPr>
        <w:t>Company (presently or in the future) with implementing, administering and managing the Plan to receive, possess, use, retain and transfer the Data, in electronic or other form, for the purpose of implementing, administering and managing Grantee’s participation in the Plan. Grantee understands that the Data will be held only as long as is necessary to implement, administer and manage Grantee’s participation in the Plan. Grantee understands that Grantee may, at any time, view Data, request additional information about the storage and processing of the Data, require any necessary amendments to the Data or refuse or withdraw the consents herein, in any case without cost, by contacting in writing Grantee’s local human resources representative. Further, Grantee understands that he or she is providing the consents herein on a purely voluntary basis. If Grantee does not consent, or if Grantee later seeks to revoke his or her consent, his or her employment status or service with the Employer will not be affected; the only consequence of refusing or withdrawing Grantee’s consent is that the Company would not be able to grant Restricted Share Units or other equity awards to Grantee or administer or maintain such awards. Therefore, Grantee understands that refusal or withdrawal of consent may affect Grantee’s ability to participate in the Plan. For more information on the consequences of Grantee’s refusal to consent or withdrawal of consent, Grantee understands that Grantee may contact Grantee’s local human resources representative.</w:t>
      </w:r>
    </w:p>
    <w:p>
      <w:pPr>
        <w:spacing w:after="0" w:line="173" w:lineRule="exact"/>
        <w:rPr>
          <w:sz w:val="20"/>
          <w:szCs w:val="20"/>
          <w:color w:val="auto"/>
        </w:rPr>
      </w:pPr>
    </w:p>
    <w:p>
      <w:pPr>
        <w:ind w:firstLine="656"/>
        <w:spacing w:after="0" w:line="264" w:lineRule="auto"/>
        <w:tabs>
          <w:tab w:leader="none" w:pos="1323"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81" w:lineRule="exact"/>
        <w:rPr>
          <w:rFonts w:ascii="Arial" w:cs="Arial" w:eastAsia="Arial" w:hAnsi="Arial"/>
          <w:sz w:val="18"/>
          <w:szCs w:val="18"/>
          <w:color w:val="auto"/>
        </w:rPr>
      </w:pPr>
    </w:p>
    <w:p>
      <w:pPr>
        <w:ind w:right="260" w:firstLine="656"/>
        <w:spacing w:after="0" w:line="264" w:lineRule="auto"/>
        <w:tabs>
          <w:tab w:leader="none" w:pos="1323"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Venue and 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9" w:lineRule="auto"/>
        <w:tabs>
          <w:tab w:leader="none" w:pos="1991" w:val="left"/>
        </w:tabs>
        <w:numPr>
          <w:ilvl w:val="1"/>
          <w:numId w:val="201"/>
        </w:numPr>
        <w:rPr>
          <w:rFonts w:ascii="Arial" w:cs="Arial" w:eastAsia="Arial" w:hAnsi="Arial"/>
          <w:sz w:val="17"/>
          <w:szCs w:val="17"/>
          <w:color w:val="auto"/>
        </w:rPr>
      </w:pPr>
      <w:r>
        <w:rPr>
          <w:rFonts w:ascii="Arial" w:cs="Arial" w:eastAsia="Arial" w:hAnsi="Arial"/>
          <w:sz w:val="17"/>
          <w:szCs w:val="17"/>
          <w:color w:val="auto"/>
        </w:rPr>
        <w:t>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Restricted Share Units is made and/or to be performed.</w:t>
      </w:r>
    </w:p>
    <w:p>
      <w:pPr>
        <w:spacing w:after="0" w:line="171" w:lineRule="exact"/>
        <w:rPr>
          <w:rFonts w:ascii="Arial" w:cs="Arial" w:eastAsia="Arial" w:hAnsi="Arial"/>
          <w:sz w:val="17"/>
          <w:szCs w:val="17"/>
          <w:color w:val="auto"/>
        </w:rPr>
      </w:pPr>
    </w:p>
    <w:p>
      <w:pPr>
        <w:ind w:right="120" w:firstLine="1305"/>
        <w:spacing w:after="0" w:line="264" w:lineRule="auto"/>
        <w:tabs>
          <w:tab w:leader="none" w:pos="200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To the extent that United States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20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80"/>
        <w:spacing w:after="0" w:line="342" w:lineRule="auto"/>
        <w:rPr>
          <w:sz w:val="20"/>
          <w:szCs w:val="20"/>
          <w:color w:val="auto"/>
        </w:rPr>
      </w:pPr>
      <w:r>
        <w:rPr>
          <w:rFonts w:ascii="Arial" w:cs="Arial" w:eastAsia="Arial" w:hAnsi="Arial"/>
          <w:sz w:val="16"/>
          <w:szCs w:val="16"/>
          <w:color w:val="auto"/>
        </w:rPr>
        <w:t>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24" w:lineRule="exact"/>
        <w:rPr>
          <w:sz w:val="20"/>
          <w:szCs w:val="20"/>
          <w:color w:val="auto"/>
        </w:rPr>
      </w:pPr>
    </w:p>
    <w:p>
      <w:pPr>
        <w:ind w:left="1340" w:hanging="684"/>
        <w:spacing w:after="0"/>
        <w:tabs>
          <w:tab w:leader="none" w:pos="1340" w:val="left"/>
        </w:tabs>
        <w:numPr>
          <w:ilvl w:val="0"/>
          <w:numId w:val="202"/>
        </w:numPr>
        <w:rPr>
          <w:rFonts w:ascii="Arial" w:cs="Arial" w:eastAsia="Arial" w:hAnsi="Arial"/>
          <w:sz w:val="18"/>
          <w:szCs w:val="18"/>
          <w:color w:val="auto"/>
        </w:rPr>
      </w:pPr>
      <w:r>
        <w:rPr>
          <w:rFonts w:ascii="Arial" w:cs="Arial" w:eastAsia="Arial" w:hAnsi="Arial"/>
          <w:sz w:val="18"/>
          <w:szCs w:val="18"/>
          <w:u w:val="single" w:color="auto"/>
          <w:color w:val="auto"/>
        </w:rPr>
        <w:t>Delivery of Notices and Other Documents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9" w:lineRule="auto"/>
        <w:tabs>
          <w:tab w:leader="none" w:pos="1991" w:val="left"/>
        </w:tabs>
        <w:numPr>
          <w:ilvl w:val="1"/>
          <w:numId w:val="202"/>
        </w:numPr>
        <w:rPr>
          <w:rFonts w:ascii="Arial" w:cs="Arial" w:eastAsia="Arial" w:hAnsi="Arial"/>
          <w:sz w:val="17"/>
          <w:szCs w:val="17"/>
          <w:color w:val="auto"/>
        </w:rPr>
      </w:pPr>
      <w:r>
        <w:rPr>
          <w:rFonts w:ascii="Arial" w:cs="Arial" w:eastAsia="Arial" w:hAnsi="Arial"/>
          <w:sz w:val="17"/>
          <w:szCs w:val="17"/>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Attn: Stock Plan Administration, or such other address as the Company by notice to Grantee may designate in writing from time to time. Notices shall be effective upon delivery.</w:t>
      </w:r>
    </w:p>
    <w:p>
      <w:pPr>
        <w:spacing w:after="0" w:line="171" w:lineRule="exact"/>
        <w:rPr>
          <w:rFonts w:ascii="Arial" w:cs="Arial" w:eastAsia="Arial" w:hAnsi="Arial"/>
          <w:sz w:val="17"/>
          <w:szCs w:val="17"/>
          <w:color w:val="auto"/>
        </w:rPr>
      </w:pPr>
    </w:p>
    <w:p>
      <w:pPr>
        <w:ind w:firstLine="1305"/>
        <w:spacing w:after="0" w:line="291" w:lineRule="auto"/>
        <w:tabs>
          <w:tab w:leader="none" w:pos="2001" w:val="left"/>
        </w:tabs>
        <w:numPr>
          <w:ilvl w:val="1"/>
          <w:numId w:val="202"/>
        </w:numPr>
        <w:rPr>
          <w:rFonts w:ascii="Arial" w:cs="Arial" w:eastAsia="Arial" w:hAnsi="Arial"/>
          <w:sz w:val="16"/>
          <w:szCs w:val="16"/>
          <w:color w:val="auto"/>
        </w:rPr>
      </w:pPr>
      <w:r>
        <w:rPr>
          <w:rFonts w:ascii="Arial" w:cs="Arial" w:eastAsia="Arial" w:hAnsi="Arial"/>
          <w:sz w:val="16"/>
          <w:szCs w:val="16"/>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service contract or offer letter between Grantee and any entity in the Company Group in effect at the time, or such other address as Grantee by notice to the Company may designate in writing from time to time. The Company may also, in its sole discretion, deliver 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67" w:lineRule="exact"/>
        <w:rPr>
          <w:rFonts w:ascii="Arial" w:cs="Arial" w:eastAsia="Arial" w:hAnsi="Arial"/>
          <w:sz w:val="16"/>
          <w:szCs w:val="16"/>
          <w:color w:val="auto"/>
        </w:rPr>
      </w:pPr>
    </w:p>
    <w:p>
      <w:pPr>
        <w:ind w:right="220" w:firstLine="656"/>
        <w:spacing w:after="0" w:line="312" w:lineRule="auto"/>
        <w:tabs>
          <w:tab w:leader="none" w:pos="1323" w:val="left"/>
        </w:tabs>
        <w:numPr>
          <w:ilvl w:val="0"/>
          <w:numId w:val="202"/>
        </w:numPr>
        <w:rPr>
          <w:rFonts w:ascii="Arial" w:cs="Arial" w:eastAsia="Arial" w:hAnsi="Arial"/>
          <w:sz w:val="16"/>
          <w:szCs w:val="16"/>
          <w:color w:val="auto"/>
        </w:rPr>
      </w:pPr>
      <w:r>
        <w:rPr>
          <w:rFonts w:ascii="Arial" w:cs="Arial" w:eastAsia="Arial" w:hAnsi="Arial"/>
          <w:sz w:val="16"/>
          <w:szCs w:val="16"/>
          <w:u w:val="single" w:color="auto"/>
          <w:color w:val="auto"/>
        </w:rPr>
        <w:t>Conflict with Employment Agreement or Plan</w:t>
      </w:r>
      <w:r>
        <w:rPr>
          <w:rFonts w:ascii="Arial" w:cs="Arial" w:eastAsia="Arial" w:hAnsi="Arial"/>
          <w:sz w:val="16"/>
          <w:szCs w:val="16"/>
          <w:color w:val="auto"/>
        </w:rPr>
        <w:t>. In the event of any conflict between the terms of any employment agreement, service contract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w:t>
      </w:r>
    </w:p>
    <w:p>
      <w:pPr>
        <w:sectPr>
          <w:pgSz w:w="11900" w:h="16838" w:orient="portrait"/>
          <w:cols w:equalWidth="0" w:num="1">
            <w:col w:w="11400"/>
          </w:cols>
          <w:pgMar w:left="240" w:top="342" w:right="259" w:bottom="0" w:gutter="0" w:footer="0" w:header="0"/>
        </w:sectPr>
      </w:pPr>
    </w:p>
    <w:bookmarkStart w:id="208" w:name="page209"/>
    <w:bookmarkEnd w:id="208"/>
    <w:p>
      <w:pPr>
        <w:spacing w:after="0" w:line="13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agreement, service contract or offer letter between Grantee and any entity in the Company Group in effect at the time, the Grant Notice or these Award Terms and the terms of the Plan, the terms of the Plan shall control.</w:t>
      </w:r>
    </w:p>
    <w:p>
      <w:pPr>
        <w:spacing w:after="0" w:line="170" w:lineRule="exact"/>
        <w:rPr>
          <w:sz w:val="20"/>
          <w:szCs w:val="20"/>
          <w:color w:val="auto"/>
        </w:rPr>
      </w:pPr>
    </w:p>
    <w:p>
      <w:pPr>
        <w:ind w:right="40" w:firstLine="656"/>
        <w:spacing w:after="0" w:line="264" w:lineRule="auto"/>
        <w:tabs>
          <w:tab w:leader="none" w:pos="1323"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Language</w:t>
      </w:r>
      <w:r>
        <w:rPr>
          <w:rFonts w:ascii="Arial" w:cs="Arial" w:eastAsia="Arial" w:hAnsi="Arial"/>
          <w:sz w:val="18"/>
          <w:szCs w:val="18"/>
          <w:color w:val="auto"/>
        </w:rPr>
        <w:t>. If the Grant Notice, these Award Terms or any other document related to the Plan has been translated into a language other than English and the meaning of the translated version is different than the English version then, by accepting the Award, Grantee acknowledges that the English version will control.</w:t>
      </w:r>
    </w:p>
    <w:p>
      <w:pPr>
        <w:spacing w:after="0" w:line="181" w:lineRule="exact"/>
        <w:rPr>
          <w:rFonts w:ascii="Arial" w:cs="Arial" w:eastAsia="Arial" w:hAnsi="Arial"/>
          <w:sz w:val="18"/>
          <w:szCs w:val="18"/>
          <w:color w:val="auto"/>
        </w:rPr>
      </w:pPr>
    </w:p>
    <w:p>
      <w:pPr>
        <w:ind w:right="100" w:firstLine="656"/>
        <w:spacing w:after="0" w:line="264" w:lineRule="auto"/>
        <w:tabs>
          <w:tab w:leader="none" w:pos="1323" w:val="left"/>
        </w:tabs>
        <w:numPr>
          <w:ilvl w:val="0"/>
          <w:numId w:val="203"/>
        </w:numPr>
        <w:rPr>
          <w:rFonts w:ascii="Arial" w:cs="Arial" w:eastAsia="Arial" w:hAnsi="Arial"/>
          <w:sz w:val="18"/>
          <w:szCs w:val="18"/>
          <w:color w:val="auto"/>
        </w:rPr>
      </w:pPr>
      <w:r>
        <w:rPr>
          <w:rFonts w:ascii="Arial" w:cs="Arial" w:eastAsia="Arial" w:hAnsi="Arial"/>
          <w:sz w:val="18"/>
          <w:szCs w:val="18"/>
          <w:u w:val="single" w:color="auto"/>
          <w:color w:val="auto"/>
        </w:rPr>
        <w:t>Appendix</w:t>
      </w:r>
      <w:r>
        <w:rPr>
          <w:rFonts w:ascii="Arial" w:cs="Arial" w:eastAsia="Arial" w:hAnsi="Arial"/>
          <w:sz w:val="18"/>
          <w:szCs w:val="18"/>
          <w:color w:val="auto"/>
        </w:rPr>
        <w:t>. Notwithstanding anything to the contrary contained herein, the Restricted Share Units shall be subject to any special terms and conditions set forth in the Appendix for Grantee’s country, which constitutes a part of these Award Terms. Moreover, if Grantee relocates to one of the countries included in the Appendix, the special terms and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conditions for such country will apply to Grantee, to the extent the Company determines that the application of such terms and conditions is necessary or advisable in order to comply with applicable local law or facilitate the administration of the Plan.</w:t>
      </w:r>
    </w:p>
    <w:p>
      <w:pPr>
        <w:spacing w:after="0" w:line="170" w:lineRule="exact"/>
        <w:rPr>
          <w:sz w:val="20"/>
          <w:szCs w:val="20"/>
          <w:color w:val="auto"/>
        </w:rPr>
      </w:pPr>
    </w:p>
    <w:p>
      <w:pPr>
        <w:ind w:firstLine="656"/>
        <w:spacing w:after="0" w:line="259" w:lineRule="auto"/>
        <w:tabs>
          <w:tab w:leader="none" w:pos="1323"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comply with applicable local law or facilitate the administration of the Plan, and to require Grantee to sign any additional agreements or undertakings that may be necessary to accomplish the foregoing.</w:t>
      </w:r>
    </w:p>
    <w:p>
      <w:pPr>
        <w:spacing w:after="0" w:line="186" w:lineRule="exact"/>
        <w:rPr>
          <w:rFonts w:ascii="Arial" w:cs="Arial" w:eastAsia="Arial" w:hAnsi="Arial"/>
          <w:sz w:val="18"/>
          <w:szCs w:val="18"/>
          <w:color w:val="auto"/>
        </w:rPr>
      </w:pPr>
    </w:p>
    <w:p>
      <w:pPr>
        <w:ind w:right="40" w:firstLine="656"/>
        <w:spacing w:after="0" w:line="273" w:lineRule="auto"/>
        <w:tabs>
          <w:tab w:leader="none" w:pos="1323" w:val="left"/>
        </w:tabs>
        <w:numPr>
          <w:ilvl w:val="0"/>
          <w:numId w:val="204"/>
        </w:numPr>
        <w:rPr>
          <w:rFonts w:ascii="Arial" w:cs="Arial" w:eastAsia="Arial" w:hAnsi="Arial"/>
          <w:sz w:val="17"/>
          <w:szCs w:val="17"/>
          <w:color w:val="auto"/>
        </w:rPr>
      </w:pPr>
      <w:r>
        <w:rPr>
          <w:rFonts w:ascii="Arial" w:cs="Arial" w:eastAsia="Arial" w:hAnsi="Arial"/>
          <w:sz w:val="17"/>
          <w:szCs w:val="17"/>
          <w:u w:val="single" w:color="auto"/>
          <w:color w:val="auto"/>
        </w:rPr>
        <w:t>Insider Trading/Market Abuse Restrictions</w:t>
      </w:r>
      <w:r>
        <w:rPr>
          <w:rFonts w:ascii="Arial" w:cs="Arial" w:eastAsia="Arial" w:hAnsi="Arial"/>
          <w:sz w:val="17"/>
          <w:szCs w:val="17"/>
          <w:color w:val="auto"/>
        </w:rPr>
        <w:t>. Depending on Grantee’s country, Grantee may be subject to insider trading restrictions and/or market abuse laws in applicable jurisdictions, which may affect Grantee’s ability to, directly or indirectly, acquire, sell, or attempt to sell Common Shares or rights to Common Shares (</w:t>
      </w:r>
      <w:r>
        <w:rPr>
          <w:rFonts w:ascii="Arial" w:cs="Arial" w:eastAsia="Arial" w:hAnsi="Arial"/>
          <w:sz w:val="17"/>
          <w:szCs w:val="17"/>
          <w:i w:val="1"/>
          <w:iCs w:val="1"/>
          <w:color w:val="auto"/>
        </w:rPr>
        <w:t>e.g</w:t>
      </w:r>
      <w:r>
        <w:rPr>
          <w:rFonts w:ascii="Arial" w:cs="Arial" w:eastAsia="Arial" w:hAnsi="Arial"/>
          <w:sz w:val="17"/>
          <w:szCs w:val="17"/>
          <w:color w:val="auto"/>
        </w:rPr>
        <w:t>., Restricted Share Units) under the Plan during such times as Grantee is considered to have “inside information” regarding the Company (as defined by the laws in the applicable jurisdictions or Grantee’s country). Any restrictions under these laws or regulations are separate from and in addition to any restrictions that may be imposed under any applicable Company insider trading policy. Grantee is responsible for ensuring compliance with any applicable restrictions and should consult Grantee’s personal legal advisor on this matter.</w:t>
      </w:r>
    </w:p>
    <w:p>
      <w:pPr>
        <w:spacing w:after="0" w:line="178" w:lineRule="exact"/>
        <w:rPr>
          <w:rFonts w:ascii="Arial" w:cs="Arial" w:eastAsia="Arial" w:hAnsi="Arial"/>
          <w:sz w:val="17"/>
          <w:szCs w:val="17"/>
          <w:color w:val="auto"/>
        </w:rPr>
      </w:pPr>
    </w:p>
    <w:p>
      <w:pPr>
        <w:ind w:right="20" w:firstLine="656"/>
        <w:spacing w:after="0" w:line="255" w:lineRule="auto"/>
        <w:tabs>
          <w:tab w:leader="none" w:pos="1323"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Foreign Asset/Account Reporting Requirements</w:t>
      </w:r>
      <w:r>
        <w:rPr>
          <w:rFonts w:ascii="Arial" w:cs="Arial" w:eastAsia="Arial" w:hAnsi="Arial"/>
          <w:sz w:val="18"/>
          <w:szCs w:val="18"/>
          <w:color w:val="auto"/>
        </w:rPr>
        <w:t>. Grantee acknowledges that there may be certain foreign asset and/or account reporting requirements which may affect Grantee’s ability to acquire or hold Common Shares acquired under the Plan or cash received from participating in the Plan (including from any dividends paid on Common Shares acquired under the Plan) in a brokerage or bank account outside the Grantee’s country. Grantee may be required to report such accounts, assets or transactions to the tax or other authorities in his or her country. Grantee also may be required to repatriate sale proceeds or other funds received as a result of Grantee participation in the Plan to his or her country through a designated bank or broker within a certain time after receipt. Grantee acknowledges that it is his or her responsibility to be compliant with such regulations, and Grantee is advised to consult his or her personal legal advisor for any details.</w:t>
      </w:r>
    </w:p>
    <w:p>
      <w:pPr>
        <w:spacing w:after="0" w:line="189" w:lineRule="exact"/>
        <w:rPr>
          <w:rFonts w:ascii="Arial" w:cs="Arial" w:eastAsia="Arial" w:hAnsi="Arial"/>
          <w:sz w:val="18"/>
          <w:szCs w:val="18"/>
          <w:color w:val="auto"/>
        </w:rPr>
      </w:pPr>
    </w:p>
    <w:p>
      <w:pPr>
        <w:ind w:right="100" w:firstLine="656"/>
        <w:spacing w:after="0" w:line="264" w:lineRule="auto"/>
        <w:tabs>
          <w:tab w:leader="none" w:pos="1323" w:val="left"/>
        </w:tabs>
        <w:numPr>
          <w:ilvl w:val="0"/>
          <w:numId w:val="204"/>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Grantee acknowledges that a waiver by the Company of a breach of any provision of these Award Terms shall not operate or be construed as a waiver of any other provision of these Award Terms, or of any subsequent breach by Grantee or any other grantee of an equity award from the Company.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EMPLOYEES</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NON-U.S. EMPLOYEES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Capitalized terms used but not defined herein shall have the meanings given to such terms in the Plan or the Award Terms, as the case may be.</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5"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Appendix includes special terms and conditions applicable to Grantees who reside and/or work in the countries covered by the Appendix. These terms and conditions are in addition to or, if so indicated, in place of, the terms and conditions set forth in the Award Terms.</w:t>
      </w:r>
    </w:p>
    <w:p>
      <w:pPr>
        <w:spacing w:after="0" w:line="170"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If Grantee is a citizen or resident of a country other than the one in which he or she is currently residing and/or working, transferred or transfers employment and/or residency after the Restricted Share Units were granted or is considered a resident of another country for local law purposes (</w:t>
      </w:r>
      <w:r>
        <w:rPr>
          <w:rFonts w:ascii="Arial" w:cs="Arial" w:eastAsia="Arial" w:hAnsi="Arial"/>
          <w:sz w:val="16"/>
          <w:szCs w:val="16"/>
          <w:i w:val="1"/>
          <w:iCs w:val="1"/>
          <w:color w:val="auto"/>
        </w:rPr>
        <w:t>i.e.</w:t>
      </w:r>
      <w:r>
        <w:rPr>
          <w:rFonts w:ascii="Arial" w:cs="Arial" w:eastAsia="Arial" w:hAnsi="Arial"/>
          <w:sz w:val="16"/>
          <w:szCs w:val="16"/>
          <w:color w:val="auto"/>
        </w:rPr>
        <w:t>, Grantee is a “mobile employee”), the Company shall have the sole discretion to determine to what extent the special terms and conditions shall apply to Grantee.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This Appendix also includes notifications relating to exchange control and other issues of which Grantee should be aware with respect to his or her participation in the Plan. The information is based on the exchange control, securities and other laws in effect in the countries to which this Appendix refers</w:t>
      </w:r>
    </w:p>
    <w:p>
      <w:pPr>
        <w:sectPr>
          <w:pgSz w:w="11900" w:h="16975" w:orient="portrait"/>
          <w:cols w:equalWidth="0" w:num="1">
            <w:col w:w="11400"/>
          </w:cols>
          <w:pgMar w:left="240" w:top="125" w:right="259" w:bottom="0" w:gutter="0" w:footer="0" w:header="0"/>
        </w:sectPr>
      </w:pPr>
    </w:p>
    <w:bookmarkStart w:id="209" w:name="page210"/>
    <w:bookmarkEnd w:id="209"/>
    <w:p>
      <w:pPr>
        <w:ind w:right="220"/>
        <w:spacing w:after="0" w:line="264" w:lineRule="auto"/>
        <w:rPr>
          <w:sz w:val="20"/>
          <w:szCs w:val="20"/>
          <w:color w:val="auto"/>
        </w:rPr>
      </w:pPr>
      <w:r>
        <w:rPr>
          <w:rFonts w:ascii="Arial" w:cs="Arial" w:eastAsia="Arial" w:hAnsi="Arial"/>
          <w:sz w:val="18"/>
          <w:szCs w:val="18"/>
          <w:color w:val="auto"/>
        </w:rPr>
        <w:t>as of October 2016. Such laws are often complex and change frequently. As a result, the Company strongly recommends that Grantee not rely on the notifications herein as the only source of information relating to the consequences of participation in the Plan because the information may be out of date at the time Grantee vests in the Restricted Share Units or Vested Shares acquired under the Plan are sold.</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 addition, the notifications are general in nature and may not apply to the particular situation of Grantee, and the Company is not in a position to assure Grantee of any particular result. Accordingly, Grantee is advised to seek appropriate professional advice as to how the relevant laws in his or her country may apply to his or her situation. Finally, if Grantee is a mobile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employee, the information contained herein may not be applicable to Grantee in the same manner.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ARGENTINA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The Restricted Share Units and the Common Shares acquired upon vesting are offered as a private transaction. This offering is</w:t>
      </w:r>
      <w:r>
        <w:rPr>
          <w:rFonts w:ascii="Arial" w:cs="Arial" w:eastAsia="Arial" w:hAnsi="Arial"/>
          <w:sz w:val="18"/>
          <w:szCs w:val="18"/>
          <w:b w:val="1"/>
          <w:bCs w:val="1"/>
          <w:color w:val="auto"/>
        </w:rPr>
        <w:t xml:space="preserve"> </w:t>
      </w:r>
      <w:r>
        <w:rPr>
          <w:rFonts w:ascii="Arial" w:cs="Arial" w:eastAsia="Arial" w:hAnsi="Arial"/>
          <w:sz w:val="18"/>
          <w:szCs w:val="18"/>
          <w:color w:val="auto"/>
        </w:rPr>
        <w:t>not subject to supervision by any Argentine governmental authority.</w:t>
      </w:r>
    </w:p>
    <w:p>
      <w:pPr>
        <w:spacing w:after="0" w:line="162"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Stamp Tax. </w:t>
      </w:r>
      <w:r>
        <w:rPr>
          <w:rFonts w:ascii="Arial" w:cs="Arial" w:eastAsia="Arial" w:hAnsi="Arial"/>
          <w:sz w:val="18"/>
          <w:szCs w:val="18"/>
          <w:color w:val="auto"/>
        </w:rPr>
        <w:t>A stamp tax may apply upon execution of Plan documents (</w:t>
      </w:r>
      <w:r>
        <w:rPr>
          <w:rFonts w:ascii="Arial" w:cs="Arial" w:eastAsia="Arial" w:hAnsi="Arial"/>
          <w:sz w:val="18"/>
          <w:szCs w:val="18"/>
          <w:i w:val="1"/>
          <w:iCs w:val="1"/>
          <w:color w:val="auto"/>
        </w:rPr>
        <w:t>e.g.</w:t>
      </w:r>
      <w:r>
        <w:rPr>
          <w:rFonts w:ascii="Arial" w:cs="Arial" w:eastAsia="Arial" w:hAnsi="Arial"/>
          <w:sz w:val="18"/>
          <w:szCs w:val="18"/>
          <w:color w:val="auto"/>
        </w:rPr>
        <w:t>, the Award Terms). The tax is paid upon execution of the documents and both</w:t>
      </w:r>
      <w:r>
        <w:rPr>
          <w:rFonts w:ascii="Arial" w:cs="Arial" w:eastAsia="Arial" w:hAnsi="Arial"/>
          <w:sz w:val="18"/>
          <w:szCs w:val="18"/>
          <w:b w:val="1"/>
          <w:bCs w:val="1"/>
          <w:color w:val="auto"/>
        </w:rPr>
        <w:t xml:space="preserve"> </w:t>
      </w:r>
      <w:r>
        <w:rPr>
          <w:rFonts w:ascii="Arial" w:cs="Arial" w:eastAsia="Arial" w:hAnsi="Arial"/>
          <w:sz w:val="18"/>
          <w:szCs w:val="18"/>
          <w:color w:val="auto"/>
        </w:rPr>
        <w:t>the rate and the term for payment will depend on the particular province in which Grantee executes the documents.</w:t>
      </w:r>
    </w:p>
    <w:p>
      <w:pPr>
        <w:spacing w:after="0" w:line="162" w:lineRule="exact"/>
        <w:rPr>
          <w:sz w:val="20"/>
          <w:szCs w:val="20"/>
          <w:color w:val="auto"/>
        </w:rPr>
      </w:pPr>
    </w:p>
    <w:p>
      <w:pPr>
        <w:ind w:right="160"/>
        <w:spacing w:after="0" w:line="303" w:lineRule="auto"/>
        <w:rPr>
          <w:sz w:val="20"/>
          <w:szCs w:val="20"/>
          <w:color w:val="auto"/>
        </w:rPr>
      </w:pPr>
      <w:r>
        <w:rPr>
          <w:rFonts w:ascii="Arial" w:cs="Arial" w:eastAsia="Arial" w:hAnsi="Arial"/>
          <w:sz w:val="16"/>
          <w:szCs w:val="16"/>
          <w:b w:val="1"/>
          <w:bCs w:val="1"/>
          <w:color w:val="auto"/>
        </w:rPr>
        <w:t xml:space="preserve">Exchange Control Notification. </w:t>
      </w:r>
      <w:r>
        <w:rPr>
          <w:rFonts w:ascii="Arial" w:cs="Arial" w:eastAsia="Arial" w:hAnsi="Arial"/>
          <w:sz w:val="16"/>
          <w:szCs w:val="16"/>
          <w:color w:val="auto"/>
        </w:rPr>
        <w:t>If Grantee transfers proceeds from the sale of Common Shares or the receipt of any dividends paid on such Common</w:t>
      </w:r>
      <w:r>
        <w:rPr>
          <w:rFonts w:ascii="Arial" w:cs="Arial" w:eastAsia="Arial" w:hAnsi="Arial"/>
          <w:sz w:val="16"/>
          <w:szCs w:val="16"/>
          <w:b w:val="1"/>
          <w:bCs w:val="1"/>
          <w:color w:val="auto"/>
        </w:rPr>
        <w:t xml:space="preserve"> </w:t>
      </w:r>
      <w:r>
        <w:rPr>
          <w:rFonts w:ascii="Arial" w:cs="Arial" w:eastAsia="Arial" w:hAnsi="Arial"/>
          <w:sz w:val="16"/>
          <w:szCs w:val="16"/>
          <w:color w:val="auto"/>
        </w:rPr>
        <w:t>Shares into Argentina, Grantee may be required to deposit a portion of the proceeds into a non-interest bearing account in Argentina for 365 days unless certain conditions are met. The Argentine bank handling the transaction may request certain documentation in connection with Grantee’s request to transfer proceeds into Argentina, including evidence of the sale or dividend payment and proof of the source of the funds used to acquire the Common Shares.</w:t>
      </w:r>
    </w:p>
    <w:p>
      <w:pPr>
        <w:spacing w:after="0" w:line="155"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i w:val="1"/>
          <w:iCs w:val="1"/>
          <w:color w:val="auto"/>
        </w:rPr>
        <w:t>Grantee is solely responsible for complying with the exchange control rules that may apply in connection with Grantee’s participation in the Plan and/or transfer of proceeds into Argentina. Prior to transferring proceeds into Argentina, Grantee should consult his or her local bank and/or exchange control advisor to confirm the exchange control rules and required documentation.</w:t>
      </w:r>
    </w:p>
    <w:p>
      <w:pPr>
        <w:spacing w:after="0" w:line="17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 xml:space="preserve">Foreign Asset/Account Reporting Notification. </w:t>
      </w:r>
      <w:r>
        <w:rPr>
          <w:rFonts w:ascii="Arial" w:cs="Arial" w:eastAsia="Arial" w:hAnsi="Arial"/>
          <w:sz w:val="18"/>
          <w:szCs w:val="18"/>
          <w:color w:val="auto"/>
        </w:rPr>
        <w:t>Grantee must report holdings of any equity interest in a foreign company (</w:t>
      </w:r>
      <w:r>
        <w:rPr>
          <w:rFonts w:ascii="Arial" w:cs="Arial" w:eastAsia="Arial" w:hAnsi="Arial"/>
          <w:sz w:val="18"/>
          <w:szCs w:val="18"/>
          <w:i w:val="1"/>
          <w:iCs w:val="1"/>
          <w:color w:val="auto"/>
        </w:rPr>
        <w:t>e.g.</w:t>
      </w:r>
      <w:r>
        <w:rPr>
          <w:rFonts w:ascii="Arial" w:cs="Arial" w:eastAsia="Arial" w:hAnsi="Arial"/>
          <w:sz w:val="18"/>
          <w:szCs w:val="18"/>
          <w:color w:val="auto"/>
        </w:rPr>
        <w:t>, Common Shares acquired</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Plan) on his or her annual tax return each year.</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AUSTRALIA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Exchange control reporting is required for cash transactions exceeding A$10,000 and all international fund transfers. The</w:t>
      </w:r>
      <w:r>
        <w:rPr>
          <w:rFonts w:ascii="Arial" w:cs="Arial" w:eastAsia="Arial" w:hAnsi="Arial"/>
          <w:sz w:val="18"/>
          <w:szCs w:val="18"/>
          <w:b w:val="1"/>
          <w:bCs w:val="1"/>
          <w:color w:val="auto"/>
        </w:rPr>
        <w:t xml:space="preserve"> </w:t>
      </w:r>
      <w:r>
        <w:rPr>
          <w:rFonts w:ascii="Arial" w:cs="Arial" w:eastAsia="Arial" w:hAnsi="Arial"/>
          <w:sz w:val="18"/>
          <w:szCs w:val="18"/>
          <w:color w:val="auto"/>
        </w:rPr>
        <w:t>Australian bank assisting with the transaction will file the report for Grantee. If there is no Australian bank involved in the transfer, Grantee will be required to file the report him/herself.</w:t>
      </w:r>
    </w:p>
    <w:p>
      <w:pPr>
        <w:spacing w:after="0" w:line="176" w:lineRule="exact"/>
        <w:rPr>
          <w:sz w:val="20"/>
          <w:szCs w:val="20"/>
          <w:color w:val="auto"/>
        </w:rPr>
      </w:pPr>
    </w:p>
    <w:p>
      <w:pPr>
        <w:jc w:val="center"/>
        <w:ind w:right="460"/>
        <w:spacing w:after="0"/>
        <w:rPr>
          <w:sz w:val="20"/>
          <w:szCs w:val="20"/>
          <w:color w:val="auto"/>
        </w:rPr>
      </w:pPr>
      <w:r>
        <w:rPr>
          <w:rFonts w:ascii="Arial" w:cs="Arial" w:eastAsia="Arial" w:hAnsi="Arial"/>
          <w:sz w:val="16"/>
          <w:szCs w:val="16"/>
          <w:b w:val="1"/>
          <w:bCs w:val="1"/>
          <w:color w:val="auto"/>
        </w:rPr>
        <w:t xml:space="preserve">Tax Information. </w:t>
      </w:r>
      <w:r>
        <w:rPr>
          <w:rFonts w:ascii="Arial" w:cs="Arial" w:eastAsia="Arial" w:hAnsi="Arial"/>
          <w:sz w:val="16"/>
          <w:szCs w:val="16"/>
          <w:color w:val="auto"/>
        </w:rPr>
        <w:t>The Plan is a plan to which subdivision 83A-C of the Income Tax Assessment Act 1997 (Cth) applies (subject to conditions therein).</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BELGIUM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ectPr>
          <w:pgSz w:w="11900" w:h="16838" w:orient="portrait"/>
          <w:cols w:equalWidth="0" w:num="1">
            <w:col w:w="11420"/>
          </w:cols>
          <w:pgMar w:left="240" w:top="125" w:right="239" w:bottom="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NOTIFICATIONS</w:t>
      </w:r>
    </w:p>
    <w:p>
      <w:pPr>
        <w:sectPr>
          <w:pgSz w:w="11900" w:h="16838" w:orient="portrait"/>
          <w:cols w:equalWidth="0" w:num="1">
            <w:col w:w="11420"/>
          </w:cols>
          <w:pgMar w:left="240" w:top="125" w:right="239" w:bottom="0" w:gutter="0" w:footer="0" w:header="0"/>
          <w:type w:val="continuous"/>
        </w:sectPr>
      </w:pPr>
    </w:p>
    <w:bookmarkStart w:id="210" w:name="page211"/>
    <w:bookmarkEnd w:id="210"/>
    <w:p>
      <w:pPr>
        <w:spacing w:after="0" w:line="281" w:lineRule="auto"/>
        <w:rPr>
          <w:sz w:val="20"/>
          <w:szCs w:val="20"/>
          <w:color w:val="auto"/>
        </w:rPr>
      </w:pPr>
      <w:r>
        <w:rPr>
          <w:rFonts w:ascii="Arial" w:cs="Arial" w:eastAsia="Arial" w:hAnsi="Arial"/>
          <w:sz w:val="17"/>
          <w:szCs w:val="17"/>
          <w:b w:val="1"/>
          <w:bCs w:val="1"/>
          <w:color w:val="auto"/>
        </w:rPr>
        <w:t>Foreign Asset/Account Reporting Notification</w:t>
      </w:r>
      <w:r>
        <w:rPr>
          <w:rFonts w:ascii="Arial" w:cs="Arial" w:eastAsia="Arial" w:hAnsi="Arial"/>
          <w:sz w:val="17"/>
          <w:szCs w:val="17"/>
          <w:color w:val="auto"/>
        </w:rPr>
        <w:t>. Belgian residents are required to report any securities (</w:t>
      </w:r>
      <w:r>
        <w:rPr>
          <w:rFonts w:ascii="Arial" w:cs="Arial" w:eastAsia="Arial" w:hAnsi="Arial"/>
          <w:sz w:val="17"/>
          <w:szCs w:val="17"/>
          <w:i w:val="1"/>
          <w:iCs w:val="1"/>
          <w:color w:val="auto"/>
        </w:rPr>
        <w:t>e.g.</w:t>
      </w:r>
      <w:r>
        <w:rPr>
          <w:rFonts w:ascii="Arial" w:cs="Arial" w:eastAsia="Arial" w:hAnsi="Arial"/>
          <w:sz w:val="17"/>
          <w:szCs w:val="17"/>
          <w:color w:val="auto"/>
        </w:rPr>
        <w:t>, Common Shares) held, or bank accounts</w:t>
      </w:r>
      <w:r>
        <w:rPr>
          <w:rFonts w:ascii="Arial" w:cs="Arial" w:eastAsia="Arial" w:hAnsi="Arial"/>
          <w:sz w:val="17"/>
          <w:szCs w:val="17"/>
          <w:b w:val="1"/>
          <w:bCs w:val="1"/>
          <w:color w:val="auto"/>
        </w:rPr>
        <w:t xml:space="preserve"> </w:t>
      </w:r>
      <w:r>
        <w:rPr>
          <w:rFonts w:ascii="Arial" w:cs="Arial" w:eastAsia="Arial" w:hAnsi="Arial"/>
          <w:sz w:val="17"/>
          <w:szCs w:val="17"/>
          <w:color w:val="auto"/>
        </w:rPr>
        <w:t>opened or maintained, outside Belgium on their annual tax returns. Belgian residents are also required to complete a separate report providing the National Bank of Belgium with details regarding any such account, including the account number, the name of the bank in which such is held and the country in which such account is located. The forms to complete the report are available on the website of the National Bank of Belgium.</w:t>
      </w:r>
    </w:p>
    <w:p>
      <w:pPr>
        <w:spacing w:after="0" w:line="16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FOR BRAZIL</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color w:val="auto"/>
        </w:rPr>
        <w:t xml:space="preserve">Compliance with Law. </w:t>
      </w:r>
      <w:r>
        <w:rPr>
          <w:rFonts w:ascii="Arial" w:cs="Arial" w:eastAsia="Arial" w:hAnsi="Arial"/>
          <w:sz w:val="18"/>
          <w:szCs w:val="18"/>
          <w:color w:val="auto"/>
        </w:rPr>
        <w:t>By accepting the Restricted Share Units, Grantee acknowledges that he or she agrees to comply with applicable Brazilian laws and</w:t>
      </w:r>
      <w:r>
        <w:rPr>
          <w:rFonts w:ascii="Arial" w:cs="Arial" w:eastAsia="Arial" w:hAnsi="Arial"/>
          <w:sz w:val="18"/>
          <w:szCs w:val="18"/>
          <w:b w:val="1"/>
          <w:bCs w:val="1"/>
          <w:color w:val="auto"/>
        </w:rPr>
        <w:t xml:space="preserve"> </w:t>
      </w:r>
      <w:r>
        <w:rPr>
          <w:rFonts w:ascii="Arial" w:cs="Arial" w:eastAsia="Arial" w:hAnsi="Arial"/>
          <w:sz w:val="18"/>
          <w:szCs w:val="18"/>
          <w:color w:val="auto"/>
        </w:rPr>
        <w:t>to pay any and all applicable taxes associated with Grantee’s participation in the Plan.</w:t>
      </w:r>
    </w:p>
    <w:p>
      <w:pPr>
        <w:spacing w:after="0" w:line="16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Nature of Company Restricted Share Unit Grants. </w:t>
      </w:r>
      <w:r>
        <w:rPr>
          <w:rFonts w:ascii="Arial" w:cs="Arial" w:eastAsia="Arial" w:hAnsi="Arial"/>
          <w:sz w:val="18"/>
          <w:szCs w:val="18"/>
          <w:color w:val="auto"/>
        </w:rPr>
        <w:t>By accepting the Restricted Share Units, Grantee agrees that (1) he or she is making an investment</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 (2) the Common Shares will be issued to Grantee only if the vesting conditions are met and any necessary services are rendered by Grantee over the vesting period and (3) the value of the underlying Common Shares is not fixed and may increase or decrease in value over time without compensation to Grantee.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If Grantee is resident or domiciled in Brazil, he or she will be required to submit an annual declaration of assets and rights</w:t>
      </w:r>
      <w:r>
        <w:rPr>
          <w:rFonts w:ascii="Arial" w:cs="Arial" w:eastAsia="Arial" w:hAnsi="Arial"/>
          <w:sz w:val="18"/>
          <w:szCs w:val="18"/>
          <w:b w:val="1"/>
          <w:bCs w:val="1"/>
          <w:color w:val="auto"/>
        </w:rPr>
        <w:t xml:space="preserve"> </w:t>
      </w:r>
      <w:r>
        <w:rPr>
          <w:rFonts w:ascii="Arial" w:cs="Arial" w:eastAsia="Arial" w:hAnsi="Arial"/>
          <w:sz w:val="18"/>
          <w:szCs w:val="18"/>
          <w:color w:val="auto"/>
        </w:rPr>
        <w:t>held outside of Brazil to the Central Bank of Brazil if the aggregate value of such assets and rights equals or exceeds US$100,000. Assets and rights that must be reported include the Common Shares.</w:t>
      </w:r>
    </w:p>
    <w:p>
      <w:pPr>
        <w:spacing w:after="0" w:line="176"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Tax on Financial Transaction (IOF)</w:t>
      </w:r>
      <w:r>
        <w:rPr>
          <w:rFonts w:ascii="Arial" w:cs="Arial" w:eastAsia="Arial" w:hAnsi="Arial"/>
          <w:sz w:val="18"/>
          <w:szCs w:val="18"/>
          <w:color w:val="auto"/>
        </w:rPr>
        <w:t>. Cross-border financial transactions relating to the Restricted Share Units may be subject to the IOF (</w:t>
      </w:r>
      <w:r>
        <w:rPr>
          <w:rFonts w:ascii="Arial" w:cs="Arial" w:eastAsia="Arial" w:hAnsi="Arial"/>
          <w:sz w:val="18"/>
          <w:szCs w:val="18"/>
          <w:i w:val="1"/>
          <w:iCs w:val="1"/>
          <w:color w:val="auto"/>
        </w:rPr>
        <w:t>i.e.</w:t>
      </w:r>
      <w:r>
        <w:rPr>
          <w:rFonts w:ascii="Arial" w:cs="Arial" w:eastAsia="Arial" w:hAnsi="Arial"/>
          <w:sz w:val="18"/>
          <w:szCs w:val="18"/>
          <w:color w:val="auto"/>
        </w:rPr>
        <w:t>, tax on</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transactions). Grantee should consult with his or her personal tax advisor for additional details.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APPENDIX FOR CANADA</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Restricted Share Units Payable Only in Common Shares</w:t>
      </w:r>
      <w:r>
        <w:rPr>
          <w:rFonts w:ascii="Arial" w:cs="Arial" w:eastAsia="Arial" w:hAnsi="Arial"/>
          <w:sz w:val="18"/>
          <w:szCs w:val="18"/>
          <w:color w:val="auto"/>
        </w:rPr>
        <w:t>. The grant of Restricted Share Units does not provide any right for Grantee to receive a cash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and the Restricted Share Units are payable in Common Shares only.</w:t>
      </w:r>
    </w:p>
    <w:p>
      <w:pPr>
        <w:spacing w:after="0" w:line="16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Termination of Employment. </w:t>
      </w:r>
      <w:r>
        <w:rPr>
          <w:rFonts w:ascii="Arial" w:cs="Arial" w:eastAsia="Arial" w:hAnsi="Arial"/>
          <w:sz w:val="16"/>
          <w:szCs w:val="16"/>
          <w:color w:val="auto"/>
        </w:rPr>
        <w:t>Notwithstanding anything to the contrary in Section 3(b) of the Award Terms, unless the Committee determines otherwise, in</w:t>
      </w:r>
      <w:r>
        <w:rPr>
          <w:rFonts w:ascii="Arial" w:cs="Arial" w:eastAsia="Arial" w:hAnsi="Arial"/>
          <w:sz w:val="16"/>
          <w:szCs w:val="16"/>
          <w:b w:val="1"/>
          <w:bCs w:val="1"/>
          <w:color w:val="auto"/>
        </w:rPr>
        <w:t xml:space="preserve"> </w:t>
      </w:r>
      <w:r>
        <w:rPr>
          <w:rFonts w:ascii="Arial" w:cs="Arial" w:eastAsia="Arial" w:hAnsi="Arial"/>
          <w:sz w:val="16"/>
          <w:szCs w:val="16"/>
          <w:color w:val="auto"/>
        </w:rPr>
        <w:t>the event of the termination of Grantee’s continuous service (regardless of the reason for such termination and whether or not later found to be invalid or in breach of employment laws in the jurisdiction in which Grantee is employed or the terms of Grantee’s employment agreement or service contract, if any), Grantee’s right to receive or vest in the Restricted Share Units under the Plan, if any, will terminate as of the date is the earliest of: (1) the date Grantee’s employment or service with the Company Group is terminated, (2) the date Grantee receives notice of termination of employment or service from the Employer or any other entity in the Company Group, and (3) the date Grantee is no longer actively employed or rendering services to the Company Group, regardless of any notice period or period of pay in lieu of such notice required under local law (including, but not limited to, statutory law, regulatory law and/or common law); the Committee shall have the exclusive discretion to determine when Grantee is no longer actively employed for purposes of the Restricted Share Units (including whether Grantee may still be considered actively employed while on a leave of absence).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following provisions will apply to Grantees who are residents of Quebec:</w:t>
      </w:r>
    </w:p>
    <w:p>
      <w:pPr>
        <w:spacing w:after="0" w:line="225" w:lineRule="exact"/>
        <w:rPr>
          <w:sz w:val="20"/>
          <w:szCs w:val="20"/>
          <w:color w:val="auto"/>
        </w:rPr>
      </w:pPr>
    </w:p>
    <w:p>
      <w:pPr>
        <w:ind w:right="20"/>
        <w:spacing w:after="0" w:line="347" w:lineRule="auto"/>
        <w:rPr>
          <w:sz w:val="20"/>
          <w:szCs w:val="20"/>
          <w:color w:val="auto"/>
        </w:rPr>
      </w:pPr>
      <w:r>
        <w:rPr>
          <w:rFonts w:ascii="Arial" w:cs="Arial" w:eastAsia="Arial" w:hAnsi="Arial"/>
          <w:sz w:val="16"/>
          <w:szCs w:val="16"/>
          <w:b w:val="1"/>
          <w:bCs w:val="1"/>
          <w:color w:val="auto"/>
        </w:rPr>
        <w:t xml:space="preserve">Language Acknowledgment. </w:t>
      </w:r>
      <w:r>
        <w:rPr>
          <w:rFonts w:ascii="Arial" w:cs="Arial" w:eastAsia="Arial" w:hAnsi="Arial"/>
          <w:sz w:val="16"/>
          <w:szCs w:val="16"/>
          <w:color w:val="auto"/>
        </w:rPr>
        <w:t>The parties acknowledge that it is their express wish that the Award Terms, including this Appendix, as well as all documents,</w:t>
      </w:r>
      <w:r>
        <w:rPr>
          <w:rFonts w:ascii="Arial" w:cs="Arial" w:eastAsia="Arial" w:hAnsi="Arial"/>
          <w:sz w:val="16"/>
          <w:szCs w:val="16"/>
          <w:b w:val="1"/>
          <w:bCs w:val="1"/>
          <w:color w:val="auto"/>
        </w:rPr>
        <w:t xml:space="preserve"> </w:t>
      </w:r>
      <w:r>
        <w:rPr>
          <w:rFonts w:ascii="Arial" w:cs="Arial" w:eastAsia="Arial" w:hAnsi="Arial"/>
          <w:sz w:val="16"/>
          <w:szCs w:val="16"/>
          <w:color w:val="auto"/>
        </w:rPr>
        <w:t>notices, and legal proceedings entered into, given or instituted pursuant hereto or relating directly or indirectly hereto, be drawn up in English.</w:t>
      </w:r>
    </w:p>
    <w:p>
      <w:pPr>
        <w:spacing w:after="0" w:line="120"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Consentement relatif à la langue utilisée</w:t>
      </w:r>
      <w:r>
        <w:rPr>
          <w:rFonts w:ascii="Arial" w:cs="Arial" w:eastAsia="Arial" w:hAnsi="Arial"/>
          <w:sz w:val="16"/>
          <w:szCs w:val="16"/>
          <w:i w:val="1"/>
          <w:iCs w:val="1"/>
          <w:color w:val="auto"/>
        </w:rPr>
        <w:t>: Les parties reconnaissent avoir exigé la rédaction en anglais de cette annexe, la convention afférente, ainsi que de</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tous documents, avis donnés et procédures judiciaires exécutés, donnés ou intentés en vertu de, ou liés directement ou indirectement aux présentes.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Data Privacy Notice and Consent. </w:t>
      </w:r>
      <w:r>
        <w:rPr>
          <w:rFonts w:ascii="Arial" w:cs="Arial" w:eastAsia="Arial" w:hAnsi="Arial"/>
          <w:sz w:val="18"/>
          <w:szCs w:val="18"/>
          <w:color w:val="auto"/>
        </w:rPr>
        <w:t>This provision supplements Section 17 of the Award Terms:</w:t>
      </w:r>
    </w:p>
    <w:p>
      <w:pPr>
        <w:spacing w:after="0" w:line="229" w:lineRule="exact"/>
        <w:rPr>
          <w:sz w:val="20"/>
          <w:szCs w:val="20"/>
          <w:color w:val="auto"/>
        </w:rPr>
      </w:pPr>
    </w:p>
    <w:p>
      <w:pPr>
        <w:ind w:right="840"/>
        <w:spacing w:after="0" w:line="277" w:lineRule="auto"/>
        <w:rPr>
          <w:sz w:val="20"/>
          <w:szCs w:val="20"/>
          <w:color w:val="auto"/>
        </w:rPr>
      </w:pPr>
      <w:r>
        <w:rPr>
          <w:rFonts w:ascii="Arial" w:cs="Arial" w:eastAsia="Arial" w:hAnsi="Arial"/>
          <w:sz w:val="18"/>
          <w:szCs w:val="18"/>
          <w:color w:val="auto"/>
        </w:rPr>
        <w:t>Grantee hereby authorizes the Company and the Company’s representatives to discuss with and obtain all relevant information from all personnel, professional or not, involved in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0" w:gutter="0" w:footer="0" w:header="0"/>
        </w:sectPr>
      </w:pPr>
    </w:p>
    <w:bookmarkStart w:id="211" w:name="page212"/>
    <w:bookmarkEnd w:id="211"/>
    <w:p>
      <w:pPr>
        <w:ind w:right="220"/>
        <w:spacing w:after="0" w:line="264" w:lineRule="auto"/>
        <w:rPr>
          <w:sz w:val="20"/>
          <w:szCs w:val="20"/>
          <w:color w:val="auto"/>
        </w:rPr>
      </w:pPr>
      <w:r>
        <w:rPr>
          <w:rFonts w:ascii="Arial" w:cs="Arial" w:eastAsia="Arial" w:hAnsi="Arial"/>
          <w:sz w:val="18"/>
          <w:szCs w:val="18"/>
          <w:color w:val="auto"/>
        </w:rPr>
        <w:t>administration and operation of the Plan. Grantee further authorizes the Company Group and the Equity Account Administrator to disclose and discuss the Plan with their respective advisors. Grantee further authorizes the Company Group to record such information and to keep such information Grantee’s employee file.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jc w:val="both"/>
        <w:ind w:right="100"/>
        <w:spacing w:after="0" w:line="266" w:lineRule="auto"/>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Grantee is permitted to sell Common Shares acquired under the Plan through the Equity Account Administrator, provided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 resale of Common Shares acquired under the Plan takes place outside of Canada through the facilities of a stock exchange on which the Common Shares are listed. The Common Shares are currently listed on the NASDAQ.</w:t>
      </w:r>
    </w:p>
    <w:p>
      <w:pPr>
        <w:spacing w:after="0" w:line="176" w:lineRule="exact"/>
        <w:rPr>
          <w:sz w:val="20"/>
          <w:szCs w:val="20"/>
          <w:color w:val="auto"/>
        </w:rPr>
      </w:pPr>
    </w:p>
    <w:p>
      <w:pPr>
        <w:spacing w:after="0" w:line="262" w:lineRule="auto"/>
        <w:rPr>
          <w:sz w:val="20"/>
          <w:szCs w:val="20"/>
          <w:color w:val="auto"/>
        </w:rPr>
      </w:pPr>
      <w:r>
        <w:rPr>
          <w:rFonts w:ascii="Arial" w:cs="Arial" w:eastAsia="Arial" w:hAnsi="Arial"/>
          <w:sz w:val="17"/>
          <w:szCs w:val="17"/>
          <w:b w:val="1"/>
          <w:bCs w:val="1"/>
          <w:color w:val="auto"/>
        </w:rPr>
        <w:t>Foreign Asset/Account Reporting Notification</w:t>
      </w:r>
      <w:r>
        <w:rPr>
          <w:rFonts w:ascii="Arial" w:cs="Arial" w:eastAsia="Arial" w:hAnsi="Arial"/>
          <w:sz w:val="17"/>
          <w:szCs w:val="17"/>
          <w:color w:val="auto"/>
        </w:rPr>
        <w:t>. Foreign property held by Canadian residents must be reported annually on Form T1135 (Foreign Income</w:t>
      </w:r>
      <w:r>
        <w:rPr>
          <w:rFonts w:ascii="Arial" w:cs="Arial" w:eastAsia="Arial" w:hAnsi="Arial"/>
          <w:sz w:val="17"/>
          <w:szCs w:val="17"/>
          <w:b w:val="1"/>
          <w:bCs w:val="1"/>
          <w:color w:val="auto"/>
        </w:rPr>
        <w:t xml:space="preserve"> </w:t>
      </w:r>
      <w:r>
        <w:rPr>
          <w:rFonts w:ascii="Arial" w:cs="Arial" w:eastAsia="Arial" w:hAnsi="Arial"/>
          <w:sz w:val="17"/>
          <w:szCs w:val="17"/>
          <w:color w:val="auto"/>
        </w:rPr>
        <w:t>Verification Statement) if the total value of such foreign property exceeds C$100,000 at any time during the year. Foreign property includes Common Shares acquired under the Plan and may include the Restricted Share Units. The Restricted Share Units must be reported—generally at a nil cost—if the C$100,000 cost threshold is exceeded because of other foreign property Grantee holds. If Common Shares are acquired, their cost generally is the adjusted cost base (“ACB”) of the Common Shares. The ACB would normally equal the fair market value of the Common Shares at vesting, but if Grantee owns other shares of the Company’s common stock, this ACB may have to be averaged with the ACB of those other shares. If due, the form must be filed by April 30</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of the following year. Any filing which is due must be made by April 30th of the following year. Grantee should speak with a personal tax advisor to determine the scope of foreign property that must be considered for purposes of this requirement.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CHINA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07" w:lineRule="exact"/>
        <w:rPr>
          <w:sz w:val="20"/>
          <w:szCs w:val="20"/>
          <w:color w:val="auto"/>
        </w:rPr>
      </w:pPr>
    </w:p>
    <w:p>
      <w:pPr>
        <w:ind w:right="160"/>
        <w:spacing w:after="0" w:line="289" w:lineRule="auto"/>
        <w:rPr>
          <w:sz w:val="20"/>
          <w:szCs w:val="20"/>
          <w:color w:val="auto"/>
        </w:rPr>
      </w:pPr>
      <w:r>
        <w:rPr>
          <w:rFonts w:ascii="Arial" w:cs="Arial" w:eastAsia="Arial" w:hAnsi="Arial"/>
          <w:sz w:val="17"/>
          <w:szCs w:val="17"/>
          <w:b w:val="1"/>
          <w:bCs w:val="1"/>
          <w:color w:val="auto"/>
        </w:rPr>
        <w:t xml:space="preserve">Exchange Control Notification. </w:t>
      </w:r>
      <w:r>
        <w:rPr>
          <w:rFonts w:ascii="Arial" w:cs="Arial" w:eastAsia="Arial" w:hAnsi="Arial"/>
          <w:sz w:val="17"/>
          <w:szCs w:val="17"/>
          <w:color w:val="auto"/>
        </w:rPr>
        <w:t>Grantee understands, acknowledges and agrees that certain exchange control restrictions may apply to Grantee’s</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participation in the Plan, including to the remittance of funds into China of any sale proceeds or dividends paid on Common Shares acquired under the Plan. Grantee understands that it is his or her sole responsibility to comply with applicable exchange control restrictions in China.</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DENMARK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This provision supplements Section 16 of the Award Terms: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By participating in the Plan, Grantee acknowledges that he or she understands and agrees that the grant of the Restricted Share Units relates to future services to be performed and is not a bonus or compensation for past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The establishment of an account holding Common Shares or an account holding cash outside Denmark must be reported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Danish Tax Administration. The form which should be used in this respect may be obtained from a local bank. (Please note that these obligations are separate from and in addition to the securities/tax reporting obligations described below.)</w:t>
      </w:r>
    </w:p>
    <w:p>
      <w:pPr>
        <w:spacing w:after="0" w:line="176" w:lineRule="exact"/>
        <w:rPr>
          <w:sz w:val="20"/>
          <w:szCs w:val="20"/>
          <w:color w:val="auto"/>
        </w:rPr>
      </w:pPr>
    </w:p>
    <w:p>
      <w:pPr>
        <w:spacing w:after="0" w:line="270" w:lineRule="auto"/>
        <w:rPr>
          <w:sz w:val="20"/>
          <w:szCs w:val="20"/>
          <w:color w:val="auto"/>
        </w:rPr>
      </w:pPr>
      <w:r>
        <w:rPr>
          <w:rFonts w:ascii="Arial" w:cs="Arial" w:eastAsia="Arial" w:hAnsi="Arial"/>
          <w:sz w:val="17"/>
          <w:szCs w:val="17"/>
          <w:b w:val="1"/>
          <w:bCs w:val="1"/>
          <w:color w:val="auto"/>
        </w:rPr>
        <w:t xml:space="preserve">Securities/Foreign Asset/Account Reporting Notification. </w:t>
      </w:r>
      <w:r>
        <w:rPr>
          <w:rFonts w:ascii="Arial" w:cs="Arial" w:eastAsia="Arial" w:hAnsi="Arial"/>
          <w:sz w:val="17"/>
          <w:szCs w:val="17"/>
          <w:color w:val="auto"/>
        </w:rPr>
        <w:t>Grantee may hold Common Shares acquired under the Plan in a safety-deposit account (</w:t>
      </w:r>
      <w:r>
        <w:rPr>
          <w:rFonts w:ascii="Arial" w:cs="Arial" w:eastAsia="Arial" w:hAnsi="Arial"/>
          <w:sz w:val="17"/>
          <w:szCs w:val="17"/>
          <w:i w:val="1"/>
          <w:iCs w:val="1"/>
          <w:color w:val="auto"/>
        </w:rPr>
        <w:t>e.g</w:t>
      </w:r>
      <w:r>
        <w:rPr>
          <w:rFonts w:ascii="Arial" w:cs="Arial" w:eastAsia="Arial" w:hAnsi="Arial"/>
          <w:sz w:val="17"/>
          <w:szCs w:val="17"/>
          <w:color w:val="auto"/>
        </w:rPr>
        <w:t>., a</w:t>
      </w:r>
      <w:r>
        <w:rPr>
          <w:rFonts w:ascii="Arial" w:cs="Arial" w:eastAsia="Arial" w:hAnsi="Arial"/>
          <w:sz w:val="17"/>
          <w:szCs w:val="17"/>
          <w:b w:val="1"/>
          <w:bCs w:val="1"/>
          <w:color w:val="auto"/>
        </w:rPr>
        <w:t xml:space="preserve"> </w:t>
      </w:r>
      <w:r>
        <w:rPr>
          <w:rFonts w:ascii="Arial" w:cs="Arial" w:eastAsia="Arial" w:hAnsi="Arial"/>
          <w:sz w:val="17"/>
          <w:szCs w:val="17"/>
          <w:color w:val="auto"/>
        </w:rPr>
        <w:t>brokerage account) with either a Danish bank or with an approved foreign broker or bank, such as the Equity Account Administrator. If the Common Shares are held with a foreign broker or bank, Grantee is required to inform the Danish Tax Administration about the safety-deposit account. For this purpose, he or she must file a Form V (</w:t>
      </w:r>
      <w:r>
        <w:rPr>
          <w:rFonts w:ascii="Arial" w:cs="Arial" w:eastAsia="Arial" w:hAnsi="Arial"/>
          <w:sz w:val="17"/>
          <w:szCs w:val="17"/>
          <w:i w:val="1"/>
          <w:iCs w:val="1"/>
          <w:color w:val="auto"/>
        </w:rPr>
        <w:t>Erklaering V</w:t>
      </w:r>
      <w:r>
        <w:rPr>
          <w:rFonts w:ascii="Arial" w:cs="Arial" w:eastAsia="Arial" w:hAnsi="Arial"/>
          <w:sz w:val="17"/>
          <w:szCs w:val="17"/>
          <w:color w:val="auto"/>
        </w:rPr>
        <w:t>) with the Danish Tax Administration. Both Grantee and the broker or bank must sign the Form V. By signing the Form V, the broker or bank undertakes an obligation, without further request each year and not later than on February 1 of the year following the calendar year to which the information relates, to forward information to the Danish Tax Administration concerning the Common Shares in the account. In the event that the applicable broker or bank with which the account is held does not wish to, or, pursuant to the laws of the country in question, is not allowed to assume such obligation to report, Grantee acknowledges that he or she is solely responsible for providing certain details regarding the foreign brokerage account and Common Shares deposited therein to the Danish Tax Administration as part of his or her annual income tax return. By signing the Form V, Grantee authorizes the Danish Tax Administration to examine the account.</w:t>
      </w:r>
    </w:p>
    <w:p>
      <w:pPr>
        <w:spacing w:after="0" w:line="182"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addition, if Grantee opens a brokerage account (or a deposit account with a U.S. bank), the brokerage account (or bank account, as applicable) will be treated as a deposit account because cash can be held in the account. Therefore, Grantee must also file a Form K (</w:t>
      </w:r>
      <w:r>
        <w:rPr>
          <w:rFonts w:ascii="Arial" w:cs="Arial" w:eastAsia="Arial" w:hAnsi="Arial"/>
          <w:sz w:val="18"/>
          <w:szCs w:val="18"/>
          <w:i w:val="1"/>
          <w:iCs w:val="1"/>
          <w:color w:val="auto"/>
        </w:rPr>
        <w:t>Erklaering K</w:t>
      </w:r>
      <w:r>
        <w:rPr>
          <w:rFonts w:ascii="Arial" w:cs="Arial" w:eastAsia="Arial" w:hAnsi="Arial"/>
          <w:sz w:val="18"/>
          <w:szCs w:val="18"/>
          <w:color w:val="auto"/>
        </w:rPr>
        <w:t>) with the Danish Tax Administration. Both Grantee and the broker must sign the Form K. By signing the Form K, the broker undertakes an obligation, without further request each year and not later</w:t>
      </w:r>
    </w:p>
    <w:p>
      <w:pPr>
        <w:sectPr>
          <w:pgSz w:w="11900" w:h="16838" w:orient="portrait"/>
          <w:cols w:equalWidth="0" w:num="1">
            <w:col w:w="11420"/>
          </w:cols>
          <w:pgMar w:left="240" w:top="584" w:right="239" w:bottom="0" w:gutter="0" w:footer="0" w:header="0"/>
        </w:sectPr>
      </w:pPr>
    </w:p>
    <w:bookmarkStart w:id="212" w:name="page213"/>
    <w:bookmarkEnd w:id="212"/>
    <w:p>
      <w:pPr>
        <w:spacing w:after="0" w:line="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than on February 1 of the year following the calendar year to which the information relates, to forward information to the Danish Tax Administration concerning the content of the deposit account. In the event that the applicable financial institution (broker or bank) with which the account is held, does not wish to, or, pursuant to the laws of the country in question, is not allowed to assume such obligation to report, Grantee acknowledges that he or she is solely responsible for providing certain details regarding the foreign brokerage or bank account to the Danish Tax Administration as part of Grantee’s annual income tax return. By signing the Form K, Grantee authorizes the Danish Tax Administration to examine the account.</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FRANCE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b w:val="1"/>
          <w:bCs w:val="1"/>
          <w:color w:val="auto"/>
        </w:rPr>
        <w:t xml:space="preserve">Language Consent. </w:t>
      </w:r>
      <w:r>
        <w:rPr>
          <w:rFonts w:ascii="Arial" w:cs="Arial" w:eastAsia="Arial" w:hAnsi="Arial"/>
          <w:sz w:val="18"/>
          <w:szCs w:val="18"/>
          <w:color w:val="auto"/>
        </w:rPr>
        <w:t>By accepting the Award, Grantee confirms that he or she has read and understood the documents relating to the Restricted Share Units</w:t>
      </w:r>
      <w:r>
        <w:rPr>
          <w:rFonts w:ascii="Arial" w:cs="Arial" w:eastAsia="Arial" w:hAnsi="Arial"/>
          <w:sz w:val="18"/>
          <w:szCs w:val="18"/>
          <w:b w:val="1"/>
          <w:bCs w:val="1"/>
          <w:color w:val="auto"/>
        </w:rPr>
        <w:t xml:space="preserve"> </w:t>
      </w:r>
      <w:r>
        <w:rPr>
          <w:rFonts w:ascii="Arial" w:cs="Arial" w:eastAsia="Arial" w:hAnsi="Arial"/>
          <w:sz w:val="18"/>
          <w:szCs w:val="18"/>
          <w:color w:val="auto"/>
        </w:rPr>
        <w:t>(the Grant Notice, the Plan, and the Award Terms, including this Appendix) which were provided in the English language. Grantee accepts the terms of these documents accordingly.</w:t>
      </w:r>
    </w:p>
    <w:p>
      <w:pPr>
        <w:spacing w:after="0" w:line="18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b w:val="1"/>
          <w:bCs w:val="1"/>
          <w:i w:val="1"/>
          <w:iCs w:val="1"/>
          <w:color w:val="auto"/>
        </w:rPr>
        <w:t xml:space="preserve">Consentement relatif à la langue utilisée: </w:t>
      </w:r>
      <w:r>
        <w:rPr>
          <w:rFonts w:ascii="Arial" w:cs="Arial" w:eastAsia="Arial" w:hAnsi="Arial"/>
          <w:sz w:val="18"/>
          <w:szCs w:val="18"/>
          <w:i w:val="1"/>
          <w:iCs w:val="1"/>
          <w:color w:val="auto"/>
        </w:rPr>
        <w:t>En acceptant l’Attribution, le Bénéficiaire confirme qu’il ou qu’elle a lu et compris les documents afférents aux</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Attributions Gratuites d’Actions (la Notification d’Attribution, le Plan et les Termes de l’Attribution, ainsi que la présente Annexe) qui sont produits en langue anglaise. Le Bénéficiaire accepte les termes de ces documents en connaissance de cause.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jc w:val="both"/>
        <w:ind w:right="160"/>
        <w:spacing w:after="0" w:line="314" w:lineRule="auto"/>
        <w:rPr>
          <w:sz w:val="20"/>
          <w:szCs w:val="20"/>
          <w:color w:val="auto"/>
        </w:rPr>
      </w:pPr>
      <w:r>
        <w:rPr>
          <w:rFonts w:ascii="Arial" w:cs="Arial" w:eastAsia="Arial" w:hAnsi="Arial"/>
          <w:sz w:val="16"/>
          <w:szCs w:val="16"/>
          <w:b w:val="1"/>
          <w:bCs w:val="1"/>
          <w:color w:val="auto"/>
        </w:rPr>
        <w:t xml:space="preserve">Foreign Asset/Account Reporting Notification. </w:t>
      </w:r>
      <w:r>
        <w:rPr>
          <w:rFonts w:ascii="Arial" w:cs="Arial" w:eastAsia="Arial" w:hAnsi="Arial"/>
          <w:sz w:val="16"/>
          <w:szCs w:val="16"/>
          <w:color w:val="auto"/>
        </w:rPr>
        <w:t>If Grantee retains Common Shares acquired under the Plan outside of France or maintains a foreign bank</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Grantee is required to report such to the French tax authorities when filing his or her annual tax return. Failure to comply could trigger significant penalties. Further, French residents with foreign account balances exceeding €1,000,000 may have additional monthly reporting obligations.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GERMANY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jc w:val="both"/>
        <w:ind w:right="80"/>
        <w:spacing w:after="0" w:line="277" w:lineRule="auto"/>
        <w:rPr>
          <w:sz w:val="20"/>
          <w:szCs w:val="20"/>
          <w:color w:val="auto"/>
        </w:rPr>
      </w:pPr>
      <w:r>
        <w:rPr>
          <w:rFonts w:ascii="Arial" w:cs="Arial" w:eastAsia="Arial" w:hAnsi="Arial"/>
          <w:sz w:val="17"/>
          <w:szCs w:val="17"/>
          <w:b w:val="1"/>
          <w:bCs w:val="1"/>
          <w:color w:val="auto"/>
        </w:rPr>
        <w:t xml:space="preserve">Exchange Control Notification. </w:t>
      </w:r>
      <w:r>
        <w:rPr>
          <w:rFonts w:ascii="Arial" w:cs="Arial" w:eastAsia="Arial" w:hAnsi="Arial"/>
          <w:sz w:val="17"/>
          <w:szCs w:val="17"/>
          <w:color w:val="auto"/>
        </w:rPr>
        <w:t>Cross-border payments in excess of €12,500 must be reported monthly to the German Federal Bank. No report is required</w:t>
      </w:r>
      <w:r>
        <w:rPr>
          <w:rFonts w:ascii="Arial" w:cs="Arial" w:eastAsia="Arial" w:hAnsi="Arial"/>
          <w:sz w:val="17"/>
          <w:szCs w:val="17"/>
          <w:b w:val="1"/>
          <w:bCs w:val="1"/>
          <w:color w:val="auto"/>
        </w:rPr>
        <w:t xml:space="preserve"> </w:t>
      </w:r>
      <w:r>
        <w:rPr>
          <w:rFonts w:ascii="Arial" w:cs="Arial" w:eastAsia="Arial" w:hAnsi="Arial"/>
          <w:sz w:val="17"/>
          <w:szCs w:val="17"/>
          <w:color w:val="auto"/>
        </w:rPr>
        <w:t>for payments less than €12,500. In case of payments in connection with securities (including proceeds realized upon the sale of Common Shares), the report must be made by the 5th day of the month following the month in which the payment was received. Effective from September 2013, the report must be filed electronically. The form of report (“</w:t>
      </w:r>
      <w:r>
        <w:rPr>
          <w:rFonts w:ascii="Arial" w:cs="Arial" w:eastAsia="Arial" w:hAnsi="Arial"/>
          <w:sz w:val="17"/>
          <w:szCs w:val="17"/>
          <w:i w:val="1"/>
          <w:iCs w:val="1"/>
          <w:color w:val="auto"/>
        </w:rPr>
        <w:t>Allgemeine Meldeportal Statistik</w:t>
      </w:r>
      <w:r>
        <w:rPr>
          <w:rFonts w:ascii="Arial" w:cs="Arial" w:eastAsia="Arial" w:hAnsi="Arial"/>
          <w:sz w:val="17"/>
          <w:szCs w:val="17"/>
          <w:color w:val="auto"/>
        </w:rPr>
        <w:t xml:space="preserve">”) can be accessed via the </w:t>
      </w:r>
      <w:r>
        <w:rPr>
          <w:rFonts w:ascii="Arial" w:cs="Arial" w:eastAsia="Arial" w:hAnsi="Arial"/>
          <w:sz w:val="17"/>
          <w:szCs w:val="17"/>
          <w:i w:val="1"/>
          <w:iCs w:val="1"/>
          <w:color w:val="auto"/>
        </w:rPr>
        <w:t>Bundesbank’s</w:t>
      </w:r>
      <w:r>
        <w:rPr>
          <w:rFonts w:ascii="Arial" w:cs="Arial" w:eastAsia="Arial" w:hAnsi="Arial"/>
          <w:sz w:val="17"/>
          <w:szCs w:val="17"/>
          <w:color w:val="auto"/>
        </w:rPr>
        <w:t xml:space="preserve"> website (www.bundesbank.de) and is available in both German and English. Grantee is responsible for satisfying the reporting obligation.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HONG KONG</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Restricted Share Units Payable Only in Common Shares</w:t>
      </w:r>
      <w:r>
        <w:rPr>
          <w:rFonts w:ascii="Arial" w:cs="Arial" w:eastAsia="Arial" w:hAnsi="Arial"/>
          <w:sz w:val="18"/>
          <w:szCs w:val="18"/>
          <w:color w:val="auto"/>
        </w:rPr>
        <w:t>. The grant of Restricted Share Units does not provide any right for Grantee to receive a cash</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and the Restricted Share Units are payable in Common Shares only.</w:t>
      </w:r>
    </w:p>
    <w:p>
      <w:pPr>
        <w:spacing w:after="0" w:line="162" w:lineRule="exact"/>
        <w:rPr>
          <w:sz w:val="20"/>
          <w:szCs w:val="20"/>
          <w:color w:val="auto"/>
        </w:rPr>
      </w:pPr>
    </w:p>
    <w:p>
      <w:pPr>
        <w:ind w:right="80"/>
        <w:spacing w:after="0" w:line="347" w:lineRule="auto"/>
        <w:rPr>
          <w:sz w:val="20"/>
          <w:szCs w:val="20"/>
          <w:color w:val="auto"/>
        </w:rPr>
      </w:pPr>
      <w:r>
        <w:rPr>
          <w:rFonts w:ascii="Arial" w:cs="Arial" w:eastAsia="Arial" w:hAnsi="Arial"/>
          <w:sz w:val="16"/>
          <w:szCs w:val="16"/>
          <w:b w:val="1"/>
          <w:bCs w:val="1"/>
          <w:color w:val="auto"/>
        </w:rPr>
        <w:t xml:space="preserve">Sale of Shares. </w:t>
      </w:r>
      <w:r>
        <w:rPr>
          <w:rFonts w:ascii="Arial" w:cs="Arial" w:eastAsia="Arial" w:hAnsi="Arial"/>
          <w:sz w:val="16"/>
          <w:szCs w:val="16"/>
          <w:color w:val="auto"/>
        </w:rPr>
        <w:t>In the event the Restricted Share Units vest within six months of the Date of Grant, Grantee agrees that he or she will not offer to the public,</w:t>
      </w:r>
      <w:r>
        <w:rPr>
          <w:rFonts w:ascii="Arial" w:cs="Arial" w:eastAsia="Arial" w:hAnsi="Arial"/>
          <w:sz w:val="16"/>
          <w:szCs w:val="16"/>
          <w:b w:val="1"/>
          <w:bCs w:val="1"/>
          <w:color w:val="auto"/>
        </w:rPr>
        <w:t xml:space="preserve"> </w:t>
      </w:r>
      <w:r>
        <w:rPr>
          <w:rFonts w:ascii="Arial" w:cs="Arial" w:eastAsia="Arial" w:hAnsi="Arial"/>
          <w:sz w:val="16"/>
          <w:szCs w:val="16"/>
          <w:color w:val="auto"/>
        </w:rPr>
        <w:t>or otherwise dispose of, the Shares acquired prior to the six-month anniversary of the Date of Grant. Any Common Shares acquired under the Plan are</w:t>
      </w:r>
    </w:p>
    <w:p>
      <w:pPr>
        <w:sectPr>
          <w:pgSz w:w="11900" w:h="16898" w:orient="portrait"/>
          <w:cols w:equalWidth="0" w:num="1">
            <w:col w:w="11400"/>
          </w:cols>
          <w:pgMar w:left="240" w:top="342" w:right="259" w:bottom="0" w:gutter="0" w:footer="0" w:header="0"/>
        </w:sectPr>
      </w:pPr>
    </w:p>
    <w:bookmarkStart w:id="213" w:name="page214"/>
    <w:bookmarkEnd w:id="213"/>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accepted as a personal investment.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color w:val="auto"/>
        </w:rPr>
        <w:t xml:space="preserve">Securities Warning: </w:t>
      </w:r>
      <w:r>
        <w:rPr>
          <w:rFonts w:ascii="Arial" w:cs="Arial" w:eastAsia="Arial" w:hAnsi="Arial"/>
          <w:sz w:val="18"/>
          <w:szCs w:val="18"/>
          <w:i w:val="1"/>
          <w:iCs w:val="1"/>
          <w:color w:val="auto"/>
        </w:rPr>
        <w:t>The contents of this document have not been reviewed by any regulatory authority in Hong Kong. Grantee is advised to exercise</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caution in relation to the offer. If Grantee is in any doubt about any of the meaning or intent of anything contained in the Award Terms, the Plan or any other incidental communication materials distributed in connection with the Restricted Share Units, Grantee is advised to obtain independent professional advice. The Restricted Share Units and any Common Shares issued at vesting of the Restricted Share Units do not constitute a public offering of securities under Hong Kong law and are available only to employees of the Company Group. The Award Terms, including this Appendix, the Plan, the Grant Notice and other incidental communication materials (i) have not been prepared in accordance with and are not intended to constitute a “prospectus” for a public offering of securities under the applicable securities legislation in Hong Kong and (ii) any related documentation are intended only for the personal use of Grantee and may not be distributed to any other person.</w:t>
      </w:r>
    </w:p>
    <w:p>
      <w:pPr>
        <w:spacing w:after="0" w:line="185" w:lineRule="exact"/>
        <w:rPr>
          <w:sz w:val="20"/>
          <w:szCs w:val="20"/>
          <w:color w:val="auto"/>
        </w:rPr>
      </w:pPr>
    </w:p>
    <w:p>
      <w:pPr>
        <w:ind w:right="740"/>
        <w:spacing w:after="0" w:line="282" w:lineRule="auto"/>
        <w:rPr>
          <w:sz w:val="20"/>
          <w:szCs w:val="20"/>
          <w:color w:val="auto"/>
        </w:rPr>
      </w:pPr>
      <w:r>
        <w:rPr>
          <w:rFonts w:ascii="Arial" w:cs="Arial" w:eastAsia="Arial" w:hAnsi="Arial"/>
          <w:sz w:val="18"/>
          <w:szCs w:val="18"/>
          <w:b w:val="1"/>
          <w:bCs w:val="1"/>
          <w:color w:val="auto"/>
        </w:rPr>
        <w:t xml:space="preserve">Nature of Scheme. </w:t>
      </w:r>
      <w:r>
        <w:rPr>
          <w:rFonts w:ascii="Arial" w:cs="Arial" w:eastAsia="Arial" w:hAnsi="Arial"/>
          <w:sz w:val="18"/>
          <w:szCs w:val="18"/>
          <w:color w:val="auto"/>
        </w:rPr>
        <w:t>The Company specifically intends that the Plan will not be an occupational retirement scheme for purposes of the Occupational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Retirement Schemes Ordinance.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FOR IRELAND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This provision supplements Section 16 of the Award Terms: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accepting the grant of the Restricted Share Units, Grantee acknowledges that he or she understands and agrees that the benefits received under the Plan will not be taken into account for any redundancy or unfair dismissal claim.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440"/>
        <w:spacing w:after="0" w:line="293" w:lineRule="auto"/>
        <w:rPr>
          <w:sz w:val="20"/>
          <w:szCs w:val="20"/>
          <w:color w:val="auto"/>
        </w:rPr>
      </w:pPr>
      <w:r>
        <w:rPr>
          <w:rFonts w:ascii="Arial" w:cs="Arial" w:eastAsia="Arial" w:hAnsi="Arial"/>
          <w:sz w:val="16"/>
          <w:szCs w:val="16"/>
          <w:b w:val="1"/>
          <w:bCs w:val="1"/>
          <w:color w:val="auto"/>
        </w:rPr>
        <w:t xml:space="preserve">Director Notification Requirements. </w:t>
      </w:r>
      <w:r>
        <w:rPr>
          <w:rFonts w:ascii="Arial" w:cs="Arial" w:eastAsia="Arial" w:hAnsi="Arial"/>
          <w:sz w:val="16"/>
          <w:szCs w:val="16"/>
          <w:color w:val="auto"/>
        </w:rPr>
        <w:t>If Grantee is a director, shadow director or secretary of an Irish Subsidiary and Grantee’s aggregate shareholding</w:t>
      </w:r>
      <w:r>
        <w:rPr>
          <w:rFonts w:ascii="Arial" w:cs="Arial" w:eastAsia="Arial" w:hAnsi="Arial"/>
          <w:sz w:val="16"/>
          <w:szCs w:val="16"/>
          <w:b w:val="1"/>
          <w:bCs w:val="1"/>
          <w:color w:val="auto"/>
        </w:rPr>
        <w:t xml:space="preserve"> </w:t>
      </w:r>
      <w:r>
        <w:rPr>
          <w:rFonts w:ascii="Arial" w:cs="Arial" w:eastAsia="Arial" w:hAnsi="Arial"/>
          <w:sz w:val="16"/>
          <w:szCs w:val="16"/>
          <w:color w:val="auto"/>
        </w:rPr>
        <w:t>interest equals or exceeds 1% of the voting rights of the Company, Grantee must notify the Irish Subsidiary in writing within a certain time period of</w:t>
      </w:r>
    </w:p>
    <w:p>
      <w:pPr>
        <w:spacing w:after="0" w:line="1" w:lineRule="exact"/>
        <w:rPr>
          <w:sz w:val="20"/>
          <w:szCs w:val="20"/>
          <w:color w:val="auto"/>
        </w:rPr>
      </w:pPr>
    </w:p>
    <w:p>
      <w:pPr>
        <w:ind w:firstLine="8"/>
        <w:spacing w:after="0" w:line="273" w:lineRule="auto"/>
        <w:tabs>
          <w:tab w:leader="none" w:pos="215" w:val="left"/>
        </w:tabs>
        <w:numPr>
          <w:ilvl w:val="0"/>
          <w:numId w:val="205"/>
        </w:numPr>
        <w:rPr>
          <w:rFonts w:ascii="Arial" w:cs="Arial" w:eastAsia="Arial" w:hAnsi="Arial"/>
          <w:sz w:val="17"/>
          <w:szCs w:val="17"/>
          <w:color w:val="auto"/>
        </w:rPr>
      </w:pPr>
      <w:r>
        <w:rPr>
          <w:rFonts w:ascii="Arial" w:cs="Arial" w:eastAsia="Arial" w:hAnsi="Arial"/>
          <w:sz w:val="17"/>
          <w:szCs w:val="17"/>
          <w:color w:val="auto"/>
        </w:rPr>
        <w:t>receiving or disposing of an interest in the Company (e.g., Restricted Share Units, Common Shares), (ii) becoming aware of the event giving rise to the notification requirement, or (iii) becoming a director or secretary if such an interest exists at the time. This notification requirement also applies with respect to the interests of a spouse or minor children (whose interests will be attributed to the director, shadow director or secretary, as the case may be). Grantee may contact Stock Plan Administration to obtain a sample form that can be used to satisfy this notification requirement.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APPENDIX FOR ITALY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Data Privacy Notice</w:t>
      </w:r>
      <w:r>
        <w:rPr>
          <w:rFonts w:ascii="Arial" w:cs="Arial" w:eastAsia="Arial" w:hAnsi="Arial"/>
          <w:sz w:val="18"/>
          <w:szCs w:val="18"/>
          <w:color w:val="auto"/>
        </w:rPr>
        <w:t>. This provision replaces Section 17 of the Award Terms:</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Grantee understands that the Employer, the Company, and any other entity in the Company Group may hold certain personal information about Grantee, including, without limitation, Grantee’s name, home address, email address and telephone number, date of birth, passport, social insurance number or other identification number, salary, nationality, job title, any directorships held in the Company or any other entity in the Company Group, any Shares owned, details of all Restricted Share Units or any other entitlement to Common Shares awarded, canceled, exercised, vested, unvested, or outstanding in Grantee’s favor (“Data”), for the purpose of implementing, managing, and administering the Plan and in compliance with applicable laws and regulations.</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b w:val="1"/>
          <w:bCs w:val="1"/>
          <w:i w:val="1"/>
          <w:iCs w:val="1"/>
          <w:color w:val="auto"/>
        </w:rPr>
        <w:t>Grantee also understands that providing the Company with the Data is mandatory for compliance with local law and necessary for the performance of the Plan and that his or her denial to provide the Data would make it impossible for the Company to perform its contractual obligations and may affect Grantee’s ability to participate in the Plan. The Controller of personal data processing is Activision Blizzard, Inc., with registered offices at 3100 Ocean Park Blvd., Suite 1000, Santa Monica, California 90405, United States of America, and, pursuant to Legislative Decree no. 196/2003, its representative in Italy is Activision Italia, S.r.l, Corso Sempione 221, 20025 Legnano (MI), Italy.</w:t>
      </w:r>
    </w:p>
    <w:p>
      <w:pPr>
        <w:spacing w:after="0" w:line="173" w:lineRule="exact"/>
        <w:rPr>
          <w:sz w:val="20"/>
          <w:szCs w:val="20"/>
          <w:color w:val="auto"/>
        </w:rPr>
      </w:pPr>
    </w:p>
    <w:p>
      <w:pPr>
        <w:ind w:right="40"/>
        <w:spacing w:after="0" w:line="320" w:lineRule="auto"/>
        <w:rPr>
          <w:sz w:val="20"/>
          <w:szCs w:val="20"/>
          <w:color w:val="auto"/>
        </w:rPr>
      </w:pPr>
      <w:r>
        <w:rPr>
          <w:rFonts w:ascii="Arial" w:cs="Arial" w:eastAsia="Arial" w:hAnsi="Arial"/>
          <w:sz w:val="15"/>
          <w:szCs w:val="15"/>
          <w:b w:val="1"/>
          <w:bCs w:val="1"/>
          <w:i w:val="1"/>
          <w:iCs w:val="1"/>
          <w:color w:val="auto"/>
        </w:rPr>
        <w:t>Grantee understands that the Data will not be publicized, but it may be transferred to the Equity Account Administrator or any other financial institution or broker involved in the management and administration of the Plan. Grantee further understands that the Company and/or any entity in the Company Group will transfer the Data amongst themselves as necessary for the purpose of implementing, administering, and managing Grantee’s participation in the Plan, and that the Company and/or any entity in the Company Group may each further transfer the Data to third parties assisting the Company in the implementation, administration, and management of the Plan, including any requisite transfer to the Equity Account Administrator or other third party</w:t>
      </w:r>
    </w:p>
    <w:p>
      <w:pPr>
        <w:sectPr>
          <w:pgSz w:w="11900" w:h="16953" w:orient="portrait"/>
          <w:cols w:equalWidth="0" w:num="1">
            <w:col w:w="11420"/>
          </w:cols>
          <w:pgMar w:left="240" w:top="125" w:right="239" w:bottom="0" w:gutter="0" w:footer="0" w:header="0"/>
        </w:sectPr>
      </w:pPr>
    </w:p>
    <w:bookmarkStart w:id="214" w:name="page215"/>
    <w:bookmarkEnd w:id="214"/>
    <w:p>
      <w:pPr>
        <w:spacing w:after="0" w:line="276" w:lineRule="auto"/>
        <w:rPr>
          <w:sz w:val="20"/>
          <w:szCs w:val="20"/>
          <w:color w:val="auto"/>
        </w:rPr>
      </w:pPr>
      <w:r>
        <w:rPr>
          <w:rFonts w:ascii="Arial" w:cs="Arial" w:eastAsia="Arial" w:hAnsi="Arial"/>
          <w:sz w:val="17"/>
          <w:szCs w:val="17"/>
          <w:b w:val="1"/>
          <w:bCs w:val="1"/>
          <w:i w:val="1"/>
          <w:iCs w:val="1"/>
          <w:color w:val="auto"/>
        </w:rPr>
        <w:t>with whom Grantee may elect to deposit any Shares purchased under the Plan. Such recipients may receive, possess, use, retain, and transfer the Data in electronic or other form, for the purposes of implementing, administering and managing Grantee’s participation in the Plan. Grantee understands that these recipients may be located in or outside the European Economic Area, and may be located in the United States or elsewhere and in locations that might not provide the same level of protection as intended under Italian data privacy laws. Should the Company exercise its discretion in suspending all necessary legal obligations connected with the management and administration</w:t>
      </w:r>
    </w:p>
    <w:p>
      <w:pPr>
        <w:spacing w:after="0" w:line="17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of the Plan, it will delete the Data as soon as it has accomplished all the necessary legal obligations connected with the management and administration of the Plan.</w:t>
      </w:r>
    </w:p>
    <w:p>
      <w:pPr>
        <w:spacing w:after="0" w:line="170"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b w:val="1"/>
          <w:bCs w:val="1"/>
          <w:i w:val="1"/>
          <w:iCs w:val="1"/>
          <w:color w:val="auto"/>
        </w:rPr>
        <w:t>Grantee understands that the processing of the Data in connection with the purposes specified above shall take place under automated or non-automated conditions, anonymously when possible, that comply with the purposes for which the Data is collected and with confidentiality and security provisions as set forth by applicable laws and regulations, including without limitation Legislative Decree no. 196/2003.</w:t>
      </w:r>
    </w:p>
    <w:p>
      <w:pPr>
        <w:spacing w:after="0" w:line="147"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b w:val="1"/>
          <w:bCs w:val="1"/>
          <w:i w:val="1"/>
          <w:iCs w:val="1"/>
          <w:color w:val="auto"/>
        </w:rPr>
        <w:t>The processing activity, including communication of the Data or transfer of the Data abroad (including outside of the European Economic Area), as herein specified and pursuant to applicable laws and regulations, does not require Grantee’s consent thereto, as the processing is necessary to performance of contractual obligations related to implementation, administration and management of the Plan. Grantee understands that, pursuant to Section 7 of the Legislative Decree no. 196/2003, he or she has the right to access, delete, update, correct, or stop, for legitimate reason, the processing of the Data. Furthermore, Grantee is aware that the Data will not be used for direct marketing purposes. In addition, the Data provided can be reviewed and questions or complaints can be addressed by contacting Grantee’s local human resources representative.</w:t>
      </w:r>
    </w:p>
    <w:p>
      <w:pPr>
        <w:spacing w:after="0" w:line="161" w:lineRule="exact"/>
        <w:rPr>
          <w:sz w:val="20"/>
          <w:szCs w:val="20"/>
          <w:color w:val="auto"/>
        </w:rPr>
      </w:pPr>
    </w:p>
    <w:p>
      <w:pPr>
        <w:ind w:right="220"/>
        <w:spacing w:after="0" w:line="266" w:lineRule="auto"/>
        <w:rPr>
          <w:sz w:val="20"/>
          <w:szCs w:val="20"/>
          <w:color w:val="auto"/>
        </w:rPr>
      </w:pPr>
      <w:r>
        <w:rPr>
          <w:rFonts w:ascii="Arial" w:cs="Arial" w:eastAsia="Arial" w:hAnsi="Arial"/>
          <w:sz w:val="18"/>
          <w:szCs w:val="18"/>
          <w:b w:val="1"/>
          <w:bCs w:val="1"/>
          <w:color w:val="auto"/>
        </w:rPr>
        <w:t xml:space="preserve">Plan Document Acknowledgment. </w:t>
      </w:r>
      <w:r>
        <w:rPr>
          <w:rFonts w:ascii="Arial" w:cs="Arial" w:eastAsia="Arial" w:hAnsi="Arial"/>
          <w:sz w:val="18"/>
          <w:szCs w:val="18"/>
          <w:color w:val="auto"/>
        </w:rPr>
        <w:t>In accepting the grant of Restricted Share Units, Grantee acknowledges that he or she has received a copy of the Plan</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Award Terms (including this Appendix) and has reviewed the Plan and the Award Terms (including this Appendix) in their entirety and fully understand and accept all provisions of the Plan and the Award Terms (including this Appendix).</w:t>
      </w:r>
    </w:p>
    <w:p>
      <w:pPr>
        <w:spacing w:after="0" w:line="18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Grantee further acknowledges that he or she has read and specifically and expressly approves the following sections of the Award Terms: Section 3 regarding “Termination of Employment;” Section 4 regarding “Tax Withholding;” Section 16 regarding the “Nature of the Grant;” Section 20 regarding the “Governing Law and Venue;” Section 25 regarding “Language;” and the Data Privacy Notice provision included in this Appendix.</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spacing w:after="0" w:line="258" w:lineRule="auto"/>
        <w:rPr>
          <w:sz w:val="20"/>
          <w:szCs w:val="20"/>
          <w:color w:val="auto"/>
        </w:rPr>
      </w:pPr>
      <w:r>
        <w:rPr>
          <w:rFonts w:ascii="Arial" w:cs="Arial" w:eastAsia="Arial" w:hAnsi="Arial"/>
          <w:sz w:val="18"/>
          <w:szCs w:val="18"/>
          <w:b w:val="1"/>
          <w:bCs w:val="1"/>
          <w:color w:val="auto"/>
        </w:rPr>
        <w:t xml:space="preserve">Foreign Asset/Account Reporting Notification. </w:t>
      </w:r>
      <w:r>
        <w:rPr>
          <w:rFonts w:ascii="Arial" w:cs="Arial" w:eastAsia="Arial" w:hAnsi="Arial"/>
          <w:sz w:val="18"/>
          <w:szCs w:val="18"/>
          <w:color w:val="auto"/>
        </w:rPr>
        <w:t>Grantee is required to report investments held abroad or foreign financial assets (e.g., cash, Restricted</w:t>
      </w:r>
      <w:r>
        <w:rPr>
          <w:rFonts w:ascii="Arial" w:cs="Arial" w:eastAsia="Arial" w:hAnsi="Arial"/>
          <w:sz w:val="18"/>
          <w:szCs w:val="18"/>
          <w:b w:val="1"/>
          <w:bCs w:val="1"/>
          <w:color w:val="auto"/>
        </w:rPr>
        <w:t xml:space="preserve"> </w:t>
      </w:r>
      <w:r>
        <w:rPr>
          <w:rFonts w:ascii="Arial" w:cs="Arial" w:eastAsia="Arial" w:hAnsi="Arial"/>
          <w:sz w:val="18"/>
          <w:szCs w:val="18"/>
          <w:color w:val="auto"/>
        </w:rPr>
        <w:t>Share Units, Common Shares) that may generate income taxable in Italy on an annual tax return (UNICO Form, RW Schedule) or on a special form if no tax return is due, irrespective of their value. The same reporting duties apply to Italian residents who, even if they do not directly hold investments abroad or foreign financial assets (e.g., cash, Restricted Share Units and Common Shares), are beneficial owners of the investment pursuant to Italian money laundering provisions.</w:t>
      </w:r>
    </w:p>
    <w:p>
      <w:pPr>
        <w:spacing w:after="0" w:line="184" w:lineRule="exact"/>
        <w:rPr>
          <w:sz w:val="20"/>
          <w:szCs w:val="20"/>
          <w:color w:val="auto"/>
        </w:rPr>
      </w:pPr>
    </w:p>
    <w:p>
      <w:pPr>
        <w:ind w:right="300"/>
        <w:spacing w:after="0" w:line="313" w:lineRule="auto"/>
        <w:rPr>
          <w:sz w:val="20"/>
          <w:szCs w:val="20"/>
          <w:color w:val="auto"/>
        </w:rPr>
      </w:pPr>
      <w:r>
        <w:rPr>
          <w:rFonts w:ascii="Arial" w:cs="Arial" w:eastAsia="Arial" w:hAnsi="Arial"/>
          <w:sz w:val="17"/>
          <w:szCs w:val="17"/>
          <w:b w:val="1"/>
          <w:bCs w:val="1"/>
          <w:color w:val="auto"/>
        </w:rPr>
        <w:t xml:space="preserve">Foreign Financial Assets Tax Notification. </w:t>
      </w:r>
      <w:r>
        <w:rPr>
          <w:rFonts w:ascii="Arial" w:cs="Arial" w:eastAsia="Arial" w:hAnsi="Arial"/>
          <w:sz w:val="17"/>
          <w:szCs w:val="17"/>
          <w:color w:val="auto"/>
        </w:rPr>
        <w:t>The fair market value of any Common Shares held outside of Italy is subject to an annual foreign assets tax.</w:t>
      </w:r>
      <w:r>
        <w:rPr>
          <w:rFonts w:ascii="Arial" w:cs="Arial" w:eastAsia="Arial" w:hAnsi="Arial"/>
          <w:sz w:val="17"/>
          <w:szCs w:val="17"/>
          <w:b w:val="1"/>
          <w:bCs w:val="1"/>
          <w:color w:val="auto"/>
        </w:rPr>
        <w:t xml:space="preserve"> </w:t>
      </w:r>
      <w:r>
        <w:rPr>
          <w:rFonts w:ascii="Arial" w:cs="Arial" w:eastAsia="Arial" w:hAnsi="Arial"/>
          <w:sz w:val="17"/>
          <w:szCs w:val="17"/>
          <w:color w:val="auto"/>
        </w:rPr>
        <w:t>The fair market value for this purpose is the value of the Common Shares on the Nasdaq Stock Market, Inc. on December 31 of the</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0"/>
        <w:spacing w:after="0" w:line="264" w:lineRule="auto"/>
        <w:rPr>
          <w:sz w:val="20"/>
          <w:szCs w:val="20"/>
          <w:color w:val="auto"/>
        </w:rPr>
      </w:pPr>
      <w:r>
        <w:rPr>
          <w:rFonts w:ascii="Arial" w:cs="Arial" w:eastAsia="Arial" w:hAnsi="Arial"/>
          <w:sz w:val="18"/>
          <w:szCs w:val="18"/>
          <w:color w:val="auto"/>
        </w:rPr>
        <w:t>year or, for shares disposed of during the course of the year, on the last day Grantee held the Common Shares (in such case, or when the Common Shares are acquired during the course of the year, the tax is levied in proportion to the actual days of holding over the calendar year). Grantee should consult with his or her personal tax advisor about the foreign financial assets tax.</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JAPAN</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b w:val="1"/>
          <w:bCs w:val="1"/>
          <w:color w:val="auto"/>
        </w:rPr>
        <w:t xml:space="preserve">Foreign Asset/Account Reporting Notification. </w:t>
      </w:r>
      <w:r>
        <w:rPr>
          <w:rFonts w:ascii="Arial" w:cs="Arial" w:eastAsia="Arial" w:hAnsi="Arial"/>
          <w:sz w:val="16"/>
          <w:szCs w:val="16"/>
          <w:color w:val="auto"/>
        </w:rPr>
        <w:t>Grantee will be required to report details of any assets (including any Common Shares acquired under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held outside of Japan as of December 31</w:t>
      </w:r>
      <w:r>
        <w:rPr>
          <w:rFonts w:ascii="Arial" w:cs="Arial" w:eastAsia="Arial" w:hAnsi="Arial"/>
          <w:sz w:val="20"/>
          <w:szCs w:val="20"/>
          <w:color w:val="auto"/>
          <w:vertAlign w:val="superscript"/>
        </w:rPr>
        <w:t>st</w:t>
      </w:r>
      <w:r>
        <w:rPr>
          <w:rFonts w:ascii="Arial" w:cs="Arial" w:eastAsia="Arial" w:hAnsi="Arial"/>
          <w:sz w:val="16"/>
          <w:szCs w:val="16"/>
          <w:color w:val="auto"/>
        </w:rPr>
        <w:t xml:space="preserve"> of each year, to the extent such assets have a total net fair market value exceeding ¥50,000,000. Such report will be due by March 15</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following year. Grantee should consult with his or her personal tax advisor as to whether the reporting obligation applies to Grantee and whether Grantee will be required to report details of any outstanding Restricted Share Units or Common Shares held by Grantee in the report.</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KOREA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ectPr>
          <w:pgSz w:w="11900" w:h="16838" w:orient="portrait"/>
          <w:cols w:equalWidth="0" w:num="1">
            <w:col w:w="11380"/>
          </w:cols>
          <w:pgMar w:left="240" w:top="125" w:right="279" w:bottom="0" w:gutter="0" w:footer="0" w:header="0"/>
        </w:sectPr>
      </w:pPr>
    </w:p>
    <w:bookmarkStart w:id="215" w:name="page216"/>
    <w:bookmarkEnd w:id="215"/>
    <w:p>
      <w:pPr>
        <w:jc w:val="center"/>
        <w:ind w:right="-99"/>
        <w:spacing w:after="0"/>
        <w:rPr>
          <w:sz w:val="20"/>
          <w:szCs w:val="20"/>
          <w:color w:val="auto"/>
        </w:rPr>
      </w:pPr>
      <w:r>
        <w:rPr>
          <w:rFonts w:ascii="Arial" w:cs="Arial" w:eastAsia="Arial" w:hAnsi="Arial"/>
          <w:sz w:val="18"/>
          <w:szCs w:val="18"/>
          <w:b w:val="1"/>
          <w:bCs w:val="1"/>
          <w:color w:val="auto"/>
        </w:rPr>
        <w:t>ACTIVISION BLIZZARD, INC.</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 xml:space="preserve">Exchange Control Notification. </w:t>
      </w:r>
      <w:r>
        <w:rPr>
          <w:rFonts w:ascii="Arial" w:cs="Arial" w:eastAsia="Arial" w:hAnsi="Arial"/>
          <w:sz w:val="17"/>
          <w:szCs w:val="17"/>
          <w:color w:val="auto"/>
        </w:rPr>
        <w:t>Exchange control laws require Korean residents who realize US$500,000 or more from the sale of Common Shares or the</w:t>
      </w:r>
      <w:r>
        <w:rPr>
          <w:rFonts w:ascii="Arial" w:cs="Arial" w:eastAsia="Arial" w:hAnsi="Arial"/>
          <w:sz w:val="17"/>
          <w:szCs w:val="17"/>
          <w:b w:val="1"/>
          <w:bCs w:val="1"/>
          <w:color w:val="auto"/>
        </w:rPr>
        <w:t xml:space="preserve"> </w:t>
      </w:r>
      <w:r>
        <w:rPr>
          <w:rFonts w:ascii="Arial" w:cs="Arial" w:eastAsia="Arial" w:hAnsi="Arial"/>
          <w:sz w:val="17"/>
          <w:szCs w:val="17"/>
          <w:color w:val="auto"/>
        </w:rPr>
        <w:t>receipt of any dividends paid on such Common Shares in a single transaction to repatriate the proceeds to Korea within 36 months of receipt.</w:t>
      </w:r>
    </w:p>
    <w:p>
      <w:pPr>
        <w:spacing w:after="0" w:line="138"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Foreign Asset/Account Reporting Notification. </w:t>
      </w:r>
      <w:r>
        <w:rPr>
          <w:rFonts w:ascii="Arial" w:cs="Arial" w:eastAsia="Arial" w:hAnsi="Arial"/>
          <w:sz w:val="17"/>
          <w:szCs w:val="17"/>
          <w:color w:val="auto"/>
        </w:rPr>
        <w:t>Korean residents must declare all foreign financial accounts (e.g., non-Korean bank accounts, brokerage</w:t>
      </w:r>
      <w:r>
        <w:rPr>
          <w:rFonts w:ascii="Arial" w:cs="Arial" w:eastAsia="Arial" w:hAnsi="Arial"/>
          <w:sz w:val="17"/>
          <w:szCs w:val="17"/>
          <w:b w:val="1"/>
          <w:bCs w:val="1"/>
          <w:color w:val="auto"/>
        </w:rPr>
        <w:t xml:space="preserve"> </w:t>
      </w:r>
      <w:r>
        <w:rPr>
          <w:rFonts w:ascii="Arial" w:cs="Arial" w:eastAsia="Arial" w:hAnsi="Arial"/>
          <w:sz w:val="17"/>
          <w:szCs w:val="17"/>
          <w:color w:val="auto"/>
        </w:rPr>
        <w:t>accounts, etc.) in countries that have not entered into an “intergovernmental agreement for automatic exchange of tax information” with Korea to the Korean tax authority and file a report with respect to such accounts if the value of such accounts exceeds KRW 1 billion (or an equivalent amount in foreign currency). Grantee should consult with his or her personal tax advisor to determine how to value Grantee’s foreign accounts for purposes of this reporting requirement and whether Grantee is required to file a report with respect to such accounts.</w:t>
      </w:r>
    </w:p>
    <w:p>
      <w:pPr>
        <w:spacing w:after="0" w:line="17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FOR MALTA</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440"/>
        <w:spacing w:after="0" w:line="313" w:lineRule="auto"/>
        <w:rPr>
          <w:sz w:val="20"/>
          <w:szCs w:val="20"/>
          <w:color w:val="auto"/>
        </w:rPr>
      </w:pPr>
      <w:r>
        <w:rPr>
          <w:rFonts w:ascii="Arial" w:cs="Arial" w:eastAsia="Arial" w:hAnsi="Arial"/>
          <w:sz w:val="17"/>
          <w:szCs w:val="17"/>
          <w:b w:val="1"/>
          <w:bCs w:val="1"/>
          <w:color w:val="auto"/>
        </w:rPr>
        <w:t xml:space="preserve">Securities Law Notification. </w:t>
      </w:r>
      <w:r>
        <w:rPr>
          <w:rFonts w:ascii="Arial" w:cs="Arial" w:eastAsia="Arial" w:hAnsi="Arial"/>
          <w:sz w:val="17"/>
          <w:szCs w:val="17"/>
          <w:color w:val="auto"/>
        </w:rPr>
        <w:t>Neither the Company nor the Plan is registered in Malta and no investment services will be carried out in or from within</w:t>
      </w:r>
      <w:r>
        <w:rPr>
          <w:rFonts w:ascii="Arial" w:cs="Arial" w:eastAsia="Arial" w:hAnsi="Arial"/>
          <w:sz w:val="17"/>
          <w:szCs w:val="17"/>
          <w:b w:val="1"/>
          <w:bCs w:val="1"/>
          <w:color w:val="auto"/>
        </w:rPr>
        <w:t xml:space="preserve"> </w:t>
      </w:r>
      <w:r>
        <w:rPr>
          <w:rFonts w:ascii="Arial" w:cs="Arial" w:eastAsia="Arial" w:hAnsi="Arial"/>
          <w:sz w:val="17"/>
          <w:szCs w:val="17"/>
          <w:color w:val="auto"/>
        </w:rPr>
        <w:t>Malta. The Plan will not be marketed in Malta and the Company is exempt from any investment service license requirements.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APPENDIX FOR MEXICO</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color w:val="auto"/>
        </w:rPr>
        <w:t xml:space="preserve">Acknowledgement of the Award Terms. </w:t>
      </w:r>
      <w:r>
        <w:rPr>
          <w:rFonts w:ascii="Arial" w:cs="Arial" w:eastAsia="Arial" w:hAnsi="Arial"/>
          <w:sz w:val="18"/>
          <w:szCs w:val="18"/>
          <w:color w:val="auto"/>
        </w:rPr>
        <w:t>By accepting the Restricted Share Units, Grantee acknowledges that he or she has received a copy of the Plan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Award Terms, including this Appendix, which he or she has reviewed. Grantee further acknowledges that he or she accepts all the provisions of the Plan and the Award Terms, including this Appendix. Grantee also acknowledges that he or she has read and specifically and expressly approves the terms and conditions set forth in Section 16 of the Award Terms, which clearly provide as follows:</w:t>
      </w:r>
    </w:p>
    <w:p>
      <w:pPr>
        <w:spacing w:after="0" w:line="184" w:lineRule="exact"/>
        <w:rPr>
          <w:sz w:val="20"/>
          <w:szCs w:val="20"/>
          <w:color w:val="auto"/>
        </w:rPr>
      </w:pPr>
    </w:p>
    <w:p>
      <w:pPr>
        <w:ind w:left="1320" w:hanging="664"/>
        <w:spacing w:after="0"/>
        <w:tabs>
          <w:tab w:leader="none" w:pos="13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Grantee’s participation in the Plan does not constitute an acquired right;</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Plan and Grantee’s participation in it are offered by the Company on a wholly discretionary basis;</w:t>
      </w:r>
    </w:p>
    <w:p>
      <w:pPr>
        <w:spacing w:after="0" w:line="225" w:lineRule="exact"/>
        <w:rPr>
          <w:rFonts w:ascii="Arial" w:cs="Arial" w:eastAsia="Arial" w:hAnsi="Arial"/>
          <w:sz w:val="18"/>
          <w:szCs w:val="18"/>
          <w:color w:val="auto"/>
        </w:rPr>
      </w:pPr>
    </w:p>
    <w:p>
      <w:pPr>
        <w:ind w:left="1320" w:hanging="664"/>
        <w:spacing w:after="0"/>
        <w:tabs>
          <w:tab w:leader="none" w:pos="132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Grantee’s participation in the Plan is voluntary; and</w:t>
      </w:r>
    </w:p>
    <w:p>
      <w:pPr>
        <w:spacing w:after="0" w:line="225" w:lineRule="exact"/>
        <w:rPr>
          <w:rFonts w:ascii="Arial" w:cs="Arial" w:eastAsia="Arial" w:hAnsi="Arial"/>
          <w:sz w:val="18"/>
          <w:szCs w:val="18"/>
          <w:color w:val="auto"/>
        </w:rPr>
      </w:pPr>
    </w:p>
    <w:p>
      <w:pPr>
        <w:ind w:left="1300" w:right="320" w:hanging="644"/>
        <w:spacing w:after="0" w:line="277" w:lineRule="auto"/>
        <w:tabs>
          <w:tab w:leader="none" w:pos="1307"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and any entity in the Company Group are not responsible for any decrease in the value of any Common Shares acquired upon settlement of the Restricted Share Units.</w:t>
      </w:r>
    </w:p>
    <w:p>
      <w:pPr>
        <w:spacing w:after="0" w:line="166"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color w:val="auto"/>
        </w:rPr>
        <w:t xml:space="preserve">Labor Law Acknowledgement and Policy Statement. </w:t>
      </w:r>
      <w:r>
        <w:rPr>
          <w:rFonts w:ascii="Arial" w:cs="Arial" w:eastAsia="Arial" w:hAnsi="Arial"/>
          <w:sz w:val="18"/>
          <w:szCs w:val="18"/>
          <w:color w:val="auto"/>
        </w:rPr>
        <w:t>By accepting the Restricted Share Units, Grantee acknowledges that the Company with registered</w:t>
      </w:r>
      <w:r>
        <w:rPr>
          <w:rFonts w:ascii="Arial" w:cs="Arial" w:eastAsia="Arial" w:hAnsi="Arial"/>
          <w:sz w:val="18"/>
          <w:szCs w:val="18"/>
          <w:b w:val="1"/>
          <w:bCs w:val="1"/>
          <w:color w:val="auto"/>
        </w:rPr>
        <w:t xml:space="preserve"> </w:t>
      </w:r>
      <w:r>
        <w:rPr>
          <w:rFonts w:ascii="Arial" w:cs="Arial" w:eastAsia="Arial" w:hAnsi="Arial"/>
          <w:sz w:val="18"/>
          <w:szCs w:val="18"/>
          <w:color w:val="auto"/>
        </w:rPr>
        <w:t>offices at 3100 Ocean Park Boulevard, Santa Monica, California 90405, U.S.A. is solely responsible for the administration of the Plan. Grantee further acknowledges that his or her participation in the Plan, the grant of Restricted Share Units and any acquisition of Common Shares under the Plan do not constitute an employment relationship between Grantee and the Company because Grantee is participating in the Plan on a wholly commercial basis and his or her sole employer is Actibliz Mexico S. de RL de CV, Tihuatlan 41,602, San Jerónimo Aculco, Federal District, México (“Activision-Mexico”). Based on the foregoing, Grantee expressly acknowledges that the Plan and the benefits that he or she may derive from participation in the Plan do not establish any rights between Grantee and his or her Employer, Activision-Mexico, and do not form part of the employment conditions and/or benefits provided by Activision-Mexico, and any modification of the Plan or its termination shall not constitute a change or impairment of the terms and conditions of Grantee’s employment.</w:t>
      </w:r>
    </w:p>
    <w:p>
      <w:pPr>
        <w:spacing w:after="0" w:line="193"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Grantee further understands that his or her participation in the Plan is the result of a unilateral and discretionary decision of the Company and, therefore, the Company reserves the absolute right to amend and/or discontinue Grantee’s participation in the Plan at any time, without any liability to Grantee.</w:t>
      </w:r>
    </w:p>
    <w:p>
      <w:pPr>
        <w:spacing w:after="0" w:line="12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B-22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40" w:top="121" w:right="319" w:bottom="464" w:gutter="0" w:footer="0" w:header="0"/>
        </w:sectPr>
      </w:pPr>
    </w:p>
    <w:bookmarkStart w:id="216" w:name="page217"/>
    <w:bookmarkEnd w:id="216"/>
    <w:p>
      <w:pPr>
        <w:ind w:right="60"/>
        <w:spacing w:after="0" w:line="259" w:lineRule="auto"/>
        <w:rPr>
          <w:sz w:val="20"/>
          <w:szCs w:val="20"/>
          <w:color w:val="auto"/>
        </w:rPr>
      </w:pPr>
      <w:r>
        <w:rPr>
          <w:rFonts w:ascii="Arial" w:cs="Arial" w:eastAsia="Arial" w:hAnsi="Arial"/>
          <w:sz w:val="18"/>
          <w:szCs w:val="18"/>
          <w:color w:val="auto"/>
        </w:rPr>
        <w:t>Finally, Grantee hereby declares that he or she does not reserve to him or herself any action or right to bring any claim against the Company for any compensation or damages regarding any provision of the Plan or the benefits derived under the Plan, and that he or she therefore grants a full and broad release to the Company, its Subsidiaries, affiliates, branches, representation offices, shareholders, officers, agents or legal representatives, with respect to any claim that may arise.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SPANISH TRANSLATION</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b w:val="1"/>
          <w:bCs w:val="1"/>
          <w:i w:val="1"/>
          <w:iCs w:val="1"/>
          <w:color w:val="auto"/>
        </w:rPr>
        <w:t xml:space="preserve">Reconicimiento de los terminos del otorgamiento de acciones. </w:t>
      </w:r>
      <w:r>
        <w:rPr>
          <w:rFonts w:ascii="Arial" w:cs="Arial" w:eastAsia="Arial" w:hAnsi="Arial"/>
          <w:sz w:val="16"/>
          <w:szCs w:val="16"/>
          <w:i w:val="1"/>
          <w:iCs w:val="1"/>
          <w:color w:val="auto"/>
        </w:rPr>
        <w:t>Al aceptar las Unidades de Acciones Restringidas, el Receptor reconoce que ha recibido una</w:t>
      </w:r>
      <w:r>
        <w:rPr>
          <w:rFonts w:ascii="Arial" w:cs="Arial" w:eastAsia="Arial" w:hAnsi="Arial"/>
          <w:sz w:val="16"/>
          <w:szCs w:val="16"/>
          <w:b w:val="1"/>
          <w:bCs w:val="1"/>
          <w:i w:val="1"/>
          <w:iCs w:val="1"/>
          <w:color w:val="auto"/>
        </w:rPr>
        <w:t xml:space="preserve"> </w:t>
      </w:r>
      <w:r>
        <w:rPr>
          <w:rFonts w:ascii="Arial" w:cs="Arial" w:eastAsia="Arial" w:hAnsi="Arial"/>
          <w:sz w:val="16"/>
          <w:szCs w:val="16"/>
          <w:i w:val="1"/>
          <w:iCs w:val="1"/>
          <w:color w:val="auto"/>
        </w:rPr>
        <w:t>copia del Plan y de los Términos del Otorgamiento de acciones, incluyendo este anexo, los cuales ha revisado. El Receptor también reconoce que acepta los términos del Plan y del Otorgamiento de Acciones, incluyendo este anexo. Así mismo el Receptor reconoce que ha leído y expresamente aprueba los términos y condiciones establecidas en la cláusula 16 del los Términos de Otorgamiento de Acciones, las cuales claramente establecen lo siguiente:</w:t>
      </w:r>
    </w:p>
    <w:p>
      <w:pPr>
        <w:spacing w:after="0" w:line="154" w:lineRule="exact"/>
        <w:rPr>
          <w:sz w:val="20"/>
          <w:szCs w:val="20"/>
          <w:color w:val="auto"/>
        </w:rPr>
      </w:pPr>
    </w:p>
    <w:p>
      <w:pPr>
        <w:ind w:left="260" w:hanging="252"/>
        <w:spacing w:after="0"/>
        <w:tabs>
          <w:tab w:leader="none" w:pos="260"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Receptor en el Plan no constituye un derecho adquirido</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color w:val="auto"/>
        </w:rPr>
        <w:t>El plan y la participación del Receptor en dicho Plan son ofrecidos por la Empresa en forma totalmente discrecional.</w:t>
      </w:r>
    </w:p>
    <w:p>
      <w:pPr>
        <w:spacing w:after="0" w:line="225" w:lineRule="exact"/>
        <w:rPr>
          <w:rFonts w:ascii="Arial" w:cs="Arial" w:eastAsia="Arial" w:hAnsi="Arial"/>
          <w:sz w:val="18"/>
          <w:szCs w:val="18"/>
          <w:i w:val="1"/>
          <w:iCs w:val="1"/>
          <w:color w:val="auto"/>
        </w:rPr>
      </w:pPr>
    </w:p>
    <w:p>
      <w:pPr>
        <w:ind w:left="260" w:hanging="252"/>
        <w:spacing w:after="0"/>
        <w:tabs>
          <w:tab w:leader="none" w:pos="260"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color w:val="auto"/>
        </w:rPr>
        <w:t>La participación del Receptor en el Plan es voluntaria; y</w:t>
      </w:r>
    </w:p>
    <w:p>
      <w:pPr>
        <w:spacing w:after="0" w:line="225" w:lineRule="exact"/>
        <w:rPr>
          <w:rFonts w:ascii="Arial" w:cs="Arial" w:eastAsia="Arial" w:hAnsi="Arial"/>
          <w:sz w:val="18"/>
          <w:szCs w:val="18"/>
          <w:i w:val="1"/>
          <w:iCs w:val="1"/>
          <w:color w:val="auto"/>
        </w:rPr>
      </w:pPr>
    </w:p>
    <w:p>
      <w:pPr>
        <w:ind w:right="120" w:firstLine="8"/>
        <w:spacing w:after="0" w:line="277" w:lineRule="auto"/>
        <w:tabs>
          <w:tab w:leader="none" w:pos="255" w:val="left"/>
        </w:tabs>
        <w:numPr>
          <w:ilvl w:val="0"/>
          <w:numId w:val="207"/>
        </w:numPr>
        <w:rPr>
          <w:rFonts w:ascii="Arial" w:cs="Arial" w:eastAsia="Arial" w:hAnsi="Arial"/>
          <w:sz w:val="18"/>
          <w:szCs w:val="18"/>
          <w:i w:val="1"/>
          <w:iCs w:val="1"/>
          <w:color w:val="auto"/>
        </w:rPr>
      </w:pPr>
      <w:r>
        <w:rPr>
          <w:rFonts w:ascii="Arial" w:cs="Arial" w:eastAsia="Arial" w:hAnsi="Arial"/>
          <w:sz w:val="18"/>
          <w:szCs w:val="18"/>
          <w:i w:val="1"/>
          <w:iCs w:val="1"/>
          <w:color w:val="auto"/>
        </w:rPr>
        <w:t>La Empresa y cualquier empresa del Grupo de Empresas no son responsables por la reducción en el valor de las acciones comunes que sean adquiridas en virtud de las Unidades de Acciones Restringidas.</w:t>
      </w:r>
    </w:p>
    <w:p>
      <w:pPr>
        <w:spacing w:after="0" w:line="170" w:lineRule="exact"/>
        <w:rPr>
          <w:sz w:val="20"/>
          <w:szCs w:val="20"/>
          <w:color w:val="auto"/>
        </w:rPr>
      </w:pPr>
    </w:p>
    <w:p>
      <w:pPr>
        <w:ind w:right="120"/>
        <w:spacing w:after="0" w:line="271" w:lineRule="auto"/>
        <w:rPr>
          <w:sz w:val="20"/>
          <w:szCs w:val="20"/>
          <w:color w:val="auto"/>
        </w:rPr>
      </w:pPr>
      <w:r>
        <w:rPr>
          <w:rFonts w:ascii="Arial" w:cs="Arial" w:eastAsia="Arial" w:hAnsi="Arial"/>
          <w:sz w:val="17"/>
          <w:szCs w:val="17"/>
          <w:b w:val="1"/>
          <w:bCs w:val="1"/>
          <w:i w:val="1"/>
          <w:iCs w:val="1"/>
          <w:color w:val="auto"/>
        </w:rPr>
        <w:t xml:space="preserve">Política de Ley Laboral y Reconocimiento. </w:t>
      </w:r>
      <w:r>
        <w:rPr>
          <w:rFonts w:ascii="Arial" w:cs="Arial" w:eastAsia="Arial" w:hAnsi="Arial"/>
          <w:sz w:val="17"/>
          <w:szCs w:val="17"/>
          <w:i w:val="1"/>
          <w:iCs w:val="1"/>
          <w:color w:val="auto"/>
        </w:rPr>
        <w:t>Al aceptar el otorgamiento de adquisición de acciones y/o Restricted Share Units, el Receptor reconoce que la</w:t>
      </w:r>
      <w:r>
        <w:rPr>
          <w:rFonts w:ascii="Arial" w:cs="Arial" w:eastAsia="Arial" w:hAnsi="Arial"/>
          <w:sz w:val="17"/>
          <w:szCs w:val="17"/>
          <w:b w:val="1"/>
          <w:bCs w:val="1"/>
          <w:i w:val="1"/>
          <w:iCs w:val="1"/>
          <w:color w:val="auto"/>
        </w:rPr>
        <w:t xml:space="preserve"> </w:t>
      </w:r>
      <w:r>
        <w:rPr>
          <w:rFonts w:ascii="Arial" w:cs="Arial" w:eastAsia="Arial" w:hAnsi="Arial"/>
          <w:sz w:val="17"/>
          <w:szCs w:val="17"/>
          <w:i w:val="1"/>
          <w:iCs w:val="1"/>
          <w:color w:val="auto"/>
        </w:rPr>
        <w:t>Empresa, con domicilio ubicado en 310 Ocean Park Boulevard, Santa Mónica, California, 90405 U.S.A. es el único responsable para la administración de Plan y que su participación en los Plan y adquisición de acciones no constituye una relación de trabajo entre la Empresa y el Receptor, toda vez que su participación en el Plan es totalmente en base a una relación comercial entre mi único patrón Actibliz Mexico S. de RL de CV, Tihuatlan 41,602, San Jerónimo Aculco, Federal District, México (“Activision Mexico”) Derivado de lo anterior, el Receptor expresamente reconoce que el Plan y beneficios que pudieran derivar de su participación en el Plan no establece derechos entre su único patrón Activision Mexicoy el suscrito, no forman parte de sus condiciones y/o prestaciones de trabajo otorgadas por Ativision Mexico y cualquier modificación del Plan o su terminación no constituye un cambio o detrimento en los términos y condiciones de su relación de trabajo.</w:t>
      </w:r>
    </w:p>
    <w:p>
      <w:pPr>
        <w:spacing w:after="0" w:line="17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Asimismo, el Receptor entiende que su participación en el Plan es resultado de una decisión unilateral y discrecional de la Empresa, por lo tanto la Empresa se reserva el derecho absoluto de modificar y/o discontinuar la participación de usted en cualquier momento y sin responsabilidad alguna frente al Receptor.</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i w:val="1"/>
          <w:iCs w:val="1"/>
          <w:color w:val="auto"/>
        </w:rPr>
        <w:t>Finalmente, en este acto el Receptor declara que no se reserva acción o derecho alguno para presentar cualquier reclamación en contra de la Empresa por cualquier compensación o daño en relación con cualquier disposición del Plan o de los beneficios derivados del Plan y, por lo tanto, el Receptor otorga el más amplio y total finiquito a la Empresa, sus afiliadas, sucursales, oficinas de representación, accionistas, funcionarios, agentes o representantes en relación con cualquier reclamación que pudiera surgir.</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THE NETHERLANDS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This provision supplements Section 16 of the Award Terms: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accepting the grant of the Restricted Share Units, Grantee acknowledges that the Restricted Share Units granted under the Plan are intended as an incentive for Grantee to remain employed with the Employer and are not intended as remuneration for labor performed.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APPENDIX FOR NORWAY</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0" w:gutter="0" w:footer="0" w:header="0"/>
        </w:sectPr>
      </w:pPr>
    </w:p>
    <w:bookmarkStart w:id="217" w:name="page218"/>
    <w:bookmarkEnd w:id="217"/>
    <w:p>
      <w:pPr>
        <w:jc w:val="center"/>
        <w:ind w:right="-19"/>
        <w:spacing w:after="0"/>
        <w:rPr>
          <w:sz w:val="20"/>
          <w:szCs w:val="20"/>
          <w:color w:val="auto"/>
        </w:rPr>
      </w:pPr>
      <w:r>
        <w:rPr>
          <w:rFonts w:ascii="Arial" w:cs="Arial" w:eastAsia="Arial" w:hAnsi="Arial"/>
          <w:sz w:val="18"/>
          <w:szCs w:val="18"/>
          <w:b w:val="1"/>
          <w:bCs w:val="1"/>
          <w:color w:val="auto"/>
        </w:rPr>
        <w:t>APPENDIX FOR ROMANIA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Exchange Control Notification. </w:t>
      </w:r>
      <w:r>
        <w:rPr>
          <w:rFonts w:ascii="Arial" w:cs="Arial" w:eastAsia="Arial" w:hAnsi="Arial"/>
          <w:sz w:val="18"/>
          <w:szCs w:val="18"/>
          <w:color w:val="auto"/>
        </w:rPr>
        <w:t>If Grantee deposits the proceeds from the sale of Restricted Share Units issued to him or her at vesting and settlement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Restricted Share Units or any cash dividends or dividend equivalent payments in a bank account in Romania, Grantee may be required to provide the Romanian bank with appropriate documentation explaining the source of the funds.</w:t>
      </w:r>
    </w:p>
    <w:p>
      <w:pPr>
        <w:spacing w:after="0" w:line="180"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Grantee should consult his or her personal advisor to determine whether the Grantee will be required to submit such documentation to the Romanian bank.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SINGAPORE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Securities Law Notification</w:t>
      </w:r>
      <w:r>
        <w:rPr>
          <w:rFonts w:ascii="Arial" w:cs="Arial" w:eastAsia="Arial" w:hAnsi="Arial"/>
          <w:sz w:val="16"/>
          <w:szCs w:val="16"/>
          <w:color w:val="auto"/>
        </w:rPr>
        <w:t>. The grant of the Restricted Share Units is being made pursuant to the “Qualifying Person exemption” under section 273(1)</w:t>
      </w:r>
    </w:p>
    <w:p>
      <w:pPr>
        <w:spacing w:after="0" w:line="50" w:lineRule="exact"/>
        <w:rPr>
          <w:sz w:val="20"/>
          <w:szCs w:val="20"/>
          <w:color w:val="auto"/>
        </w:rPr>
      </w:pPr>
    </w:p>
    <w:p>
      <w:pPr>
        <w:ind w:right="400" w:firstLine="8"/>
        <w:spacing w:after="0" w:line="281" w:lineRule="auto"/>
        <w:tabs>
          <w:tab w:leader="none" w:pos="225" w:val="left"/>
        </w:tabs>
        <w:numPr>
          <w:ilvl w:val="0"/>
          <w:numId w:val="208"/>
        </w:numPr>
        <w:rPr>
          <w:rFonts w:ascii="Arial" w:cs="Arial" w:eastAsia="Arial" w:hAnsi="Arial"/>
          <w:sz w:val="16"/>
          <w:szCs w:val="16"/>
          <w:color w:val="auto"/>
        </w:rPr>
      </w:pPr>
      <w:r>
        <w:rPr>
          <w:rFonts w:ascii="Arial" w:cs="Arial" w:eastAsia="Arial" w:hAnsi="Arial"/>
          <w:sz w:val="16"/>
          <w:szCs w:val="16"/>
          <w:color w:val="auto"/>
        </w:rPr>
        <w:t>of the Securities and Futures Act (Chapter 289, 2006 Ed.) (the “SFA”). The Plan has not been lodged or registered as a prospectus with the Monetary Authority of Singapore. Grantee should note that the Restricted Share Units are subject to section 257 of the SFA and Grantee should not make (i) any subsequent sale of Common Shares in Singapore or (ii) any offer of such subsequent sale of the Common Shares subject to the Restricted Share Units in Singapore, unless such sale or offer in is made (a) after six months of the Date of Grant, or (b) pursuant to the exemptions under Part XIII Division</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(1) Subdivision (4) (other than section 280) of the SFA.</w:t>
      </w:r>
    </w:p>
    <w:p>
      <w:pPr>
        <w:spacing w:after="0" w:line="207" w:lineRule="exact"/>
        <w:rPr>
          <w:sz w:val="20"/>
          <w:szCs w:val="20"/>
          <w:color w:val="auto"/>
        </w:rPr>
      </w:pPr>
    </w:p>
    <w:p>
      <w:pPr>
        <w:ind w:right="280"/>
        <w:spacing w:after="0" w:line="274" w:lineRule="auto"/>
        <w:rPr>
          <w:sz w:val="20"/>
          <w:szCs w:val="20"/>
          <w:color w:val="auto"/>
        </w:rPr>
      </w:pPr>
      <w:r>
        <w:rPr>
          <w:rFonts w:ascii="Arial" w:cs="Arial" w:eastAsia="Arial" w:hAnsi="Arial"/>
          <w:sz w:val="17"/>
          <w:szCs w:val="17"/>
          <w:b w:val="1"/>
          <w:bCs w:val="1"/>
          <w:color w:val="auto"/>
        </w:rPr>
        <w:t>Chief Executive Officer and Director Notification Requirements</w:t>
      </w:r>
      <w:r>
        <w:rPr>
          <w:rFonts w:ascii="Arial" w:cs="Arial" w:eastAsia="Arial" w:hAnsi="Arial"/>
          <w:sz w:val="17"/>
          <w:szCs w:val="17"/>
          <w:color w:val="auto"/>
        </w:rPr>
        <w:t>. If Grantee is a chief executive officer, director of a Singapore Subsidiary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Grantee must notify the Singapore Subsidiary in writing within two business days of receiving or disposing of an interest (e.g., Restricted Share Units, Common Shares) in the Company or within two business days of becoming a director if such an interest exists at the time. This notification requirement also applies to an associate director and to a shadow director (i.e., an individual who is not on the board of directors but who has sufficient control so that the board of directors acts in accordance with the “directions and instructions” of the individual) of a Singapore Subsidiary. Grantee may contact Stock Plan Administration to obtain a sample form that can be used to satisfy this notification requirement.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SPAIN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Nature of Grant. </w:t>
      </w:r>
      <w:r>
        <w:rPr>
          <w:rFonts w:ascii="Arial" w:cs="Arial" w:eastAsia="Arial" w:hAnsi="Arial"/>
          <w:sz w:val="18"/>
          <w:szCs w:val="18"/>
          <w:color w:val="auto"/>
        </w:rPr>
        <w:t>This provision supplements Section 16 of the Award Terms: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In accepting the Restricted Share Units, Grantee consents to participate in the Plan and acknowledges having received and read a copy of the Plan.</w:t>
      </w:r>
    </w:p>
    <w:p>
      <w:pPr>
        <w:spacing w:after="0" w:line="237"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Grantee understands that the Company has unilaterally, gratuitously and discretionally decided to grant Restricted Share Units under the Plan to individuals who may be employees of the Company or any other entity in the Company Group throughout the world. The decision is a limited decision that is entered into upon the express assumption and condition that any grant will not bind the Company or any other entity in the Company Group. Consequently, Grantee understands that the Restricted Share Units are granted on the assumption and condition that such Restricted Share Units and any Common Shares acquired under the Plan shall not become a part of any employment contract (either with the Company or any other entity in the Company Group) and shall not be considered a mandatory benefit, salary for any purposes (including severance compensation) or any other right whatsoever. In addition, Grantee understands that the Restricted Share Units would not granted but for the assumptions and conditions referred to above; thus, Grantee acknowledges and freely accepts that should any or all of the assumptions be mistaken or should any of the conditions not be met for any reason, then any grant of the Restricted Share Units shall be null and void.</w:t>
      </w:r>
    </w:p>
    <w:p>
      <w:pPr>
        <w:spacing w:after="0" w:line="182"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Further, the vesting of the Restricted Share Units is expressly conditioned on Grantee’s active employment, such that if Grantee’s employment or service terminates for any reason whatsoever, the Restricted Share Units cease vesting immediately effective on the date of termination of employment. This will be the case, for example, even if Grantee (1) is considered to be unfairly dismissed without good cause (</w:t>
      </w:r>
      <w:r>
        <w:rPr>
          <w:rFonts w:ascii="Arial" w:cs="Arial" w:eastAsia="Arial" w:hAnsi="Arial"/>
          <w:sz w:val="16"/>
          <w:szCs w:val="16"/>
          <w:i w:val="1"/>
          <w:iCs w:val="1"/>
          <w:color w:val="auto"/>
        </w:rPr>
        <w:t>i.e.</w:t>
      </w:r>
      <w:r>
        <w:rPr>
          <w:rFonts w:ascii="Arial" w:cs="Arial" w:eastAsia="Arial" w:hAnsi="Arial"/>
          <w:sz w:val="16"/>
          <w:szCs w:val="16"/>
          <w:color w:val="auto"/>
        </w:rPr>
        <w:t>, subject to a “</w:t>
      </w:r>
      <w:r>
        <w:rPr>
          <w:rFonts w:ascii="Arial" w:cs="Arial" w:eastAsia="Arial" w:hAnsi="Arial"/>
          <w:sz w:val="16"/>
          <w:szCs w:val="16"/>
          <w:i w:val="1"/>
          <w:iCs w:val="1"/>
          <w:color w:val="auto"/>
        </w:rPr>
        <w:t>despido improcedente</w:t>
      </w:r>
      <w:r>
        <w:rPr>
          <w:rFonts w:ascii="Arial" w:cs="Arial" w:eastAsia="Arial" w:hAnsi="Arial"/>
          <w:sz w:val="16"/>
          <w:szCs w:val="16"/>
          <w:color w:val="auto"/>
        </w:rPr>
        <w:t>”); (2) is dismissed for disciplinary or objective reasons or due to a collective dismissal; (3) terminates service due to a change of work location, duties or any other employment or contractual condition; (4) terminates service due to the Company’s or any entity in the Company Group’s unilateral breach of contract; or</w:t>
      </w:r>
    </w:p>
    <w:p>
      <w:pPr>
        <w:sectPr>
          <w:pgSz w:w="11900" w:h="16838" w:orient="portrait"/>
          <w:cols w:equalWidth="0" w:num="1">
            <w:col w:w="11420"/>
          </w:cols>
          <w:pgMar w:left="240" w:top="338" w:right="239" w:bottom="0" w:gutter="0" w:footer="0" w:header="0"/>
        </w:sectPr>
      </w:pPr>
    </w:p>
    <w:bookmarkStart w:id="218" w:name="page219"/>
    <w:bookmarkEnd w:id="218"/>
    <w:p>
      <w:pPr>
        <w:ind w:right="80" w:firstLine="8"/>
        <w:spacing w:after="0" w:line="277" w:lineRule="auto"/>
        <w:tabs>
          <w:tab w:leader="none" w:pos="25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is terminated from employment for any other reason whatsoever. Consequently, upon Grantee’s termination of employment for any of the above reasons, Grantee may automatically lose any rights to Restricted Share Units that were unvested on the date of termination.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420"/>
        <w:spacing w:after="0" w:line="347" w:lineRule="auto"/>
        <w:rPr>
          <w:sz w:val="20"/>
          <w:szCs w:val="20"/>
          <w:color w:val="auto"/>
        </w:rPr>
      </w:pPr>
      <w:r>
        <w:rPr>
          <w:rFonts w:ascii="Arial" w:cs="Arial" w:eastAsia="Arial" w:hAnsi="Arial"/>
          <w:sz w:val="16"/>
          <w:szCs w:val="16"/>
          <w:b w:val="1"/>
          <w:bCs w:val="1"/>
          <w:color w:val="auto"/>
        </w:rPr>
        <w:t xml:space="preserve">Exchange Control Notification. </w:t>
      </w:r>
      <w:r>
        <w:rPr>
          <w:rFonts w:ascii="Arial" w:cs="Arial" w:eastAsia="Arial" w:hAnsi="Arial"/>
          <w:sz w:val="16"/>
          <w:szCs w:val="16"/>
          <w:color w:val="auto"/>
        </w:rPr>
        <w:t>The acquisition, ownership and sale of Common Shares under the Plan must be declared for statistical purposes to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Spanish </w:t>
      </w:r>
      <w:r>
        <w:rPr>
          <w:rFonts w:ascii="Arial" w:cs="Arial" w:eastAsia="Arial" w:hAnsi="Arial"/>
          <w:sz w:val="16"/>
          <w:szCs w:val="16"/>
          <w:i w:val="1"/>
          <w:iCs w:val="1"/>
          <w:color w:val="auto"/>
        </w:rPr>
        <w:t>Dirección General de Comercio e Inversiones</w:t>
      </w:r>
      <w:r>
        <w:rPr>
          <w:rFonts w:ascii="Arial" w:cs="Arial" w:eastAsia="Arial" w:hAnsi="Arial"/>
          <w:sz w:val="16"/>
          <w:szCs w:val="16"/>
          <w:color w:val="auto"/>
        </w:rPr>
        <w:t xml:space="preserve"> (the “DGCI”), the Bureau for Commerce and Investments, which is a department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of the Ministry of Economy and Competitiveness. Generally, the declaration must be made each January for Common Shares owned as of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prior year, by means of a D-6 form; however, if the value of the Common Shares acquired or sold exceeds €1,502,530 (or if Grantee holds 10% or more of the share capital of the Company or such other amount that would entitle Grantee to join the Company’s board of directors), the declaration must be filed also within one month of the acquisition or sale, as applicable.</w:t>
      </w:r>
    </w:p>
    <w:p>
      <w:pPr>
        <w:spacing w:after="0" w:line="202" w:lineRule="exact"/>
        <w:rPr>
          <w:sz w:val="20"/>
          <w:szCs w:val="20"/>
          <w:color w:val="auto"/>
        </w:rPr>
      </w:pPr>
    </w:p>
    <w:p>
      <w:pPr>
        <w:spacing w:after="0" w:line="243" w:lineRule="auto"/>
        <w:rPr>
          <w:sz w:val="20"/>
          <w:szCs w:val="20"/>
          <w:color w:val="auto"/>
        </w:rPr>
      </w:pPr>
      <w:r>
        <w:rPr>
          <w:rFonts w:ascii="Arial" w:cs="Arial" w:eastAsia="Arial" w:hAnsi="Arial"/>
          <w:sz w:val="18"/>
          <w:szCs w:val="18"/>
          <w:color w:val="auto"/>
        </w:rPr>
        <w:t>Grantee is required to declare electronically to the Bank of Spain any securities accounts (including brokerage accounts held abroad), foreign instruments (including any Common Shares acquired under the Plan) and any transactions with non-Spanish residents (including any payments of Common Shares made to Grantee by the Company), depending on the amount of the transactions during the relevant year or the balances in such accounts as of December 31</w:t>
      </w:r>
      <w:r>
        <w:rPr>
          <w:rFonts w:ascii="Arial" w:cs="Arial" w:eastAsia="Arial" w:hAnsi="Arial"/>
          <w:sz w:val="23"/>
          <w:szCs w:val="23"/>
          <w:color w:val="auto"/>
          <w:vertAlign w:val="superscript"/>
        </w:rPr>
        <w:t>st</w:t>
      </w:r>
      <w:r>
        <w:rPr>
          <w:rFonts w:ascii="Arial" w:cs="Arial" w:eastAsia="Arial" w:hAnsi="Arial"/>
          <w:sz w:val="18"/>
          <w:szCs w:val="18"/>
          <w:color w:val="auto"/>
        </w:rPr>
        <w:t xml:space="preserve"> of the relevant year. Generally, the report is required on an annual basis (by January 20 of each year); however, if the balances in Grantee’s foreign accounts, together with value of his or her foreign instruments and the aggregate volume of his or her transactions with non-Spanish residents, exceed €100,000,000, more frequent reporting will be required. Grantee should consult with his or her personal advisor to ensure that Grantee is properly complying with his or her reporting obligations.</w:t>
      </w:r>
    </w:p>
    <w:p>
      <w:pPr>
        <w:spacing w:after="0" w:line="199"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Foreign Asset/Account Reporting Notification. </w:t>
      </w:r>
      <w:r>
        <w:rPr>
          <w:rFonts w:ascii="Arial" w:cs="Arial" w:eastAsia="Arial" w:hAnsi="Arial"/>
          <w:sz w:val="16"/>
          <w:szCs w:val="16"/>
          <w:color w:val="auto"/>
        </w:rPr>
        <w:t>If Grantee holds rights or assets (e.g., Common Shares or cash held in a bank or brokerage account) outside</w:t>
      </w:r>
      <w:r>
        <w:rPr>
          <w:rFonts w:ascii="Arial" w:cs="Arial" w:eastAsia="Arial" w:hAnsi="Arial"/>
          <w:sz w:val="16"/>
          <w:szCs w:val="16"/>
          <w:b w:val="1"/>
          <w:bCs w:val="1"/>
          <w:color w:val="auto"/>
        </w:rPr>
        <w:t xml:space="preserve"> </w:t>
      </w:r>
      <w:r>
        <w:rPr>
          <w:rFonts w:ascii="Arial" w:cs="Arial" w:eastAsia="Arial" w:hAnsi="Arial"/>
          <w:sz w:val="16"/>
          <w:szCs w:val="16"/>
          <w:color w:val="auto"/>
        </w:rPr>
        <w:t>of Spain with a value in excess of €50,000 per type of right or asset (e.g., Common Shares, cash, etc.) as of December 31 each year, Grantee is required to report certain information regarding such rights and assets on tax form 720. After such rights and/or assets are initially reported, the reporting obligation will only apply for subsequent years if the value of any previously-reported rights or assets increases by more than €20,000. If reporting is required, the reporting must be completed by the following March 31. Grantee should consult his or her personal tax advisor for details regarding this requirement.</w:t>
      </w:r>
    </w:p>
    <w:p>
      <w:pPr>
        <w:spacing w:after="0" w:line="154"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Securities Law Notification. </w:t>
      </w:r>
      <w:r>
        <w:rPr>
          <w:rFonts w:ascii="Arial" w:cs="Arial" w:eastAsia="Arial" w:hAnsi="Arial"/>
          <w:sz w:val="16"/>
          <w:szCs w:val="16"/>
          <w:color w:val="auto"/>
        </w:rPr>
        <w:t>The Restricted Share Units described in this document do not qualify as securities under Spanish regulations. No “offer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securities to the public,” within the meaning of Spanish law, has taken place or will take place in the Spanish territory. The Plan, the Award Terms (including this Appendix), and any other documents evidencing the award of Restricted Share Units have not been, nor will they be, registered with the </w:t>
      </w:r>
      <w:r>
        <w:rPr>
          <w:rFonts w:ascii="Arial" w:cs="Arial" w:eastAsia="Arial" w:hAnsi="Arial"/>
          <w:sz w:val="16"/>
          <w:szCs w:val="16"/>
          <w:i w:val="1"/>
          <w:iCs w:val="1"/>
          <w:color w:val="auto"/>
        </w:rPr>
        <w:t>Comisión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Nacional del Mercado de Valores </w:t>
      </w:r>
      <w:r>
        <w:rPr>
          <w:rFonts w:ascii="Arial" w:cs="Arial" w:eastAsia="Arial" w:hAnsi="Arial"/>
          <w:sz w:val="16"/>
          <w:szCs w:val="16"/>
          <w:color w:val="auto"/>
        </w:rPr>
        <w:t>(Spanish Securities Exchange Commission), and none of those documents constitutes a public offering prospectus.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SWEDEN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There are no country-specific provisions.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SWITZERLAND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b w:val="1"/>
          <w:bCs w:val="1"/>
          <w:color w:val="auto"/>
        </w:rPr>
        <w:t xml:space="preserve">Securities Law Notification. </w:t>
      </w:r>
      <w:r>
        <w:rPr>
          <w:rFonts w:ascii="Arial" w:cs="Arial" w:eastAsia="Arial" w:hAnsi="Arial"/>
          <w:sz w:val="17"/>
          <w:szCs w:val="17"/>
          <w:color w:val="auto"/>
        </w:rPr>
        <w:t>The offer of Restricted Share Units is not intended to be publicly offered in or from Switzerland. Because the offer of the</w:t>
      </w:r>
      <w:r>
        <w:rPr>
          <w:rFonts w:ascii="Arial" w:cs="Arial" w:eastAsia="Arial" w:hAnsi="Arial"/>
          <w:sz w:val="17"/>
          <w:szCs w:val="17"/>
          <w:b w:val="1"/>
          <w:bCs w:val="1"/>
          <w:color w:val="auto"/>
        </w:rPr>
        <w:t xml:space="preserve"> </w:t>
      </w:r>
      <w:r>
        <w:rPr>
          <w:rFonts w:ascii="Arial" w:cs="Arial" w:eastAsia="Arial" w:hAnsi="Arial"/>
          <w:sz w:val="17"/>
          <w:szCs w:val="17"/>
          <w:color w:val="auto"/>
        </w:rPr>
        <w:t>Restricted Share Units is considered a private offering, it is not subject to registration in Switzerland. Neither this document nor any other materials relating to the Restricted Share Units constitutes a prospectus as such term is understood pursuant to article 652a of the Swiss Code of Obligations, and neither this document nor any other materials relating to the Restricted Share Units may be publicly distributed nor otherwise made publicly available in Switzerland. Neither this document nor any other offering or marketing material relating to the Restricted Share Units has been or will be filed with, approved or supervised by any Swiss regulatory authority (in particular, the Swiss Financial Supervisory Authority (FINMA)).</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TAIWAN</w:t>
      </w:r>
    </w:p>
    <w:p>
      <w:pPr>
        <w:sectPr>
          <w:pgSz w:w="11900" w:h="16838" w:orient="portrait"/>
          <w:cols w:equalWidth="0" w:num="1">
            <w:col w:w="11400"/>
          </w:cols>
          <w:pgMar w:left="240" w:top="125" w:right="259" w:bottom="0" w:gutter="0" w:footer="0" w:header="0"/>
        </w:sectPr>
      </w:pPr>
    </w:p>
    <w:bookmarkStart w:id="219" w:name="page220"/>
    <w:bookmarkEnd w:id="219"/>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b w:val="1"/>
          <w:bCs w:val="1"/>
          <w:color w:val="auto"/>
        </w:rPr>
        <w:t xml:space="preserve">Data Privacy Acknowledgement. </w:t>
      </w:r>
      <w:r>
        <w:rPr>
          <w:rFonts w:ascii="Arial" w:cs="Arial" w:eastAsia="Arial" w:hAnsi="Arial"/>
          <w:sz w:val="18"/>
          <w:szCs w:val="18"/>
          <w:color w:val="auto"/>
        </w:rPr>
        <w:t>Grantee hereby acknowledges that he or she has read and understands the terms regarding collection, processing and</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of Data contained in Section 17 of the Award Terms and, by participating in the Plan, Grantee agrees to such terms. In this regard, upon request of the Company or the Employer, Grantee agrees to provide an executed data privacy consent form to the Employer or the Company (or any other agreements or consents that may be required by the Employer or the Company) that the Company and/or the Employer may deem necessary to obtain under the data privacy laws in Grantee’s country, either now or in the future. Grantee understands that he or she will not be able to participate in the Plan if he or she fails to execute any such consent or agreement.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NOTIFICATIONS</w:t>
      </w:r>
    </w:p>
    <w:p>
      <w:pPr>
        <w:spacing w:after="0" w:line="2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 xml:space="preserve">Securities Law Notification. </w:t>
      </w:r>
      <w:r>
        <w:rPr>
          <w:rFonts w:ascii="Arial" w:cs="Arial" w:eastAsia="Arial" w:hAnsi="Arial"/>
          <w:sz w:val="18"/>
          <w:szCs w:val="18"/>
          <w:color w:val="auto"/>
        </w:rPr>
        <w:t>The offer of participation in the Plan is available only for employees of the Company Group. The offer of participation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is not a public offer of securities by a Taiwanese company.</w:t>
      </w:r>
    </w:p>
    <w:p>
      <w:pPr>
        <w:spacing w:after="0" w:line="16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Exchange Control Notification. </w:t>
      </w:r>
      <w:r>
        <w:rPr>
          <w:rFonts w:ascii="Arial" w:cs="Arial" w:eastAsia="Arial" w:hAnsi="Arial"/>
          <w:sz w:val="16"/>
          <w:szCs w:val="16"/>
          <w:color w:val="auto"/>
        </w:rPr>
        <w:t>Grantee may acquire and remit foreign currency (including proceeds from the sale of Common Shares or the receipt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dividends paid on such Common Shares) into and out of Taiwan up to US$5,000,000 per year. If the transaction amount is TWD$500,000 or more in a single transaction, Grantee must submit a Foreign Exchange Transaction Form to the bank involved in the transaction. If the transaction amount is US$500,000 or more in a single transaction, Grantee may be required to provide additional supporting documentation to the satisfaction of the bank involved in the transaction. Grantee should consult his or her personal advisor to ensure compliance with any applicable exchange control laws in Taiwan.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APPENDIX FOR THE UNITED KINGDOM</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TERMS AND CONDITIONS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TERMS AND CONDITIONS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Tax Withholding and Payment. </w:t>
      </w:r>
      <w:r>
        <w:rPr>
          <w:rFonts w:ascii="Arial" w:cs="Arial" w:eastAsia="Arial" w:hAnsi="Arial"/>
          <w:sz w:val="18"/>
          <w:szCs w:val="18"/>
          <w:color w:val="auto"/>
        </w:rPr>
        <w:t>This section supplements Section 4 of the Award Terms:</w:t>
      </w:r>
    </w:p>
    <w:p>
      <w:pPr>
        <w:spacing w:after="0" w:line="229"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If payment or withholding of any income tax due is not made within ninety (90) days of the end of the U.K. tax year in which the event giving rise to the Withholding Taxes occurs or such other period specified in Section 222(1)(c) of the U.K. Income Tax (Earnings and Pensions) Act 2003 (the “Due Date”), the amount of any uncollected income tax shall constitute a loan owed by Grantee to the Employer, effective on the Due Date. Grantee agrees that the loan will bear interest at the then-current Official Rate of Her Majesty’s Revenue &amp; Customs (“HMRC”), it shall be immediately due and repayable, and the Company or the Employer may recover it at any time thereafter by any of the means referred to in Section 4 of the Award Terms.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Notwithstanding the foregoing, if Grantee is a director or executive officer of the Company (within the meaning of Section 13(k) of the Exchange Act), he or she shall not be eligible for a loan from the Company to cover the income tax. In the event that Grantee is a director or executive officer and the income tax due is not collected from or paid by Grantee by the Due Date, the amount of any uncollected income tax may constitute a benefit to Grantee on which additional income tax and national insurance contributions (“NICs”) may be payable. Grantee understands that he or she will be responsible for reporting and paying any income tax due on this additional benefit directly to HMRC under the self-assessment regime and for reimbursing the Company or the Employer (as applicable) for the value of any employee NICs due on this additional benefit which the Company or the Employer may recover from Grantee at any time thereafter by any of the means referred to in Section 4 of the Award Terms.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20" w:name="page221"/>
    <w:bookmarkEnd w:id="220"/>
    <w:p>
      <w:pPr>
        <w:jc w:val="right"/>
        <w:spacing w:after="0"/>
        <w:rPr>
          <w:sz w:val="20"/>
          <w:szCs w:val="20"/>
          <w:color w:val="auto"/>
        </w:rPr>
      </w:pPr>
      <w:r>
        <w:rPr>
          <w:rFonts w:ascii="Arial" w:cs="Arial" w:eastAsia="Arial" w:hAnsi="Arial"/>
          <w:sz w:val="18"/>
          <w:szCs w:val="18"/>
          <w:b w:val="1"/>
          <w:bCs w:val="1"/>
          <w:color w:val="auto"/>
        </w:rPr>
        <w:t>Exhibit 10.56</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TRANSITION AGREEMENT</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TRANSITION AGREEMENT (this “Agreement”) made and entered into by and between ACTIVISION BLIZZARD, INC., a Delaware corporation with its principal offices at 3100 Ocean Park Boulevard, Santa Monica, CA 90405 (the “Company”), and BRIAN G. KELLY (the “Executive”), as of November 22, 2016 (the “Effective Date”).</w:t>
      </w:r>
    </w:p>
    <w:p>
      <w:pPr>
        <w:spacing w:after="0" w:line="181" w:lineRule="exact"/>
        <w:rPr>
          <w:sz w:val="20"/>
          <w:szCs w:val="20"/>
          <w:color w:val="auto"/>
        </w:rPr>
      </w:pPr>
    </w:p>
    <w:p>
      <w:pPr>
        <w:ind w:right="580" w:firstLine="648"/>
        <w:spacing w:after="0" w:line="308" w:lineRule="auto"/>
        <w:rPr>
          <w:sz w:val="20"/>
          <w:szCs w:val="20"/>
          <w:color w:val="auto"/>
        </w:rPr>
      </w:pPr>
      <w:r>
        <w:rPr>
          <w:rFonts w:ascii="Arial" w:cs="Arial" w:eastAsia="Arial" w:hAnsi="Arial"/>
          <w:sz w:val="17"/>
          <w:szCs w:val="17"/>
          <w:color w:val="auto"/>
        </w:rPr>
        <w:t>WHEREAS, the Executive has served on the Company’s Board of Directors (the “Board”) and has been employed as Co-Chairman and more recently as Chairman of the Company pursuant to an employment agreement dated June 30, 2012 (the “Employment Agreement”); and</w:t>
      </w:r>
    </w:p>
    <w:p>
      <w:pPr>
        <w:spacing w:after="0" w:line="14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WHEREAS, the Executive and the Company wish to set forth their mutual agreement with respect to the cessation of the Executive’s employment with the Company while remaining as a director and Chairman of the Board of the Company (the “Chairman”);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NOW, THEREFORE, in consideration of the foregoing premises and the mutual promises, terms, provisions and conditions set forth in this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Agreement, the parties hereby agree as follows:</w:t>
      </w:r>
    </w:p>
    <w:p>
      <w:pPr>
        <w:spacing w:after="0" w:line="207" w:lineRule="exact"/>
        <w:rPr>
          <w:sz w:val="20"/>
          <w:szCs w:val="20"/>
          <w:color w:val="auto"/>
        </w:rPr>
      </w:pPr>
    </w:p>
    <w:p>
      <w:pPr>
        <w:ind w:left="660" w:right="100" w:hanging="652"/>
        <w:spacing w:after="0" w:line="289" w:lineRule="auto"/>
        <w:tabs>
          <w:tab w:leader="none" w:pos="660"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Transition</w:t>
      </w:r>
      <w:r>
        <w:rPr>
          <w:rFonts w:ascii="Arial" w:cs="Arial" w:eastAsia="Arial" w:hAnsi="Arial"/>
          <w:sz w:val="17"/>
          <w:szCs w:val="17"/>
          <w:color w:val="auto"/>
        </w:rPr>
        <w:t>. As of November 22, 2016 (the “Effective Date”), the Executive resigns from employment with the Company and its affiliates. The</w:t>
      </w:r>
      <w:r>
        <w:rPr>
          <w:rFonts w:ascii="Arial" w:cs="Arial" w:eastAsia="Arial" w:hAnsi="Arial"/>
          <w:sz w:val="17"/>
          <w:szCs w:val="17"/>
          <w:b w:val="1"/>
          <w:bCs w:val="1"/>
          <w:color w:val="auto"/>
        </w:rPr>
        <w:t xml:space="preserve"> </w:t>
      </w:r>
      <w:r>
        <w:rPr>
          <w:rFonts w:ascii="Arial" w:cs="Arial" w:eastAsia="Arial" w:hAnsi="Arial"/>
          <w:sz w:val="17"/>
          <w:szCs w:val="17"/>
          <w:color w:val="auto"/>
        </w:rPr>
        <w:t>Executive does not resign as a member of the Board or Chairman and shall continue to serve as a member of the Board and Chairman in accordance with, and subject to, the Company’s certificate of incorporation, by-laws and governance guidelines.</w:t>
      </w:r>
    </w:p>
    <w:p>
      <w:pPr>
        <w:spacing w:after="0" w:line="158" w:lineRule="exact"/>
        <w:rPr>
          <w:rFonts w:ascii="Arial" w:cs="Arial" w:eastAsia="Arial" w:hAnsi="Arial"/>
          <w:sz w:val="17"/>
          <w:szCs w:val="17"/>
          <w:color w:val="auto"/>
        </w:rPr>
      </w:pPr>
    </w:p>
    <w:p>
      <w:pPr>
        <w:ind w:left="660" w:hanging="652"/>
        <w:spacing w:after="0" w:line="295" w:lineRule="auto"/>
        <w:tabs>
          <w:tab w:leader="none" w:pos="660" w:val="left"/>
        </w:tabs>
        <w:numPr>
          <w:ilvl w:val="0"/>
          <w:numId w:val="210"/>
        </w:numPr>
        <w:rPr>
          <w:rFonts w:ascii="Arial" w:cs="Arial" w:eastAsia="Arial" w:hAnsi="Arial"/>
          <w:sz w:val="16"/>
          <w:szCs w:val="16"/>
          <w:color w:val="auto"/>
        </w:rPr>
      </w:pPr>
      <w:r>
        <w:rPr>
          <w:rFonts w:ascii="Arial" w:cs="Arial" w:eastAsia="Arial" w:hAnsi="Arial"/>
          <w:sz w:val="16"/>
          <w:szCs w:val="16"/>
          <w:b w:val="1"/>
          <w:bCs w:val="1"/>
          <w:color w:val="auto"/>
        </w:rPr>
        <w:t>Final Compensation and Benefits; COBRA</w:t>
      </w:r>
      <w:r>
        <w:rPr>
          <w:rFonts w:ascii="Arial" w:cs="Arial" w:eastAsia="Arial" w:hAnsi="Arial"/>
          <w:sz w:val="16"/>
          <w:szCs w:val="16"/>
          <w:color w:val="auto"/>
        </w:rPr>
        <w:t>. The Company shall pay the Executive earned but unpaid salary through the Effective Date. Upon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the Executive shall cease to be an active participant in all Company benefit plans, but shall receive vested employee benefits due to the Executive under the terms of the Company’s benefit plans in which the Executive participated immediately prior to the Effective Date in accordance with the terms of such benefit plans (including any vested accrued benefits under the Company’s 401(k) plan (the “401(k) Plan”), which shall be paid to the Executive in accordance with the terms of the 401(k) Plan.) In addition, the Executive shall be entitled to elect continuation coverage for the Executive and the Executive’s eligible dependents under the Company’s group health plan pursuant to COBRA.</w:t>
      </w:r>
    </w:p>
    <w:p>
      <w:pPr>
        <w:spacing w:after="0" w:line="155" w:lineRule="exact"/>
        <w:rPr>
          <w:rFonts w:ascii="Arial" w:cs="Arial" w:eastAsia="Arial" w:hAnsi="Arial"/>
          <w:sz w:val="16"/>
          <w:szCs w:val="16"/>
          <w:color w:val="auto"/>
        </w:rPr>
      </w:pPr>
    </w:p>
    <w:p>
      <w:pPr>
        <w:ind w:left="660" w:right="300" w:hanging="652"/>
        <w:spacing w:after="0" w:line="281" w:lineRule="auto"/>
        <w:tabs>
          <w:tab w:leader="none" w:pos="660"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Equity Awards</w:t>
      </w:r>
      <w:r>
        <w:rPr>
          <w:rFonts w:ascii="Arial" w:cs="Arial" w:eastAsia="Arial" w:hAnsi="Arial"/>
          <w:sz w:val="17"/>
          <w:szCs w:val="17"/>
          <w:color w:val="auto"/>
        </w:rPr>
        <w:t>. The Executive’s stock option awards are set forth on Exhibit A hereto (the “Options”). In recognition of the Executive’s long</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with the Company, the the Compensation Committee of the Board has approved the modification of the Options so that each Option will remain exercisable until thirty (30) days after the Executive ceases to provide any services to the Company (whether as an employee, director or consultant), provided that an Option shall not remain exerciseable beyond the maximum term of the Option.</w:t>
      </w:r>
    </w:p>
    <w:p>
      <w:pPr>
        <w:spacing w:after="0" w:line="164" w:lineRule="exact"/>
        <w:rPr>
          <w:rFonts w:ascii="Arial" w:cs="Arial" w:eastAsia="Arial" w:hAnsi="Arial"/>
          <w:sz w:val="17"/>
          <w:szCs w:val="17"/>
          <w:color w:val="auto"/>
        </w:rPr>
      </w:pPr>
    </w:p>
    <w:p>
      <w:pPr>
        <w:ind w:left="660" w:right="260" w:hanging="652"/>
        <w:spacing w:after="0" w:line="282"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Survival</w:t>
      </w:r>
      <w:r>
        <w:rPr>
          <w:rFonts w:ascii="Arial" w:cs="Arial" w:eastAsia="Arial" w:hAnsi="Arial"/>
          <w:sz w:val="18"/>
          <w:szCs w:val="18"/>
          <w:color w:val="auto"/>
        </w:rPr>
        <w:t>. Section 4(b) of the Employment Agreement shall survive with respect to expenses incurred prior to the Effective Date. In addition,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Sections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1" w:lineRule="exact"/>
        <w:rPr>
          <w:rFonts w:ascii="Arial" w:cs="Arial" w:eastAsia="Arial" w:hAnsi="Arial"/>
          <w:sz w:val="18"/>
          <w:szCs w:val="18"/>
          <w:color w:val="auto"/>
        </w:rPr>
      </w:pPr>
    </w:p>
    <w:p>
      <w:pPr>
        <w:ind w:left="660" w:right="40"/>
        <w:spacing w:after="0" w:line="259" w:lineRule="auto"/>
        <w:rPr>
          <w:rFonts w:ascii="Arial" w:cs="Arial" w:eastAsia="Arial" w:hAnsi="Arial"/>
          <w:sz w:val="18"/>
          <w:szCs w:val="18"/>
          <w:color w:val="auto"/>
        </w:rPr>
      </w:pPr>
      <w:r>
        <w:rPr>
          <w:rFonts w:ascii="Arial" w:cs="Arial" w:eastAsia="Arial" w:hAnsi="Arial"/>
          <w:sz w:val="18"/>
          <w:szCs w:val="18"/>
          <w:color w:val="auto"/>
        </w:rPr>
        <w:t>4(e), 12 (subject to Section 6 hereof), 14, 15, 16, 17, 18 and 19 of the Employment Agreement (and only such Sections) shall survive following the Effective Date in accordance with their terms. The Executive shall be entitled to reimbursement of legal fees incurred in negotiating and drafting this Agreement up to a maximum of $30,000. Except as amended pursuant to Section 3 hereof, this Agreement shall not affect the terms and conditions of the Options.</w:t>
      </w:r>
    </w:p>
    <w:p>
      <w:pPr>
        <w:spacing w:after="0" w:line="182" w:lineRule="exact"/>
        <w:rPr>
          <w:rFonts w:ascii="Arial" w:cs="Arial" w:eastAsia="Arial" w:hAnsi="Arial"/>
          <w:sz w:val="18"/>
          <w:szCs w:val="18"/>
          <w:color w:val="auto"/>
        </w:rPr>
      </w:pPr>
    </w:p>
    <w:p>
      <w:pPr>
        <w:ind w:left="660" w:hanging="652"/>
        <w:spacing w:after="0"/>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w:t>
      </w:r>
    </w:p>
    <w:p>
      <w:pPr>
        <w:spacing w:after="0" w:line="229" w:lineRule="exact"/>
        <w:rPr>
          <w:rFonts w:ascii="Arial" w:cs="Arial" w:eastAsia="Arial" w:hAnsi="Arial"/>
          <w:sz w:val="18"/>
          <w:szCs w:val="18"/>
          <w:color w:val="auto"/>
        </w:rPr>
      </w:pPr>
    </w:p>
    <w:p>
      <w:pPr>
        <w:ind w:left="660" w:firstLine="645"/>
        <w:spacing w:after="0" w:line="271" w:lineRule="auto"/>
        <w:tabs>
          <w:tab w:leader="none" w:pos="1954" w:val="left"/>
        </w:tabs>
        <w:numPr>
          <w:ilvl w:val="1"/>
          <w:numId w:val="210"/>
        </w:numPr>
        <w:rPr>
          <w:rFonts w:ascii="Arial" w:cs="Arial" w:eastAsia="Arial" w:hAnsi="Arial"/>
          <w:sz w:val="17"/>
          <w:szCs w:val="17"/>
          <w:color w:val="auto"/>
        </w:rPr>
      </w:pPr>
      <w:r>
        <w:rPr>
          <w:rFonts w:ascii="Arial" w:cs="Arial" w:eastAsia="Arial" w:hAnsi="Arial"/>
          <w:sz w:val="17"/>
          <w:szCs w:val="17"/>
          <w:color w:val="auto"/>
        </w:rPr>
        <w:t>This Agreement may not be modified or amended, and no breach shall be deemed to be waived, unless agreed to in writing by the Executive and the authorized designee of the Board. No waiver by either party hereto of any breach of any provision of this Agreement shall be deemed a waiver of any preceding or succeeding breach of such provision or any other provision herein contained. Neither of the parties hereto shall have the right to assign this Agreement or any rights or obligations hereunder without the prior written consent of the other party; provided, however, that this Agreement shall inure to the benefit or and be binding upon the successors and assigns of the Company upon any sale of all or substantially all of the Company’s assets, or upon any merger or consolidation of the Company with or into any other corporation, all as though such successors and assigns of the Company and their respective successors and assigns were the Company. This Agreement shall be binding upon and inure to the benefit of the Executive and his executors, administrators and legal representatives.</w:t>
      </w:r>
    </w:p>
    <w:p>
      <w:pPr>
        <w:spacing w:after="0" w:line="178" w:lineRule="exact"/>
        <w:rPr>
          <w:rFonts w:ascii="Arial" w:cs="Arial" w:eastAsia="Arial" w:hAnsi="Arial"/>
          <w:sz w:val="17"/>
          <w:szCs w:val="17"/>
          <w:color w:val="auto"/>
        </w:rPr>
      </w:pPr>
    </w:p>
    <w:p>
      <w:pPr>
        <w:ind w:left="660" w:right="60" w:firstLine="645"/>
        <w:spacing w:after="0" w:line="286" w:lineRule="auto"/>
        <w:tabs>
          <w:tab w:leader="none" w:pos="1964" w:val="left"/>
        </w:tabs>
        <w:numPr>
          <w:ilvl w:val="1"/>
          <w:numId w:val="210"/>
        </w:numPr>
        <w:rPr>
          <w:rFonts w:ascii="Arial" w:cs="Arial" w:eastAsia="Arial" w:hAnsi="Arial"/>
          <w:sz w:val="17"/>
          <w:szCs w:val="17"/>
          <w:color w:val="auto"/>
        </w:rPr>
      </w:pPr>
      <w:r>
        <w:rPr>
          <w:rFonts w:ascii="Arial" w:cs="Arial" w:eastAsia="Arial" w:hAnsi="Arial"/>
          <w:sz w:val="17"/>
          <w:szCs w:val="17"/>
          <w:color w:val="auto"/>
        </w:rPr>
        <w:t>The headings and captions set forth in this Agreement are for ease of reference only and shall not be deemed to constitute a part of the agreement formed hereby or be relevant to the interpretation of any provisions of this Agreement. This Agreement may be executed in counterparts, each of which shall be deemed an original, and which together shall be deemed to be one and the same instrument.</w:t>
      </w:r>
    </w:p>
    <w:p>
      <w:pPr>
        <w:spacing w:after="0" w:line="165" w:lineRule="exact"/>
        <w:rPr>
          <w:rFonts w:ascii="Arial" w:cs="Arial" w:eastAsia="Arial" w:hAnsi="Arial"/>
          <w:sz w:val="17"/>
          <w:szCs w:val="17"/>
          <w:color w:val="auto"/>
        </w:rPr>
      </w:pPr>
    </w:p>
    <w:p>
      <w:pPr>
        <w:ind w:left="660" w:right="140" w:firstLine="645"/>
        <w:spacing w:after="0" w:line="277" w:lineRule="auto"/>
        <w:tabs>
          <w:tab w:leader="none" w:pos="1967" w:val="left"/>
        </w:tabs>
        <w:numPr>
          <w:ilvl w:val="1"/>
          <w:numId w:val="210"/>
        </w:numPr>
        <w:rPr>
          <w:rFonts w:ascii="Arial" w:cs="Arial" w:eastAsia="Arial" w:hAnsi="Arial"/>
          <w:sz w:val="18"/>
          <w:szCs w:val="18"/>
          <w:color w:val="auto"/>
        </w:rPr>
      </w:pPr>
      <w:r>
        <w:rPr>
          <w:rFonts w:ascii="Arial" w:cs="Arial" w:eastAsia="Arial" w:hAnsi="Arial"/>
          <w:sz w:val="18"/>
          <w:szCs w:val="18"/>
          <w:color w:val="auto"/>
        </w:rPr>
        <w:t>This Agreement shall be governed by, and construed in accordance with, the laws of the State of New York, without giving effect to the conflict of law principles thereof.</w:t>
      </w:r>
    </w:p>
    <w:p>
      <w:pPr>
        <w:spacing w:after="0" w:line="170" w:lineRule="exact"/>
        <w:rPr>
          <w:rFonts w:ascii="Arial" w:cs="Arial" w:eastAsia="Arial" w:hAnsi="Arial"/>
          <w:sz w:val="18"/>
          <w:szCs w:val="18"/>
          <w:color w:val="auto"/>
        </w:rPr>
      </w:pPr>
    </w:p>
    <w:p>
      <w:pPr>
        <w:ind w:left="660" w:right="460" w:firstLine="645"/>
        <w:spacing w:after="0" w:line="342" w:lineRule="auto"/>
        <w:tabs>
          <w:tab w:leader="none" w:pos="1964" w:val="left"/>
        </w:tabs>
        <w:numPr>
          <w:ilvl w:val="1"/>
          <w:numId w:val="210"/>
        </w:numPr>
        <w:rPr>
          <w:rFonts w:ascii="Arial" w:cs="Arial" w:eastAsia="Arial" w:hAnsi="Arial"/>
          <w:sz w:val="16"/>
          <w:szCs w:val="16"/>
          <w:color w:val="auto"/>
        </w:rPr>
      </w:pPr>
      <w:r>
        <w:rPr>
          <w:rFonts w:ascii="Arial" w:cs="Arial" w:eastAsia="Arial" w:hAnsi="Arial"/>
          <w:sz w:val="16"/>
          <w:szCs w:val="16"/>
          <w:color w:val="auto"/>
        </w:rPr>
        <w:t>In the event that any one or more of the provisions of this Agreement shall be held to be invalid, illegal or unenforceable, the validity, legality and enforceability of the remainder of the Agreement shall not in any way be affected or impaired thereby.</w:t>
      </w:r>
    </w:p>
    <w:p>
      <w:pPr>
        <w:spacing w:after="0" w:line="119" w:lineRule="exact"/>
        <w:rPr>
          <w:rFonts w:ascii="Arial" w:cs="Arial" w:eastAsia="Arial" w:hAnsi="Arial"/>
          <w:sz w:val="16"/>
          <w:szCs w:val="16"/>
          <w:color w:val="auto"/>
        </w:rPr>
      </w:pPr>
    </w:p>
    <w:p>
      <w:pPr>
        <w:ind w:left="660" w:right="80" w:hanging="652"/>
        <w:spacing w:after="0" w:line="289" w:lineRule="auto"/>
        <w:tabs>
          <w:tab w:leader="none" w:pos="660" w:val="left"/>
        </w:tabs>
        <w:numPr>
          <w:ilvl w:val="0"/>
          <w:numId w:val="210"/>
        </w:numPr>
        <w:rPr>
          <w:rFonts w:ascii="Arial" w:cs="Arial" w:eastAsia="Arial" w:hAnsi="Arial"/>
          <w:sz w:val="17"/>
          <w:szCs w:val="17"/>
          <w:color w:val="auto"/>
        </w:rPr>
      </w:pPr>
      <w:r>
        <w:rPr>
          <w:rFonts w:ascii="Arial" w:cs="Arial" w:eastAsia="Arial" w:hAnsi="Arial"/>
          <w:sz w:val="17"/>
          <w:szCs w:val="17"/>
          <w:b w:val="1"/>
          <w:bCs w:val="1"/>
          <w:color w:val="auto"/>
        </w:rPr>
        <w:t>Company Acknowledgement</w:t>
      </w:r>
      <w:r>
        <w:rPr>
          <w:rFonts w:ascii="Arial" w:cs="Arial" w:eastAsia="Arial" w:hAnsi="Arial"/>
          <w:sz w:val="17"/>
          <w:szCs w:val="17"/>
          <w:color w:val="auto"/>
        </w:rPr>
        <w:t>. The Company hereby acknowledges and agrees that the Executive may, in his discretion, offer to employ, solicit for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or employ the the current Executive Assistant to the Chairman and that such actions, if taken, shall not be treated as a violation of Section 12 of the Employment Agreement or of any other duty or obligation owed by the Executive to the Company.</w:t>
      </w:r>
    </w:p>
    <w:p>
      <w:pPr>
        <w:spacing w:after="0" w:line="158" w:lineRule="exact"/>
        <w:rPr>
          <w:rFonts w:ascii="Arial" w:cs="Arial" w:eastAsia="Arial" w:hAnsi="Arial"/>
          <w:sz w:val="17"/>
          <w:szCs w:val="17"/>
          <w:color w:val="auto"/>
        </w:rPr>
      </w:pPr>
    </w:p>
    <w:p>
      <w:pPr>
        <w:ind w:left="660" w:right="140" w:hanging="652"/>
        <w:spacing w:after="0" w:line="282" w:lineRule="auto"/>
        <w:tabs>
          <w:tab w:leader="none" w:pos="660" w:val="left"/>
        </w:tabs>
        <w:numPr>
          <w:ilvl w:val="0"/>
          <w:numId w:val="210"/>
        </w:numPr>
        <w:rPr>
          <w:rFonts w:ascii="Arial" w:cs="Arial" w:eastAsia="Arial" w:hAnsi="Arial"/>
          <w:sz w:val="18"/>
          <w:szCs w:val="18"/>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 For purposes of this Agreement, notices and all other communications provided for herein shall be in writing and shall be deemed to have</w:t>
      </w:r>
      <w:r>
        <w:rPr>
          <w:rFonts w:ascii="Arial" w:cs="Arial" w:eastAsia="Arial" w:hAnsi="Arial"/>
          <w:sz w:val="18"/>
          <w:szCs w:val="18"/>
          <w:b w:val="1"/>
          <w:bCs w:val="1"/>
          <w:color w:val="auto"/>
        </w:rPr>
        <w:t xml:space="preserve"> </w:t>
      </w:r>
      <w:r>
        <w:rPr>
          <w:rFonts w:ascii="Arial" w:cs="Arial" w:eastAsia="Arial" w:hAnsi="Arial"/>
          <w:sz w:val="18"/>
          <w:szCs w:val="18"/>
          <w:color w:val="auto"/>
        </w:rPr>
        <w:t>been duly given when (i) delivered personally; (ii) sent by facsimile or other similar electronic device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-4801235</wp:posOffset>
            </wp:positionV>
            <wp:extent cx="7267575" cy="298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364" w:right="239" w:bottom="0" w:gutter="0" w:footer="0" w:header="0"/>
          <w:type w:val="continuous"/>
        </w:sectPr>
      </w:pPr>
    </w:p>
    <w:bookmarkStart w:id="221" w:name="page222"/>
    <w:bookmarkEnd w:id="221"/>
    <w:p>
      <w:pPr>
        <w:ind w:left="660"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confirmed; (iii) delivered by courier or overnight express; or (iv) three (3) business days after being sent by registered or certified mail, postage prepaid, addressed as follows: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Attention: Chief Legal Officer</w:t>
      </w:r>
    </w:p>
    <w:p>
      <w:pPr>
        <w:spacing w:after="0" w:line="21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If to the Executive:</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Brian G. Kelly</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785 Fifth Avenue, Apartment 3E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211" w:lineRule="exact"/>
        <w:rPr>
          <w:sz w:val="20"/>
          <w:szCs w:val="20"/>
          <w:color w:val="auto"/>
        </w:rPr>
      </w:pPr>
    </w:p>
    <w:p>
      <w:pPr>
        <w:ind w:left="660" w:right="140"/>
        <w:spacing w:after="0" w:line="277" w:lineRule="auto"/>
        <w:rPr>
          <w:sz w:val="20"/>
          <w:szCs w:val="20"/>
          <w:color w:val="auto"/>
        </w:rPr>
      </w:pPr>
      <w:r>
        <w:rPr>
          <w:rFonts w:ascii="Arial" w:cs="Arial" w:eastAsia="Arial" w:hAnsi="Arial"/>
          <w:sz w:val="18"/>
          <w:szCs w:val="18"/>
          <w:color w:val="auto"/>
        </w:rPr>
        <w:t>or to such other address as a party may furnish to the other party in writing in accordance herewith, except that notices of change of address shall be effective only upon receipt.</w:t>
      </w:r>
    </w:p>
    <w:p>
      <w:pPr>
        <w:spacing w:after="0" w:line="16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 PAGES BEGIN ON THE FOLLOWING PAGE]</w:t>
      </w:r>
    </w:p>
    <w:p>
      <w:pPr>
        <w:spacing w:after="0" w:line="22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WITNESS WHEREOF, the parties hereto have executed this Agreement as of the date first above written.</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0" w:type="dxa"/>
            <w:vAlign w:val="bottom"/>
          </w:tcPr>
          <w:p>
            <w:pPr>
              <w:spacing w:after="0"/>
              <w:rPr>
                <w:sz w:val="20"/>
                <w:szCs w:val="20"/>
                <w:color w:val="auto"/>
              </w:rPr>
            </w:pPr>
            <w:r>
              <w:rPr>
                <w:rFonts w:ascii="Arial" w:cs="Arial" w:eastAsia="Arial" w:hAnsi="Arial"/>
                <w:sz w:val="18"/>
                <w:szCs w:val="18"/>
                <w:b w:val="1"/>
                <w:bCs w:val="1"/>
                <w:color w:val="auto"/>
              </w:rPr>
              <w:t>ACCEPTED AND AGREED TO:</w:t>
            </w:r>
          </w:p>
        </w:tc>
        <w:tc>
          <w:tcPr>
            <w:tcW w:w="8020" w:type="dxa"/>
            <w:vAlign w:val="bottom"/>
          </w:tcPr>
          <w:p>
            <w:pPr>
              <w:ind w:left="2320"/>
              <w:spacing w:after="0"/>
              <w:rPr>
                <w:sz w:val="20"/>
                <w:szCs w:val="20"/>
                <w:color w:val="auto"/>
              </w:rPr>
            </w:pPr>
            <w:r>
              <w:rPr>
                <w:rFonts w:ascii="Arial" w:cs="Arial" w:eastAsia="Arial" w:hAnsi="Arial"/>
                <w:sz w:val="18"/>
                <w:szCs w:val="18"/>
                <w:b w:val="1"/>
                <w:bCs w:val="1"/>
                <w:color w:val="auto"/>
              </w:rPr>
              <w:t>ACCEPTED AND AGREED TO:</w:t>
            </w:r>
          </w:p>
        </w:tc>
        <w:tc>
          <w:tcPr>
            <w:tcW w:w="4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b w:val="1"/>
                <w:bCs w:val="1"/>
                <w:color w:val="auto"/>
              </w:rPr>
              <w:t>Brian G. Kelly</w:t>
            </w:r>
          </w:p>
        </w:tc>
        <w:tc>
          <w:tcPr>
            <w:tcW w:w="8020" w:type="dxa"/>
            <w:vAlign w:val="bottom"/>
          </w:tcPr>
          <w:p>
            <w:pPr>
              <w:ind w:left="2320"/>
              <w:spacing w:after="0"/>
              <w:rPr>
                <w:sz w:val="20"/>
                <w:szCs w:val="20"/>
                <w:color w:val="auto"/>
              </w:rPr>
            </w:pPr>
            <w:r>
              <w:rPr>
                <w:rFonts w:ascii="Arial" w:cs="Arial" w:eastAsia="Arial" w:hAnsi="Arial"/>
                <w:sz w:val="18"/>
                <w:szCs w:val="18"/>
                <w:b w:val="1"/>
                <w:bCs w:val="1"/>
                <w:color w:val="auto"/>
              </w:rPr>
              <w:t>Activision Blizzard, Inc.</w:t>
            </w:r>
          </w:p>
        </w:tc>
        <w:tc>
          <w:tcPr>
            <w:tcW w:w="40" w:type="dxa"/>
            <w:vAlign w:val="bottom"/>
          </w:tcPr>
          <w:p>
            <w:pPr>
              <w:spacing w:after="0"/>
              <w:rPr>
                <w:sz w:val="24"/>
                <w:szCs w:val="24"/>
                <w:color w:val="auto"/>
              </w:rPr>
            </w:pPr>
          </w:p>
        </w:tc>
      </w:tr>
      <w:tr>
        <w:trPr>
          <w:trHeight w:val="648"/>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Brian G. Kelly</w:t>
            </w:r>
          </w:p>
        </w:tc>
        <w:tc>
          <w:tcPr>
            <w:tcW w:w="8020" w:type="dxa"/>
            <w:vAlign w:val="bottom"/>
            <w:tcBorders>
              <w:bottom w:val="single" w:sz="8" w:color="auto"/>
            </w:tcBorders>
          </w:tcPr>
          <w:p>
            <w:pPr>
              <w:ind w:left="2360"/>
              <w:spacing w:after="0"/>
              <w:rPr>
                <w:sz w:val="20"/>
                <w:szCs w:val="20"/>
                <w:color w:val="auto"/>
              </w:rPr>
            </w:pPr>
            <w:r>
              <w:rPr>
                <w:rFonts w:ascii="Arial" w:cs="Arial" w:eastAsia="Arial" w:hAnsi="Arial"/>
                <w:sz w:val="18"/>
                <w:szCs w:val="18"/>
                <w:color w:val="auto"/>
              </w:rPr>
              <w:t>/s/ Chris B. Walther</w:t>
            </w:r>
          </w:p>
        </w:tc>
        <w:tc>
          <w:tcPr>
            <w:tcW w:w="40" w:type="dxa"/>
            <w:vAlign w:val="bottom"/>
          </w:tcPr>
          <w:p>
            <w:pPr>
              <w:spacing w:after="0"/>
              <w:rPr>
                <w:sz w:val="24"/>
                <w:szCs w:val="24"/>
                <w:color w:val="auto"/>
              </w:rPr>
            </w:pPr>
          </w:p>
        </w:tc>
      </w:tr>
      <w:tr>
        <w:trPr>
          <w:trHeight w:val="642"/>
        </w:trPr>
        <w:tc>
          <w:tcPr>
            <w:tcW w:w="3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11/22/16</w:t>
            </w:r>
          </w:p>
        </w:tc>
        <w:tc>
          <w:tcPr>
            <w:tcW w:w="802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11/22/16</w:t>
            </w:r>
          </w:p>
        </w:tc>
        <w:tc>
          <w:tcPr>
            <w:tcW w:w="40" w:type="dxa"/>
            <w:vAlign w:val="bottom"/>
          </w:tcPr>
          <w:p>
            <w:pPr>
              <w:spacing w:after="0"/>
              <w:rPr>
                <w:sz w:val="24"/>
                <w:szCs w:val="24"/>
                <w:color w:val="auto"/>
              </w:rPr>
            </w:pPr>
          </w:p>
        </w:tc>
      </w:tr>
      <w:tr>
        <w:trPr>
          <w:trHeight w:val="228"/>
        </w:trPr>
        <w:tc>
          <w:tcPr>
            <w:tcW w:w="3400" w:type="dxa"/>
            <w:vAlign w:val="bottom"/>
          </w:tcPr>
          <w:p>
            <w:pPr>
              <w:ind w:left="20"/>
              <w:spacing w:after="0"/>
              <w:rPr>
                <w:sz w:val="20"/>
                <w:szCs w:val="20"/>
                <w:color w:val="auto"/>
              </w:rPr>
            </w:pPr>
            <w:r>
              <w:rPr>
                <w:rFonts w:ascii="Arial" w:cs="Arial" w:eastAsia="Arial" w:hAnsi="Arial"/>
                <w:sz w:val="18"/>
                <w:szCs w:val="18"/>
                <w:b w:val="1"/>
                <w:bCs w:val="1"/>
                <w:color w:val="auto"/>
              </w:rPr>
              <w:t>Date</w:t>
            </w:r>
          </w:p>
        </w:tc>
        <w:tc>
          <w:tcPr>
            <w:tcW w:w="8020" w:type="dxa"/>
            <w:vAlign w:val="bottom"/>
          </w:tcPr>
          <w:p>
            <w:pPr>
              <w:ind w:left="2340"/>
              <w:spacing w:after="0"/>
              <w:rPr>
                <w:sz w:val="20"/>
                <w:szCs w:val="20"/>
                <w:color w:val="auto"/>
              </w:rPr>
            </w:pPr>
            <w:r>
              <w:rPr>
                <w:rFonts w:ascii="Arial" w:cs="Arial" w:eastAsia="Arial" w:hAnsi="Arial"/>
                <w:sz w:val="18"/>
                <w:szCs w:val="18"/>
                <w:b w:val="1"/>
                <w:bCs w:val="1"/>
                <w:color w:val="auto"/>
              </w:rPr>
              <w:t>Date</w:t>
            </w:r>
          </w:p>
        </w:tc>
        <w:tc>
          <w:tcPr>
            <w:tcW w:w="40" w:type="dxa"/>
            <w:vAlign w:val="bottom"/>
          </w:tcPr>
          <w:p>
            <w:pPr>
              <w:spacing w:after="0"/>
              <w:rPr>
                <w:sz w:val="19"/>
                <w:szCs w:val="19"/>
                <w:color w:val="auto"/>
              </w:rPr>
            </w:pPr>
          </w:p>
        </w:tc>
      </w:tr>
      <w:tr>
        <w:trPr>
          <w:trHeight w:val="414"/>
        </w:trPr>
        <w:tc>
          <w:tcPr>
            <w:tcW w:w="3400" w:type="dxa"/>
            <w:vAlign w:val="bottom"/>
          </w:tcPr>
          <w:p>
            <w:pPr>
              <w:spacing w:after="0"/>
              <w:rPr>
                <w:sz w:val="24"/>
                <w:szCs w:val="24"/>
                <w:color w:val="auto"/>
              </w:rPr>
            </w:pPr>
          </w:p>
        </w:tc>
        <w:tc>
          <w:tcPr>
            <w:tcW w:w="8020" w:type="dxa"/>
            <w:vAlign w:val="bottom"/>
          </w:tcPr>
          <w:p>
            <w:pPr>
              <w:ind w:left="800"/>
              <w:spacing w:after="0"/>
              <w:rPr>
                <w:sz w:val="20"/>
                <w:szCs w:val="20"/>
                <w:color w:val="auto"/>
              </w:rPr>
            </w:pPr>
            <w:r>
              <w:rPr>
                <w:rFonts w:ascii="Arial" w:cs="Arial" w:eastAsia="Arial" w:hAnsi="Arial"/>
                <w:sz w:val="18"/>
                <w:szCs w:val="18"/>
                <w:color w:val="auto"/>
              </w:rPr>
              <w:t>[Signature Page to Transition Agreement]</w:t>
            </w:r>
          </w:p>
        </w:tc>
        <w:tc>
          <w:tcPr>
            <w:tcW w:w="40" w:type="dxa"/>
            <w:vAlign w:val="bottom"/>
          </w:tcPr>
          <w:p>
            <w:pPr>
              <w:spacing w:after="0"/>
              <w:rPr>
                <w:sz w:val="24"/>
                <w:szCs w:val="24"/>
                <w:color w:val="auto"/>
              </w:rPr>
            </w:pPr>
          </w:p>
        </w:tc>
      </w:tr>
      <w:tr>
        <w:trPr>
          <w:trHeight w:val="348"/>
        </w:trPr>
        <w:tc>
          <w:tcPr>
            <w:tcW w:w="3400" w:type="dxa"/>
            <w:vAlign w:val="bottom"/>
            <w:tcBorders>
              <w:bottom w:val="single" w:sz="8" w:color="808080"/>
            </w:tcBorders>
          </w:tcPr>
          <w:p>
            <w:pPr>
              <w:spacing w:after="0"/>
              <w:rPr>
                <w:sz w:val="24"/>
                <w:szCs w:val="24"/>
                <w:color w:val="auto"/>
              </w:rPr>
            </w:pPr>
          </w:p>
        </w:tc>
        <w:tc>
          <w:tcPr>
            <w:tcW w:w="80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EXHIBIT A</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OUTSTANDING STOCK OPTIONS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Grant</w:t>
            </w:r>
          </w:p>
        </w:tc>
        <w:tc>
          <w:tcPr>
            <w:tcW w:w="320" w:type="dxa"/>
            <w:vAlign w:val="bottom"/>
          </w:tcPr>
          <w:p>
            <w:pPr>
              <w:spacing w:after="0"/>
              <w:rPr>
                <w:sz w:val="14"/>
                <w:szCs w:val="14"/>
                <w:color w:val="auto"/>
              </w:rPr>
            </w:pPr>
          </w:p>
        </w:tc>
        <w:tc>
          <w:tcPr>
            <w:tcW w:w="1600" w:type="dxa"/>
            <w:vAlign w:val="bottom"/>
            <w:gridSpan w:val="2"/>
            <w:vMerge w:val="restart"/>
          </w:tcPr>
          <w:p>
            <w:pPr>
              <w:jc w:val="center"/>
              <w:ind w:right="600"/>
              <w:spacing w:after="0"/>
              <w:rPr>
                <w:sz w:val="20"/>
                <w:szCs w:val="20"/>
                <w:color w:val="auto"/>
              </w:rPr>
            </w:pPr>
            <w:r>
              <w:rPr>
                <w:rFonts w:ascii="Arial" w:cs="Arial" w:eastAsia="Arial" w:hAnsi="Arial"/>
                <w:sz w:val="14"/>
                <w:szCs w:val="14"/>
                <w:b w:val="1"/>
                <w:bCs w:val="1"/>
                <w:color w:val="auto"/>
                <w:w w:val="90"/>
              </w:rPr>
              <w:t>Exercise</w:t>
            </w:r>
          </w:p>
        </w:tc>
        <w:tc>
          <w:tcPr>
            <w:tcW w:w="1900" w:type="dxa"/>
            <w:vAlign w:val="bottom"/>
            <w:gridSpan w:val="2"/>
            <w:vMerge w:val="restart"/>
          </w:tcPr>
          <w:p>
            <w:pPr>
              <w:jc w:val="right"/>
              <w:ind w:right="840"/>
              <w:spacing w:after="0"/>
              <w:rPr>
                <w:sz w:val="20"/>
                <w:szCs w:val="20"/>
                <w:color w:val="auto"/>
              </w:rPr>
            </w:pPr>
            <w:r>
              <w:rPr>
                <w:rFonts w:ascii="Arial" w:cs="Arial" w:eastAsia="Arial" w:hAnsi="Arial"/>
                <w:sz w:val="14"/>
                <w:szCs w:val="14"/>
                <w:b w:val="1"/>
                <w:bCs w:val="1"/>
                <w:color w:val="auto"/>
              </w:rPr>
              <w:t>Options</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Option</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Expiration</w:t>
            </w:r>
          </w:p>
        </w:tc>
        <w:tc>
          <w:tcPr>
            <w:tcW w:w="2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960" w:type="dxa"/>
            <w:vAlign w:val="bottom"/>
          </w:tcPr>
          <w:p>
            <w:pPr>
              <w:spacing w:after="0"/>
              <w:rPr>
                <w:sz w:val="14"/>
                <w:szCs w:val="14"/>
                <w:color w:val="auto"/>
              </w:rPr>
            </w:pPr>
          </w:p>
        </w:tc>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320" w:type="dxa"/>
            <w:vAlign w:val="bottom"/>
          </w:tcPr>
          <w:p>
            <w:pPr>
              <w:spacing w:after="0"/>
              <w:rPr>
                <w:sz w:val="14"/>
                <w:szCs w:val="14"/>
                <w:color w:val="auto"/>
              </w:rPr>
            </w:pPr>
          </w:p>
        </w:tc>
        <w:tc>
          <w:tcPr>
            <w:tcW w:w="16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Price</w:t>
            </w:r>
          </w:p>
        </w:tc>
        <w:tc>
          <w:tcPr>
            <w:tcW w:w="190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Outstanding</w:t>
            </w:r>
          </w:p>
        </w:tc>
        <w:tc>
          <w:tcPr>
            <w:tcW w:w="17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Date</w:t>
            </w:r>
          </w:p>
        </w:tc>
        <w:tc>
          <w:tcPr>
            <w:tcW w:w="2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960" w:type="dxa"/>
            <w:vAlign w:val="bottom"/>
          </w:tcPr>
          <w:p>
            <w:pPr>
              <w:spacing w:after="0"/>
              <w:rPr>
                <w:sz w:val="18"/>
                <w:szCs w:val="18"/>
                <w:color w:val="auto"/>
              </w:rPr>
            </w:pPr>
          </w:p>
        </w:tc>
        <w:tc>
          <w:tcPr>
            <w:tcW w:w="100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6/15/2007</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9.565</w:t>
            </w:r>
          </w:p>
        </w:tc>
        <w:tc>
          <w:tcPr>
            <w:tcW w:w="280" w:type="dxa"/>
            <w:vAlign w:val="bottom"/>
            <w:tcBorders>
              <w:top w:val="single" w:sz="8" w:color="CCEEFF"/>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262,998</w:t>
            </w:r>
          </w:p>
        </w:tc>
        <w:tc>
          <w:tcPr>
            <w:tcW w:w="28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jc w:val="right"/>
              <w:ind w:right="381"/>
              <w:spacing w:after="0"/>
              <w:rPr>
                <w:sz w:val="20"/>
                <w:szCs w:val="20"/>
                <w:color w:val="auto"/>
              </w:rPr>
            </w:pPr>
            <w:r>
              <w:rPr>
                <w:rFonts w:ascii="Arial" w:cs="Arial" w:eastAsia="Arial" w:hAnsi="Arial"/>
                <w:sz w:val="18"/>
                <w:szCs w:val="18"/>
                <w:color w:val="auto"/>
              </w:rPr>
              <w:t>6/15/2017</w:t>
            </w:r>
          </w:p>
        </w:tc>
        <w:tc>
          <w:tcPr>
            <w:tcW w:w="100" w:type="dxa"/>
            <w:vAlign w:val="bottom"/>
            <w:tcBorders>
              <w:top w:val="single" w:sz="8" w:color="CCEEFF"/>
            </w:tcBorders>
            <w:shd w:val="clear" w:color="auto" w:fill="CCEEFF"/>
          </w:tcPr>
          <w:p>
            <w:pPr>
              <w:spacing w:after="0"/>
              <w:rPr>
                <w:sz w:val="18"/>
                <w:szCs w:val="18"/>
                <w:color w:val="auto"/>
              </w:rPr>
            </w:pPr>
          </w:p>
        </w:tc>
        <w:tc>
          <w:tcPr>
            <w:tcW w:w="2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960" w:type="dxa"/>
            <w:vAlign w:val="bottom"/>
          </w:tcPr>
          <w:p>
            <w:pPr>
              <w:spacing w:after="0"/>
              <w:rPr>
                <w:sz w:val="20"/>
                <w:szCs w:val="20"/>
                <w:color w:val="auto"/>
              </w:rPr>
            </w:pPr>
          </w:p>
        </w:tc>
        <w:tc>
          <w:tcPr>
            <w:tcW w:w="1000" w:type="dxa"/>
            <w:vAlign w:val="bottom"/>
          </w:tcPr>
          <w:p>
            <w:pPr>
              <w:jc w:val="right"/>
              <w:ind w:right="99"/>
              <w:spacing w:after="0"/>
              <w:rPr>
                <w:sz w:val="20"/>
                <w:szCs w:val="20"/>
                <w:color w:val="auto"/>
              </w:rPr>
            </w:pPr>
            <w:r>
              <w:rPr>
                <w:rFonts w:ascii="Arial" w:cs="Arial" w:eastAsia="Arial" w:hAnsi="Arial"/>
                <w:sz w:val="18"/>
                <w:szCs w:val="18"/>
                <w:color w:val="auto"/>
              </w:rPr>
              <w:t>8/6/2015</w:t>
            </w:r>
          </w:p>
        </w:tc>
        <w:tc>
          <w:tcPr>
            <w:tcW w:w="28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28.71</w:t>
            </w:r>
          </w:p>
        </w:tc>
        <w:tc>
          <w:tcPr>
            <w:tcW w:w="280" w:type="dxa"/>
            <w:vAlign w:val="bottom"/>
          </w:tcPr>
          <w:p>
            <w:pPr>
              <w:spacing w:after="0"/>
              <w:rPr>
                <w:sz w:val="20"/>
                <w:szCs w:val="20"/>
                <w:color w:val="auto"/>
              </w:rPr>
            </w:pPr>
          </w:p>
        </w:tc>
        <w:tc>
          <w:tcPr>
            <w:tcW w:w="1900" w:type="dxa"/>
            <w:vAlign w:val="bottom"/>
            <w:gridSpan w:val="2"/>
          </w:tcPr>
          <w:p>
            <w:pPr>
              <w:jc w:val="right"/>
              <w:ind w:right="280"/>
              <w:spacing w:after="0"/>
              <w:rPr>
                <w:sz w:val="20"/>
                <w:szCs w:val="20"/>
                <w:color w:val="auto"/>
              </w:rPr>
            </w:pPr>
            <w:r>
              <w:rPr>
                <w:rFonts w:ascii="Arial" w:cs="Arial" w:eastAsia="Arial" w:hAnsi="Arial"/>
                <w:sz w:val="18"/>
                <w:szCs w:val="18"/>
                <w:color w:val="auto"/>
              </w:rPr>
              <w:t>80,676</w:t>
            </w:r>
          </w:p>
        </w:tc>
        <w:tc>
          <w:tcPr>
            <w:tcW w:w="1640" w:type="dxa"/>
            <w:vAlign w:val="bottom"/>
          </w:tcPr>
          <w:p>
            <w:pPr>
              <w:jc w:val="right"/>
              <w:ind w:right="421"/>
              <w:spacing w:after="0"/>
              <w:rPr>
                <w:sz w:val="20"/>
                <w:szCs w:val="20"/>
                <w:color w:val="auto"/>
              </w:rPr>
            </w:pPr>
            <w:r>
              <w:rPr>
                <w:rFonts w:ascii="Arial" w:cs="Arial" w:eastAsia="Arial" w:hAnsi="Arial"/>
                <w:sz w:val="18"/>
                <w:szCs w:val="18"/>
                <w:color w:val="auto"/>
              </w:rPr>
              <w:t>8/6/2025</w:t>
            </w:r>
          </w:p>
        </w:tc>
        <w:tc>
          <w:tcPr>
            <w:tcW w:w="1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00" w:type="dxa"/>
            <w:vAlign w:val="bottom"/>
            <w:gridSpan w:val="2"/>
          </w:tcPr>
          <w:p>
            <w:pPr>
              <w:jc w:val="right"/>
              <w:ind w:right="1200"/>
              <w:spacing w:after="0"/>
              <w:rPr>
                <w:sz w:val="20"/>
                <w:szCs w:val="20"/>
                <w:color w:val="auto"/>
              </w:rPr>
            </w:pPr>
            <w:r>
              <w:rPr>
                <w:rFonts w:ascii="Arial" w:cs="Arial" w:eastAsia="Arial" w:hAnsi="Arial"/>
                <w:sz w:val="18"/>
                <w:szCs w:val="18"/>
                <w:color w:val="auto"/>
              </w:rPr>
              <w:t>A-1</w:t>
            </w:r>
          </w:p>
        </w:tc>
        <w:tc>
          <w:tcPr>
            <w:tcW w:w="1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960" w:type="dxa"/>
            <w:vAlign w:val="bottom"/>
            <w:tcBorders>
              <w:bottom w:val="single" w:sz="8" w:color="808080"/>
            </w:tcBorders>
          </w:tcPr>
          <w:p>
            <w:pPr>
              <w:spacing w:after="0"/>
              <w:rPr>
                <w:sz w:val="11"/>
                <w:szCs w:val="11"/>
                <w:color w:val="auto"/>
              </w:rPr>
            </w:pPr>
          </w:p>
        </w:tc>
        <w:tc>
          <w:tcPr>
            <w:tcW w:w="100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320" w:type="dxa"/>
            <w:vAlign w:val="bottom"/>
            <w:tcBorders>
              <w:bottom w:val="single" w:sz="8" w:color="808080"/>
            </w:tcBorders>
          </w:tcPr>
          <w:p>
            <w:pPr>
              <w:spacing w:after="0"/>
              <w:rPr>
                <w:sz w:val="11"/>
                <w:szCs w:val="11"/>
                <w:color w:val="auto"/>
              </w:rPr>
            </w:pPr>
          </w:p>
        </w:tc>
        <w:tc>
          <w:tcPr>
            <w:tcW w:w="13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20" w:type="dxa"/>
            <w:vAlign w:val="bottom"/>
            <w:tcBorders>
              <w:bottom w:val="single" w:sz="8" w:color="808080"/>
            </w:tcBorders>
          </w:tcPr>
          <w:p>
            <w:pPr>
              <w:spacing w:after="0"/>
              <w:rPr>
                <w:sz w:val="11"/>
                <w:szCs w:val="11"/>
                <w:color w:val="auto"/>
              </w:rPr>
            </w:pPr>
          </w:p>
        </w:tc>
        <w:tc>
          <w:tcPr>
            <w:tcW w:w="280" w:type="dxa"/>
            <w:vAlign w:val="bottom"/>
            <w:tcBorders>
              <w:bottom w:val="single" w:sz="8" w:color="808080"/>
            </w:tcBorders>
          </w:tcPr>
          <w:p>
            <w:pPr>
              <w:spacing w:after="0"/>
              <w:rPr>
                <w:sz w:val="11"/>
                <w:szCs w:val="11"/>
                <w:color w:val="auto"/>
              </w:rPr>
            </w:pPr>
          </w:p>
        </w:tc>
        <w:tc>
          <w:tcPr>
            <w:tcW w:w="1640" w:type="dxa"/>
            <w:vAlign w:val="bottom"/>
            <w:tcBorders>
              <w:bottom w:val="single" w:sz="8" w:color="808080"/>
            </w:tcBorders>
          </w:tcPr>
          <w:p>
            <w:pPr>
              <w:spacing w:after="0"/>
              <w:rPr>
                <w:sz w:val="11"/>
                <w:szCs w:val="11"/>
                <w:color w:val="auto"/>
              </w:rPr>
            </w:pPr>
          </w:p>
        </w:tc>
        <w:tc>
          <w:tcPr>
            <w:tcW w:w="100" w:type="dxa"/>
            <w:vAlign w:val="bottom"/>
            <w:tcBorders>
              <w:bottom w:val="single" w:sz="8" w:color="808080"/>
            </w:tcBorders>
          </w:tcPr>
          <w:p>
            <w:pPr>
              <w:spacing w:after="0"/>
              <w:rPr>
                <w:sz w:val="11"/>
                <w:szCs w:val="11"/>
                <w:color w:val="auto"/>
              </w:rPr>
            </w:pPr>
          </w:p>
        </w:tc>
        <w:tc>
          <w:tcPr>
            <w:tcW w:w="2660" w:type="dxa"/>
            <w:vAlign w:val="bottom"/>
            <w:tcBorders>
              <w:bottom w:val="single" w:sz="8" w:color="808080"/>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733" w:right="199" w:bottom="1440" w:gutter="0" w:footer="0" w:header="0"/>
        </w:sectPr>
      </w:pPr>
    </w:p>
    <w:bookmarkStart w:id="222" w:name="page223"/>
    <w:bookmarkEnd w:id="222"/>
    <w:p>
      <w:pPr>
        <w:jc w:val="right"/>
        <w:spacing w:after="0"/>
        <w:rPr>
          <w:sz w:val="20"/>
          <w:szCs w:val="20"/>
          <w:color w:val="auto"/>
        </w:rPr>
      </w:pPr>
      <w:r>
        <w:rPr>
          <w:rFonts w:ascii="Arial" w:cs="Arial" w:eastAsia="Arial" w:hAnsi="Arial"/>
          <w:sz w:val="18"/>
          <w:szCs w:val="18"/>
          <w:b w:val="1"/>
          <w:bCs w:val="1"/>
          <w:color w:val="auto"/>
        </w:rPr>
        <w:t>Exhibit 10.68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STOCK OPTION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an option to purchase Common Shares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Mike Morhaime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Total number of Shares purchasable upon exercise of the Stock Option awarded: </w:t>
      </w:r>
      <w:r>
        <w:rPr>
          <w:rFonts w:ascii="Arial" w:cs="Arial" w:eastAsia="Arial" w:hAnsi="Arial"/>
          <w:sz w:val="18"/>
          <w:szCs w:val="18"/>
          <w:b w:val="1"/>
          <w:bCs w:val="1"/>
          <w:color w:val="auto"/>
        </w:rPr>
        <w:t>200,000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Exercise Price: </w:t>
      </w:r>
      <w:r>
        <w:rPr>
          <w:rFonts w:ascii="Arial" w:cs="Arial" w:eastAsia="Arial" w:hAnsi="Arial"/>
          <w:sz w:val="18"/>
          <w:szCs w:val="18"/>
          <w:b w:val="1"/>
          <w:bCs w:val="1"/>
          <w:color w:val="auto"/>
        </w:rPr>
        <w:t>US$41.09</w:t>
      </w:r>
      <w:r>
        <w:rPr>
          <w:rFonts w:ascii="Arial" w:cs="Arial" w:eastAsia="Arial" w:hAnsi="Arial"/>
          <w:sz w:val="18"/>
          <w:szCs w:val="18"/>
          <w:color w:val="auto"/>
        </w:rPr>
        <w:t xml:space="preserve"> per Share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November 7, 2016</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Expiration Date: </w:t>
      </w:r>
      <w:r>
        <w:rPr>
          <w:rFonts w:ascii="Arial" w:cs="Arial" w:eastAsia="Arial" w:hAnsi="Arial"/>
          <w:sz w:val="18"/>
          <w:szCs w:val="18"/>
          <w:b w:val="1"/>
          <w:bCs w:val="1"/>
          <w:color w:val="auto"/>
        </w:rPr>
        <w:t>November 7, 2026</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01406652</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Your Award of the Stock Option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this Notice of Stock Option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 xml:space="preserve">the Stock Option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11"/>
        </w:numPr>
        <w:rPr>
          <w:rFonts w:ascii="Arial" w:cs="Arial" w:eastAsia="Arial" w:hAnsi="Arial"/>
          <w:sz w:val="18"/>
          <w:szCs w:val="18"/>
          <w:color w:val="auto"/>
        </w:rPr>
      </w:pPr>
      <w:r>
        <w:rPr>
          <w:rFonts w:ascii="Arial" w:cs="Arial" w:eastAsia="Arial" w:hAnsi="Arial"/>
          <w:sz w:val="18"/>
          <w:szCs w:val="18"/>
          <w:color w:val="auto"/>
        </w:rPr>
        <w:t>the Company’s 2014 Incentive Plan, the receipt of a copy of which you hereby acknowledge.</w:t>
      </w:r>
    </w:p>
    <w:p>
      <w:pPr>
        <w:spacing w:after="0" w:line="225" w:lineRule="exact"/>
        <w:rPr>
          <w:rFonts w:ascii="Arial" w:cs="Arial" w:eastAsia="Arial" w:hAnsi="Arial"/>
          <w:sz w:val="18"/>
          <w:szCs w:val="18"/>
          <w:color w:val="auto"/>
        </w:rPr>
      </w:pPr>
    </w:p>
    <w:p>
      <w:pPr>
        <w:ind w:left="340" w:right="580" w:hanging="332"/>
        <w:spacing w:after="0" w:line="342" w:lineRule="auto"/>
        <w:tabs>
          <w:tab w:leader="none" w:pos="304" w:val="left"/>
        </w:tabs>
        <w:numPr>
          <w:ilvl w:val="0"/>
          <w:numId w:val="211"/>
        </w:numPr>
        <w:rPr>
          <w:rFonts w:ascii="Arial" w:cs="Arial" w:eastAsia="Arial" w:hAnsi="Arial"/>
          <w:sz w:val="16"/>
          <w:szCs w:val="16"/>
          <w:color w:val="auto"/>
        </w:rPr>
      </w:pPr>
      <w:r>
        <w:rPr>
          <w:rFonts w:ascii="Arial" w:cs="Arial" w:eastAsia="Arial" w:hAnsi="Arial"/>
          <w:sz w:val="16"/>
          <w:szCs w:val="16"/>
          <w:i w:val="1"/>
          <w:iCs w:val="1"/>
          <w:color w:val="auto"/>
        </w:rPr>
        <w:t>Schedule for Vesting</w:t>
      </w:r>
      <w:r>
        <w:rPr>
          <w:rFonts w:ascii="Arial" w:cs="Arial" w:eastAsia="Arial" w:hAnsi="Arial"/>
          <w:sz w:val="16"/>
          <w:szCs w:val="16"/>
          <w:color w:val="auto"/>
        </w:rPr>
        <w:t>: Except as otherwise provided under the Award Terms, the Stock Option awarded to you will vest and become exercisable as</w:t>
      </w:r>
      <w:r>
        <w:rPr>
          <w:rFonts w:ascii="Arial" w:cs="Arial" w:eastAsia="Arial" w:hAnsi="Arial"/>
          <w:sz w:val="16"/>
          <w:szCs w:val="16"/>
          <w:i w:val="1"/>
          <w:iCs w:val="1"/>
          <w:color w:val="auto"/>
        </w:rPr>
        <w:t xml:space="preserve"> </w:t>
      </w:r>
      <w:r>
        <w:rPr>
          <w:rFonts w:ascii="Arial" w:cs="Arial" w:eastAsia="Arial" w:hAnsi="Arial"/>
          <w:sz w:val="16"/>
          <w:szCs w:val="16"/>
          <w:color w:val="auto"/>
        </w:rPr>
        <w:t>follows, provided you remain continuously employed by the Company or one of its subsidiaries through the applicable vesting date:</w:t>
      </w:r>
    </w:p>
    <w:p>
      <w:pPr>
        <w:spacing w:after="0" w:line="103" w:lineRule="exact"/>
        <w:rPr>
          <w:sz w:val="20"/>
          <w:szCs w:val="20"/>
          <w:color w:val="auto"/>
        </w:rPr>
      </w:pPr>
    </w:p>
    <w:tbl>
      <w:tblPr>
        <w:tblLayout w:type="fixed"/>
        <w:tblInd w:w="1500" w:type="dxa"/>
        <w:tblCellMar>
          <w:top w:w="0" w:type="dxa"/>
          <w:left w:w="0" w:type="dxa"/>
          <w:bottom w:w="0" w:type="dxa"/>
          <w:right w:w="0" w:type="dxa"/>
        </w:tblCellMar>
      </w:tblPr>
      <w:tr>
        <w:trPr>
          <w:trHeight w:val="161"/>
        </w:trPr>
        <w:tc>
          <w:tcPr>
            <w:tcW w:w="4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0"/>
              </w:rPr>
              <w:t>No. of Shares</w:t>
            </w:r>
          </w:p>
        </w:tc>
        <w:tc>
          <w:tcPr>
            <w:tcW w:w="0" w:type="dxa"/>
            <w:vAlign w:val="bottom"/>
          </w:tcPr>
          <w:p>
            <w:pPr>
              <w:spacing w:after="0"/>
              <w:rPr>
                <w:sz w:val="1"/>
                <w:szCs w:val="1"/>
                <w:color w:val="auto"/>
              </w:rPr>
            </w:pPr>
          </w:p>
        </w:tc>
      </w:tr>
      <w:tr>
        <w:trPr>
          <w:trHeight w:val="149"/>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Vesting</w:t>
            </w: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Vesting at Vesting</w:t>
            </w: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10"/>
        </w:trPr>
        <w:tc>
          <w:tcPr>
            <w:tcW w:w="4320" w:type="dxa"/>
            <w:vAlign w:val="bottom"/>
            <w:tcBorders>
              <w:top w:val="single" w:sz="8" w:color="auto"/>
            </w:tcBorders>
            <w:shd w:val="clear" w:color="auto" w:fill="CCEEFF"/>
          </w:tcPr>
          <w:p>
            <w:pPr>
              <w:ind w:left="1480"/>
              <w:spacing w:after="0"/>
              <w:rPr>
                <w:sz w:val="20"/>
                <w:szCs w:val="20"/>
                <w:color w:val="auto"/>
              </w:rPr>
            </w:pPr>
            <w:r>
              <w:rPr>
                <w:rFonts w:ascii="Arial" w:cs="Arial" w:eastAsia="Arial" w:hAnsi="Arial"/>
                <w:sz w:val="18"/>
                <w:szCs w:val="18"/>
                <w:b w:val="1"/>
                <w:bCs w:val="1"/>
                <w:color w:val="auto"/>
              </w:rPr>
              <w:t>November 6, 2017</w:t>
            </w:r>
          </w:p>
        </w:tc>
        <w:tc>
          <w:tcPr>
            <w:tcW w:w="480" w:type="dxa"/>
            <w:vAlign w:val="bottom"/>
            <w:tcBorders>
              <w:top w:val="single" w:sz="8" w:color="CCEEFF"/>
            </w:tcBorders>
            <w:shd w:val="clear" w:color="auto" w:fill="CCEEFF"/>
          </w:tcPr>
          <w:p>
            <w:pPr>
              <w:spacing w:after="0"/>
              <w:rPr>
                <w:sz w:val="18"/>
                <w:szCs w:val="18"/>
                <w:color w:val="auto"/>
              </w:rPr>
            </w:pPr>
          </w:p>
        </w:tc>
        <w:tc>
          <w:tcPr>
            <w:tcW w:w="27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66,667</w:t>
            </w:r>
          </w:p>
        </w:tc>
        <w:tc>
          <w:tcPr>
            <w:tcW w:w="0" w:type="dxa"/>
            <w:vAlign w:val="bottom"/>
          </w:tcPr>
          <w:p>
            <w:pPr>
              <w:spacing w:after="0"/>
              <w:rPr>
                <w:sz w:val="1"/>
                <w:szCs w:val="1"/>
                <w:color w:val="auto"/>
              </w:rPr>
            </w:pPr>
          </w:p>
        </w:tc>
      </w:tr>
      <w:tr>
        <w:trPr>
          <w:trHeight w:val="216"/>
        </w:trPr>
        <w:tc>
          <w:tcPr>
            <w:tcW w:w="4800" w:type="dxa"/>
            <w:vAlign w:val="bottom"/>
            <w:gridSpan w:val="2"/>
          </w:tcPr>
          <w:p>
            <w:pPr>
              <w:ind w:left="1480"/>
              <w:spacing w:after="0"/>
              <w:rPr>
                <w:sz w:val="20"/>
                <w:szCs w:val="20"/>
                <w:color w:val="auto"/>
              </w:rPr>
            </w:pPr>
            <w:r>
              <w:rPr>
                <w:rFonts w:ascii="Arial" w:cs="Arial" w:eastAsia="Arial" w:hAnsi="Arial"/>
                <w:sz w:val="18"/>
                <w:szCs w:val="18"/>
                <w:b w:val="1"/>
                <w:bCs w:val="1"/>
                <w:color w:val="auto"/>
              </w:rPr>
              <w:t>November 6, 2018</w:t>
            </w:r>
          </w:p>
        </w:tc>
        <w:tc>
          <w:tcPr>
            <w:tcW w:w="2720" w:type="dxa"/>
            <w:vAlign w:val="bottom"/>
          </w:tcPr>
          <w:p>
            <w:pPr>
              <w:jc w:val="center"/>
              <w:spacing w:after="0"/>
              <w:rPr>
                <w:sz w:val="20"/>
                <w:szCs w:val="20"/>
                <w:color w:val="auto"/>
              </w:rPr>
            </w:pPr>
            <w:r>
              <w:rPr>
                <w:rFonts w:ascii="Arial" w:cs="Arial" w:eastAsia="Arial" w:hAnsi="Arial"/>
                <w:sz w:val="18"/>
                <w:szCs w:val="18"/>
                <w:b w:val="1"/>
                <w:bCs w:val="1"/>
                <w:color w:val="auto"/>
                <w:w w:val="90"/>
              </w:rPr>
              <w:t>66,667</w:t>
            </w: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ind w:left="1480"/>
              <w:spacing w:after="0"/>
              <w:rPr>
                <w:sz w:val="20"/>
                <w:szCs w:val="20"/>
                <w:color w:val="auto"/>
              </w:rPr>
            </w:pPr>
            <w:r>
              <w:rPr>
                <w:rFonts w:ascii="Arial" w:cs="Arial" w:eastAsia="Arial" w:hAnsi="Arial"/>
                <w:sz w:val="18"/>
                <w:szCs w:val="18"/>
                <w:b w:val="1"/>
                <w:bCs w:val="1"/>
                <w:color w:val="auto"/>
              </w:rPr>
              <w:t>November 6, 2019</w:t>
            </w:r>
          </w:p>
        </w:tc>
        <w:tc>
          <w:tcPr>
            <w:tcW w:w="272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0"/>
              </w:rPr>
              <w:t>66,666</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0" w:hanging="332"/>
        <w:spacing w:after="0" w:line="277" w:lineRule="auto"/>
        <w:tabs>
          <w:tab w:leader="none" w:pos="304"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Stock Option Award, which bears an original signature on behalf of the Company. You are urged to do so promptly.</w:t>
      </w:r>
    </w:p>
    <w:p>
      <w:pPr>
        <w:spacing w:after="0" w:line="170" w:lineRule="exact"/>
        <w:rPr>
          <w:rFonts w:ascii="Arial" w:cs="Arial" w:eastAsia="Arial" w:hAnsi="Arial"/>
          <w:sz w:val="18"/>
          <w:szCs w:val="18"/>
          <w:color w:val="auto"/>
        </w:rPr>
      </w:pPr>
    </w:p>
    <w:p>
      <w:pPr>
        <w:ind w:left="300" w:hanging="292"/>
        <w:spacing w:after="0"/>
        <w:tabs>
          <w:tab w:leader="none" w:pos="300"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Stock Option Award to the Company at:</w:t>
      </w:r>
    </w:p>
    <w:p>
      <w:pPr>
        <w:spacing w:after="0" w:line="22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00" w:hanging="292"/>
        <w:spacing w:after="0"/>
        <w:tabs>
          <w:tab w:leader="none" w:pos="300"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The Stock Option is not intended to be an “incentive stock option,” as such term is defined in Section 422 of the Code.</w:t>
      </w:r>
    </w:p>
    <w:p>
      <w:pPr>
        <w:spacing w:after="0" w:line="225" w:lineRule="exact"/>
        <w:rPr>
          <w:rFonts w:ascii="Arial" w:cs="Arial" w:eastAsia="Arial" w:hAnsi="Arial"/>
          <w:sz w:val="18"/>
          <w:szCs w:val="18"/>
          <w:color w:val="auto"/>
        </w:rPr>
      </w:pPr>
    </w:p>
    <w:p>
      <w:pPr>
        <w:ind w:left="340" w:right="360" w:hanging="332"/>
        <w:spacing w:after="0" w:line="277" w:lineRule="auto"/>
        <w:tabs>
          <w:tab w:leader="none" w:pos="304" w:val="left"/>
        </w:tabs>
        <w:numPr>
          <w:ilvl w:val="0"/>
          <w:numId w:val="213"/>
        </w:numPr>
        <w:rPr>
          <w:rFonts w:ascii="Arial" w:cs="Arial" w:eastAsia="Arial" w:hAnsi="Arial"/>
          <w:sz w:val="18"/>
          <w:szCs w:val="18"/>
          <w:color w:val="auto"/>
        </w:rPr>
      </w:pPr>
      <w:r>
        <w:rPr>
          <w:rFonts w:ascii="Arial" w:cs="Arial" w:eastAsia="Arial" w:hAnsi="Arial"/>
          <w:sz w:val="18"/>
          <w:szCs w:val="18"/>
          <w:b w:val="1"/>
          <w:bCs w:val="1"/>
          <w:i w:val="1"/>
          <w:iCs w:val="1"/>
          <w:color w:val="auto"/>
        </w:rPr>
        <w:t>By accepting the Award, you are deemed to be bound by the terms and conditions set forth in the 2014 Incentive Plan, this Notice of Stock Option Award and the Award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Stock Option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ACTIVISION BLIZZARD, INC.</w:t>
      </w:r>
    </w:p>
    <w:p>
      <w:pPr>
        <w:spacing w:after="0" w:line="200" w:lineRule="exact"/>
        <w:rPr>
          <w:sz w:val="20"/>
          <w:szCs w:val="20"/>
          <w:color w:val="auto"/>
        </w:rPr>
      </w:pPr>
    </w:p>
    <w:p>
      <w:pPr>
        <w:spacing w:after="0" w:line="24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Brian Stolz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Stolz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People Officer</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12/12/16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Mike Morhaime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Morhaime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44741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ectPr>
          <w:pgSz w:w="11900" w:h="16838" w:orient="portrait"/>
          <w:cols w:equalWidth="0" w:num="1">
            <w:col w:w="11420"/>
          </w:cols>
          <w:pgMar w:left="240" w:top="364" w:right="239" w:bottom="0" w:gutter="0" w:footer="0" w:header="0"/>
        </w:sectPr>
      </w:pPr>
    </w:p>
    <w:bookmarkStart w:id="223" w:name="page224"/>
    <w:bookmarkEnd w:id="223"/>
    <w:p>
      <w:pPr>
        <w:spacing w:after="0"/>
        <w:rPr>
          <w:sz w:val="20"/>
          <w:szCs w:val="20"/>
          <w:color w:val="auto"/>
        </w:rPr>
      </w:pPr>
      <w:r>
        <w:rPr>
          <w:rFonts w:ascii="Arial" w:cs="Arial" w:eastAsia="Arial" w:hAnsi="Arial"/>
          <w:sz w:val="18"/>
          <w:szCs w:val="18"/>
          <w:color w:val="auto"/>
        </w:rPr>
        <w:t>Date: 1/10/17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277876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277876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OPTION AWARD TERMS</w:t>
      </w:r>
    </w:p>
    <w:p>
      <w:pPr>
        <w:spacing w:after="0" w:line="229" w:lineRule="exact"/>
        <w:rPr>
          <w:sz w:val="20"/>
          <w:szCs w:val="20"/>
          <w:color w:val="auto"/>
        </w:rPr>
      </w:pPr>
    </w:p>
    <w:p>
      <w:pPr>
        <w:ind w:left="1300" w:hanging="644"/>
        <w:spacing w:after="0"/>
        <w:tabs>
          <w:tab w:leader="none" w:pos="1300"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sz w:val="20"/>
          <w:szCs w:val="20"/>
          <w:color w:val="auto"/>
        </w:rPr>
      </w:pPr>
    </w:p>
    <w:p>
      <w:pPr>
        <w:ind w:left="1860" w:hanging="555"/>
        <w:spacing w:after="0"/>
        <w:tabs>
          <w:tab w:leader="none" w:pos="18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ind w:right="20" w:firstLine="1297"/>
        <w:spacing w:after="0" w:line="271" w:lineRule="auto"/>
        <w:rPr>
          <w:sz w:val="20"/>
          <w:szCs w:val="20"/>
          <w:color w:val="auto"/>
        </w:rPr>
      </w:pPr>
      <w:r>
        <w:rPr>
          <w:rFonts w:ascii="Arial" w:cs="Arial" w:eastAsia="Arial" w:hAnsi="Arial"/>
          <w:sz w:val="17"/>
          <w:szCs w:val="17"/>
          <w:b w:val="1"/>
          <w:bCs w:val="1"/>
          <w:color w:val="auto"/>
        </w:rPr>
        <w:t xml:space="preserve">“Cause” </w:t>
      </w:r>
      <w:r>
        <w:rPr>
          <w:rFonts w:ascii="Arial" w:cs="Arial" w:eastAsia="Arial" w:hAnsi="Arial"/>
          <w:sz w:val="17"/>
          <w:szCs w:val="17"/>
          <w:color w:val="auto"/>
        </w:rPr>
        <w:t>(i) shall have the meaning given to such term in any employment agreement or offer letter between the Holder and any entity in</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Group in effect at the time of the determination or (ii) if the Holder is not then party to any agreement or offer letter with any entity in the Company Group or any such agreement or offer letter does not contain a definition of “cause,” shall mean a good faith determination by the Company that the Holder (A) 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74" w:lineRule="exact"/>
        <w:rPr>
          <w:sz w:val="20"/>
          <w:szCs w:val="20"/>
          <w:color w:val="auto"/>
        </w:rPr>
      </w:pPr>
    </w:p>
    <w:p>
      <w:pPr>
        <w:ind w:right="30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9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and its subsidiaries.</w:t>
      </w:r>
    </w:p>
    <w:p>
      <w:pPr>
        <w:spacing w:after="0" w:line="225" w:lineRule="exact"/>
        <w:rPr>
          <w:sz w:val="20"/>
          <w:szCs w:val="20"/>
          <w:color w:val="auto"/>
        </w:rPr>
      </w:pPr>
    </w:p>
    <w:p>
      <w:pPr>
        <w:jc w:val="both"/>
        <w:ind w:right="18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5" w:lineRule="exact"/>
        <w:rPr>
          <w:sz w:val="20"/>
          <w:szCs w:val="20"/>
          <w:color w:val="auto"/>
        </w:rPr>
      </w:pPr>
    </w:p>
    <w:p>
      <w:pPr>
        <w:jc w:val="both"/>
        <w:ind w:right="160" w:firstLine="1297"/>
        <w:spacing w:after="0" w:line="266" w:lineRule="auto"/>
        <w:rPr>
          <w:sz w:val="20"/>
          <w:szCs w:val="20"/>
          <w:color w:val="auto"/>
        </w:rPr>
      </w:pPr>
      <w:r>
        <w:rPr>
          <w:rFonts w:ascii="Arial" w:cs="Arial" w:eastAsia="Arial" w:hAnsi="Arial"/>
          <w:sz w:val="18"/>
          <w:szCs w:val="18"/>
          <w:b w:val="1"/>
          <w:bCs w:val="1"/>
          <w:color w:val="auto"/>
        </w:rPr>
        <w:t xml:space="preserve">“Disability” </w:t>
      </w:r>
      <w:r>
        <w:rPr>
          <w:rFonts w:ascii="Arial" w:cs="Arial" w:eastAsia="Arial" w:hAnsi="Arial"/>
          <w:sz w:val="18"/>
          <w:szCs w:val="18"/>
          <w:color w:val="auto"/>
        </w:rPr>
        <w:t>(i) shall have the meaning given to such term in, or otherwise be determined in accordance with, any employment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or offer letter between the Holder and any entity in the Company Group in effect at the time of the determination or (ii) if the Holder is not then party to any agreement or offer letter with any entity in the Company Group or</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Option Grant Award Agreement for U.S.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any such agreement or offer letter does not contain a definition of “disability” or otherwise provide a method for determining whether the Holder is disabled, shall mean the Holder is receiving benefits under any long-term disability plan of the Company Group then in effect.</w:t>
      </w:r>
    </w:p>
    <w:p>
      <w:pPr>
        <w:spacing w:after="0" w:line="166" w:lineRule="exact"/>
        <w:rPr>
          <w:sz w:val="20"/>
          <w:szCs w:val="20"/>
          <w:color w:val="auto"/>
        </w:rPr>
      </w:pPr>
    </w:p>
    <w:p>
      <w:pPr>
        <w:ind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the Holder of his or her employment agreement with any entity in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Group for so long as the terms of such employment agreement shall apply to the Holder (with any breach of the post-termination obligations contained therein deemed to be material for purposes of this definition).</w:t>
      </w:r>
    </w:p>
    <w:p>
      <w:pPr>
        <w:spacing w:after="0" w:line="176" w:lineRule="exact"/>
        <w:rPr>
          <w:sz w:val="20"/>
          <w:szCs w:val="20"/>
          <w:color w:val="auto"/>
        </w:rPr>
      </w:pPr>
    </w:p>
    <w:p>
      <w:pPr>
        <w:jc w:val="both"/>
        <w:ind w:right="12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means the Exercise Price set forth on the Grant Notice.</w:t>
      </w:r>
    </w:p>
    <w:p>
      <w:pPr>
        <w:spacing w:after="0" w:line="225" w:lineRule="exact"/>
        <w:rPr>
          <w:sz w:val="20"/>
          <w:szCs w:val="20"/>
          <w:color w:val="auto"/>
        </w:rPr>
      </w:pPr>
    </w:p>
    <w:p>
      <w:pPr>
        <w:jc w:val="both"/>
        <w:ind w:right="100" w:firstLine="1297"/>
        <w:spacing w:after="0" w:line="281" w:lineRule="auto"/>
        <w:rPr>
          <w:sz w:val="20"/>
          <w:szCs w:val="20"/>
          <w:color w:val="auto"/>
        </w:rPr>
      </w:pPr>
      <w:r>
        <w:rPr>
          <w:rFonts w:ascii="Arial" w:cs="Arial" w:eastAsia="Arial" w:hAnsi="Arial"/>
          <w:sz w:val="17"/>
          <w:szCs w:val="17"/>
          <w:b w:val="1"/>
          <w:bCs w:val="1"/>
          <w:color w:val="auto"/>
        </w:rPr>
        <w:t xml:space="preserve">“Exercise Rules and Regulations” </w:t>
      </w:r>
      <w:r>
        <w:rPr>
          <w:rFonts w:ascii="Arial" w:cs="Arial" w:eastAsia="Arial" w:hAnsi="Arial"/>
          <w:sz w:val="17"/>
          <w:szCs w:val="17"/>
          <w:color w:val="auto"/>
        </w:rPr>
        <w:t>means (i) the Securities Act or any comparable federal securities law and all applicable state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laws,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“Expiration Date” </w:t>
      </w:r>
      <w:r>
        <w:rPr>
          <w:rFonts w:ascii="Arial" w:cs="Arial" w:eastAsia="Arial" w:hAnsi="Arial"/>
          <w:sz w:val="18"/>
          <w:szCs w:val="18"/>
          <w:color w:val="auto"/>
        </w:rPr>
        <w:t>means the Expiration Date set forth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Stock Option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“Holder” </w:t>
      </w:r>
      <w:r>
        <w:rPr>
          <w:rFonts w:ascii="Arial" w:cs="Arial" w:eastAsia="Arial" w:hAnsi="Arial"/>
          <w:sz w:val="18"/>
          <w:szCs w:val="18"/>
          <w:color w:val="auto"/>
        </w:rPr>
        <w:t>means the recipient of the Award named on the Grant Notice.</w:t>
      </w:r>
    </w:p>
    <w:p>
      <w:pPr>
        <w:sectPr>
          <w:pgSz w:w="11900" w:h="16838" w:orient="portrait"/>
          <w:cols w:equalWidth="0" w:num="1">
            <w:col w:w="11420"/>
          </w:cols>
          <w:pgMar w:left="240" w:top="342" w:right="239" w:bottom="0" w:gutter="0" w:footer="0" w:header="0"/>
        </w:sectPr>
      </w:pPr>
    </w:p>
    <w:bookmarkStart w:id="224" w:name="page225"/>
    <w:bookmarkEnd w:id="224"/>
    <w:p>
      <w:pPr>
        <w:ind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the Holder,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the Holder and ending on the date of computation of the Recapture Amount with respect to such Employment Violation.</w:t>
      </w:r>
    </w:p>
    <w:p>
      <w:pPr>
        <w:spacing w:after="0" w:line="176" w:lineRule="exact"/>
        <w:rPr>
          <w:sz w:val="20"/>
          <w:szCs w:val="20"/>
          <w:color w:val="auto"/>
        </w:rPr>
      </w:pPr>
    </w:p>
    <w:p>
      <w:pPr>
        <w:ind w:right="180" w:firstLine="1297"/>
        <w:spacing w:after="0" w:line="282" w:lineRule="auto"/>
        <w:rPr>
          <w:sz w:val="20"/>
          <w:szCs w:val="20"/>
          <w:color w:val="auto"/>
        </w:rPr>
      </w:pPr>
      <w:r>
        <w:rPr>
          <w:rFonts w:ascii="Arial" w:cs="Arial" w:eastAsia="Arial" w:hAnsi="Arial"/>
          <w:sz w:val="18"/>
          <w:szCs w:val="18"/>
          <w:b w:val="1"/>
          <w:bCs w:val="1"/>
          <w:color w:val="auto"/>
        </w:rPr>
        <w:t xml:space="preserve">“Option” </w:t>
      </w:r>
      <w:r>
        <w:rPr>
          <w:rFonts w:ascii="Arial" w:cs="Arial" w:eastAsia="Arial" w:hAnsi="Arial"/>
          <w:sz w:val="18"/>
          <w:szCs w:val="18"/>
          <w:color w:val="auto"/>
        </w:rPr>
        <w:t>means the Stock Option to purchase Common Shares awarded to the Holder on the terms and conditions described in the Grant</w:t>
      </w:r>
      <w:r>
        <w:rPr>
          <w:rFonts w:ascii="Arial" w:cs="Arial" w:eastAsia="Arial" w:hAnsi="Arial"/>
          <w:sz w:val="18"/>
          <w:szCs w:val="18"/>
          <w:b w:val="1"/>
          <w:bCs w:val="1"/>
          <w:color w:val="auto"/>
        </w:rPr>
        <w:t xml:space="preserve"> </w:t>
      </w:r>
      <w:r>
        <w:rPr>
          <w:rFonts w:ascii="Arial" w:cs="Arial" w:eastAsia="Arial" w:hAnsi="Arial"/>
          <w:sz w:val="18"/>
          <w:szCs w:val="18"/>
          <w:color w:val="auto"/>
        </w:rPr>
        <w:t>Notice and these Award Terms.</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2014 Incentive Plan, as amended from time to time.</w:t>
      </w:r>
    </w:p>
    <w:p>
      <w:pPr>
        <w:spacing w:after="0" w:line="225" w:lineRule="exact"/>
        <w:rPr>
          <w:sz w:val="20"/>
          <w:szCs w:val="20"/>
          <w:color w:val="auto"/>
        </w:rPr>
      </w:pPr>
    </w:p>
    <w:p>
      <w:pPr>
        <w:jc w:val="both"/>
        <w:ind w:right="40" w:firstLine="1297"/>
        <w:spacing w:after="0" w:line="347" w:lineRule="auto"/>
        <w:rPr>
          <w:sz w:val="20"/>
          <w:szCs w:val="20"/>
          <w:color w:val="auto"/>
        </w:rPr>
      </w:pPr>
      <w:r>
        <w:rPr>
          <w:rFonts w:ascii="Arial" w:cs="Arial" w:eastAsia="Arial" w:hAnsi="Arial"/>
          <w:sz w:val="16"/>
          <w:szCs w:val="16"/>
          <w:b w:val="1"/>
          <w:bCs w:val="1"/>
          <w:color w:val="auto"/>
        </w:rPr>
        <w:t xml:space="preserve">“Recapture Amount” </w:t>
      </w:r>
      <w:r>
        <w:rPr>
          <w:rFonts w:ascii="Arial" w:cs="Arial" w:eastAsia="Arial" w:hAnsi="Arial"/>
          <w:sz w:val="16"/>
          <w:szCs w:val="16"/>
          <w:color w:val="auto"/>
        </w:rPr>
        <w:t>means, with respect to any Employment Violation by the Holder, the gross gain realized or unrealized by the Holder</w:t>
      </w:r>
      <w:r>
        <w:rPr>
          <w:rFonts w:ascii="Arial" w:cs="Arial" w:eastAsia="Arial" w:hAnsi="Arial"/>
          <w:sz w:val="16"/>
          <w:szCs w:val="16"/>
          <w:b w:val="1"/>
          <w:bCs w:val="1"/>
          <w:color w:val="auto"/>
        </w:rPr>
        <w:t xml:space="preserve"> </w:t>
      </w:r>
      <w:r>
        <w:rPr>
          <w:rFonts w:ascii="Arial" w:cs="Arial" w:eastAsia="Arial" w:hAnsi="Arial"/>
          <w:sz w:val="16"/>
          <w:szCs w:val="16"/>
          <w:color w:val="auto"/>
        </w:rPr>
        <w:t>upon all exercises of the Stock Option during the Look-back Period with respect to such Employment Violation, which gain shall be calculated as the sum of:</w:t>
      </w:r>
    </w:p>
    <w:p>
      <w:pPr>
        <w:spacing w:after="0" w:line="120" w:lineRule="exact"/>
        <w:rPr>
          <w:sz w:val="20"/>
          <w:szCs w:val="20"/>
          <w:color w:val="auto"/>
        </w:rPr>
      </w:pPr>
    </w:p>
    <w:p>
      <w:pPr>
        <w:ind w:left="660" w:firstLine="645"/>
        <w:spacing w:after="0" w:line="264" w:lineRule="auto"/>
        <w:tabs>
          <w:tab w:leader="none" w:pos="1978"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if the Holder has exercised any portion of the Stock Option during such Look-back Period and sold any of the Shares acquired on exercise thereafter, an amount equal to (A) the sum of the sales price for all such Shares sold minus (B) the aggregate Exercise Price for such Shares; plus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60" w:firstLine="645"/>
        <w:spacing w:after="0" w:line="272" w:lineRule="auto"/>
        <w:tabs>
          <w:tab w:leader="none" w:pos="1987" w:val="left"/>
        </w:tabs>
        <w:numPr>
          <w:ilvl w:val="0"/>
          <w:numId w:val="217"/>
        </w:numPr>
        <w:rPr>
          <w:rFonts w:ascii="Arial" w:cs="Arial" w:eastAsia="Arial" w:hAnsi="Arial"/>
          <w:sz w:val="17"/>
          <w:szCs w:val="17"/>
          <w:color w:val="auto"/>
        </w:rPr>
      </w:pPr>
      <w:r>
        <w:rPr>
          <w:rFonts w:ascii="Arial" w:cs="Arial" w:eastAsia="Arial" w:hAnsi="Arial"/>
          <w:sz w:val="17"/>
          <w:szCs w:val="17"/>
          <w:color w:val="auto"/>
        </w:rPr>
        <w:t>if the Holder has exercised any portion of the Stock Option during such Look-back Period and not sold all of the Shares acquired on exercise thereafter, an amount equal to the product of (A) the greatest of the following, minus the Exercise Price: (1) the Market Value per Share of Common Shares on the date of exercise, (2) the arithmetic average of the per share closing sales prices of Common Shares as reported on NASDAQ for the 30 trading day period ending on the trading day immediately preceding the date of the Company’s written notice of its exercise of its rights under Section 12 hereof, or (3) the arithmetic average of the per share closing sales prices of Common Shares as reported on NASDAQ for the 30 trading day period ending on the trading day immediately preceding the date of computation times (B) the number of Shares as to which the Stock Option was exercised and which were not sold.</w:t>
      </w:r>
    </w:p>
    <w:p>
      <w:pPr>
        <w:spacing w:after="0" w:line="17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“Shares” </w:t>
      </w:r>
      <w:r>
        <w:rPr>
          <w:rFonts w:ascii="Arial" w:cs="Arial" w:eastAsia="Arial" w:hAnsi="Arial"/>
          <w:sz w:val="18"/>
          <w:szCs w:val="18"/>
          <w:color w:val="auto"/>
        </w:rPr>
        <w:t>means the Common Shares purchasable upon exercise of the Stock Option.</w:t>
      </w:r>
    </w:p>
    <w:p>
      <w:pPr>
        <w:spacing w:after="0" w:line="225" w:lineRule="exact"/>
        <w:rPr>
          <w:sz w:val="20"/>
          <w:szCs w:val="20"/>
          <w:color w:val="auto"/>
        </w:rPr>
      </w:pPr>
    </w:p>
    <w:p>
      <w:pPr>
        <w:ind w:right="2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under any applicable law to be withheld from amounts otherwise payable to the Holder.</w:t>
      </w:r>
    </w:p>
    <w:p>
      <w:pPr>
        <w:spacing w:after="0" w:line="166" w:lineRule="exact"/>
        <w:rPr>
          <w:sz w:val="20"/>
          <w:szCs w:val="20"/>
          <w:color w:val="auto"/>
        </w:rPr>
      </w:pPr>
    </w:p>
    <w:p>
      <w:pPr>
        <w:ind w:left="1880" w:hanging="575"/>
        <w:spacing w:after="0"/>
        <w:tabs>
          <w:tab w:leader="none" w:pos="1880" w:val="left"/>
        </w:tabs>
        <w:numPr>
          <w:ilvl w:val="1"/>
          <w:numId w:val="218"/>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Expiration</w:t>
      </w:r>
      <w:r>
        <w:rPr>
          <w:rFonts w:ascii="Arial" w:cs="Arial" w:eastAsia="Arial" w:hAnsi="Arial"/>
          <w:sz w:val="18"/>
          <w:szCs w:val="18"/>
          <w:color w:val="auto"/>
        </w:rPr>
        <w:t>. The Stock Option shall expire on the Expiration Date and, after such expiration, shall no longer be exercisable.</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19"/>
        </w:numPr>
        <w:rPr>
          <w:rFonts w:ascii="Arial" w:cs="Arial" w:eastAsia="Arial" w:hAnsi="Arial"/>
          <w:sz w:val="18"/>
          <w:szCs w:val="18"/>
          <w:color w:val="auto"/>
        </w:rPr>
      </w:pPr>
      <w:r>
        <w:rPr>
          <w:rFonts w:ascii="Arial" w:cs="Arial" w:eastAsia="Arial" w:hAnsi="Arial"/>
          <w:sz w:val="18"/>
          <w:szCs w:val="18"/>
          <w:u w:val="single" w:color="auto"/>
          <w:color w:val="auto"/>
        </w:rPr>
        <w:t>Vesting and Exercise</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720" w:firstLine="1305"/>
        <w:spacing w:after="0" w:line="277" w:lineRule="auto"/>
        <w:tabs>
          <w:tab w:leader="none" w:pos="1861"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Vesting Schedule</w:t>
      </w:r>
      <w:r>
        <w:rPr>
          <w:rFonts w:ascii="Arial" w:cs="Arial" w:eastAsia="Arial" w:hAnsi="Arial"/>
          <w:sz w:val="18"/>
          <w:szCs w:val="18"/>
          <w:color w:val="auto"/>
        </w:rPr>
        <w:t>. Except as otherwise set forth in these Award Terms, the Stock Option shall vest, and thereupon become exercisable, in accordance with the “Schedule for Vesting” set forth on the Grant Notice.</w:t>
      </w:r>
    </w:p>
    <w:p>
      <w:pPr>
        <w:spacing w:after="0" w:line="170" w:lineRule="exact"/>
        <w:rPr>
          <w:rFonts w:ascii="Arial" w:cs="Arial" w:eastAsia="Arial" w:hAnsi="Arial"/>
          <w:sz w:val="18"/>
          <w:szCs w:val="18"/>
          <w:color w:val="auto"/>
        </w:rPr>
      </w:pPr>
    </w:p>
    <w:p>
      <w:pPr>
        <w:ind w:right="460" w:firstLine="1305"/>
        <w:spacing w:after="0" w:line="286" w:lineRule="auto"/>
        <w:tabs>
          <w:tab w:leader="none" w:pos="1871" w:val="left"/>
        </w:tabs>
        <w:numPr>
          <w:ilvl w:val="1"/>
          <w:numId w:val="219"/>
        </w:numPr>
        <w:rPr>
          <w:rFonts w:ascii="Arial" w:cs="Arial" w:eastAsia="Arial" w:hAnsi="Arial"/>
          <w:sz w:val="17"/>
          <w:szCs w:val="17"/>
          <w:color w:val="auto"/>
        </w:rPr>
      </w:pPr>
      <w:r>
        <w:rPr>
          <w:rFonts w:ascii="Arial" w:cs="Arial" w:eastAsia="Arial" w:hAnsi="Arial"/>
          <w:sz w:val="17"/>
          <w:szCs w:val="17"/>
          <w:u w:val="single" w:color="auto"/>
          <w:color w:val="auto"/>
        </w:rPr>
        <w:t>Exercisable Only by the Holder</w:t>
      </w:r>
      <w:r>
        <w:rPr>
          <w:rFonts w:ascii="Arial" w:cs="Arial" w:eastAsia="Arial" w:hAnsi="Arial"/>
          <w:sz w:val="17"/>
          <w:szCs w:val="17"/>
          <w:color w:val="auto"/>
        </w:rPr>
        <w:t>. Except as otherwise permitted under the Plan or Section 11 hereof, the Stock Option may be exercised during the Holder’s lifetime only by the Holder or, in the event of the Holder’s legal incapacity to do so, by the Holder’s guardian or legal representative acting on behalf of the Holder in a fiduciary capacity under court supervision and/or applicable law.</w:t>
      </w:r>
    </w:p>
    <w:p>
      <w:pPr>
        <w:spacing w:after="0" w:line="165" w:lineRule="exact"/>
        <w:rPr>
          <w:rFonts w:ascii="Arial" w:cs="Arial" w:eastAsia="Arial" w:hAnsi="Arial"/>
          <w:sz w:val="17"/>
          <w:szCs w:val="17"/>
          <w:color w:val="auto"/>
        </w:rPr>
      </w:pPr>
    </w:p>
    <w:p>
      <w:pPr>
        <w:ind w:right="380" w:firstLine="1305"/>
        <w:spacing w:after="0" w:line="259" w:lineRule="auto"/>
        <w:tabs>
          <w:tab w:leader="none" w:pos="1874"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Procedure for Exercise</w:t>
      </w:r>
      <w:r>
        <w:rPr>
          <w:rFonts w:ascii="Arial" w:cs="Arial" w:eastAsia="Arial" w:hAnsi="Arial"/>
          <w:sz w:val="18"/>
          <w:szCs w:val="18"/>
          <w:color w:val="auto"/>
        </w:rPr>
        <w:t>. The Stock Option may be exercised by the Holder as to all or any of the Shares as to which the Stock Option has vested (i) by following the procedures for exercise established by the Equity Account Administrator and posted on the Equity Account Administrator’s website from time to time or (ii) with the Company’s consent, by giving the Company written notice of exercise, in such form as may be prescribed by the Company from time to time, specifying the number of Shares to be purchased.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1305"/>
        <w:spacing w:after="0" w:line="283" w:lineRule="auto"/>
        <w:tabs>
          <w:tab w:leader="none" w:pos="1871" w:val="left"/>
        </w:tabs>
        <w:numPr>
          <w:ilvl w:val="1"/>
          <w:numId w:val="220"/>
        </w:numPr>
        <w:rPr>
          <w:rFonts w:ascii="Arial" w:cs="Arial" w:eastAsia="Arial" w:hAnsi="Arial"/>
          <w:sz w:val="16"/>
          <w:szCs w:val="16"/>
          <w:color w:val="auto"/>
        </w:rPr>
      </w:pPr>
      <w:r>
        <w:rPr>
          <w:rFonts w:ascii="Arial" w:cs="Arial" w:eastAsia="Arial" w:hAnsi="Arial"/>
          <w:sz w:val="16"/>
          <w:szCs w:val="16"/>
          <w:u w:val="single" w:color="auto"/>
          <w:color w:val="auto"/>
        </w:rPr>
        <w:t>Payment of Exercise Price</w:t>
      </w:r>
      <w:r>
        <w:rPr>
          <w:rFonts w:ascii="Arial" w:cs="Arial" w:eastAsia="Arial" w:hAnsi="Arial"/>
          <w:sz w:val="16"/>
          <w:szCs w:val="16"/>
          <w:color w:val="auto"/>
        </w:rPr>
        <w:t>. To be valid, any exercise of the Stock Option must be accompanied by full payment of the aggregate Exercise Price of the Shares being purchased. The Company shall determine the method or methods the Holder may use to make such payment, which may include any of the following: (i) by bank check or certified check or wire transfer of immediately available funds, (ii)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Exercise Price of the Shares being purchased, (iii) by tendering previously owned shares (valued at their Market Value per Share as of the date of tender), (iv) through the withholding of Shares otherwise deliverable upon exercise, or (v) any combination of (i), (ii), (iii) or</w:t>
      </w:r>
    </w:p>
    <w:p>
      <w:pPr>
        <w:spacing w:after="0" w:line="6" w:lineRule="exact"/>
        <w:rPr>
          <w:rFonts w:ascii="Arial" w:cs="Arial" w:eastAsia="Arial" w:hAnsi="Arial"/>
          <w:sz w:val="16"/>
          <w:szCs w:val="16"/>
          <w:color w:val="auto"/>
        </w:rPr>
      </w:pPr>
    </w:p>
    <w:p>
      <w:pPr>
        <w:ind w:left="320" w:hanging="312"/>
        <w:spacing w:after="0"/>
        <w:tabs>
          <w:tab w:leader="none" w:pos="3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above or any other manner permitted pursuant to the Plan.</w:t>
      </w:r>
    </w:p>
    <w:p>
      <w:pPr>
        <w:spacing w:after="0" w:line="210" w:lineRule="exact"/>
        <w:rPr>
          <w:rFonts w:ascii="Arial" w:cs="Arial" w:eastAsia="Arial" w:hAnsi="Arial"/>
          <w:sz w:val="18"/>
          <w:szCs w:val="18"/>
          <w:color w:val="auto"/>
        </w:rPr>
      </w:pPr>
    </w:p>
    <w:p>
      <w:pPr>
        <w:ind w:left="1880" w:hanging="575"/>
        <w:spacing w:after="0"/>
        <w:tabs>
          <w:tab w:leader="none" w:pos="1880"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In no event may the Stock Option be exercised for a fraction of a Share.</w:t>
      </w:r>
    </w:p>
    <w:p>
      <w:pPr>
        <w:spacing w:after="0" w:line="225" w:lineRule="exact"/>
        <w:rPr>
          <w:rFonts w:ascii="Arial" w:cs="Arial" w:eastAsia="Arial" w:hAnsi="Arial"/>
          <w:sz w:val="18"/>
          <w:szCs w:val="18"/>
          <w:color w:val="auto"/>
        </w:rPr>
      </w:pPr>
    </w:p>
    <w:p>
      <w:pPr>
        <w:ind w:right="60" w:firstLine="1305"/>
        <w:spacing w:after="0" w:line="264" w:lineRule="auto"/>
        <w:tabs>
          <w:tab w:leader="none" w:pos="1868" w:val="left"/>
        </w:tabs>
        <w:numPr>
          <w:ilvl w:val="1"/>
          <w:numId w:val="221"/>
        </w:numPr>
        <w:rPr>
          <w:rFonts w:ascii="Arial" w:cs="Arial" w:eastAsia="Arial" w:hAnsi="Arial"/>
          <w:sz w:val="18"/>
          <w:szCs w:val="18"/>
          <w:color w:val="auto"/>
        </w:rPr>
      </w:pPr>
      <w:r>
        <w:rPr>
          <w:rFonts w:ascii="Arial" w:cs="Arial" w:eastAsia="Arial" w:hAnsi="Arial"/>
          <w:sz w:val="18"/>
          <w:szCs w:val="18"/>
          <w:u w:val="single" w:color="auto"/>
          <w:color w:val="auto"/>
        </w:rPr>
        <w:t>No Adjustment for Dividends or Other Rights</w:t>
      </w:r>
      <w:r>
        <w:rPr>
          <w:rFonts w:ascii="Arial" w:cs="Arial" w:eastAsia="Arial" w:hAnsi="Arial"/>
          <w:sz w:val="18"/>
          <w:szCs w:val="18"/>
          <w:color w:val="auto"/>
        </w:rPr>
        <w:t>. No adjustment shall be made for cash dividends or other rights for which the record date is prior to the date as of which the issuance or transfer of Shares to the person entitled thereto has been evidenced on the books and records of the Company pursuant to clause (ii) of Section 3(g) hereof following exercise of the Stock Option.</w:t>
      </w:r>
    </w:p>
    <w:p>
      <w:pPr>
        <w:sectPr>
          <w:pgSz w:w="11900" w:h="16838" w:orient="portrait"/>
          <w:cols w:equalWidth="0" w:num="1">
            <w:col w:w="11400"/>
          </w:cols>
          <w:pgMar w:left="240" w:top="121" w:right="259" w:bottom="0" w:gutter="0" w:footer="0" w:header="0"/>
        </w:sectPr>
      </w:pPr>
    </w:p>
    <w:bookmarkStart w:id="225" w:name="page226"/>
    <w:bookmarkEnd w:id="225"/>
    <w:p>
      <w:pPr>
        <w:spacing w:after="0" w:line="94" w:lineRule="exact"/>
        <w:rPr>
          <w:sz w:val="20"/>
          <w:szCs w:val="20"/>
          <w:color w:val="auto"/>
        </w:rPr>
      </w:pPr>
    </w:p>
    <w:p>
      <w:pPr>
        <w:ind w:right="160" w:firstLine="1305"/>
        <w:spacing w:after="0" w:line="273" w:lineRule="auto"/>
        <w:tabs>
          <w:tab w:leader="none" w:pos="1884" w:val="left"/>
        </w:tabs>
        <w:numPr>
          <w:ilvl w:val="1"/>
          <w:numId w:val="222"/>
        </w:numPr>
        <w:rPr>
          <w:rFonts w:ascii="Arial" w:cs="Arial" w:eastAsia="Arial" w:hAnsi="Arial"/>
          <w:sz w:val="17"/>
          <w:szCs w:val="17"/>
          <w:color w:val="auto"/>
        </w:rPr>
      </w:pPr>
      <w:r>
        <w:rPr>
          <w:rFonts w:ascii="Arial" w:cs="Arial" w:eastAsia="Arial" w:hAnsi="Arial"/>
          <w:sz w:val="17"/>
          <w:szCs w:val="17"/>
          <w:u w:val="single" w:color="auto"/>
          <w:color w:val="auto"/>
        </w:rPr>
        <w:t>Issuance and Delivery of Shares</w:t>
      </w:r>
      <w:r>
        <w:rPr>
          <w:rFonts w:ascii="Arial" w:cs="Arial" w:eastAsia="Arial" w:hAnsi="Arial"/>
          <w:sz w:val="17"/>
          <w:szCs w:val="17"/>
          <w:color w:val="auto"/>
        </w:rPr>
        <w:t xml:space="preserve">. As soon as practicable (and, in any event, within 30 days) after the valid exercise of the Stock Option, the Company shall (i) effect the issuance or transfer of the Shares purchased upon such exercise, (ii) cause the issuance or transfer of such Shares to be evidenced on the books and records of the Company, and (iii) cause such Shares to be delivered to a Company-Sponsored Equity Account in the name of the person entitled to such Shares (or, with the Company’s consent, such other brokerage account as may be requested by such person);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such Shares are subject to a legend as set forth in Section 15 hereof, the Company shall instead cause a certificate evidencing such Shares and bearing such legend to be delivered to the person entitled thereto.</w:t>
      </w:r>
    </w:p>
    <w:p>
      <w:pPr>
        <w:spacing w:after="0" w:line="178" w:lineRule="exact"/>
        <w:rPr>
          <w:rFonts w:ascii="Arial" w:cs="Arial" w:eastAsia="Arial" w:hAnsi="Arial"/>
          <w:sz w:val="17"/>
          <w:szCs w:val="17"/>
          <w:color w:val="auto"/>
        </w:rPr>
      </w:pPr>
    </w:p>
    <w:p>
      <w:pPr>
        <w:ind w:right="60" w:firstLine="1305"/>
        <w:spacing w:after="0" w:line="264" w:lineRule="auto"/>
        <w:tabs>
          <w:tab w:leader="none" w:pos="1871" w:val="left"/>
        </w:tabs>
        <w:numPr>
          <w:ilvl w:val="1"/>
          <w:numId w:val="222"/>
        </w:numPr>
        <w:rPr>
          <w:rFonts w:ascii="Arial" w:cs="Arial" w:eastAsia="Arial" w:hAnsi="Arial"/>
          <w:sz w:val="18"/>
          <w:szCs w:val="18"/>
          <w:color w:val="auto"/>
        </w:rPr>
      </w:pPr>
      <w:r>
        <w:rPr>
          <w:rFonts w:ascii="Arial" w:cs="Arial" w:eastAsia="Arial" w:hAnsi="Arial"/>
          <w:sz w:val="18"/>
          <w:szCs w:val="18"/>
          <w:u w:val="single" w:color="auto"/>
          <w:color w:val="auto"/>
        </w:rPr>
        <w:t>Partial Exercise</w:t>
      </w:r>
      <w:r>
        <w:rPr>
          <w:rFonts w:ascii="Arial" w:cs="Arial" w:eastAsia="Arial" w:hAnsi="Arial"/>
          <w:sz w:val="18"/>
          <w:szCs w:val="18"/>
          <w:color w:val="auto"/>
        </w:rPr>
        <w:t>. If the Stock Option shall have been exercised with respect to less than all of the Shares purchasable upon exercise of the Stock Option, the Company shall make a notation in its books and records to reflect the partial exercise of the Stock Option and the number of Shares that thereafter remain available for purchase upon exercise of the Stock Option.</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2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59" w:lineRule="auto"/>
        <w:tabs>
          <w:tab w:leader="none" w:pos="1861" w:val="left"/>
        </w:tabs>
        <w:numPr>
          <w:ilvl w:val="1"/>
          <w:numId w:val="223"/>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Unless the Committee determines otherwise, in the event that (a) the Holder’s employment is terminated by any entity in the Company Group for Cause or (b) if the Holder terminates his or her employment with the Company Group in breach of an employment agreement with any entity in the Company Group, as of the date of such termination of employment the Stock Option shall (i) cease to vest, if not then fully vested, (ii) no longer be exercisable, whether or not vested, and (iii) be immediately cancelled.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20" w:firstLine="1305"/>
        <w:spacing w:after="0" w:line="291" w:lineRule="auto"/>
        <w:tabs>
          <w:tab w:leader="none" w:pos="1871" w:val="left"/>
        </w:tabs>
        <w:numPr>
          <w:ilvl w:val="2"/>
          <w:numId w:val="224"/>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Unless the Committee determines otherwise, in the event that the Holder dies while employed by any entity in the Company Group or the Holder’s employment with any entity in the Company Group is terminated due to the Holder’s Disability, the Stock Option shall</w:t>
      </w:r>
    </w:p>
    <w:p>
      <w:pPr>
        <w:ind w:left="220" w:hanging="212"/>
        <w:spacing w:after="0"/>
        <w:tabs>
          <w:tab w:leader="none" w:pos="220" w:val="left"/>
        </w:tabs>
        <w:numPr>
          <w:ilvl w:val="0"/>
          <w:numId w:val="225"/>
        </w:numPr>
        <w:rPr>
          <w:rFonts w:ascii="Arial" w:cs="Arial" w:eastAsia="Arial" w:hAnsi="Arial"/>
          <w:sz w:val="16"/>
          <w:szCs w:val="16"/>
          <w:color w:val="auto"/>
        </w:rPr>
      </w:pPr>
      <w:r>
        <w:rPr>
          <w:rFonts w:ascii="Arial" w:cs="Arial" w:eastAsia="Arial" w:hAnsi="Arial"/>
          <w:sz w:val="16"/>
          <w:szCs w:val="16"/>
          <w:color w:val="auto"/>
        </w:rPr>
        <w:t>cease to vest as of the date of the Holder’s death or the first date of the Holder’s Disability (as determined by the Committee), as the case may be, and</w:t>
      </w:r>
    </w:p>
    <w:p>
      <w:pPr>
        <w:spacing w:after="0" w:line="32" w:lineRule="exact"/>
        <w:rPr>
          <w:rFonts w:ascii="Arial" w:cs="Arial" w:eastAsia="Arial" w:hAnsi="Arial"/>
          <w:sz w:val="16"/>
          <w:szCs w:val="16"/>
          <w:color w:val="auto"/>
        </w:rPr>
      </w:pPr>
    </w:p>
    <w:p>
      <w:pPr>
        <w:ind w:right="160" w:firstLine="8"/>
        <w:spacing w:after="0" w:line="281" w:lineRule="auto"/>
        <w:tabs>
          <w:tab w:leader="none" w:pos="26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to the extent vested as of the date of the Holder’s death or the first date of the Holder’s Disability, as the case may be, remain exercisable in accordance with these Award Terms until the earlier of (A) the first anniversary of the date of the Holder’s death or termination of employment, as the case may be, and</w:t>
      </w:r>
    </w:p>
    <w:p>
      <w:pPr>
        <w:spacing w:after="0" w:line="1" w:lineRule="exact"/>
        <w:rPr>
          <w:rFonts w:ascii="Arial" w:cs="Arial" w:eastAsia="Arial" w:hAnsi="Arial"/>
          <w:sz w:val="16"/>
          <w:szCs w:val="16"/>
          <w:color w:val="auto"/>
        </w:rPr>
      </w:pPr>
    </w:p>
    <w:p>
      <w:pPr>
        <w:ind w:right="80"/>
        <w:spacing w:after="0" w:line="255" w:lineRule="auto"/>
        <w:rPr>
          <w:rFonts w:ascii="Arial" w:cs="Arial" w:eastAsia="Arial" w:hAnsi="Arial"/>
          <w:sz w:val="16"/>
          <w:szCs w:val="16"/>
          <w:color w:val="auto"/>
        </w:rPr>
      </w:pPr>
      <w:r>
        <w:rPr>
          <w:rFonts w:ascii="Arial" w:cs="Arial" w:eastAsia="Arial" w:hAnsi="Arial"/>
          <w:sz w:val="18"/>
          <w:szCs w:val="18"/>
          <w:color w:val="auto"/>
        </w:rPr>
        <w:t>(B) the Expiration Date, after which the Stock Option shall no longer be exercisable and shall be immediately cancelled. To the extent not vested as of the date of the Holder’s death or the first date of the Holder’s Disability, as the case may be, the Stock Option shall be immediately cancelled and shall no longer be exercisable.</w:t>
      </w:r>
    </w:p>
    <w:p>
      <w:pPr>
        <w:spacing w:after="0" w:line="190" w:lineRule="exact"/>
        <w:rPr>
          <w:rFonts w:ascii="Arial" w:cs="Arial" w:eastAsia="Arial" w:hAnsi="Arial"/>
          <w:sz w:val="16"/>
          <w:szCs w:val="16"/>
          <w:color w:val="auto"/>
        </w:rPr>
      </w:pPr>
    </w:p>
    <w:p>
      <w:pPr>
        <w:ind w:right="40" w:firstLine="1305"/>
        <w:spacing w:after="0" w:line="270" w:lineRule="auto"/>
        <w:tabs>
          <w:tab w:leader="none" w:pos="1874" w:val="left"/>
        </w:tabs>
        <w:numPr>
          <w:ilvl w:val="2"/>
          <w:numId w:val="225"/>
        </w:numPr>
        <w:rPr>
          <w:rFonts w:ascii="Arial" w:cs="Arial" w:eastAsia="Arial" w:hAnsi="Arial"/>
          <w:sz w:val="17"/>
          <w:szCs w:val="17"/>
          <w:color w:val="auto"/>
        </w:rPr>
      </w:pPr>
      <w:r>
        <w:rPr>
          <w:rFonts w:ascii="Arial" w:cs="Arial" w:eastAsia="Arial" w:hAnsi="Arial"/>
          <w:sz w:val="17"/>
          <w:szCs w:val="17"/>
          <w:u w:val="single" w:color="auto"/>
          <w:color w:val="auto"/>
        </w:rPr>
        <w:t>Other</w:t>
      </w:r>
      <w:r>
        <w:rPr>
          <w:rFonts w:ascii="Arial" w:cs="Arial" w:eastAsia="Arial" w:hAnsi="Arial"/>
          <w:sz w:val="17"/>
          <w:szCs w:val="17"/>
          <w:color w:val="auto"/>
        </w:rPr>
        <w:t>. Unless the Committee determines otherwise, in the event that the Holder’s employment is terminated for any reason not addressed by Section 4(a) or 4(b) hereof, the Stock Option shall (i) cease to vest as of the date of such termination of employment and (ii) to the extent vested as of the date of such termination of employment, be exercisable in accordance with these Award Terms until the earlier of (A) (i) in the case of a termination by the Holder, the 30th day after the date of such termination of employment or (ii) in the case of a termination by the Company Group, the 90th day after the date of such termination of employment (or, in either case, if the Holder is prohibited from exercising the Stock Option during some or all of the 30-day or 90-day period, as the case may be, following such termination date because such exercise would not be in compliance with the Exercise Rules and Regulations, whatever later date may be determined in accordance with a Committee-approved policy) and (B) the Expiration Date, after which the Stock Option shall no longer be exercisable and shall be immediately cancelled. To the extent not vested as of the date of such termination of service, the Stock Option shall be immediately cancelled and shall no longer be exercisable.</w:t>
      </w:r>
    </w:p>
    <w:p>
      <w:pPr>
        <w:spacing w:after="0" w:line="181" w:lineRule="exact"/>
        <w:rPr>
          <w:rFonts w:ascii="Arial" w:cs="Arial" w:eastAsia="Arial" w:hAnsi="Arial"/>
          <w:sz w:val="17"/>
          <w:szCs w:val="17"/>
          <w:color w:val="auto"/>
        </w:rPr>
      </w:pPr>
    </w:p>
    <w:p>
      <w:pPr>
        <w:ind w:right="120" w:firstLine="656"/>
        <w:spacing w:after="0" w:line="283" w:lineRule="auto"/>
        <w:tabs>
          <w:tab w:leader="none" w:pos="1296" w:val="left"/>
        </w:tabs>
        <w:numPr>
          <w:ilvl w:val="1"/>
          <w:numId w:val="225"/>
        </w:numPr>
        <w:rPr>
          <w:rFonts w:ascii="Arial" w:cs="Arial" w:eastAsia="Arial" w:hAnsi="Arial"/>
          <w:sz w:val="16"/>
          <w:szCs w:val="16"/>
          <w:color w:val="auto"/>
        </w:rPr>
      </w:pPr>
      <w:r>
        <w:rPr>
          <w:rFonts w:ascii="Arial" w:cs="Arial" w:eastAsia="Arial" w:hAnsi="Arial"/>
          <w:sz w:val="16"/>
          <w:szCs w:val="16"/>
          <w:u w:val="single" w:color="auto"/>
          <w:color w:val="auto"/>
        </w:rPr>
        <w:t>Tax Withholding</w:t>
      </w:r>
      <w:r>
        <w:rPr>
          <w:rFonts w:ascii="Arial" w:cs="Arial" w:eastAsia="Arial" w:hAnsi="Arial"/>
          <w:sz w:val="16"/>
          <w:szCs w:val="16"/>
          <w:color w:val="auto"/>
        </w:rPr>
        <w:t>. The Company shall have the right to require the Holder to satisfy any Withholding Taxes resulting from the exercise (in whole or in part) of the Stock Option, the issuance or transfer of any Shares upon exercise of the Stock Option or otherwise in connection with the Award at the time such Withholding Taxes become due. The Company shall determine the method or methods the Holder may use to satisfy any Withholding Taxes contemplated by this Section 5, which may include any of the following: (a) by delivery to the Company of a bank check or certified check or wire transfer of immediately available funds; (b) if securities of the Company of the same class as the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person exercising the Stock Option) to sell some or all of the Shares being purchased upon such exercise and to thereafter deliver promptly to the Company from the proceeds of such sale an amount in cash equal to the aggregate amount of such Withholding Taxes;</w:t>
      </w:r>
    </w:p>
    <w:p>
      <w:pPr>
        <w:spacing w:after="0" w:line="6" w:lineRule="exact"/>
        <w:rPr>
          <w:rFonts w:ascii="Arial" w:cs="Arial" w:eastAsia="Arial" w:hAnsi="Arial"/>
          <w:sz w:val="16"/>
          <w:szCs w:val="16"/>
          <w:color w:val="auto"/>
        </w:rPr>
      </w:pPr>
    </w:p>
    <w:p>
      <w:pPr>
        <w:ind w:right="40"/>
        <w:spacing w:after="0" w:line="302" w:lineRule="auto"/>
        <w:rPr>
          <w:rFonts w:ascii="Arial" w:cs="Arial" w:eastAsia="Arial" w:hAnsi="Arial"/>
          <w:sz w:val="16"/>
          <w:szCs w:val="16"/>
          <w:color w:val="auto"/>
        </w:rPr>
      </w:pPr>
      <w:r>
        <w:rPr>
          <w:rFonts w:ascii="Arial" w:cs="Arial" w:eastAsia="Arial" w:hAnsi="Arial"/>
          <w:sz w:val="16"/>
          <w:szCs w:val="16"/>
          <w:color w:val="auto"/>
        </w:rPr>
        <w:t>(c) by tendering previously owned shares (valued at their Market Value per Share as of the date of tender); (d) through the withholding of Shares otherwise deliverable upon exercise; or (e) by any combination of (a), (b), (c) or (d) above. Notwithstanding anything to the contrary contained herein, any entity in the Company Group shall have the right to ensure that all Withholding Taxes contemplated by this Section 5 are satisfied by (i) withholding from the Holder’s</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compensation, (ii) withholding Shares otherwise then deliverable (in which case the Holder will be deemed to have been issued the full number of Shares purchased upon exercise of the Stock Option), and (iii) arranging for the sale, on the Holder’s behalf, of Shares otherwise then deliverable. The Company shall have no obligation to deliver any Shares upon exercise of the Stock Option unless and until all Withholding Taxes contemplated by this Section 5 have been satisfied.</w:t>
      </w:r>
    </w:p>
    <w:p>
      <w:pPr>
        <w:spacing w:after="0" w:line="183" w:lineRule="exact"/>
        <w:rPr>
          <w:sz w:val="20"/>
          <w:szCs w:val="20"/>
          <w:color w:val="auto"/>
        </w:rPr>
      </w:pPr>
    </w:p>
    <w:p>
      <w:pPr>
        <w:ind w:right="220" w:firstLine="656"/>
        <w:spacing w:after="0" w:line="282" w:lineRule="auto"/>
        <w:tabs>
          <w:tab w:leader="none" w:pos="1296"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Deemed Agreement</w:t>
      </w:r>
      <w:r>
        <w:rPr>
          <w:rFonts w:ascii="Arial" w:cs="Arial" w:eastAsia="Arial" w:hAnsi="Arial"/>
          <w:sz w:val="18"/>
          <w:szCs w:val="18"/>
          <w:color w:val="auto"/>
        </w:rPr>
        <w:t xml:space="preserve">. </w:t>
      </w:r>
      <w:r>
        <w:rPr>
          <w:rFonts w:ascii="Arial" w:cs="Arial" w:eastAsia="Arial" w:hAnsi="Arial"/>
          <w:sz w:val="18"/>
          <w:szCs w:val="18"/>
          <w:b w:val="1"/>
          <w:bCs w:val="1"/>
          <w:color w:val="auto"/>
        </w:rPr>
        <w:t>By accepting the Award, the Holder is deemed to be bound by the terms and conditions set forth in the Plan,</w:t>
      </w:r>
      <w:r>
        <w:rPr>
          <w:rFonts w:ascii="Arial" w:cs="Arial" w:eastAsia="Arial" w:hAnsi="Arial"/>
          <w:sz w:val="18"/>
          <w:szCs w:val="18"/>
          <w:color w:val="auto"/>
        </w:rPr>
        <w:t xml:space="preserve"> </w:t>
      </w:r>
      <w:r>
        <w:rPr>
          <w:rFonts w:ascii="Arial" w:cs="Arial" w:eastAsia="Arial" w:hAnsi="Arial"/>
          <w:sz w:val="18"/>
          <w:szCs w:val="18"/>
          <w:b w:val="1"/>
          <w:bCs w:val="1"/>
          <w:color w:val="auto"/>
        </w:rPr>
        <w:t>the Grant Notice and these Award Terms.</w:t>
      </w:r>
    </w:p>
    <w:p>
      <w:pPr>
        <w:spacing w:after="0" w:line="165" w:lineRule="exact"/>
        <w:rPr>
          <w:rFonts w:ascii="Arial" w:cs="Arial" w:eastAsia="Arial" w:hAnsi="Arial"/>
          <w:sz w:val="18"/>
          <w:szCs w:val="18"/>
          <w:color w:val="auto"/>
        </w:rPr>
      </w:pPr>
    </w:p>
    <w:p>
      <w:pPr>
        <w:ind w:right="160" w:firstLine="656"/>
        <w:spacing w:after="0" w:line="277" w:lineRule="auto"/>
        <w:tabs>
          <w:tab w:leader="none" w:pos="1296" w:val="left"/>
        </w:tabs>
        <w:numPr>
          <w:ilvl w:val="0"/>
          <w:numId w:val="226"/>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exercise of the Stock Option such number of Common Shares as shall be required for issuance or delivery upon exercise thereof.</w:t>
      </w:r>
    </w:p>
    <w:p>
      <w:pPr>
        <w:spacing w:after="0" w:line="170" w:lineRule="exact"/>
        <w:rPr>
          <w:rFonts w:ascii="Arial" w:cs="Arial" w:eastAsia="Arial" w:hAnsi="Arial"/>
          <w:sz w:val="18"/>
          <w:szCs w:val="18"/>
          <w:color w:val="auto"/>
        </w:rPr>
      </w:pPr>
    </w:p>
    <w:p>
      <w:pPr>
        <w:ind w:right="40" w:firstLine="656"/>
        <w:spacing w:after="0" w:line="291" w:lineRule="auto"/>
        <w:tabs>
          <w:tab w:leader="none" w:pos="1296" w:val="left"/>
        </w:tabs>
        <w:numPr>
          <w:ilvl w:val="0"/>
          <w:numId w:val="226"/>
        </w:numPr>
        <w:rPr>
          <w:rFonts w:ascii="Arial" w:cs="Arial" w:eastAsia="Arial" w:hAnsi="Arial"/>
          <w:sz w:val="16"/>
          <w:szCs w:val="16"/>
          <w:color w:val="auto"/>
        </w:rPr>
      </w:pPr>
      <w:r>
        <w:rPr>
          <w:rFonts w:ascii="Arial" w:cs="Arial" w:eastAsia="Arial" w:hAnsi="Arial"/>
          <w:sz w:val="16"/>
          <w:szCs w:val="16"/>
          <w:u w:val="single" w:color="auto"/>
          <w:color w:val="auto"/>
        </w:rPr>
        <w:t>Committee Discretion</w:t>
      </w:r>
      <w:r>
        <w:rPr>
          <w:rFonts w:ascii="Arial" w:cs="Arial" w:eastAsia="Arial" w:hAnsi="Arial"/>
          <w:sz w:val="16"/>
          <w:szCs w:val="16"/>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 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the Holder taken as a whole without the Holder’s consent. Without intending to limit the generality or effect of the foregoing, the Committee may</w:t>
      </w:r>
    </w:p>
    <w:p>
      <w:pPr>
        <w:sectPr>
          <w:pgSz w:w="11900" w:h="16932" w:orient="portrait"/>
          <w:cols w:equalWidth="0" w:num="1">
            <w:col w:w="11400"/>
          </w:cols>
          <w:pgMar w:left="240" w:top="125" w:right="259" w:bottom="0" w:gutter="0" w:footer="0" w:header="0"/>
        </w:sectPr>
      </w:pPr>
    </w:p>
    <w:bookmarkStart w:id="226" w:name="page227"/>
    <w:bookmarkEnd w:id="226"/>
    <w:p>
      <w:pPr>
        <w:ind w:right="120"/>
        <w:spacing w:after="0" w:line="259" w:lineRule="auto"/>
        <w:rPr>
          <w:sz w:val="20"/>
          <w:szCs w:val="20"/>
          <w:color w:val="auto"/>
        </w:rPr>
      </w:pPr>
      <w:r>
        <w:rPr>
          <w:rFonts w:ascii="Arial" w:cs="Arial" w:eastAsia="Arial" w:hAnsi="Arial"/>
          <w:sz w:val="18"/>
          <w:szCs w:val="18"/>
          <w:color w:val="auto"/>
        </w:rPr>
        <w:t>amend the terms of the Award (i) in recognition of unusual or nonrecurring events (including, without limitation, events described in Section 9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Section 409A.</w:t>
      </w:r>
    </w:p>
    <w:p>
      <w:pPr>
        <w:spacing w:after="0" w:line="187" w:lineRule="exact"/>
        <w:rPr>
          <w:sz w:val="20"/>
          <w:szCs w:val="20"/>
          <w:color w:val="auto"/>
        </w:rPr>
      </w:pPr>
    </w:p>
    <w:p>
      <w:pPr>
        <w:ind w:right="100" w:firstLine="656"/>
        <w:spacing w:after="0" w:line="254" w:lineRule="auto"/>
        <w:tabs>
          <w:tab w:leader="none" w:pos="1296" w:val="left"/>
        </w:tabs>
        <w:numPr>
          <w:ilvl w:val="0"/>
          <w:numId w:val="227"/>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herein, pursuant to Section 13 of the Plan, the Committee will make or provide for such adjustments to the Award as are equitably required to prevent dilution or enlargement of the rights of the Holder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firstLine="656"/>
        <w:spacing w:after="0" w:line="253" w:lineRule="auto"/>
        <w:tabs>
          <w:tab w:leader="none" w:pos="129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Registration and Listing</w:t>
      </w:r>
      <w:r>
        <w:rPr>
          <w:rFonts w:ascii="Arial" w:cs="Arial" w:eastAsia="Arial" w:hAnsi="Arial"/>
          <w:sz w:val="18"/>
          <w:szCs w:val="18"/>
          <w:color w:val="auto"/>
        </w:rPr>
        <w:t>. Notwithstanding anything to the contrary contained herein, the Stock Option may not be exercised, and the Stock Option and Shares purchasable upon exercise of the Stock Option may not be purchased,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the Stock Option or Shares with the SEC, any state securities commission or any securities exchange, securities association, market system or quotation system to effect such compliance. The Holder shall make such representations and furnish such information as may be appropriate to permit the Company, in light of the then existence or non-existence of an effective registration statement under the Securities Act relating to the Stock Option or Shares, to issue or transfer the Stock Option or Shares in compliance with the provisions of that or any comparable federal securities law and all applicable state securities laws. The Company shall have the right, but not the obligation, to register the issuance or resale of the Stock Option or Shares under the Securities Act or any comparable federal securities law or applicable state securities law.</w:t>
      </w:r>
    </w:p>
    <w:p>
      <w:pPr>
        <w:spacing w:after="0" w:line="194" w:lineRule="exact"/>
        <w:rPr>
          <w:rFonts w:ascii="Arial" w:cs="Arial" w:eastAsia="Arial" w:hAnsi="Arial"/>
          <w:sz w:val="18"/>
          <w:szCs w:val="18"/>
          <w:color w:val="auto"/>
        </w:rPr>
      </w:pPr>
    </w:p>
    <w:p>
      <w:pPr>
        <w:ind w:right="120" w:firstLine="656"/>
        <w:spacing w:after="0" w:line="255" w:lineRule="auto"/>
        <w:tabs>
          <w:tab w:leader="none" w:pos="1285"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Subject to the terms of the Plan and only with the Company’s consent, the Holder may transfer all or part of the Stock Option for estate planning purposes or pursuant to a domestic relations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xml:space="preserve"> that the Holder will remain bound by the terms and conditions of the Plan, the Grant Notice and these Award Terms. Except as otherwise permitted under the Plan or this Section 11, the Stock Option shall not be transferable by the Holder other than by will or the laws of descent and distribution.</w:t>
      </w:r>
    </w:p>
    <w:p>
      <w:pPr>
        <w:spacing w:after="0" w:line="193" w:lineRule="exact"/>
        <w:rPr>
          <w:rFonts w:ascii="Arial" w:cs="Arial" w:eastAsia="Arial" w:hAnsi="Arial"/>
          <w:sz w:val="18"/>
          <w:szCs w:val="18"/>
          <w:color w:val="auto"/>
        </w:rPr>
      </w:pPr>
    </w:p>
    <w:p>
      <w:pPr>
        <w:ind w:right="20" w:firstLine="656"/>
        <w:spacing w:after="0" w:line="253" w:lineRule="auto"/>
        <w:tabs>
          <w:tab w:leader="none" w:pos="1292"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Employment Violation</w:t>
      </w:r>
      <w:r>
        <w:rPr>
          <w:rFonts w:ascii="Arial" w:cs="Arial" w:eastAsia="Arial" w:hAnsi="Arial"/>
          <w:sz w:val="18"/>
          <w:szCs w:val="18"/>
          <w:color w:val="auto"/>
        </w:rPr>
        <w:t xml:space="preserve">. The terms of this Section 12 shall apply to the Stock Option if the Holder is or becomes subject to an employment agreement with any entity in the Company Group. In the event of an Employment Violation, the Company shall have the right to require (a) the termination and cancellation of the Stock Option, whether vested or unvested, and (b) payment by the Holder to the Company of the Recapture Amount with respect to such Employment Violation;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lieu of payment by the Holder to the Company of the Recapture Amount, the Holder, in his or her discretion, may tender to the Company the Shares acquired upon exercise of the Stock Option during the Look-back Period with respect to such Employment Violation (without any consideration from the Company in exchange therefor). Any such termination of the Stock Option and payment of the Recapture Amount, as the case may be, shall be in addition to, and not in lieu of, any other right or remedy available to the Company arising out of or in connection with such Employment Violation, including, without limitation, the right to terminate the Holder’s employment if not already terminated and to seek injunctive relief and additional monetary damages.</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0" w:firstLine="1305"/>
        <w:spacing w:after="0" w:line="277" w:lineRule="auto"/>
        <w:tabs>
          <w:tab w:leader="none" w:pos="194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The Holder is responsible for complying with (i) any federal, state and local taxation laws applicable to the Holder in connection with the Award and (ii) all Exercise Rules and Regulations.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1305"/>
        <w:spacing w:after="0" w:line="264" w:lineRule="auto"/>
        <w:tabs>
          <w:tab w:leader="none" w:pos="1952" w:val="left"/>
        </w:tabs>
        <w:numPr>
          <w:ilvl w:val="1"/>
          <w:numId w:val="229"/>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any policy requiring or permitting the Company to recover any gains realized by the Holder in connection with the Award, including, without limitation, the Policy on Recoupment of Performance-Based Compensation Related to Certain Financial Restatements.</w:t>
      </w:r>
    </w:p>
    <w:p>
      <w:pPr>
        <w:spacing w:after="0" w:line="181" w:lineRule="exact"/>
        <w:rPr>
          <w:rFonts w:ascii="Arial" w:cs="Arial" w:eastAsia="Arial" w:hAnsi="Arial"/>
          <w:sz w:val="18"/>
          <w:szCs w:val="18"/>
          <w:color w:val="auto"/>
        </w:rPr>
      </w:pPr>
    </w:p>
    <w:p>
      <w:pPr>
        <w:ind w:right="20" w:firstLine="656"/>
        <w:spacing w:after="0" w:line="288" w:lineRule="auto"/>
        <w:tabs>
          <w:tab w:leader="none" w:pos="1292" w:val="left"/>
        </w:tabs>
        <w:numPr>
          <w:ilvl w:val="0"/>
          <w:numId w:val="230"/>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xml:space="preserve">. As the Exercise Price is equal to the fair market value of a Share on the Date of Grant, payments contemplated with respect to the Award are intended to be exempt from Section 409A, and all provisions of the Plan, the Grant Notice and these Award Terms shall be construed and interpreted in a manner consistent with the requirements for avoiding taxes or penalties under Section 409A. Notwithstanding the foregoing, (a) nothing in the Plan, the Grant Notice and these Award Terms shall guarantee that the Award is not subject to taxes or penalties under Section 409A and (b) if any provision of the Plan, the Grant Notice or these Award Terms would, in the reasonable, good faith judgment of the Company, result or likely result in the imposition on the Holder or any other person of taxes, interest or penalties under Section 409A, the Committee may, in its sole discretion, modify the terms of the Plan, the Grant Notice or these Award Terms, without the consent of the Holder, in the manner that the Committee may reasonably and in good faith determine to be necessary or advisable to avoid the imposition of such taxes, interest or penalties;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13 does not create an obligation on the part of the Committee or the Company to make any such modification, and in no event shall the Company be liable for the payment of or gross up in connection with any taxes, interest or penalties owed by the Holder pursuant to Section 409A.</w:t>
      </w:r>
    </w:p>
    <w:p>
      <w:pPr>
        <w:spacing w:after="0" w:line="169" w:lineRule="exact"/>
        <w:rPr>
          <w:rFonts w:ascii="Arial" w:cs="Arial" w:eastAsia="Arial" w:hAnsi="Arial"/>
          <w:sz w:val="16"/>
          <w:szCs w:val="16"/>
          <w:color w:val="auto"/>
        </w:rPr>
      </w:pPr>
    </w:p>
    <w:p>
      <w:pPr>
        <w:ind w:right="40" w:firstLine="656"/>
        <w:spacing w:after="0" w:line="277" w:lineRule="auto"/>
        <w:tabs>
          <w:tab w:leader="none" w:pos="1292" w:val="left"/>
        </w:tabs>
        <w:numPr>
          <w:ilvl w:val="0"/>
          <w:numId w:val="230"/>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Shares to bear a legend substantially as follows:</w:t>
      </w:r>
    </w:p>
    <w:p>
      <w:pPr>
        <w:spacing w:after="0" w:line="170" w:lineRule="exact"/>
        <w:rPr>
          <w:sz w:val="20"/>
          <w:szCs w:val="20"/>
          <w:color w:val="auto"/>
        </w:rPr>
      </w:pPr>
    </w:p>
    <w:p>
      <w:pPr>
        <w:ind w:left="660" w:right="260"/>
        <w:spacing w:after="0" w:line="264" w:lineRule="auto"/>
        <w:rPr>
          <w:sz w:val="20"/>
          <w:szCs w:val="20"/>
          <w:color w:val="auto"/>
        </w:rPr>
      </w:pPr>
      <w:r>
        <w:rPr>
          <w:rFonts w:ascii="Arial" w:cs="Arial" w:eastAsia="Arial" w:hAnsi="Arial"/>
          <w:sz w:val="18"/>
          <w:szCs w:val="18"/>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ectPr>
          <w:pgSz w:w="11900" w:h="16838" w:orient="portrait"/>
          <w:cols w:equalWidth="0" w:num="1">
            <w:col w:w="11420"/>
          </w:cols>
          <w:pgMar w:left="240" w:top="125" w:right="239" w:bottom="0" w:gutter="0" w:footer="0" w:header="0"/>
        </w:sectPr>
      </w:pPr>
    </w:p>
    <w:bookmarkStart w:id="227" w:name="page228"/>
    <w:bookmarkEnd w:id="227"/>
    <w:p>
      <w:pPr>
        <w:ind w:left="-40" w:right="80" w:firstLine="656"/>
        <w:spacing w:after="0" w:line="264" w:lineRule="auto"/>
        <w:tabs>
          <w:tab w:leader="none" w:pos="125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the Holder any right to be continued in the employ of any entity in the Company Group or derogate from any right of any entity in the Company Group to retire, request the resignation of, or discharge the Holder at any time, with or without Cause.</w:t>
      </w:r>
    </w:p>
    <w:p>
      <w:pPr>
        <w:spacing w:after="0" w:line="181" w:lineRule="exact"/>
        <w:rPr>
          <w:rFonts w:ascii="Arial" w:cs="Arial" w:eastAsia="Arial" w:hAnsi="Arial"/>
          <w:sz w:val="18"/>
          <w:szCs w:val="18"/>
          <w:color w:val="auto"/>
        </w:rPr>
      </w:pPr>
    </w:p>
    <w:p>
      <w:pPr>
        <w:ind w:left="-40" w:right="20" w:firstLine="656"/>
        <w:spacing w:after="0" w:line="264" w:lineRule="auto"/>
        <w:tabs>
          <w:tab w:leader="none" w:pos="125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the Stock Option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81" w:lineRule="exact"/>
        <w:rPr>
          <w:rFonts w:ascii="Arial" w:cs="Arial" w:eastAsia="Arial" w:hAnsi="Arial"/>
          <w:sz w:val="18"/>
          <w:szCs w:val="18"/>
          <w:color w:val="auto"/>
        </w:rPr>
      </w:pPr>
    </w:p>
    <w:p>
      <w:pPr>
        <w:ind w:left="-40" w:right="240" w:firstLine="656"/>
        <w:spacing w:after="0" w:line="264" w:lineRule="auto"/>
        <w:tabs>
          <w:tab w:leader="none" w:pos="1252" w:val="left"/>
        </w:tabs>
        <w:numPr>
          <w:ilvl w:val="0"/>
          <w:numId w:val="231"/>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260" w:hanging="644"/>
        <w:spacing w:after="0"/>
        <w:tabs>
          <w:tab w:leader="none" w:pos="126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Venue and 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right="20" w:firstLine="1305"/>
        <w:spacing w:after="0" w:line="259" w:lineRule="auto"/>
        <w:tabs>
          <w:tab w:leader="none" w:pos="1821" w:val="left"/>
        </w:tabs>
        <w:numPr>
          <w:ilvl w:val="1"/>
          <w:numId w:val="232"/>
        </w:numPr>
        <w:rPr>
          <w:rFonts w:ascii="Arial" w:cs="Arial" w:eastAsia="Arial" w:hAnsi="Arial"/>
          <w:sz w:val="18"/>
          <w:szCs w:val="18"/>
          <w:color w:val="auto"/>
        </w:rPr>
      </w:pPr>
      <w:r>
        <w:rPr>
          <w:rFonts w:ascii="Arial" w:cs="Arial" w:eastAsia="Arial" w:hAnsi="Arial"/>
          <w:sz w:val="18"/>
          <w:szCs w:val="18"/>
          <w:color w:val="auto"/>
        </w:rPr>
        <w:t>For purposes of litigating any dispute that arises directly or indirectly from the relationship of the parties evidenced by the grant of the Stock Option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Stock Option is made and/or to be performed.</w:t>
      </w:r>
    </w:p>
    <w:p>
      <w:pPr>
        <w:spacing w:after="0" w:line="186" w:lineRule="exact"/>
        <w:rPr>
          <w:rFonts w:ascii="Arial" w:cs="Arial" w:eastAsia="Arial" w:hAnsi="Arial"/>
          <w:sz w:val="18"/>
          <w:szCs w:val="18"/>
          <w:color w:val="auto"/>
        </w:rPr>
      </w:pPr>
    </w:p>
    <w:p>
      <w:pPr>
        <w:ind w:left="-40" w:right="340" w:firstLine="1305"/>
        <w:spacing w:after="0" w:line="342" w:lineRule="auto"/>
        <w:tabs>
          <w:tab w:leader="none" w:pos="1831" w:val="left"/>
        </w:tabs>
        <w:numPr>
          <w:ilvl w:val="1"/>
          <w:numId w:val="232"/>
        </w:numPr>
        <w:rPr>
          <w:rFonts w:ascii="Arial" w:cs="Arial" w:eastAsia="Arial" w:hAnsi="Arial"/>
          <w:sz w:val="16"/>
          <w:szCs w:val="16"/>
          <w:color w:val="auto"/>
        </w:rPr>
      </w:pPr>
      <w:r>
        <w:rPr>
          <w:rFonts w:ascii="Arial" w:cs="Arial" w:eastAsia="Arial" w:hAnsi="Arial"/>
          <w:sz w:val="16"/>
          <w:szCs w:val="16"/>
          <w:color w:val="auto"/>
        </w:rPr>
        <w:t>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3" w:lineRule="exact"/>
        <w:rPr>
          <w:rFonts w:ascii="Arial" w:cs="Arial" w:eastAsia="Arial" w:hAnsi="Arial"/>
          <w:sz w:val="16"/>
          <w:szCs w:val="16"/>
          <w:color w:val="auto"/>
        </w:rPr>
      </w:pPr>
    </w:p>
    <w:p>
      <w:pPr>
        <w:ind w:left="-40" w:right="100" w:firstLine="656"/>
        <w:spacing w:after="0" w:line="264" w:lineRule="auto"/>
        <w:tabs>
          <w:tab w:leader="none" w:pos="1252"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the Holder and, to the extent applicable, the Holder’s permitted assigns under Section 3(b) hereof and the Holder’s estate or beneficiaries as determined by will or the laws of descent and distribution.</w:t>
      </w:r>
    </w:p>
    <w:p>
      <w:pPr>
        <w:spacing w:after="0" w:line="181" w:lineRule="exact"/>
        <w:rPr>
          <w:rFonts w:ascii="Arial" w:cs="Arial" w:eastAsia="Arial" w:hAnsi="Arial"/>
          <w:sz w:val="18"/>
          <w:szCs w:val="18"/>
          <w:color w:val="auto"/>
        </w:rPr>
      </w:pPr>
    </w:p>
    <w:p>
      <w:pPr>
        <w:ind w:left="1260" w:hanging="644"/>
        <w:spacing w:after="0"/>
        <w:tabs>
          <w:tab w:leader="none" w:pos="1260" w:val="left"/>
        </w:tabs>
        <w:numPr>
          <w:ilvl w:val="0"/>
          <w:numId w:val="232"/>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40" w:firstLine="1305"/>
        <w:spacing w:after="0" w:line="279" w:lineRule="auto"/>
        <w:tabs>
          <w:tab w:leader="none" w:pos="1821" w:val="left"/>
        </w:tabs>
        <w:numPr>
          <w:ilvl w:val="1"/>
          <w:numId w:val="232"/>
        </w:numPr>
        <w:rPr>
          <w:rFonts w:ascii="Arial" w:cs="Arial" w:eastAsia="Arial" w:hAnsi="Arial"/>
          <w:sz w:val="17"/>
          <w:szCs w:val="17"/>
          <w:color w:val="auto"/>
        </w:rPr>
      </w:pPr>
      <w:r>
        <w:rPr>
          <w:rFonts w:ascii="Arial" w:cs="Arial" w:eastAsia="Arial" w:hAnsi="Arial"/>
          <w:sz w:val="17"/>
          <w:szCs w:val="17"/>
          <w:color w:val="auto"/>
        </w:rPr>
        <w:t>Any notice or other document which the Holder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Attn: Stock Plan Administration, or such other address as the Company by notice to the Holder may designate in writing from time to time. Notices shall be effective upon delivery.</w:t>
      </w:r>
    </w:p>
    <w:p>
      <w:pPr>
        <w:spacing w:after="0" w:line="171" w:lineRule="exact"/>
        <w:rPr>
          <w:rFonts w:ascii="Arial" w:cs="Arial" w:eastAsia="Arial" w:hAnsi="Arial"/>
          <w:sz w:val="17"/>
          <w:szCs w:val="17"/>
          <w:color w:val="auto"/>
        </w:rPr>
      </w:pPr>
    </w:p>
    <w:p>
      <w:pPr>
        <w:ind w:left="-40" w:firstLine="1305"/>
        <w:spacing w:after="0" w:line="291" w:lineRule="auto"/>
        <w:tabs>
          <w:tab w:leader="none" w:pos="1831" w:val="left"/>
        </w:tabs>
        <w:numPr>
          <w:ilvl w:val="1"/>
          <w:numId w:val="232"/>
        </w:numPr>
        <w:rPr>
          <w:rFonts w:ascii="Arial" w:cs="Arial" w:eastAsia="Arial" w:hAnsi="Arial"/>
          <w:sz w:val="16"/>
          <w:szCs w:val="16"/>
          <w:color w:val="auto"/>
        </w:rPr>
      </w:pPr>
      <w:r>
        <w:rPr>
          <w:rFonts w:ascii="Arial" w:cs="Arial" w:eastAsia="Arial" w:hAnsi="Arial"/>
          <w:sz w:val="16"/>
          <w:szCs w:val="16"/>
          <w:color w:val="auto"/>
        </w:rPr>
        <w:t>Any notice or other document which the Company may be required or permitted to deliver to the Holder pursuant to or in connection with the Grant Notice or these Award Terms shall be in writing, and may be delivered personally or by mail, postage prepaid, or overnight courier, addressed to the Holder at the address shown on any employment agreement or offer letter between the Holder and any entity in the Company Group in effect at the time, or such other address as the Holder by notice to the Company may designate in writing from time to time. The Company may also, in its sole discretion, deliver any such document to the Holder electronically via an e-mail to the Holder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0" w:right="20" w:firstLine="656"/>
        <w:spacing w:after="0" w:line="257" w:lineRule="auto"/>
        <w:tabs>
          <w:tab w:leader="none" w:pos="1252"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any employment agreement or offer letter between the Holder and any entity in the Company Group in effect at the time and the terms of the Grant Notice or these Award Terms, the terms of the Grant Notice or these Award Terms, as the case may be, shall control. In the event of any conflict between the terms of any employment agreement or offer letter between the Holder and any entity in the Company Group in effect at the time, the Grant Notice or these Award Terms and the terms of the Plan, the terms of the Plan shall control.</w:t>
      </w:r>
    </w:p>
    <w:p>
      <w:pPr>
        <w:spacing w:after="0" w:line="188" w:lineRule="exact"/>
        <w:rPr>
          <w:rFonts w:ascii="Arial" w:cs="Arial" w:eastAsia="Arial" w:hAnsi="Arial"/>
          <w:sz w:val="18"/>
          <w:szCs w:val="18"/>
          <w:color w:val="auto"/>
        </w:rPr>
      </w:pPr>
    </w:p>
    <w:p>
      <w:pPr>
        <w:ind w:left="-40" w:right="40" w:firstLine="656"/>
        <w:spacing w:after="0" w:line="312" w:lineRule="auto"/>
        <w:tabs>
          <w:tab w:leader="none" w:pos="1252"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Imposition of Other Requirements</w:t>
      </w:r>
      <w:r>
        <w:rPr>
          <w:rFonts w:ascii="Arial" w:cs="Arial" w:eastAsia="Arial" w:hAnsi="Arial"/>
          <w:sz w:val="16"/>
          <w:szCs w:val="16"/>
          <w:color w:val="auto"/>
        </w:rPr>
        <w:t>. The Company reserves the right to impose other requirements on the Holder’s participation in the Plan, on the Stock Option and on any Shares acquired under the Plan, to the extent the Company determines it is necessary or advisable in order to facilitate the administration of the Plan, and to require the Holder to sign any additional agreements or undertakings that may be necessary to accomplish the foregoing.</w:t>
      </w:r>
    </w:p>
    <w:p>
      <w:pPr>
        <w:spacing w:after="0" w:line="146" w:lineRule="exact"/>
        <w:rPr>
          <w:rFonts w:ascii="Arial" w:cs="Arial" w:eastAsia="Arial" w:hAnsi="Arial"/>
          <w:sz w:val="16"/>
          <w:szCs w:val="16"/>
          <w:color w:val="auto"/>
        </w:rPr>
      </w:pPr>
    </w:p>
    <w:p>
      <w:pPr>
        <w:ind w:left="-40" w:firstLine="656"/>
        <w:spacing w:after="0" w:line="264" w:lineRule="auto"/>
        <w:tabs>
          <w:tab w:leader="none" w:pos="1252"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The Holder acknowledges that a waiver by the Company of a breach of any provision of these Award Terms shall not operate or be construed as a waiver of any other provision of these Award Terms, or of any subsequent breach by the Holder or any other holder of an equity award from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40"/>
          </w:cols>
          <w:pgMar w:left="280" w:top="125" w:right="27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10.69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ACTIVISION BLIZZARD,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2014 INCENTIVE PLAN</w:t>
      </w:r>
    </w:p>
    <w:p>
      <w:pPr>
        <w:spacing w:after="0" w:line="225" w:lineRule="exact"/>
        <w:rPr>
          <w:sz w:val="20"/>
          <w:szCs w:val="20"/>
          <w:color w:val="auto"/>
        </w:rPr>
      </w:pPr>
    </w:p>
    <w:p>
      <w:pPr>
        <w:ind w:left="3680"/>
        <w:spacing w:after="0"/>
        <w:rPr>
          <w:sz w:val="20"/>
          <w:szCs w:val="20"/>
          <w:color w:val="auto"/>
        </w:rPr>
      </w:pPr>
      <w:r>
        <w:rPr>
          <w:rFonts w:ascii="Arial" w:cs="Arial" w:eastAsia="Arial" w:hAnsi="Arial"/>
          <w:sz w:val="18"/>
          <w:szCs w:val="18"/>
          <w:b w:val="1"/>
          <w:bCs w:val="1"/>
          <w:color w:val="auto"/>
        </w:rPr>
        <w:t>NOTICE OF RESTRICTED SHARE UNIT AWARD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You have been awarded Restricted Share Units of Activision Blizzard, Inc. (the “Company”), as follows:</w:t>
      </w:r>
    </w:p>
    <w:p>
      <w:pPr>
        <w:spacing w:after="0" w:line="221" w:lineRule="exact"/>
        <w:rPr>
          <w:sz w:val="20"/>
          <w:szCs w:val="20"/>
          <w:color w:val="auto"/>
        </w:rPr>
      </w:pPr>
    </w:p>
    <w:p>
      <w:pPr>
        <w:ind w:left="300" w:hanging="292"/>
        <w:spacing w:after="0"/>
        <w:tabs>
          <w:tab w:leader="none" w:pos="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Your name: </w:t>
      </w:r>
      <w:r>
        <w:rPr>
          <w:rFonts w:ascii="Arial" w:cs="Arial" w:eastAsia="Arial" w:hAnsi="Arial"/>
          <w:sz w:val="18"/>
          <w:szCs w:val="18"/>
          <w:b w:val="1"/>
          <w:bCs w:val="1"/>
          <w:color w:val="auto"/>
        </w:rPr>
        <w:t>Mike Morhaime</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Total number of Restricted Share Units awarded: </w:t>
      </w:r>
      <w:r>
        <w:rPr>
          <w:rFonts w:ascii="Arial" w:cs="Arial" w:eastAsia="Arial" w:hAnsi="Arial"/>
          <w:sz w:val="18"/>
          <w:szCs w:val="18"/>
          <w:b w:val="1"/>
          <w:bCs w:val="1"/>
          <w:color w:val="auto"/>
        </w:rPr>
        <w:t>70,000</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Date of Grant: </w:t>
      </w:r>
      <w:r>
        <w:rPr>
          <w:rFonts w:ascii="Arial" w:cs="Arial" w:eastAsia="Arial" w:hAnsi="Arial"/>
          <w:sz w:val="18"/>
          <w:szCs w:val="18"/>
          <w:b w:val="1"/>
          <w:bCs w:val="1"/>
          <w:color w:val="auto"/>
        </w:rPr>
        <w:t>November 7, 2016</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 xml:space="preserve">Grant ID: </w:t>
      </w:r>
      <w:r>
        <w:rPr>
          <w:rFonts w:ascii="Arial" w:cs="Arial" w:eastAsia="Arial" w:hAnsi="Arial"/>
          <w:sz w:val="18"/>
          <w:szCs w:val="18"/>
          <w:b w:val="1"/>
          <w:bCs w:val="1"/>
          <w:color w:val="auto"/>
        </w:rPr>
        <w:t>01406656</w:t>
      </w:r>
    </w:p>
    <w:p>
      <w:pPr>
        <w:spacing w:after="0" w:line="229" w:lineRule="exact"/>
        <w:rPr>
          <w:rFonts w:ascii="Arial" w:cs="Arial" w:eastAsia="Arial" w:hAnsi="Arial"/>
          <w:sz w:val="18"/>
          <w:szCs w:val="18"/>
          <w:color w:val="auto"/>
        </w:rPr>
      </w:pPr>
    </w:p>
    <w:p>
      <w:pPr>
        <w:ind w:left="300" w:hanging="292"/>
        <w:spacing w:after="0"/>
        <w:tabs>
          <w:tab w:leader="none" w:pos="30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Your Award of Restricted Share Units is governed by the terms and conditions set forth in:</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this Notice of Restricted Share Unit Award;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 xml:space="preserve">the Restricted Share Unit Award Terms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“Award Terms”); and</w:t>
      </w:r>
    </w:p>
    <w:p>
      <w:pPr>
        <w:spacing w:after="0" w:line="225" w:lineRule="exact"/>
        <w:rPr>
          <w:rFonts w:ascii="Arial" w:cs="Arial" w:eastAsia="Arial" w:hAnsi="Arial"/>
          <w:sz w:val="18"/>
          <w:szCs w:val="18"/>
          <w:color w:val="auto"/>
        </w:rPr>
      </w:pPr>
    </w:p>
    <w:p>
      <w:pPr>
        <w:ind w:left="620" w:hanging="288"/>
        <w:spacing w:after="0"/>
        <w:tabs>
          <w:tab w:leader="none" w:pos="6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the Company’s 2014 Incentive Plan, the receipt of a copy of which you hereby acknowledge.</w:t>
      </w:r>
    </w:p>
    <w:p>
      <w:pPr>
        <w:spacing w:after="0" w:line="225" w:lineRule="exact"/>
        <w:rPr>
          <w:rFonts w:ascii="Arial" w:cs="Arial" w:eastAsia="Arial" w:hAnsi="Arial"/>
          <w:sz w:val="18"/>
          <w:szCs w:val="18"/>
          <w:color w:val="auto"/>
        </w:rPr>
      </w:pPr>
    </w:p>
    <w:p>
      <w:pPr>
        <w:ind w:left="340" w:right="140" w:hanging="332"/>
        <w:spacing w:after="0" w:line="264" w:lineRule="auto"/>
        <w:tabs>
          <w:tab w:leader="none" w:pos="304" w:val="left"/>
        </w:tabs>
        <w:numPr>
          <w:ilvl w:val="0"/>
          <w:numId w:val="234"/>
        </w:numPr>
        <w:rPr>
          <w:rFonts w:ascii="Arial" w:cs="Arial" w:eastAsia="Arial" w:hAnsi="Arial"/>
          <w:sz w:val="18"/>
          <w:szCs w:val="18"/>
          <w:color w:val="auto"/>
        </w:rPr>
      </w:pPr>
      <w:r>
        <w:rPr>
          <w:rFonts w:ascii="Arial" w:cs="Arial" w:eastAsia="Arial" w:hAnsi="Arial"/>
          <w:sz w:val="18"/>
          <w:szCs w:val="18"/>
          <w:color w:val="auto"/>
        </w:rPr>
        <w:t>Your Award of Restricted Share Units has been made in connection with your employment agreement with the Company or one of its subsidiaries as a material inducement to your entering into or renewing employment with such entity pursuant to such agreement, and is also governed by any applicable terms and conditions set forth in such agreement.</w:t>
      </w:r>
    </w:p>
    <w:p>
      <w:pPr>
        <w:spacing w:after="0" w:line="181" w:lineRule="exact"/>
        <w:rPr>
          <w:rFonts w:ascii="Arial" w:cs="Arial" w:eastAsia="Arial" w:hAnsi="Arial"/>
          <w:sz w:val="18"/>
          <w:szCs w:val="18"/>
          <w:color w:val="auto"/>
        </w:rPr>
      </w:pPr>
    </w:p>
    <w:p>
      <w:pPr>
        <w:ind w:left="340" w:right="40" w:hanging="332"/>
        <w:spacing w:after="0" w:line="277" w:lineRule="auto"/>
        <w:tabs>
          <w:tab w:leader="none" w:pos="304" w:val="left"/>
        </w:tabs>
        <w:numPr>
          <w:ilvl w:val="0"/>
          <w:numId w:val="234"/>
        </w:numPr>
        <w:rPr>
          <w:rFonts w:ascii="Arial" w:cs="Arial" w:eastAsia="Arial" w:hAnsi="Arial"/>
          <w:sz w:val="18"/>
          <w:szCs w:val="18"/>
          <w:color w:val="auto"/>
        </w:rPr>
      </w:pPr>
      <w:r>
        <w:rPr>
          <w:rFonts w:ascii="Arial" w:cs="Arial" w:eastAsia="Arial" w:hAnsi="Arial"/>
          <w:sz w:val="18"/>
          <w:szCs w:val="18"/>
          <w:i w:val="1"/>
          <w:iCs w:val="1"/>
          <w:color w:val="auto"/>
        </w:rPr>
        <w:t>Schedule for Vesting</w:t>
      </w:r>
      <w:r>
        <w:rPr>
          <w:rFonts w:ascii="Arial" w:cs="Arial" w:eastAsia="Arial" w:hAnsi="Arial"/>
          <w:sz w:val="18"/>
          <w:szCs w:val="18"/>
          <w:color w:val="auto"/>
        </w:rPr>
        <w:t>: Except as otherwise provided under the Award Terms, the Restricted Share Units awarded to you will vest as follows, provided you</w:t>
      </w:r>
      <w:r>
        <w:rPr>
          <w:rFonts w:ascii="Arial" w:cs="Arial" w:eastAsia="Arial" w:hAnsi="Arial"/>
          <w:sz w:val="18"/>
          <w:szCs w:val="18"/>
          <w:i w:val="1"/>
          <w:iCs w:val="1"/>
          <w:color w:val="auto"/>
        </w:rPr>
        <w:t xml:space="preserve"> </w:t>
      </w:r>
      <w:r>
        <w:rPr>
          <w:rFonts w:ascii="Arial" w:cs="Arial" w:eastAsia="Arial" w:hAnsi="Arial"/>
          <w:sz w:val="18"/>
          <w:szCs w:val="18"/>
          <w:color w:val="auto"/>
        </w:rPr>
        <w:t>remain continuously employed by the Company or one of its subsidiaries through the applicable vesting date:</w:t>
      </w:r>
    </w:p>
    <w:p>
      <w:pPr>
        <w:spacing w:after="0" w:line="15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No. of Restricted</w:t>
            </w: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Date of Vesting</w:t>
            </w:r>
          </w:p>
        </w:tc>
        <w:tc>
          <w:tcPr>
            <w:tcW w:w="2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Share Units Vesting</w:t>
            </w:r>
          </w:p>
        </w:tc>
        <w:tc>
          <w:tcPr>
            <w:tcW w:w="0" w:type="dxa"/>
            <w:vAlign w:val="bottom"/>
          </w:tcPr>
          <w:p>
            <w:pPr>
              <w:spacing w:after="0"/>
              <w:rPr>
                <w:sz w:val="1"/>
                <w:szCs w:val="1"/>
                <w:color w:val="auto"/>
              </w:rPr>
            </w:pPr>
          </w:p>
        </w:tc>
      </w:tr>
      <w:tr>
        <w:trPr>
          <w:trHeight w:val="171"/>
        </w:trPr>
        <w:tc>
          <w:tcPr>
            <w:tcW w:w="5720" w:type="dxa"/>
            <w:vAlign w:val="bottom"/>
            <w:gridSpan w:val="2"/>
            <w:vMerge w:val="continue"/>
          </w:tcPr>
          <w:p>
            <w:pPr>
              <w:spacing w:after="0"/>
              <w:rPr>
                <w:sz w:val="14"/>
                <w:szCs w:val="14"/>
                <w:color w:val="auto"/>
              </w:rPr>
            </w:pPr>
          </w:p>
        </w:tc>
        <w:tc>
          <w:tcPr>
            <w:tcW w:w="2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at Vesting Date</w:t>
            </w:r>
          </w:p>
        </w:tc>
        <w:tc>
          <w:tcPr>
            <w:tcW w:w="0" w:type="dxa"/>
            <w:vAlign w:val="bottom"/>
          </w:tcPr>
          <w:p>
            <w:pPr>
              <w:spacing w:after="0"/>
              <w:rPr>
                <w:sz w:val="1"/>
                <w:szCs w:val="1"/>
                <w:color w:val="auto"/>
              </w:rPr>
            </w:pPr>
          </w:p>
        </w:tc>
      </w:tr>
      <w:tr>
        <w:trPr>
          <w:trHeight w:val="210"/>
        </w:trPr>
        <w:tc>
          <w:tcPr>
            <w:tcW w:w="5440" w:type="dxa"/>
            <w:vAlign w:val="bottom"/>
            <w:tcBorders>
              <w:top w:val="single" w:sz="8" w:color="auto"/>
            </w:tcBorders>
            <w:shd w:val="clear" w:color="auto" w:fill="CCEEFF"/>
          </w:tcPr>
          <w:p>
            <w:pPr>
              <w:ind w:left="2040"/>
              <w:spacing w:after="0"/>
              <w:rPr>
                <w:sz w:val="20"/>
                <w:szCs w:val="20"/>
                <w:color w:val="auto"/>
              </w:rPr>
            </w:pPr>
            <w:r>
              <w:rPr>
                <w:rFonts w:ascii="Arial" w:cs="Arial" w:eastAsia="Arial" w:hAnsi="Arial"/>
                <w:sz w:val="18"/>
                <w:szCs w:val="18"/>
                <w:b w:val="1"/>
                <w:bCs w:val="1"/>
                <w:color w:val="auto"/>
              </w:rPr>
              <w:t>November 6, 2017</w:t>
            </w:r>
          </w:p>
        </w:tc>
        <w:tc>
          <w:tcPr>
            <w:tcW w:w="280" w:type="dxa"/>
            <w:vAlign w:val="bottom"/>
            <w:tcBorders>
              <w:top w:val="single" w:sz="8" w:color="CCEEFF"/>
            </w:tcBorders>
            <w:shd w:val="clear" w:color="auto" w:fill="CCEEFF"/>
          </w:tcPr>
          <w:p>
            <w:pPr>
              <w:spacing w:after="0"/>
              <w:rPr>
                <w:sz w:val="18"/>
                <w:szCs w:val="18"/>
                <w:color w:val="auto"/>
              </w:rPr>
            </w:pPr>
          </w:p>
        </w:tc>
        <w:tc>
          <w:tcPr>
            <w:tcW w:w="2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23,334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tcPr>
          <w:p>
            <w:pPr>
              <w:ind w:left="2040"/>
              <w:spacing w:after="0"/>
              <w:rPr>
                <w:sz w:val="20"/>
                <w:szCs w:val="20"/>
                <w:color w:val="auto"/>
              </w:rPr>
            </w:pPr>
            <w:r>
              <w:rPr>
                <w:rFonts w:ascii="Arial" w:cs="Arial" w:eastAsia="Arial" w:hAnsi="Arial"/>
                <w:sz w:val="18"/>
                <w:szCs w:val="18"/>
                <w:b w:val="1"/>
                <w:bCs w:val="1"/>
                <w:color w:val="auto"/>
              </w:rPr>
              <w:t>November 6, 2018</w:t>
            </w:r>
          </w:p>
        </w:tc>
        <w:tc>
          <w:tcPr>
            <w:tcW w:w="26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23,333</w:t>
            </w: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ind w:left="2040"/>
              <w:spacing w:after="0"/>
              <w:rPr>
                <w:sz w:val="20"/>
                <w:szCs w:val="20"/>
                <w:color w:val="auto"/>
              </w:rPr>
            </w:pPr>
            <w:r>
              <w:rPr>
                <w:rFonts w:ascii="Arial" w:cs="Arial" w:eastAsia="Arial" w:hAnsi="Arial"/>
                <w:sz w:val="18"/>
                <w:szCs w:val="18"/>
                <w:b w:val="1"/>
                <w:bCs w:val="1"/>
                <w:color w:val="auto"/>
              </w:rPr>
              <w:t>November 6, 2019</w:t>
            </w:r>
          </w:p>
        </w:tc>
        <w:tc>
          <w:tcPr>
            <w:tcW w:w="2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23,333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40" w:hanging="332"/>
        <w:spacing w:after="0" w:line="277" w:lineRule="auto"/>
        <w:tabs>
          <w:tab w:leader="none" w:pos="304"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t>Please sign and return to the Company this Notice of Restricted Share Unit Award, which bears an original signature on behalf of the Company. You are urged to do so promptly.</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300" w:hanging="292"/>
        <w:spacing w:after="0"/>
        <w:tabs>
          <w:tab w:leader="none" w:pos="300" w:val="left"/>
        </w:tabs>
        <w:numPr>
          <w:ilvl w:val="0"/>
          <w:numId w:val="235"/>
        </w:numPr>
        <w:rPr>
          <w:rFonts w:ascii="Arial" w:cs="Arial" w:eastAsia="Arial" w:hAnsi="Arial"/>
          <w:sz w:val="18"/>
          <w:szCs w:val="18"/>
          <w:color w:val="auto"/>
        </w:rPr>
      </w:pPr>
      <w:r>
        <w:rPr>
          <w:rFonts w:ascii="Arial" w:cs="Arial" w:eastAsia="Arial" w:hAnsi="Arial"/>
          <w:sz w:val="18"/>
          <w:szCs w:val="18"/>
          <w:b w:val="1"/>
          <w:bCs w:val="1"/>
          <w:i w:val="1"/>
          <w:iCs w:val="1"/>
          <w:color w:val="auto"/>
        </w:rPr>
        <w:t>Please return the signed Notice of Restricted Share Unit Award to the Company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-509905</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5"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Activision Blizzard, Inc.</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3100 Ocean Park Boulevard</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Santa Monica, CA 90405</w:t>
      </w:r>
    </w:p>
    <w:p>
      <w:pPr>
        <w:spacing w:after="0" w:line="9"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Attn: Stock Plan Administration</w:t>
      </w:r>
    </w:p>
    <w:p>
      <w:pPr>
        <w:spacing w:after="0" w:line="211" w:lineRule="exact"/>
        <w:rPr>
          <w:sz w:val="20"/>
          <w:szCs w:val="20"/>
          <w:color w:val="auto"/>
        </w:rPr>
      </w:pPr>
    </w:p>
    <w:p>
      <w:pPr>
        <w:ind w:left="340" w:right="100" w:hanging="332"/>
        <w:spacing w:after="0" w:line="277" w:lineRule="auto"/>
        <w:tabs>
          <w:tab w:leader="none" w:pos="304" w:val="left"/>
        </w:tabs>
        <w:numPr>
          <w:ilvl w:val="0"/>
          <w:numId w:val="236"/>
        </w:numPr>
        <w:rPr>
          <w:rFonts w:ascii="Arial" w:cs="Arial" w:eastAsia="Arial" w:hAnsi="Arial"/>
          <w:sz w:val="18"/>
          <w:szCs w:val="18"/>
          <w:color w:val="auto"/>
        </w:rPr>
      </w:pPr>
      <w:r>
        <w:rPr>
          <w:rFonts w:ascii="Arial" w:cs="Arial" w:eastAsia="Arial" w:hAnsi="Arial"/>
          <w:sz w:val="18"/>
          <w:szCs w:val="18"/>
          <w:b w:val="1"/>
          <w:bCs w:val="1"/>
          <w:i w:val="1"/>
          <w:iCs w:val="1"/>
          <w:color w:val="auto"/>
        </w:rPr>
        <w:t>By accepting the Award, you are deemed to be bound by the terms and conditions set forth in the 2014 Incentive Plan, this Notice of Restricted Share Unit Award and the Award Terms.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 should retain the enclosed duplicate copy of this Notice of Restricted Share Unit Award for your records.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Any capitalized term used but not otherwise defined herein shall have the meaning ascribed to such term in the Award Terms.</w:t>
      </w:r>
    </w:p>
    <w:p>
      <w:pPr>
        <w:spacing w:after="0" w:line="221"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ACTIVISION BLIZZARD, INC.</w:t>
      </w:r>
    </w:p>
    <w:p>
      <w:pPr>
        <w:spacing w:after="0" w:line="22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Brian Stolz</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Brian Stolz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Chief People Officer</w:t>
      </w:r>
    </w:p>
    <w:p>
      <w:pPr>
        <w:spacing w:after="0" w:line="211" w:lineRule="exact"/>
        <w:rPr>
          <w:sz w:val="20"/>
          <w:szCs w:val="20"/>
          <w:color w:val="auto"/>
        </w:rPr>
      </w:pPr>
    </w:p>
    <w:p>
      <w:pPr>
        <w:ind w:left="5720"/>
        <w:spacing w:after="0"/>
        <w:tabs>
          <w:tab w:leader="none" w:pos="64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12/12/16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4053205</wp:posOffset>
            </wp:positionH>
            <wp:positionV relativeFrom="paragraph">
              <wp:posOffset>14605</wp:posOffset>
            </wp:positionV>
            <wp:extent cx="319849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198495" cy="8890"/>
                    </a:xfrm>
                    <a:prstGeom prst="rect">
                      <a:avLst/>
                    </a:prstGeom>
                    <a:noFill/>
                  </pic:spPr>
                </pic:pic>
              </a:graphicData>
            </a:graphic>
          </wp:anchor>
        </w:drawing>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ACCEPTED AND AGREED: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Mike Morhaime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Mike Morhaime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204"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w:t>
        <w:tab/>
        <w:t>1/10/17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32588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ectPr>
          <w:pgSz w:w="11900" w:h="16838" w:orient="portrait"/>
          <w:cols w:equalWidth="0" w:num="1">
            <w:col w:w="11420"/>
          </w:cols>
          <w:pgMar w:left="240" w:top="365" w:right="239" w:bottom="5" w:gutter="0" w:footer="0" w:header="0"/>
        </w:sectPr>
      </w:pPr>
    </w:p>
    <w:bookmarkStart w:id="229" w:name="page230"/>
    <w:bookmarkEnd w:id="229"/>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ACTIVISION BLIZZARD,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2014 INCENTIVE PLAN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RESTRICTED SHARE UNIT AWARD TERMS</w:t>
      </w:r>
    </w:p>
    <w:p>
      <w:pPr>
        <w:spacing w:after="0" w:line="229" w:lineRule="exact"/>
        <w:rPr>
          <w:sz w:val="20"/>
          <w:szCs w:val="20"/>
          <w:color w:val="auto"/>
        </w:rPr>
      </w:pPr>
    </w:p>
    <w:p>
      <w:pPr>
        <w:ind w:left="1300" w:hanging="644"/>
        <w:spacing w:after="0"/>
        <w:tabs>
          <w:tab w:leader="none" w:pos="130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940" w:hanging="635"/>
        <w:spacing w:after="0"/>
        <w:tabs>
          <w:tab w:leader="none" w:pos="1940" w:val="left"/>
        </w:tabs>
        <w:numPr>
          <w:ilvl w:val="1"/>
          <w:numId w:val="237"/>
        </w:numPr>
        <w:rPr>
          <w:rFonts w:ascii="Arial" w:cs="Arial" w:eastAsia="Arial" w:hAnsi="Arial"/>
          <w:sz w:val="18"/>
          <w:szCs w:val="18"/>
          <w:color w:val="auto"/>
        </w:rPr>
      </w:pPr>
      <w:r>
        <w:rPr>
          <w:rFonts w:ascii="Arial" w:cs="Arial" w:eastAsia="Arial" w:hAnsi="Arial"/>
          <w:sz w:val="18"/>
          <w:szCs w:val="18"/>
          <w:color w:val="auto"/>
        </w:rPr>
        <w:t>For purposes of these Award Terms, the following terms shall have the meanings set forth below:</w:t>
      </w:r>
    </w:p>
    <w:p>
      <w:pPr>
        <w:spacing w:after="0" w:line="221"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“Award” </w:t>
      </w:r>
      <w:r>
        <w:rPr>
          <w:rFonts w:ascii="Arial" w:cs="Arial" w:eastAsia="Arial" w:hAnsi="Arial"/>
          <w:sz w:val="18"/>
          <w:szCs w:val="18"/>
          <w:color w:val="auto"/>
        </w:rPr>
        <w:t>means the award described on the Grant Notice.</w:t>
      </w:r>
    </w:p>
    <w:p>
      <w:pPr>
        <w:spacing w:after="0" w:line="225" w:lineRule="exact"/>
        <w:rPr>
          <w:sz w:val="20"/>
          <w:szCs w:val="20"/>
          <w:color w:val="auto"/>
        </w:rPr>
      </w:pPr>
    </w:p>
    <w:p>
      <w:pPr>
        <w:jc w:val="both"/>
        <w:ind w:right="140" w:firstLine="1297"/>
        <w:spacing w:after="0" w:line="289" w:lineRule="auto"/>
        <w:rPr>
          <w:sz w:val="20"/>
          <w:szCs w:val="20"/>
          <w:color w:val="auto"/>
        </w:rPr>
      </w:pPr>
      <w:r>
        <w:rPr>
          <w:rFonts w:ascii="Arial" w:cs="Arial" w:eastAsia="Arial" w:hAnsi="Arial"/>
          <w:sz w:val="16"/>
          <w:szCs w:val="16"/>
          <w:b w:val="1"/>
          <w:bCs w:val="1"/>
          <w:color w:val="auto"/>
        </w:rPr>
        <w:t xml:space="preserve">“Cause” </w:t>
      </w:r>
      <w:r>
        <w:rPr>
          <w:rFonts w:ascii="Arial" w:cs="Arial" w:eastAsia="Arial" w:hAnsi="Arial"/>
          <w:sz w:val="16"/>
          <w:szCs w:val="16"/>
          <w:color w:val="auto"/>
        </w:rPr>
        <w:t>(i) shall have the meaning given to such term in any employment agreement or offer letter between Grantee and any entity in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Group in effect at the time of the determination or (ii) if Grantee is not then party to any agreement or offer letter with any entity in the Company Group or any such agreement or offer letter does not contain a definition of “cause,” shall mean a good faith determination by the Company that Grantee</w:t>
      </w:r>
    </w:p>
    <w:p>
      <w:pPr>
        <w:spacing w:after="0" w:line="2" w:lineRule="exact"/>
        <w:rPr>
          <w:sz w:val="20"/>
          <w:szCs w:val="20"/>
          <w:color w:val="auto"/>
        </w:rPr>
      </w:pPr>
    </w:p>
    <w:p>
      <w:pPr>
        <w:ind w:firstLine="8"/>
        <w:spacing w:after="0" w:line="270" w:lineRule="auto"/>
        <w:tabs>
          <w:tab w:leader="none" w:pos="295" w:val="left"/>
        </w:tabs>
        <w:numPr>
          <w:ilvl w:val="0"/>
          <w:numId w:val="238"/>
        </w:numPr>
        <w:rPr>
          <w:rFonts w:ascii="Arial" w:cs="Arial" w:eastAsia="Arial" w:hAnsi="Arial"/>
          <w:sz w:val="17"/>
          <w:szCs w:val="17"/>
          <w:color w:val="auto"/>
        </w:rPr>
      </w:pPr>
      <w:r>
        <w:rPr>
          <w:rFonts w:ascii="Arial" w:cs="Arial" w:eastAsia="Arial" w:hAnsi="Arial"/>
          <w:sz w:val="17"/>
          <w:szCs w:val="17"/>
          <w:color w:val="auto"/>
        </w:rPr>
        <w:t>engaged in misconduct or gross negligence in the performance of his or her duties or willfully and continuously failed or refused to perform any duties reasonably requested in the course of his or her employment; (B) engaged in fraud, dishonesty, or any other conduct that causes, or has the potential to cause, harm to any entity in the Company Group, including its business reputation or financial condition; (C) violated any lawful directives or policies of the Company Group or any applicable laws, rules or regulations; (D) materially breached his or her employment agreement, proprietary information agreement or confidentiality agreement with any entity in the Company Group; (E) was convicted of, or pled guilty or no contest to, a felony or crime involving dishonesty or moral turpitude; or (F) breached his or her fiduciary duties to the Company Group.</w:t>
      </w:r>
    </w:p>
    <w:p>
      <w:pPr>
        <w:spacing w:after="0" w:line="175" w:lineRule="exact"/>
        <w:rPr>
          <w:sz w:val="20"/>
          <w:szCs w:val="20"/>
          <w:color w:val="auto"/>
        </w:rPr>
      </w:pPr>
    </w:p>
    <w:p>
      <w:pPr>
        <w:ind w:right="280" w:firstLine="1297"/>
        <w:spacing w:after="0" w:line="282" w:lineRule="auto"/>
        <w:rPr>
          <w:sz w:val="20"/>
          <w:szCs w:val="20"/>
          <w:color w:val="auto"/>
        </w:rPr>
      </w:pPr>
      <w:r>
        <w:rPr>
          <w:rFonts w:ascii="Arial" w:cs="Arial" w:eastAsia="Arial" w:hAnsi="Arial"/>
          <w:sz w:val="18"/>
          <w:szCs w:val="18"/>
          <w:b w:val="1"/>
          <w:bCs w:val="1"/>
          <w:color w:val="auto"/>
        </w:rPr>
        <w:t xml:space="preserve">“Common Shares” </w:t>
      </w:r>
      <w:r>
        <w:rPr>
          <w:rFonts w:ascii="Arial" w:cs="Arial" w:eastAsia="Arial" w:hAnsi="Arial"/>
          <w:sz w:val="18"/>
          <w:szCs w:val="18"/>
          <w:color w:val="auto"/>
        </w:rPr>
        <w:t>means the shares of common stock, par value $0.000001 per share, of the Company or any security into which such</w:t>
      </w:r>
      <w:r>
        <w:rPr>
          <w:rFonts w:ascii="Arial" w:cs="Arial" w:eastAsia="Arial" w:hAnsi="Arial"/>
          <w:sz w:val="18"/>
          <w:szCs w:val="18"/>
          <w:b w:val="1"/>
          <w:bCs w:val="1"/>
          <w:color w:val="auto"/>
        </w:rPr>
        <w:t xml:space="preserve"> </w:t>
      </w:r>
      <w:r>
        <w:rPr>
          <w:rFonts w:ascii="Arial" w:cs="Arial" w:eastAsia="Arial" w:hAnsi="Arial"/>
          <w:sz w:val="18"/>
          <w:szCs w:val="18"/>
          <w:color w:val="auto"/>
        </w:rPr>
        <w:t>Common Shares may be changed by reason of any transaction or event of the type referred to in Section 10 hereof.</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Activision Blizzard, Inc. and any successor thereto.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“Company Group” </w:t>
      </w:r>
      <w:r>
        <w:rPr>
          <w:rFonts w:ascii="Arial" w:cs="Arial" w:eastAsia="Arial" w:hAnsi="Arial"/>
          <w:sz w:val="18"/>
          <w:szCs w:val="18"/>
          <w:color w:val="auto"/>
        </w:rPr>
        <w:t>means the Company and its subsidiaries.</w:t>
      </w:r>
    </w:p>
    <w:p>
      <w:pPr>
        <w:spacing w:after="0" w:line="225" w:lineRule="exact"/>
        <w:rPr>
          <w:sz w:val="20"/>
          <w:szCs w:val="20"/>
          <w:color w:val="auto"/>
        </w:rPr>
      </w:pPr>
    </w:p>
    <w:p>
      <w:pPr>
        <w:ind w:right="160" w:firstLine="1297"/>
        <w:spacing w:after="0" w:line="282" w:lineRule="auto"/>
        <w:rPr>
          <w:sz w:val="20"/>
          <w:szCs w:val="20"/>
          <w:color w:val="auto"/>
        </w:rPr>
      </w:pPr>
      <w:r>
        <w:rPr>
          <w:rFonts w:ascii="Arial" w:cs="Arial" w:eastAsia="Arial" w:hAnsi="Arial"/>
          <w:sz w:val="18"/>
          <w:szCs w:val="18"/>
          <w:b w:val="1"/>
          <w:bCs w:val="1"/>
          <w:color w:val="auto"/>
        </w:rPr>
        <w:t xml:space="preserve">“Company-Sponsored Equity Account” </w:t>
      </w:r>
      <w:r>
        <w:rPr>
          <w:rFonts w:ascii="Arial" w:cs="Arial" w:eastAsia="Arial" w:hAnsi="Arial"/>
          <w:sz w:val="18"/>
          <w:szCs w:val="18"/>
          <w:color w:val="auto"/>
        </w:rPr>
        <w:t>means an account that is created with the Equity Account Administrator in connection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of the Company’s equity plans and programs, including the Plan.</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“Date of Grant” </w:t>
      </w:r>
      <w:r>
        <w:rPr>
          <w:rFonts w:ascii="Arial" w:cs="Arial" w:eastAsia="Arial" w:hAnsi="Arial"/>
          <w:sz w:val="18"/>
          <w:szCs w:val="18"/>
          <w:color w:val="auto"/>
        </w:rPr>
        <w:t>means the Date of Grant of the Award set forth on the Grant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RSU Grant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80" w:firstLine="1297"/>
        <w:spacing w:after="0" w:line="266" w:lineRule="auto"/>
        <w:rPr>
          <w:sz w:val="20"/>
          <w:szCs w:val="20"/>
          <w:color w:val="auto"/>
        </w:rPr>
      </w:pPr>
      <w:r>
        <w:rPr>
          <w:rFonts w:ascii="Arial" w:cs="Arial" w:eastAsia="Arial" w:hAnsi="Arial"/>
          <w:sz w:val="18"/>
          <w:szCs w:val="18"/>
          <w:b w:val="1"/>
          <w:bCs w:val="1"/>
          <w:color w:val="auto"/>
        </w:rPr>
        <w:t xml:space="preserve">“Employment Violation” </w:t>
      </w:r>
      <w:r>
        <w:rPr>
          <w:rFonts w:ascii="Arial" w:cs="Arial" w:eastAsia="Arial" w:hAnsi="Arial"/>
          <w:sz w:val="18"/>
          <w:szCs w:val="18"/>
          <w:color w:val="auto"/>
        </w:rPr>
        <w:t>means any material breach by Grantee of his or her employment agreement with any entity in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Group for so long as the terms of such employment agreement shall apply to Grantee (with any breach of the post-termination obligations contained therein deemed to be material for purposes of this definition).</w:t>
      </w:r>
    </w:p>
    <w:p>
      <w:pPr>
        <w:spacing w:after="0" w:line="176" w:lineRule="exact"/>
        <w:rPr>
          <w:sz w:val="20"/>
          <w:szCs w:val="20"/>
          <w:color w:val="auto"/>
        </w:rPr>
      </w:pPr>
    </w:p>
    <w:p>
      <w:pPr>
        <w:jc w:val="both"/>
        <w:ind w:right="100" w:firstLine="1297"/>
        <w:spacing w:after="0" w:line="282" w:lineRule="auto"/>
        <w:rPr>
          <w:sz w:val="20"/>
          <w:szCs w:val="20"/>
          <w:color w:val="auto"/>
        </w:rPr>
      </w:pPr>
      <w:r>
        <w:rPr>
          <w:rFonts w:ascii="Arial" w:cs="Arial" w:eastAsia="Arial" w:hAnsi="Arial"/>
          <w:sz w:val="18"/>
          <w:szCs w:val="18"/>
          <w:b w:val="1"/>
          <w:bCs w:val="1"/>
          <w:color w:val="auto"/>
        </w:rPr>
        <w:t xml:space="preserve">“Equity Account Administrator” </w:t>
      </w:r>
      <w:r>
        <w:rPr>
          <w:rFonts w:ascii="Arial" w:cs="Arial" w:eastAsia="Arial" w:hAnsi="Arial"/>
          <w:sz w:val="18"/>
          <w:szCs w:val="18"/>
          <w:color w:val="auto"/>
        </w:rPr>
        <w:t>means the brokerage firm utilized by the Company from time to time to create and administer accounts</w:t>
      </w:r>
      <w:r>
        <w:rPr>
          <w:rFonts w:ascii="Arial" w:cs="Arial" w:eastAsia="Arial" w:hAnsi="Arial"/>
          <w:sz w:val="18"/>
          <w:szCs w:val="18"/>
          <w:b w:val="1"/>
          <w:bCs w:val="1"/>
          <w:color w:val="auto"/>
        </w:rPr>
        <w:t xml:space="preserve"> </w:t>
      </w:r>
      <w:r>
        <w:rPr>
          <w:rFonts w:ascii="Arial" w:cs="Arial" w:eastAsia="Arial" w:hAnsi="Arial"/>
          <w:sz w:val="18"/>
          <w:szCs w:val="18"/>
          <w:color w:val="auto"/>
        </w:rPr>
        <w:t>for participants in the Company’s equity plans and programs, including the Plan.</w:t>
      </w:r>
    </w:p>
    <w:p>
      <w:pPr>
        <w:spacing w:after="0" w:line="162" w:lineRule="exact"/>
        <w:rPr>
          <w:sz w:val="20"/>
          <w:szCs w:val="20"/>
          <w:color w:val="auto"/>
        </w:rPr>
      </w:pPr>
    </w:p>
    <w:p>
      <w:pPr>
        <w:jc w:val="both"/>
        <w:ind w:right="80" w:firstLine="1297"/>
        <w:spacing w:after="0" w:line="281" w:lineRule="auto"/>
        <w:rPr>
          <w:sz w:val="20"/>
          <w:szCs w:val="20"/>
          <w:color w:val="auto"/>
        </w:rPr>
      </w:pPr>
      <w:r>
        <w:rPr>
          <w:rFonts w:ascii="Arial" w:cs="Arial" w:eastAsia="Arial" w:hAnsi="Arial"/>
          <w:sz w:val="17"/>
          <w:szCs w:val="17"/>
          <w:b w:val="1"/>
          <w:bCs w:val="1"/>
          <w:color w:val="auto"/>
        </w:rPr>
        <w:t xml:space="preserve">“Exercise Rules and Regulations” </w:t>
      </w:r>
      <w:r>
        <w:rPr>
          <w:rFonts w:ascii="Arial" w:cs="Arial" w:eastAsia="Arial" w:hAnsi="Arial"/>
          <w:sz w:val="17"/>
          <w:szCs w:val="17"/>
          <w:color w:val="auto"/>
        </w:rPr>
        <w:t>means (i) the Securities Act or any comparable federal securities law and all applicable state securities</w:t>
      </w:r>
      <w:r>
        <w:rPr>
          <w:rFonts w:ascii="Arial" w:cs="Arial" w:eastAsia="Arial" w:hAnsi="Arial"/>
          <w:sz w:val="17"/>
          <w:szCs w:val="17"/>
          <w:b w:val="1"/>
          <w:bCs w:val="1"/>
          <w:color w:val="auto"/>
        </w:rPr>
        <w:t xml:space="preserve"> </w:t>
      </w:r>
      <w:r>
        <w:rPr>
          <w:rFonts w:ascii="Arial" w:cs="Arial" w:eastAsia="Arial" w:hAnsi="Arial"/>
          <w:sz w:val="17"/>
          <w:szCs w:val="17"/>
          <w:color w:val="auto"/>
        </w:rPr>
        <w:t>laws, (ii) the requirements of any securities exchange, securities association, market system or quotation system on which Common Shares are then traded or quoted, (iii) any restrictions on transfer imposed by the Company’s certificate of incorporation or bylaws, and (iv) any policy or procedure the Company has adopted with respect to the trading of its securities, in each case as in effect on the date of the intended transaction.</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“Grantee” </w:t>
      </w:r>
      <w:r>
        <w:rPr>
          <w:rFonts w:ascii="Arial" w:cs="Arial" w:eastAsia="Arial" w:hAnsi="Arial"/>
          <w:sz w:val="18"/>
          <w:szCs w:val="18"/>
          <w:color w:val="auto"/>
        </w:rPr>
        <w:t>means the recipient of the Award named on the Grant Notice.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“Grant Notice” </w:t>
      </w:r>
      <w:r>
        <w:rPr>
          <w:rFonts w:ascii="Arial" w:cs="Arial" w:eastAsia="Arial" w:hAnsi="Arial"/>
          <w:sz w:val="18"/>
          <w:szCs w:val="18"/>
          <w:color w:val="auto"/>
        </w:rPr>
        <w:t>means the Notice of Restricted Share Unit Award to which these Award Terms are attached as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0" w:firstLine="1297"/>
        <w:spacing w:after="0" w:line="266" w:lineRule="auto"/>
        <w:rPr>
          <w:sz w:val="20"/>
          <w:szCs w:val="20"/>
          <w:color w:val="auto"/>
        </w:rPr>
      </w:pPr>
      <w:r>
        <w:rPr>
          <w:rFonts w:ascii="Arial" w:cs="Arial" w:eastAsia="Arial" w:hAnsi="Arial"/>
          <w:sz w:val="18"/>
          <w:szCs w:val="18"/>
          <w:b w:val="1"/>
          <w:bCs w:val="1"/>
          <w:color w:val="auto"/>
        </w:rPr>
        <w:t xml:space="preserve">“Look-back Period” </w:t>
      </w:r>
      <w:r>
        <w:rPr>
          <w:rFonts w:ascii="Arial" w:cs="Arial" w:eastAsia="Arial" w:hAnsi="Arial"/>
          <w:sz w:val="18"/>
          <w:szCs w:val="18"/>
          <w:color w:val="auto"/>
        </w:rPr>
        <w:t>means, with respect to any Employment Violation by Grantee, the period beginning on the date which is 12 months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date of such Employment Violation by Grantee and ending on the date of computation of the Recapture Amount with respect to such Employment Violation.</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“Plan” </w:t>
      </w:r>
      <w:r>
        <w:rPr>
          <w:rFonts w:ascii="Arial" w:cs="Arial" w:eastAsia="Arial" w:hAnsi="Arial"/>
          <w:sz w:val="18"/>
          <w:szCs w:val="18"/>
          <w:color w:val="auto"/>
        </w:rPr>
        <w:t>means the Activision Blizzard, Inc. 2014 Incentive Plan, as amended from time to time.</w:t>
      </w:r>
    </w:p>
    <w:p>
      <w:pPr>
        <w:spacing w:after="0" w:line="225" w:lineRule="exact"/>
        <w:rPr>
          <w:sz w:val="20"/>
          <w:szCs w:val="20"/>
          <w:color w:val="auto"/>
        </w:rPr>
      </w:pPr>
    </w:p>
    <w:p>
      <w:pPr>
        <w:jc w:val="both"/>
        <w:ind w:right="20" w:firstLine="1297"/>
        <w:spacing w:after="0" w:line="266" w:lineRule="auto"/>
        <w:rPr>
          <w:sz w:val="20"/>
          <w:szCs w:val="20"/>
          <w:color w:val="auto"/>
        </w:rPr>
      </w:pPr>
      <w:r>
        <w:rPr>
          <w:rFonts w:ascii="Arial" w:cs="Arial" w:eastAsia="Arial" w:hAnsi="Arial"/>
          <w:sz w:val="18"/>
          <w:szCs w:val="18"/>
          <w:b w:val="1"/>
          <w:bCs w:val="1"/>
          <w:color w:val="auto"/>
        </w:rPr>
        <w:t xml:space="preserve">“Recapture Amount” </w:t>
      </w:r>
      <w:r>
        <w:rPr>
          <w:rFonts w:ascii="Arial" w:cs="Arial" w:eastAsia="Arial" w:hAnsi="Arial"/>
          <w:sz w:val="18"/>
          <w:szCs w:val="18"/>
          <w:color w:val="auto"/>
        </w:rPr>
        <w:t>means, with respect to any Employment Violation by Grantee, the gross gain realized or unrealized by Grantee upon</w:t>
      </w:r>
      <w:r>
        <w:rPr>
          <w:rFonts w:ascii="Arial" w:cs="Arial" w:eastAsia="Arial" w:hAnsi="Arial"/>
          <w:sz w:val="18"/>
          <w:szCs w:val="18"/>
          <w:b w:val="1"/>
          <w:bCs w:val="1"/>
          <w:color w:val="auto"/>
        </w:rPr>
        <w:t xml:space="preserve"> </w:t>
      </w:r>
      <w:r>
        <w:rPr>
          <w:rFonts w:ascii="Arial" w:cs="Arial" w:eastAsia="Arial" w:hAnsi="Arial"/>
          <w:sz w:val="18"/>
          <w:szCs w:val="18"/>
          <w:color w:val="auto"/>
        </w:rPr>
        <w:t>all vesting of Restricted Share Units or delivery or transfer of Vested Shares during the Look-back Period with respect to such Employment Violation, which gain shall be calculated as the sum of:</w:t>
      </w:r>
    </w:p>
    <w:p>
      <w:pPr>
        <w:spacing w:after="0" w:line="180" w:lineRule="exact"/>
        <w:rPr>
          <w:sz w:val="20"/>
          <w:szCs w:val="20"/>
          <w:color w:val="auto"/>
        </w:rPr>
      </w:pPr>
    </w:p>
    <w:p>
      <w:pPr>
        <w:ind w:left="660" w:right="20" w:firstLine="645"/>
        <w:spacing w:after="0" w:line="277" w:lineRule="auto"/>
        <w:tabs>
          <w:tab w:leader="none" w:pos="1978" w:val="left"/>
        </w:tabs>
        <w:numPr>
          <w:ilvl w:val="0"/>
          <w:numId w:val="239"/>
        </w:numPr>
        <w:rPr>
          <w:rFonts w:ascii="Arial" w:cs="Arial" w:eastAsia="Arial" w:hAnsi="Arial"/>
          <w:sz w:val="18"/>
          <w:szCs w:val="18"/>
          <w:color w:val="auto"/>
        </w:rPr>
      </w:pPr>
      <w:r>
        <w:rPr>
          <w:rFonts w:ascii="Arial" w:cs="Arial" w:eastAsia="Arial" w:hAnsi="Arial"/>
          <w:sz w:val="18"/>
          <w:szCs w:val="18"/>
          <w:color w:val="auto"/>
        </w:rPr>
        <w:t>if Grantee has received Vested Shares during such Look-back Period and sold any such Vested Shares, an amount equal to the sum of the sales price for all such Vested Shares; plus</w:t>
      </w:r>
    </w:p>
    <w:p>
      <w:pPr>
        <w:spacing w:after="0" w:line="170" w:lineRule="exact"/>
        <w:rPr>
          <w:rFonts w:ascii="Arial" w:cs="Arial" w:eastAsia="Arial" w:hAnsi="Arial"/>
          <w:sz w:val="18"/>
          <w:szCs w:val="18"/>
          <w:color w:val="auto"/>
        </w:rPr>
      </w:pPr>
    </w:p>
    <w:p>
      <w:pPr>
        <w:ind w:left="660" w:right="160" w:firstLine="645"/>
        <w:spacing w:after="0" w:line="342" w:lineRule="auto"/>
        <w:tabs>
          <w:tab w:leader="none" w:pos="1987" w:val="left"/>
        </w:tabs>
        <w:numPr>
          <w:ilvl w:val="0"/>
          <w:numId w:val="239"/>
        </w:numPr>
        <w:rPr>
          <w:rFonts w:ascii="Arial" w:cs="Arial" w:eastAsia="Arial" w:hAnsi="Arial"/>
          <w:sz w:val="16"/>
          <w:szCs w:val="16"/>
          <w:color w:val="auto"/>
        </w:rPr>
      </w:pPr>
      <w:r>
        <w:rPr>
          <w:rFonts w:ascii="Arial" w:cs="Arial" w:eastAsia="Arial" w:hAnsi="Arial"/>
          <w:sz w:val="16"/>
          <w:szCs w:val="16"/>
          <w:color w:val="auto"/>
        </w:rPr>
        <w:t>if Grantee has received Vested Shares during such Look-back Period and not sold all such Vested Shares, an amount equal to the product of (A) the greatest of the following: (1) the Market Value per Share of Common Shares on the date such Vested Shares were issued or</w:t>
      </w:r>
    </w:p>
    <w:p>
      <w:pPr>
        <w:sectPr>
          <w:pgSz w:w="11900" w:h="16975" w:orient="portrait"/>
          <w:cols w:equalWidth="0" w:num="1">
            <w:col w:w="11400"/>
          </w:cols>
          <w:pgMar w:left="240" w:top="125" w:right="259" w:bottom="0" w:gutter="0" w:footer="0" w:header="0"/>
        </w:sectPr>
      </w:pPr>
    </w:p>
    <w:bookmarkStart w:id="230" w:name="page231"/>
    <w:bookmarkEnd w:id="230"/>
    <w:p>
      <w:pPr>
        <w:spacing w:after="0" w:line="107" w:lineRule="exact"/>
        <w:rPr>
          <w:sz w:val="20"/>
          <w:szCs w:val="20"/>
          <w:color w:val="auto"/>
        </w:rPr>
      </w:pPr>
    </w:p>
    <w:p>
      <w:pPr>
        <w:ind w:left="660" w:right="60"/>
        <w:spacing w:after="0" w:line="286" w:lineRule="auto"/>
        <w:rPr>
          <w:sz w:val="20"/>
          <w:szCs w:val="20"/>
          <w:color w:val="auto"/>
        </w:rPr>
      </w:pPr>
      <w:r>
        <w:rPr>
          <w:rFonts w:ascii="Arial" w:cs="Arial" w:eastAsia="Arial" w:hAnsi="Arial"/>
          <w:sz w:val="17"/>
          <w:szCs w:val="17"/>
          <w:color w:val="auto"/>
        </w:rPr>
        <w:t>transferred to Grantee, (2) the arithmetic average of the per share closing sales prices of Common Shares as reported on NASDAQ for the 30 trading day period ending on the trading day immediately preceding the date of the Company’s written notice of its exercise of its rights under Section 13 hereof, or (3) the arithmetic average of the per share closing sales prices of Common Shares as reported on NASDAQ</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the 30 trading day period ending on the trading day immediately preceding the date of computation, times (B) the number of such Vested Shares which were not sold.</w:t>
      </w:r>
    </w:p>
    <w:p>
      <w:pPr>
        <w:spacing w:after="0" w:line="166" w:lineRule="exact"/>
        <w:rPr>
          <w:sz w:val="20"/>
          <w:szCs w:val="20"/>
          <w:color w:val="auto"/>
        </w:rPr>
      </w:pPr>
    </w:p>
    <w:p>
      <w:pPr>
        <w:jc w:val="both"/>
        <w:ind w:firstLine="1297"/>
        <w:spacing w:after="0" w:line="266" w:lineRule="auto"/>
        <w:rPr>
          <w:sz w:val="20"/>
          <w:szCs w:val="20"/>
          <w:color w:val="auto"/>
        </w:rPr>
      </w:pPr>
      <w:r>
        <w:rPr>
          <w:rFonts w:ascii="Arial" w:cs="Arial" w:eastAsia="Arial" w:hAnsi="Arial"/>
          <w:sz w:val="18"/>
          <w:szCs w:val="18"/>
          <w:b w:val="1"/>
          <w:bCs w:val="1"/>
          <w:color w:val="auto"/>
        </w:rPr>
        <w:t xml:space="preserve">“Restricted Share Units” </w:t>
      </w:r>
      <w:r>
        <w:rPr>
          <w:rFonts w:ascii="Arial" w:cs="Arial" w:eastAsia="Arial" w:hAnsi="Arial"/>
          <w:sz w:val="18"/>
          <w:szCs w:val="18"/>
          <w:color w:val="auto"/>
        </w:rPr>
        <w:t>means units subject to the Award, which represent the conditional right to receive Common Shares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Grant Notice and these Award Terms, unless and until such units become vested or are forfeited to the Company in accordance with the Grant Notice and these Award Terms.</w:t>
      </w:r>
    </w:p>
    <w:p>
      <w:pPr>
        <w:spacing w:after="0" w:line="176"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“Section 409A” </w:t>
      </w:r>
      <w:r>
        <w:rPr>
          <w:rFonts w:ascii="Arial" w:cs="Arial" w:eastAsia="Arial" w:hAnsi="Arial"/>
          <w:sz w:val="18"/>
          <w:szCs w:val="18"/>
          <w:color w:val="auto"/>
        </w:rPr>
        <w:t>means Section 409A of the Code and the guidance and regulations promulgated thereunder.</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means the Securities Act of 1933, as amended.</w:t>
      </w:r>
    </w:p>
    <w:p>
      <w:pPr>
        <w:spacing w:after="0" w:line="225" w:lineRule="exact"/>
        <w:rPr>
          <w:sz w:val="20"/>
          <w:szCs w:val="20"/>
          <w:color w:val="auto"/>
        </w:rPr>
      </w:pPr>
    </w:p>
    <w:p>
      <w:pPr>
        <w:ind w:right="280" w:firstLine="1337"/>
        <w:spacing w:after="0" w:line="282" w:lineRule="auto"/>
        <w:rPr>
          <w:sz w:val="20"/>
          <w:szCs w:val="20"/>
          <w:color w:val="auto"/>
        </w:rPr>
      </w:pPr>
      <w:r>
        <w:rPr>
          <w:rFonts w:ascii="Arial" w:cs="Arial" w:eastAsia="Arial" w:hAnsi="Arial"/>
          <w:sz w:val="18"/>
          <w:szCs w:val="18"/>
          <w:b w:val="1"/>
          <w:bCs w:val="1"/>
          <w:color w:val="auto"/>
        </w:rPr>
        <w:t xml:space="preserve">“Vested Shares” </w:t>
      </w:r>
      <w:r>
        <w:rPr>
          <w:rFonts w:ascii="Arial" w:cs="Arial" w:eastAsia="Arial" w:hAnsi="Arial"/>
          <w:sz w:val="18"/>
          <w:szCs w:val="18"/>
          <w:color w:val="auto"/>
        </w:rPr>
        <w:t>means the Common Shares to which the holder of the Restricted Share Units becomes entitled upon vesting thereof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Section 2 or 3 hereof.</w:t>
      </w:r>
    </w:p>
    <w:p>
      <w:pPr>
        <w:spacing w:after="0" w:line="162" w:lineRule="exact"/>
        <w:rPr>
          <w:sz w:val="20"/>
          <w:szCs w:val="20"/>
          <w:color w:val="auto"/>
        </w:rPr>
      </w:pPr>
    </w:p>
    <w:p>
      <w:pPr>
        <w:ind w:right="40" w:firstLine="1297"/>
        <w:spacing w:after="0" w:line="282" w:lineRule="auto"/>
        <w:rPr>
          <w:sz w:val="20"/>
          <w:szCs w:val="20"/>
          <w:color w:val="auto"/>
        </w:rPr>
      </w:pPr>
      <w:r>
        <w:rPr>
          <w:rFonts w:ascii="Arial" w:cs="Arial" w:eastAsia="Arial" w:hAnsi="Arial"/>
          <w:sz w:val="18"/>
          <w:szCs w:val="18"/>
          <w:b w:val="1"/>
          <w:bCs w:val="1"/>
          <w:color w:val="auto"/>
        </w:rPr>
        <w:t xml:space="preserve">“Withholding Taxes” </w:t>
      </w:r>
      <w:r>
        <w:rPr>
          <w:rFonts w:ascii="Arial" w:cs="Arial" w:eastAsia="Arial" w:hAnsi="Arial"/>
          <w:sz w:val="18"/>
          <w:szCs w:val="18"/>
          <w:color w:val="auto"/>
        </w:rPr>
        <w:t>means any taxes, including, but not limited to, social security and Medicare taxes and federal, state and local income</w:t>
      </w:r>
      <w:r>
        <w:rPr>
          <w:rFonts w:ascii="Arial" w:cs="Arial" w:eastAsia="Arial" w:hAnsi="Arial"/>
          <w:sz w:val="18"/>
          <w:szCs w:val="18"/>
          <w:b w:val="1"/>
          <w:bCs w:val="1"/>
          <w:color w:val="auto"/>
        </w:rPr>
        <w:t xml:space="preserve"> </w:t>
      </w:r>
      <w:r>
        <w:rPr>
          <w:rFonts w:ascii="Arial" w:cs="Arial" w:eastAsia="Arial" w:hAnsi="Arial"/>
          <w:sz w:val="18"/>
          <w:szCs w:val="18"/>
          <w:color w:val="auto"/>
        </w:rPr>
        <w:t>taxes, required under any applicable law to be withheld from amounts otherwise payable to Grantee.</w:t>
      </w:r>
    </w:p>
    <w:p>
      <w:pPr>
        <w:spacing w:after="0" w:line="166" w:lineRule="exact"/>
        <w:rPr>
          <w:sz w:val="20"/>
          <w:szCs w:val="20"/>
          <w:color w:val="auto"/>
        </w:rPr>
      </w:pPr>
    </w:p>
    <w:p>
      <w:pPr>
        <w:ind w:left="1960" w:hanging="655"/>
        <w:spacing w:after="0"/>
        <w:tabs>
          <w:tab w:leader="none" w:pos="1960" w:val="left"/>
        </w:tabs>
        <w:numPr>
          <w:ilvl w:val="1"/>
          <w:numId w:val="240"/>
        </w:numPr>
        <w:rPr>
          <w:rFonts w:ascii="Arial" w:cs="Arial" w:eastAsia="Arial" w:hAnsi="Arial"/>
          <w:sz w:val="18"/>
          <w:szCs w:val="18"/>
          <w:color w:val="auto"/>
        </w:rPr>
      </w:pPr>
      <w:r>
        <w:rPr>
          <w:rFonts w:ascii="Arial" w:cs="Arial" w:eastAsia="Arial" w:hAnsi="Arial"/>
          <w:sz w:val="18"/>
          <w:szCs w:val="18"/>
          <w:color w:val="auto"/>
        </w:rPr>
        <w:t>Any capitalized term used but not otherwise defined herein shall have the meaning ascribed to such term in the Plan.</w:t>
      </w:r>
    </w:p>
    <w:p>
      <w:pPr>
        <w:spacing w:after="0" w:line="225" w:lineRule="exact"/>
        <w:rPr>
          <w:rFonts w:ascii="Arial" w:cs="Arial" w:eastAsia="Arial" w:hAnsi="Arial"/>
          <w:sz w:val="18"/>
          <w:szCs w:val="18"/>
          <w:color w:val="auto"/>
        </w:rPr>
      </w:pPr>
    </w:p>
    <w:p>
      <w:pPr>
        <w:ind w:right="340" w:firstLine="656"/>
        <w:spacing w:after="0" w:line="264" w:lineRule="auto"/>
        <w:tabs>
          <w:tab w:leader="none" w:pos="129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Vesting</w:t>
      </w:r>
      <w:r>
        <w:rPr>
          <w:rFonts w:ascii="Arial" w:cs="Arial" w:eastAsia="Arial" w:hAnsi="Arial"/>
          <w:sz w:val="18"/>
          <w:szCs w:val="18"/>
          <w:color w:val="auto"/>
        </w:rPr>
        <w:t>. Except as otherwise set forth in these Award Terms, the Restricted Share Units shall vest in accordance with the “Schedule for Vesting” set forth on the Grant Notice. Each Restricted Share Unit, upon vesting thereof, shall entitle the holder thereof to receive one Common Share (subject to adjustment pursuant to Section 10 hereof).</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86" w:lineRule="auto"/>
        <w:tabs>
          <w:tab w:leader="none" w:pos="1942" w:val="left"/>
        </w:tabs>
        <w:numPr>
          <w:ilvl w:val="1"/>
          <w:numId w:val="241"/>
        </w:numPr>
        <w:rPr>
          <w:rFonts w:ascii="Arial" w:cs="Arial" w:eastAsia="Arial" w:hAnsi="Arial"/>
          <w:sz w:val="17"/>
          <w:szCs w:val="17"/>
          <w:color w:val="auto"/>
        </w:rPr>
      </w:pPr>
      <w:r>
        <w:rPr>
          <w:rFonts w:ascii="Arial" w:cs="Arial" w:eastAsia="Arial" w:hAnsi="Arial"/>
          <w:sz w:val="17"/>
          <w:szCs w:val="17"/>
          <w:u w:val="single" w:color="auto"/>
          <w:color w:val="auto"/>
        </w:rPr>
        <w:t>Cause</w:t>
      </w:r>
      <w:r>
        <w:rPr>
          <w:rFonts w:ascii="Arial" w:cs="Arial" w:eastAsia="Arial" w:hAnsi="Arial"/>
          <w:sz w:val="17"/>
          <w:szCs w:val="17"/>
          <w:color w:val="auto"/>
        </w:rPr>
        <w:t>. In the event that Grantee’s employment is terminated by any entity in the Company Group for Cause, as of the date of such termination of employment all Restricted Share Units shall cease to vest and any outstanding Restricted Share Units and Vested Shares that have yet to settle pursuant to Section 8 hereof shall immediately be forfeited to the Company without payment of consideration by the Company.</w:t>
      </w:r>
    </w:p>
    <w:p>
      <w:pPr>
        <w:spacing w:after="0" w:line="165" w:lineRule="exact"/>
        <w:rPr>
          <w:rFonts w:ascii="Arial" w:cs="Arial" w:eastAsia="Arial" w:hAnsi="Arial"/>
          <w:sz w:val="17"/>
          <w:szCs w:val="17"/>
          <w:color w:val="auto"/>
        </w:rPr>
      </w:pPr>
    </w:p>
    <w:p>
      <w:pPr>
        <w:ind w:right="240" w:firstLine="1305"/>
        <w:spacing w:after="0" w:line="312" w:lineRule="auto"/>
        <w:tabs>
          <w:tab w:leader="none" w:pos="1952" w:val="left"/>
        </w:tabs>
        <w:numPr>
          <w:ilvl w:val="1"/>
          <w:numId w:val="241"/>
        </w:numPr>
        <w:rPr>
          <w:rFonts w:ascii="Arial" w:cs="Arial" w:eastAsia="Arial" w:hAnsi="Arial"/>
          <w:sz w:val="16"/>
          <w:szCs w:val="16"/>
          <w:color w:val="auto"/>
        </w:rPr>
      </w:pPr>
      <w:r>
        <w:rPr>
          <w:rFonts w:ascii="Arial" w:cs="Arial" w:eastAsia="Arial" w:hAnsi="Arial"/>
          <w:sz w:val="16"/>
          <w:szCs w:val="16"/>
          <w:u w:val="single" w:color="auto"/>
          <w:color w:val="auto"/>
        </w:rPr>
        <w:t>Other</w:t>
      </w:r>
      <w:r>
        <w:rPr>
          <w:rFonts w:ascii="Arial" w:cs="Arial" w:eastAsia="Arial" w:hAnsi="Arial"/>
          <w:sz w:val="16"/>
          <w:szCs w:val="16"/>
          <w:color w:val="auto"/>
        </w:rPr>
        <w:t>. Unless the Committee determines otherwise, in the event that Grantee’s employment is terminated for any reason other than for Cause, as of the date of such termination of employment all Restricted Share Units shall cease to vest and, with the exception of any Vested Shares that have yet to settle pursuant to Section 8 hereof, shall immediately be forfeited to the Company without payment of consideration by the Company.</w:t>
      </w:r>
    </w:p>
    <w:p>
      <w:pPr>
        <w:spacing w:after="0" w:line="146" w:lineRule="exact"/>
        <w:rPr>
          <w:rFonts w:ascii="Arial" w:cs="Arial" w:eastAsia="Arial" w:hAnsi="Arial"/>
          <w:sz w:val="16"/>
          <w:szCs w:val="16"/>
          <w:color w:val="auto"/>
        </w:rPr>
      </w:pPr>
    </w:p>
    <w:p>
      <w:pPr>
        <w:jc w:val="both"/>
        <w:ind w:right="160" w:firstLine="656"/>
        <w:spacing w:after="0" w:line="259" w:lineRule="auto"/>
        <w:tabs>
          <w:tab w:leader="none" w:pos="1296" w:val="left"/>
        </w:tabs>
        <w:numPr>
          <w:ilvl w:val="0"/>
          <w:numId w:val="241"/>
        </w:numPr>
        <w:rPr>
          <w:rFonts w:ascii="Arial" w:cs="Arial" w:eastAsia="Arial" w:hAnsi="Arial"/>
          <w:sz w:val="18"/>
          <w:szCs w:val="18"/>
          <w:color w:val="auto"/>
        </w:rPr>
      </w:pPr>
      <w:r>
        <w:rPr>
          <w:rFonts w:ascii="Arial" w:cs="Arial" w:eastAsia="Arial" w:hAnsi="Arial"/>
          <w:sz w:val="18"/>
          <w:szCs w:val="18"/>
          <w:u w:val="single" w:color="auto"/>
          <w:color w:val="auto"/>
        </w:rPr>
        <w:t>Tax Withholding</w:t>
      </w:r>
      <w:r>
        <w:rPr>
          <w:rFonts w:ascii="Arial" w:cs="Arial" w:eastAsia="Arial" w:hAnsi="Arial"/>
          <w:sz w:val="18"/>
          <w:szCs w:val="18"/>
          <w:color w:val="auto"/>
        </w:rPr>
        <w:t>. The Company shall have the right to require Grantee to satisfy any Withholding Taxes resulting from the vesting of any Restricted Share Units, the issuance or transfer of any Vested Shares or otherwise in connection with the Award at the time such Withholding Taxes become due. The Company shall determine the method or methods Grantee may use to satisfy any Withholding Taxes contemplated by this Section 4, which may include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any of the following: (a) by delivery to the Company of a bank check or certified check or wire transfer of immediately available funds; (b) through the delivery of irrevocable written instructions, in a form acceptable to the Company, that the Company withhold Vested Shares otherwise then deliverable having a value equal to the aggregate amount of the Withholding Taxes (valued in the same manner used in computing the amount of such Withholding Taxes); (c) if securities of the Company of the same class as the Vested Shares are then traded or quoted on a national securities exchange, the Nasdaq Stock Market, Inc. or a national quotation system sponsored by the National Association of Securities Dealers, Inc., through the delivery of irrevocable written instructions, in a form acceptable to the Company, to the Equity Account Administrator (or, with the Company’s consent, such other brokerage firm as may be requested by the Grantee) to sell some or all of the Vested Shares and to thereafter deliver promptly to the Company from the proceeds of such sale an amount in cash equal to the aggregate amount of such Withholding Taxes; or (d) by any combination of (a), (b) and (c) above. Notwithstanding anything to the contrary contained herein, any entity in the Company Group shall have the right to ensure that all Withholding Taxes contemplated by this Section 4 are satisfied by</w:t>
      </w:r>
    </w:p>
    <w:p>
      <w:pPr>
        <w:spacing w:after="0" w:line="7" w:lineRule="exact"/>
        <w:rPr>
          <w:sz w:val="20"/>
          <w:szCs w:val="20"/>
          <w:color w:val="auto"/>
        </w:rPr>
      </w:pPr>
    </w:p>
    <w:p>
      <w:pPr>
        <w:ind w:right="140" w:firstLine="8"/>
        <w:spacing w:after="0" w:line="302" w:lineRule="auto"/>
        <w:tabs>
          <w:tab w:leader="none" w:pos="215" w:val="left"/>
        </w:tabs>
        <w:numPr>
          <w:ilvl w:val="0"/>
          <w:numId w:val="242"/>
        </w:numPr>
        <w:rPr>
          <w:rFonts w:ascii="Arial" w:cs="Arial" w:eastAsia="Arial" w:hAnsi="Arial"/>
          <w:sz w:val="16"/>
          <w:szCs w:val="16"/>
          <w:color w:val="auto"/>
        </w:rPr>
      </w:pPr>
      <w:r>
        <w:rPr>
          <w:rFonts w:ascii="Arial" w:cs="Arial" w:eastAsia="Arial" w:hAnsi="Arial"/>
          <w:sz w:val="16"/>
          <w:szCs w:val="16"/>
          <w:color w:val="auto"/>
        </w:rPr>
        <w:t>withholding from Grantee’s compensation, (ii) withholding Vested Shares otherwise then deliverable (in which case Grantee will be deemed to have been issued the full number of Vested Shares), and (iii) arranging for the sale, on Grantee’s behalf, of Vested Shares otherwise then deliverable. The Company shall have no obligation to deliver any Vested Shares unless and until all Withholding Taxes contemplated by this Section 4 have been satisfied.</w:t>
      </w:r>
    </w:p>
    <w:p>
      <w:pPr>
        <w:spacing w:after="0" w:line="151" w:lineRule="exact"/>
        <w:rPr>
          <w:rFonts w:ascii="Arial" w:cs="Arial" w:eastAsia="Arial" w:hAnsi="Arial"/>
          <w:sz w:val="16"/>
          <w:szCs w:val="16"/>
          <w:color w:val="auto"/>
        </w:rPr>
      </w:pPr>
    </w:p>
    <w:p>
      <w:pPr>
        <w:ind w:left="1300" w:hanging="644"/>
        <w:spacing w:after="0"/>
        <w:tabs>
          <w:tab w:leader="none" w:pos="1300"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Deemed Agreement</w:t>
      </w:r>
      <w:r>
        <w:rPr>
          <w:rFonts w:ascii="Arial" w:cs="Arial" w:eastAsia="Arial" w:hAnsi="Arial"/>
          <w:sz w:val="16"/>
          <w:szCs w:val="16"/>
          <w:color w:val="auto"/>
        </w:rPr>
        <w:t xml:space="preserve">. </w:t>
      </w:r>
      <w:r>
        <w:rPr>
          <w:rFonts w:ascii="Arial" w:cs="Arial" w:eastAsia="Arial" w:hAnsi="Arial"/>
          <w:sz w:val="16"/>
          <w:szCs w:val="16"/>
          <w:b w:val="1"/>
          <w:bCs w:val="1"/>
          <w:color w:val="auto"/>
        </w:rPr>
        <w:t>By accepting the Award, Grantee is deemed to be bound by the terms and conditions set forth in the Plan, the</w:t>
      </w:r>
    </w:p>
    <w:p>
      <w:pPr>
        <w:spacing w:after="0" w:line="50"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b w:val="1"/>
          <w:bCs w:val="1"/>
          <w:color w:val="auto"/>
        </w:rPr>
        <w:t>Grant Notice and these Award Terms.</w:t>
      </w:r>
    </w:p>
    <w:p>
      <w:pPr>
        <w:spacing w:after="0" w:line="210" w:lineRule="exact"/>
        <w:rPr>
          <w:rFonts w:ascii="Arial" w:cs="Arial" w:eastAsia="Arial" w:hAnsi="Arial"/>
          <w:sz w:val="16"/>
          <w:szCs w:val="16"/>
          <w:color w:val="auto"/>
        </w:rPr>
      </w:pPr>
    </w:p>
    <w:p>
      <w:pPr>
        <w:ind w:right="380" w:firstLine="656"/>
        <w:spacing w:after="0" w:line="277" w:lineRule="auto"/>
        <w:tabs>
          <w:tab w:leader="none" w:pos="1296"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Reservation of Shares</w:t>
      </w:r>
      <w:r>
        <w:rPr>
          <w:rFonts w:ascii="Arial" w:cs="Arial" w:eastAsia="Arial" w:hAnsi="Arial"/>
          <w:sz w:val="18"/>
          <w:szCs w:val="18"/>
          <w:color w:val="auto"/>
        </w:rPr>
        <w:t>. The Company shall at all times reserve for issuance or delivery upon vesting of the Restricted Share Units such number of Common Shares as shall be required for issuance or delivery upon vesting thereof.</w:t>
      </w:r>
    </w:p>
    <w:p>
      <w:pPr>
        <w:spacing w:after="0" w:line="170" w:lineRule="exact"/>
        <w:rPr>
          <w:rFonts w:ascii="Arial" w:cs="Arial" w:eastAsia="Arial" w:hAnsi="Arial"/>
          <w:sz w:val="18"/>
          <w:szCs w:val="18"/>
          <w:color w:val="auto"/>
        </w:rPr>
      </w:pPr>
    </w:p>
    <w:p>
      <w:pPr>
        <w:ind w:right="540" w:firstLine="656"/>
        <w:spacing w:after="0" w:line="277" w:lineRule="auto"/>
        <w:tabs>
          <w:tab w:leader="none" w:pos="1296" w:val="left"/>
        </w:tabs>
        <w:numPr>
          <w:ilvl w:val="1"/>
          <w:numId w:val="242"/>
        </w:numPr>
        <w:rPr>
          <w:rFonts w:ascii="Arial" w:cs="Arial" w:eastAsia="Arial" w:hAnsi="Arial"/>
          <w:sz w:val="18"/>
          <w:szCs w:val="18"/>
          <w:color w:val="auto"/>
        </w:rPr>
      </w:pPr>
      <w:r>
        <w:rPr>
          <w:rFonts w:ascii="Arial" w:cs="Arial" w:eastAsia="Arial" w:hAnsi="Arial"/>
          <w:sz w:val="18"/>
          <w:szCs w:val="18"/>
          <w:u w:val="single" w:color="auto"/>
          <w:color w:val="auto"/>
        </w:rPr>
        <w:t>Dividend Equivalents</w:t>
      </w:r>
      <w:r>
        <w:rPr>
          <w:rFonts w:ascii="Arial" w:cs="Arial" w:eastAsia="Arial" w:hAnsi="Arial"/>
          <w:sz w:val="18"/>
          <w:szCs w:val="18"/>
          <w:color w:val="auto"/>
        </w:rPr>
        <w:t>. The holder of the Restricted Share Units shall not be entitled to receive any payment, payment-in-kind or any equivalent with regard to any cash or other dividends that are declared and paid on Common Shares.</w:t>
      </w:r>
    </w:p>
    <w:p>
      <w:pPr>
        <w:spacing w:after="0" w:line="170" w:lineRule="exact"/>
        <w:rPr>
          <w:rFonts w:ascii="Arial" w:cs="Arial" w:eastAsia="Arial" w:hAnsi="Arial"/>
          <w:sz w:val="18"/>
          <w:szCs w:val="18"/>
          <w:color w:val="auto"/>
        </w:rPr>
      </w:pPr>
    </w:p>
    <w:p>
      <w:pPr>
        <w:ind w:right="80" w:firstLine="656"/>
        <w:spacing w:after="0" w:line="302" w:lineRule="auto"/>
        <w:tabs>
          <w:tab w:leader="none" w:pos="1296" w:val="left"/>
        </w:tabs>
        <w:numPr>
          <w:ilvl w:val="1"/>
          <w:numId w:val="242"/>
        </w:numPr>
        <w:rPr>
          <w:rFonts w:ascii="Arial" w:cs="Arial" w:eastAsia="Arial" w:hAnsi="Arial"/>
          <w:sz w:val="16"/>
          <w:szCs w:val="16"/>
          <w:color w:val="auto"/>
        </w:rPr>
      </w:pPr>
      <w:r>
        <w:rPr>
          <w:rFonts w:ascii="Arial" w:cs="Arial" w:eastAsia="Arial" w:hAnsi="Arial"/>
          <w:sz w:val="16"/>
          <w:szCs w:val="16"/>
          <w:u w:val="single" w:color="auto"/>
          <w:color w:val="auto"/>
        </w:rPr>
        <w:t>Receipt and Delivery</w:t>
      </w:r>
      <w:r>
        <w:rPr>
          <w:rFonts w:ascii="Arial" w:cs="Arial" w:eastAsia="Arial" w:hAnsi="Arial"/>
          <w:sz w:val="16"/>
          <w:szCs w:val="16"/>
          <w:color w:val="auto"/>
        </w:rPr>
        <w:t xml:space="preserve">. As soon as administratively practicable (and, in any event, within 30 days) after any Restricted Share Units vest, the Company shall (a) effect the issuance or transfer of the resulting Vested Shares, (b) cause the issuance or transfer of such Vested Shares to be evidenced on the books and records of the Company, and (c) cause such Vested Shares to be delivered to a Company-Sponsored Equity Account in the name of the person entitled to such Vested Shares (or, with the Company’s consent, such other brokerage account as may be requested by such person);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w:t>
      </w:r>
    </w:p>
    <w:p>
      <w:pPr>
        <w:sectPr>
          <w:pgSz w:w="11900" w:h="16945" w:orient="portrait"/>
          <w:cols w:equalWidth="0" w:num="1">
            <w:col w:w="11420"/>
          </w:cols>
          <w:pgMar w:left="240" w:top="125" w:right="239" w:bottom="0" w:gutter="0" w:footer="0" w:header="0"/>
        </w:sectPr>
      </w:pPr>
    </w:p>
    <w:bookmarkStart w:id="231" w:name="page232"/>
    <w:bookmarkEnd w:id="231"/>
    <w:p>
      <w:pPr>
        <w:ind w:right="100"/>
        <w:spacing w:after="0" w:line="277" w:lineRule="auto"/>
        <w:rPr>
          <w:sz w:val="20"/>
          <w:szCs w:val="20"/>
          <w:color w:val="auto"/>
        </w:rPr>
      </w:pPr>
      <w:r>
        <w:rPr>
          <w:rFonts w:ascii="Arial" w:cs="Arial" w:eastAsia="Arial" w:hAnsi="Arial"/>
          <w:sz w:val="18"/>
          <w:szCs w:val="18"/>
          <w:color w:val="auto"/>
        </w:rPr>
        <w:t>in the event such Vested Shares are subject to a legend as set forth in Section 16 hereof, the Company shall instead cause a certificate evidencing such Vested Shares and bearing such legend to be delivered to the person entitled thereto.</w:t>
      </w:r>
    </w:p>
    <w:p>
      <w:pPr>
        <w:spacing w:after="0" w:line="170" w:lineRule="exact"/>
        <w:rPr>
          <w:sz w:val="20"/>
          <w:szCs w:val="20"/>
          <w:color w:val="auto"/>
        </w:rPr>
      </w:pPr>
    </w:p>
    <w:p>
      <w:pPr>
        <w:ind w:right="60" w:firstLine="656"/>
        <w:spacing w:after="0" w:line="264" w:lineRule="auto"/>
        <w:tabs>
          <w:tab w:leader="none" w:pos="1296" w:val="left"/>
        </w:tabs>
        <w:numPr>
          <w:ilvl w:val="0"/>
          <w:numId w:val="243"/>
        </w:numPr>
        <w:rPr>
          <w:rFonts w:ascii="Arial" w:cs="Arial" w:eastAsia="Arial" w:hAnsi="Arial"/>
          <w:sz w:val="18"/>
          <w:szCs w:val="18"/>
          <w:color w:val="auto"/>
        </w:rPr>
      </w:pPr>
      <w:r>
        <w:rPr>
          <w:rFonts w:ascii="Arial" w:cs="Arial" w:eastAsia="Arial" w:hAnsi="Arial"/>
          <w:sz w:val="18"/>
          <w:szCs w:val="18"/>
          <w:u w:val="single" w:color="auto"/>
          <w:color w:val="auto"/>
        </w:rPr>
        <w:t>Committee Discretion</w:t>
      </w:r>
      <w:r>
        <w:rPr>
          <w:rFonts w:ascii="Arial" w:cs="Arial" w:eastAsia="Arial" w:hAnsi="Arial"/>
          <w:sz w:val="18"/>
          <w:szCs w:val="18"/>
          <w:color w:val="auto"/>
        </w:rPr>
        <w:t>. Except as may otherwise be provided in the Plan, the Committee shall have sole discretion to (a) interpret any provision of the Plan, the Grant Notice and these Award Terms, (b) make any determinations necessary or advisable for the administration of the Plan and the Award, and (c) waive any conditions or rights of the Company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under the Award, the Grant Notice or these Award Terms. Without intending to limit the generality or effect of the foregoing, any decision or determination to be made by the Committee pursuant to these Award Terms, including whether to grant or withhold any consent, shall be made by the Committee in its sole and absolute discretion, subject only to the terms of the Plan. Subject to the terms of the Plan, the Committee may amend the terms of the Award prospectively or retroactively; however, no such amendment may materially and adversely affect the rights of Grantee taken as a whole without Grantee’s consent. Without intending to limit the generality or effect of the foregoing, the Committee may amend the terms of the Award (i) in recognition of unusual or nonrecurring events (including, without limitation, events described in Section 10 hereof) affecting any entity in the Company Group or any of the Company’s other affiliates or the financial statements of any entity in the Company Group or any of the Company’s other affiliates, (ii) in response to changes in applicable laws, regulations or accounting principles and interpretations thereof, or (iii) to prevent the Award from becoming subject to any adverse consequences under Section 409A.</w:t>
      </w:r>
    </w:p>
    <w:p>
      <w:pPr>
        <w:spacing w:after="0" w:line="197" w:lineRule="exact"/>
        <w:rPr>
          <w:sz w:val="20"/>
          <w:szCs w:val="20"/>
          <w:color w:val="auto"/>
        </w:rPr>
      </w:pPr>
    </w:p>
    <w:p>
      <w:pPr>
        <w:ind w:right="100" w:firstLine="656"/>
        <w:spacing w:after="0" w:line="254" w:lineRule="auto"/>
        <w:tabs>
          <w:tab w:leader="none" w:pos="1292" w:val="left"/>
        </w:tabs>
        <w:numPr>
          <w:ilvl w:val="0"/>
          <w:numId w:val="244"/>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 Notwithstanding anything to the contrary contained herein, pursuant to Section 12 of the Plan, the Committee will make or provide for such adjustments to the Award as are equitably required to prevent dilution or enlargement of the rights of Grantee that otherwise would result from (a) any stock dividend, extraordinary dividend, stock split, combination of shares, recapitalization or other change in the capital structure of the Company, (b) any change of control, merger, consolidation, spin-off, split-off, spin-out, split-up, reorganization, partial or complete liquidation or other distribution of assets, or issuance of rights or warrants to purchase securities, or (c) any other corporate transaction or event having an effect similar to any of the foregoing. Moreover, in the event of any such transaction or event, the Committee, in its discretion, may provide in substitution for the Award such alternative consideration (including, without limitation, cash), if any, as it may determine to be equitable in the circumstances and may require in connection therewith the surrender of the Award.</w:t>
      </w:r>
    </w:p>
    <w:p>
      <w:pPr>
        <w:spacing w:after="0" w:line="192" w:lineRule="exact"/>
        <w:rPr>
          <w:rFonts w:ascii="Arial" w:cs="Arial" w:eastAsia="Arial" w:hAnsi="Arial"/>
          <w:sz w:val="18"/>
          <w:szCs w:val="18"/>
          <w:color w:val="auto"/>
        </w:rPr>
      </w:pPr>
    </w:p>
    <w:p>
      <w:pPr>
        <w:ind w:firstLine="656"/>
        <w:spacing w:after="0" w:line="288" w:lineRule="auto"/>
        <w:tabs>
          <w:tab w:leader="none" w:pos="1285" w:val="left"/>
        </w:tabs>
        <w:numPr>
          <w:ilvl w:val="0"/>
          <w:numId w:val="244"/>
        </w:numPr>
        <w:rPr>
          <w:rFonts w:ascii="Arial" w:cs="Arial" w:eastAsia="Arial" w:hAnsi="Arial"/>
          <w:sz w:val="16"/>
          <w:szCs w:val="16"/>
          <w:color w:val="auto"/>
        </w:rPr>
      </w:pPr>
      <w:r>
        <w:rPr>
          <w:rFonts w:ascii="Arial" w:cs="Arial" w:eastAsia="Arial" w:hAnsi="Arial"/>
          <w:sz w:val="16"/>
          <w:szCs w:val="16"/>
          <w:u w:val="single" w:color="auto"/>
          <w:color w:val="auto"/>
        </w:rPr>
        <w:t>Registration and Listing</w:t>
      </w:r>
      <w:r>
        <w:rPr>
          <w:rFonts w:ascii="Arial" w:cs="Arial" w:eastAsia="Arial" w:hAnsi="Arial"/>
          <w:sz w:val="16"/>
          <w:szCs w:val="16"/>
          <w:color w:val="auto"/>
        </w:rPr>
        <w:t>. Notwithstanding anything to the contrary contained herein, the Company shall not be obligated to issue or transfer any Restricted Share Units or Vested Shares, and no Restricted Share Units or Vested Shares may be sold, assigned, transferred, pledged, hypothecated or otherwise disposed of or encumbered in any way, unless such transaction is in compliance with all Exercise Rules and Regulations. The Company is under no obligation to register, qualify or list, or maintain the registration, qualification or listing of, Restricted Share Units or Vested Shares with the SEC, any state securities commission or any securities exchange, securities association, market system or quotation system to effect such compliance. Grantee shall make such representations and furnish such information as may be appropriate to permit the Company, in light of the then existence or non-existence of an effective registration statement under the Securities Act relating to Restricted Share Units or Vested Shares, to issue or transfer Restricted Share Units or Vested Shares in compliance with the provisions of that or any comparable federal securities law and all applicable state securities laws. The Company shall have the right, but not the obligation, to register the issuance or transfer of Restricted Share Units or Vested Shares or resale of Restricted Share Units or Vested Shares under the Securities Act or any comparable federal securities law or applicable state securities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firstLine="656"/>
        <w:spacing w:after="0" w:line="255" w:lineRule="auto"/>
        <w:tabs>
          <w:tab w:leader="none" w:pos="1292" w:val="left"/>
        </w:tabs>
        <w:numPr>
          <w:ilvl w:val="1"/>
          <w:numId w:val="245"/>
        </w:numPr>
        <w:rPr>
          <w:rFonts w:ascii="Arial" w:cs="Arial" w:eastAsia="Arial" w:hAnsi="Arial"/>
          <w:sz w:val="18"/>
          <w:szCs w:val="18"/>
          <w:color w:val="auto"/>
        </w:rPr>
      </w:pPr>
      <w:r>
        <w:rPr>
          <w:rFonts w:ascii="Arial" w:cs="Arial" w:eastAsia="Arial" w:hAnsi="Arial"/>
          <w:sz w:val="18"/>
          <w:szCs w:val="18"/>
          <w:u w:val="single" w:color="auto"/>
          <w:color w:val="auto"/>
        </w:rPr>
        <w:t>Transferability</w:t>
      </w:r>
      <w:r>
        <w:rPr>
          <w:rFonts w:ascii="Arial" w:cs="Arial" w:eastAsia="Arial" w:hAnsi="Arial"/>
          <w:sz w:val="18"/>
          <w:szCs w:val="18"/>
          <w:color w:val="auto"/>
        </w:rPr>
        <w:t xml:space="preserve">. Subject to the terms of the Plan and only with the Company’s consent, Grantee may transfer Restricted Share Units for estate planning purposes or pursuant to a domestic relations order;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transferee shall be bound by all of the terms and conditions of the Plan, the Grant Notice and these Award Terms and shall execute an agreement in form and substance satisfactory to the Company in connection with such transfer; and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Grantee will remain bound by the terms and conditions of the Plan, the Grant Notice and these Award Terms. Except as otherwise permitted under the Plan or this Section 12, the Restricted Share Units shall not be transferable by Grantee other than by will or the laws of descent and distribution.</w:t>
      </w:r>
    </w:p>
    <w:p>
      <w:pPr>
        <w:spacing w:after="0" w:line="193" w:lineRule="exact"/>
        <w:rPr>
          <w:rFonts w:ascii="Arial" w:cs="Arial" w:eastAsia="Arial" w:hAnsi="Arial"/>
          <w:sz w:val="18"/>
          <w:szCs w:val="18"/>
          <w:color w:val="auto"/>
        </w:rPr>
      </w:pPr>
    </w:p>
    <w:p>
      <w:pPr>
        <w:ind w:right="80" w:firstLine="656"/>
        <w:spacing w:after="0" w:line="288" w:lineRule="auto"/>
        <w:tabs>
          <w:tab w:leader="none" w:pos="1292" w:val="left"/>
        </w:tabs>
        <w:numPr>
          <w:ilvl w:val="1"/>
          <w:numId w:val="245"/>
        </w:numPr>
        <w:rPr>
          <w:rFonts w:ascii="Arial" w:cs="Arial" w:eastAsia="Arial" w:hAnsi="Arial"/>
          <w:sz w:val="16"/>
          <w:szCs w:val="16"/>
          <w:color w:val="auto"/>
        </w:rPr>
      </w:pPr>
      <w:r>
        <w:rPr>
          <w:rFonts w:ascii="Arial" w:cs="Arial" w:eastAsia="Arial" w:hAnsi="Arial"/>
          <w:sz w:val="16"/>
          <w:szCs w:val="16"/>
          <w:u w:val="single" w:color="auto"/>
          <w:color w:val="auto"/>
        </w:rPr>
        <w:t>Employment Violation</w:t>
      </w:r>
      <w:r>
        <w:rPr>
          <w:rFonts w:ascii="Arial" w:cs="Arial" w:eastAsia="Arial" w:hAnsi="Arial"/>
          <w:sz w:val="16"/>
          <w:szCs w:val="16"/>
          <w:color w:val="auto"/>
        </w:rPr>
        <w:t>. The terms of this Section 13 shall apply to the Restricted Share Units if Grantee is or becomes subject to an employment agreement with any entity in the Company Group. In the event of an Employment Violation, the Company shall have the right to require (a) the forfeiture by Grantee to the Company of any outstanding Restricted Share Units or Vested Shares which have yet to settle pursuant to Section 8 hereof and</w:t>
      </w:r>
    </w:p>
    <w:p>
      <w:pPr>
        <w:ind w:right="40" w:firstLine="8"/>
        <w:spacing w:after="0" w:line="270" w:lineRule="auto"/>
        <w:tabs>
          <w:tab w:leader="none" w:pos="255" w:val="left"/>
        </w:tabs>
        <w:numPr>
          <w:ilvl w:val="0"/>
          <w:numId w:val="246"/>
        </w:numPr>
        <w:rPr>
          <w:rFonts w:ascii="Arial" w:cs="Arial" w:eastAsia="Arial" w:hAnsi="Arial"/>
          <w:sz w:val="17"/>
          <w:szCs w:val="17"/>
          <w:color w:val="auto"/>
        </w:rPr>
      </w:pPr>
      <w:r>
        <w:rPr>
          <w:rFonts w:ascii="Arial" w:cs="Arial" w:eastAsia="Arial" w:hAnsi="Arial"/>
          <w:sz w:val="17"/>
          <w:szCs w:val="17"/>
          <w:color w:val="auto"/>
        </w:rPr>
        <w:t xml:space="preserve">payment by Grantee to the Company of the Recapture Amount with respect to such Employment Violation;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lieu of payment by Grantee to the Company of the Recapture Amount, Grantee, in his or her discretion, may tender to the Company the Vested Shares acquired during the Look-back Period with respect to such Employment Violation (without any consideration from the Company in exchange therefor). Any such forfeiture of Restricted Share Units and payment of the Recapture Amount, as the case may be, shall be in addition to, and not in lieu of, any other right or remedy available to the Company arising out of or in connection with such Employment Violation, including, without limitation, the right to terminate Grantee’s employment if not already terminated and to seek injunctive relief and additional monetary damages.</w:t>
      </w:r>
    </w:p>
    <w:p>
      <w:pPr>
        <w:spacing w:after="0" w:line="178" w:lineRule="exact"/>
        <w:rPr>
          <w:rFonts w:ascii="Arial" w:cs="Arial" w:eastAsia="Arial" w:hAnsi="Arial"/>
          <w:sz w:val="17"/>
          <w:szCs w:val="17"/>
          <w:color w:val="auto"/>
        </w:rPr>
      </w:pPr>
    </w:p>
    <w:p>
      <w:pPr>
        <w:ind w:left="1300" w:hanging="644"/>
        <w:spacing w:after="0"/>
        <w:tabs>
          <w:tab w:leader="none" w:pos="1300" w:val="left"/>
        </w:tabs>
        <w:numPr>
          <w:ilvl w:val="1"/>
          <w:numId w:val="246"/>
        </w:numPr>
        <w:rPr>
          <w:rFonts w:ascii="Arial" w:cs="Arial" w:eastAsia="Arial" w:hAnsi="Arial"/>
          <w:sz w:val="18"/>
          <w:szCs w:val="18"/>
          <w:color w:val="auto"/>
        </w:rPr>
      </w:pPr>
      <w:r>
        <w:rPr>
          <w:rFonts w:ascii="Arial" w:cs="Arial" w:eastAsia="Arial" w:hAnsi="Arial"/>
          <w:sz w:val="18"/>
          <w:szCs w:val="18"/>
          <w:u w:val="single" w:color="auto"/>
          <w:color w:val="auto"/>
        </w:rPr>
        <w:t>Compliance with Applicable Laws and Regulations and Company Policies and Procedures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20" w:firstLine="1305"/>
        <w:spacing w:after="0" w:line="277" w:lineRule="auto"/>
        <w:tabs>
          <w:tab w:leader="none" w:pos="1942" w:val="left"/>
        </w:tabs>
        <w:numPr>
          <w:ilvl w:val="2"/>
          <w:numId w:val="246"/>
        </w:numPr>
        <w:rPr>
          <w:rFonts w:ascii="Arial" w:cs="Arial" w:eastAsia="Arial" w:hAnsi="Arial"/>
          <w:sz w:val="18"/>
          <w:szCs w:val="18"/>
          <w:color w:val="auto"/>
        </w:rPr>
      </w:pPr>
      <w:r>
        <w:rPr>
          <w:rFonts w:ascii="Arial" w:cs="Arial" w:eastAsia="Arial" w:hAnsi="Arial"/>
          <w:sz w:val="18"/>
          <w:szCs w:val="18"/>
          <w:color w:val="auto"/>
        </w:rPr>
        <w:t>Grantee is responsible for complying with (i) any federal, state and local taxation laws applicable to Grantee in connection with the Award and (ii) all Exercise Rules and Regulations.</w:t>
      </w:r>
    </w:p>
    <w:p>
      <w:pPr>
        <w:spacing w:after="0" w:line="170" w:lineRule="exact"/>
        <w:rPr>
          <w:rFonts w:ascii="Arial" w:cs="Arial" w:eastAsia="Arial" w:hAnsi="Arial"/>
          <w:sz w:val="18"/>
          <w:szCs w:val="18"/>
          <w:color w:val="auto"/>
        </w:rPr>
      </w:pPr>
    </w:p>
    <w:p>
      <w:pPr>
        <w:ind w:right="140" w:firstLine="1305"/>
        <w:spacing w:after="0" w:line="264" w:lineRule="auto"/>
        <w:tabs>
          <w:tab w:leader="none" w:pos="1952" w:val="left"/>
        </w:tabs>
        <w:numPr>
          <w:ilvl w:val="2"/>
          <w:numId w:val="246"/>
        </w:numPr>
        <w:rPr>
          <w:rFonts w:ascii="Arial" w:cs="Arial" w:eastAsia="Arial" w:hAnsi="Arial"/>
          <w:sz w:val="18"/>
          <w:szCs w:val="18"/>
          <w:color w:val="auto"/>
        </w:rPr>
      </w:pPr>
      <w:r>
        <w:rPr>
          <w:rFonts w:ascii="Arial" w:cs="Arial" w:eastAsia="Arial" w:hAnsi="Arial"/>
          <w:sz w:val="18"/>
          <w:szCs w:val="18"/>
          <w:color w:val="auto"/>
        </w:rPr>
        <w:t>The Award is subject to the terms and conditions of any policy requiring or permitting the Company to recover any gains realized by Grantee in connection with the Award, including, without limitation, the Policy on Recoupment of Performance-Based Compensation Related to Certain Financial Restatements.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464" w:gutter="0" w:footer="0" w:header="0"/>
        </w:sectPr>
      </w:pPr>
    </w:p>
    <w:bookmarkStart w:id="232" w:name="page233"/>
    <w:bookmarkEnd w:id="232"/>
    <w:p>
      <w:pPr>
        <w:spacing w:after="0" w:line="80" w:lineRule="exact"/>
        <w:rPr>
          <w:sz w:val="20"/>
          <w:szCs w:val="20"/>
          <w:color w:val="auto"/>
        </w:rPr>
      </w:pPr>
    </w:p>
    <w:p>
      <w:pPr>
        <w:ind w:left="1300" w:hanging="644"/>
        <w:spacing w:after="0"/>
        <w:tabs>
          <w:tab w:leader="none" w:pos="1300" w:val="left"/>
        </w:tabs>
        <w:numPr>
          <w:ilvl w:val="1"/>
          <w:numId w:val="247"/>
        </w:numPr>
        <w:rPr>
          <w:rFonts w:ascii="Arial" w:cs="Arial" w:eastAsia="Arial" w:hAnsi="Arial"/>
          <w:sz w:val="18"/>
          <w:szCs w:val="18"/>
          <w:color w:val="auto"/>
        </w:rPr>
      </w:pPr>
      <w:r>
        <w:rPr>
          <w:rFonts w:ascii="Arial" w:cs="Arial" w:eastAsia="Arial" w:hAnsi="Arial"/>
          <w:sz w:val="18"/>
          <w:szCs w:val="18"/>
          <w:u w:val="single" w:color="auto"/>
          <w:color w:val="auto"/>
        </w:rPr>
        <w:t>Section 409A</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100" w:firstLine="1305"/>
        <w:spacing w:after="0" w:line="283" w:lineRule="auto"/>
        <w:tabs>
          <w:tab w:leader="none" w:pos="1942" w:val="left"/>
        </w:tabs>
        <w:numPr>
          <w:ilvl w:val="2"/>
          <w:numId w:val="247"/>
        </w:numPr>
        <w:rPr>
          <w:rFonts w:ascii="Arial" w:cs="Arial" w:eastAsia="Arial" w:hAnsi="Arial"/>
          <w:sz w:val="16"/>
          <w:szCs w:val="16"/>
          <w:color w:val="auto"/>
        </w:rPr>
      </w:pPr>
      <w:r>
        <w:rPr>
          <w:rFonts w:ascii="Arial" w:cs="Arial" w:eastAsia="Arial" w:hAnsi="Arial"/>
          <w:sz w:val="16"/>
          <w:szCs w:val="16"/>
          <w:color w:val="auto"/>
        </w:rPr>
        <w:t xml:space="preserve">Payments contemplated with respect to the Award are intended to comply with Section 409A, and all provisions of the Plan, the Grant Notice and these Award Terms shall be construed and interpreted in a manner consistent with the requirements for avoiding taxes or penalties under Section 409A. Notwithstanding the foregoing, (i) nothing in the Plan, the Grant Notice and these Award Terms shall guarantee that the Award is not subject to taxes or penalties under Section 409A and (ii) if any provision of the Plan, the Grant Notice or these Award Terms would, in the reasonable, good faith judgment of the Company, result or likely result in the imposition on Grantee or any other person of taxes, interest or penalties under Section 409A, the Committee may, in its sole discretion, modify the terms of the Plan, the Grant Notice or these Award Terms, without the consent of Grantee, in the manner that the Committee may reasonably and in good faith determine to be necessary or advisable to avoid the imposition of such taxes, interest or penalties;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Section 15 does not create an obligation on the part of the Committee or the Company to make any such modification, and in no event shall the Company be liable for the payment of or gross up in connection with any taxes, interest or penalties owed by Grantee pursuant to</w:t>
      </w:r>
    </w:p>
    <w:p>
      <w:pPr>
        <w:spacing w:after="0" w:line="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409A.</w:t>
      </w:r>
    </w:p>
    <w:p>
      <w:pPr>
        <w:spacing w:after="0" w:line="210" w:lineRule="exact"/>
        <w:rPr>
          <w:rFonts w:ascii="Arial" w:cs="Arial" w:eastAsia="Arial" w:hAnsi="Arial"/>
          <w:sz w:val="16"/>
          <w:szCs w:val="16"/>
          <w:color w:val="auto"/>
        </w:rPr>
      </w:pPr>
    </w:p>
    <w:p>
      <w:pPr>
        <w:ind w:right="140" w:firstLine="1305"/>
        <w:spacing w:after="0" w:line="302" w:lineRule="auto"/>
        <w:tabs>
          <w:tab w:leader="none" w:pos="1952" w:val="left"/>
        </w:tabs>
        <w:numPr>
          <w:ilvl w:val="2"/>
          <w:numId w:val="247"/>
        </w:numPr>
        <w:rPr>
          <w:rFonts w:ascii="Arial" w:cs="Arial" w:eastAsia="Arial" w:hAnsi="Arial"/>
          <w:sz w:val="16"/>
          <w:szCs w:val="16"/>
          <w:color w:val="auto"/>
        </w:rPr>
      </w:pPr>
      <w:r>
        <w:rPr>
          <w:rFonts w:ascii="Arial" w:cs="Arial" w:eastAsia="Arial" w:hAnsi="Arial"/>
          <w:sz w:val="16"/>
          <w:szCs w:val="16"/>
          <w:color w:val="auto"/>
        </w:rPr>
        <w:t>Neither Grantee nor any of Grantee’s creditors or beneficiaries shall have the right to subject any deferred compensation (within the meaning of Section 409A) payable with respect to the Award to any anticipation, alienation, sale, transfer, assignment, pledge, encumbrance, attachment or garnishment. Except as permitted under Section 409A, any deferred compensation (within the meaning of Section 409A) payable to Grantee or for Grantee’s benefit with respect to the Award may not be reduced by, or offset against, any amount owing by Grantee to the Company.</w:t>
      </w:r>
    </w:p>
    <w:p>
      <w:pPr>
        <w:spacing w:after="0" w:line="154" w:lineRule="exact"/>
        <w:rPr>
          <w:rFonts w:ascii="Arial" w:cs="Arial" w:eastAsia="Arial" w:hAnsi="Arial"/>
          <w:sz w:val="16"/>
          <w:szCs w:val="16"/>
          <w:color w:val="auto"/>
        </w:rPr>
      </w:pPr>
    </w:p>
    <w:p>
      <w:pPr>
        <w:ind w:right="100" w:firstLine="1305"/>
        <w:spacing w:after="0" w:line="291" w:lineRule="auto"/>
        <w:tabs>
          <w:tab w:leader="none" w:pos="1955" w:val="left"/>
        </w:tabs>
        <w:numPr>
          <w:ilvl w:val="2"/>
          <w:numId w:val="247"/>
        </w:numPr>
        <w:rPr>
          <w:rFonts w:ascii="Arial" w:cs="Arial" w:eastAsia="Arial" w:hAnsi="Arial"/>
          <w:sz w:val="16"/>
          <w:szCs w:val="16"/>
          <w:color w:val="auto"/>
        </w:rPr>
      </w:pPr>
      <w:r>
        <w:rPr>
          <w:rFonts w:ascii="Arial" w:cs="Arial" w:eastAsia="Arial" w:hAnsi="Arial"/>
          <w:sz w:val="16"/>
          <w:szCs w:val="16"/>
          <w:color w:val="auto"/>
        </w:rPr>
        <w:t>Notwithstanding anything to the contrary contained herein, if (i) the Committee determines in good faith that the Restricted Share Units do not qualify for the “short-term deferral exception” under Section 409A, (ii) Grantee is a “specified employee” (as defined in Section 409A) and</w:t>
      </w:r>
    </w:p>
    <w:p>
      <w:pPr>
        <w:ind w:right="20" w:firstLine="8"/>
        <w:spacing w:after="0" w:line="281" w:lineRule="auto"/>
        <w:tabs>
          <w:tab w:leader="none" w:pos="315"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 delay in the issuance or transfer of Vested Shares to Grantee or his or her estate or beneficiaries hereunder by reason of Grantee’s “separation from service” (as defined in Section 409A) with any entity in the Company Group is required to avoid tax penalties under Section 409A but is not already provided for by this Award, the Company shall cause the issuance or transfer of such Vested Shares to Grantee or Grantee’s estate or beneficiary upon the earlier of</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(A) the date that is the first business day following the date that is six months after the date of Grantee’s separation from service or (B) Grantee’s death.</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0" w:firstLine="656"/>
        <w:spacing w:after="0" w:line="277" w:lineRule="auto"/>
        <w:tabs>
          <w:tab w:leader="none" w:pos="1292" w:val="left"/>
        </w:tabs>
        <w:numPr>
          <w:ilvl w:val="0"/>
          <w:numId w:val="249"/>
        </w:numPr>
        <w:rPr>
          <w:rFonts w:ascii="Arial" w:cs="Arial" w:eastAsia="Arial" w:hAnsi="Arial"/>
          <w:sz w:val="18"/>
          <w:szCs w:val="18"/>
          <w:color w:val="auto"/>
        </w:rPr>
      </w:pPr>
      <w:r>
        <w:rPr>
          <w:rFonts w:ascii="Arial" w:cs="Arial" w:eastAsia="Arial" w:hAnsi="Arial"/>
          <w:sz w:val="18"/>
          <w:szCs w:val="18"/>
          <w:u w:val="single" w:color="auto"/>
          <w:color w:val="auto"/>
        </w:rPr>
        <w:t>Legend</w:t>
      </w:r>
      <w:r>
        <w:rPr>
          <w:rFonts w:ascii="Arial" w:cs="Arial" w:eastAsia="Arial" w:hAnsi="Arial"/>
          <w:sz w:val="18"/>
          <w:szCs w:val="18"/>
          <w:color w:val="auto"/>
        </w:rPr>
        <w:t>. The Company may, if determined by it based on the advice of counsel to be appropriate, cause any certificate evidencing Vested Shares to bear a legend substantially as follows:</w:t>
      </w:r>
    </w:p>
    <w:p>
      <w:pPr>
        <w:spacing w:after="0" w:line="170" w:lineRule="exact"/>
        <w:rPr>
          <w:sz w:val="20"/>
          <w:szCs w:val="20"/>
          <w:color w:val="auto"/>
        </w:rPr>
      </w:pPr>
    </w:p>
    <w:p>
      <w:pPr>
        <w:ind w:left="1300" w:right="420"/>
        <w:spacing w:after="0" w:line="286" w:lineRule="auto"/>
        <w:rPr>
          <w:sz w:val="20"/>
          <w:szCs w:val="20"/>
          <w:color w:val="auto"/>
        </w:rPr>
      </w:pPr>
      <w:r>
        <w:rPr>
          <w:rFonts w:ascii="Arial" w:cs="Arial" w:eastAsia="Arial" w:hAnsi="Arial"/>
          <w:sz w:val="17"/>
          <w:szCs w:val="17"/>
          <w:color w:val="auto"/>
        </w:rPr>
        <w:t>“THE SECURITIES REPRESENTED HEREBY MAY NOT BE OFFERED FOR SALE, SOLD OR OTHERWISE TRANSFERRED EXCEPT PURSUANT TO AN EFFECTIVE REGISTRATION STATEMENT UNDER THE SECURITIES ACT OF 1933, AS AMENDED (THE ‘ACT’), OR PURSUANT TO AN EXEMPTION FROM REGISTRATION UNDER THE ACT.”</w:t>
      </w:r>
    </w:p>
    <w:p>
      <w:pPr>
        <w:spacing w:after="0" w:line="166" w:lineRule="exact"/>
        <w:rPr>
          <w:sz w:val="20"/>
          <w:szCs w:val="20"/>
          <w:color w:val="auto"/>
        </w:rPr>
      </w:pPr>
    </w:p>
    <w:p>
      <w:pPr>
        <w:ind w:right="40" w:firstLine="656"/>
        <w:spacing w:after="0" w:line="264" w:lineRule="auto"/>
        <w:tabs>
          <w:tab w:leader="none" w:pos="1292"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in the Grant Notice or these Award Terms shall be construed to confer upon Grantee any right to be continued in the employ of any entity in the Company Group or derogate from any right of any entity in the Company Group to retire, request the resignation of, or discharge Grantee at any time, with or without Cause.</w:t>
      </w:r>
    </w:p>
    <w:p>
      <w:pPr>
        <w:spacing w:after="0" w:line="181" w:lineRule="exact"/>
        <w:rPr>
          <w:rFonts w:ascii="Arial" w:cs="Arial" w:eastAsia="Arial" w:hAnsi="Arial"/>
          <w:sz w:val="18"/>
          <w:szCs w:val="18"/>
          <w:color w:val="auto"/>
        </w:rPr>
      </w:pPr>
    </w:p>
    <w:p>
      <w:pPr>
        <w:ind w:right="20" w:firstLine="656"/>
        <w:spacing w:after="0" w:line="264" w:lineRule="auto"/>
        <w:tabs>
          <w:tab w:leader="none" w:pos="1292"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No Rights as Stockholder</w:t>
      </w:r>
      <w:r>
        <w:rPr>
          <w:rFonts w:ascii="Arial" w:cs="Arial" w:eastAsia="Arial" w:hAnsi="Arial"/>
          <w:sz w:val="18"/>
          <w:szCs w:val="18"/>
          <w:color w:val="auto"/>
        </w:rPr>
        <w:t>. No holder of Restricted Share Units shall, by virtue of the Grant Notice or these Award Terms, be entitled to any right of a stockholder of the Company, either at law or in equity, and the rights of any such holder are limited to those expressed, and are not enforceable against the Company except to the extent set forth in the Plan, the Grant Notice or these Award Terms.</w:t>
      </w:r>
    </w:p>
    <w:p>
      <w:pPr>
        <w:spacing w:after="0" w:line="181" w:lineRule="exact"/>
        <w:rPr>
          <w:rFonts w:ascii="Arial" w:cs="Arial" w:eastAsia="Arial" w:hAnsi="Arial"/>
          <w:sz w:val="18"/>
          <w:szCs w:val="18"/>
          <w:color w:val="auto"/>
        </w:rPr>
      </w:pPr>
    </w:p>
    <w:p>
      <w:pPr>
        <w:ind w:right="260" w:firstLine="656"/>
        <w:spacing w:after="0" w:line="264" w:lineRule="auto"/>
        <w:tabs>
          <w:tab w:leader="none" w:pos="1292"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one or more of the provisions of these Award Terms shall be invalidated for any reason by a court of competent jurisdiction, any provision so invalidated shall be deemed to be separable from the other provisions hereof, and the remaining provisions hereof shall continue to be valid and fully enforceable.</w:t>
      </w:r>
    </w:p>
    <w:p>
      <w:pPr>
        <w:spacing w:after="0" w:line="181" w:lineRule="exact"/>
        <w:rPr>
          <w:rFonts w:ascii="Arial" w:cs="Arial" w:eastAsia="Arial" w:hAnsi="Arial"/>
          <w:sz w:val="18"/>
          <w:szCs w:val="18"/>
          <w:color w:val="auto"/>
        </w:rPr>
      </w:pPr>
    </w:p>
    <w:p>
      <w:pPr>
        <w:ind w:left="1300" w:hanging="644"/>
        <w:spacing w:after="0"/>
        <w:tabs>
          <w:tab w:leader="none" w:pos="1300" w:val="left"/>
        </w:tabs>
        <w:numPr>
          <w:ilvl w:val="0"/>
          <w:numId w:val="250"/>
        </w:numPr>
        <w:rPr>
          <w:rFonts w:ascii="Arial" w:cs="Arial" w:eastAsia="Arial" w:hAnsi="Arial"/>
          <w:sz w:val="18"/>
          <w:szCs w:val="18"/>
          <w:color w:val="auto"/>
        </w:rPr>
      </w:pPr>
      <w:r>
        <w:rPr>
          <w:rFonts w:ascii="Arial" w:cs="Arial" w:eastAsia="Arial" w:hAnsi="Arial"/>
          <w:sz w:val="18"/>
          <w:szCs w:val="18"/>
          <w:u w:val="single" w:color="auto"/>
          <w:color w:val="auto"/>
        </w:rPr>
        <w:t>Venue and Governing Law</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right="40" w:firstLine="1305"/>
        <w:spacing w:after="0" w:line="279" w:lineRule="auto"/>
        <w:tabs>
          <w:tab w:leader="none" w:pos="1942" w:val="left"/>
        </w:tabs>
        <w:numPr>
          <w:ilvl w:val="1"/>
          <w:numId w:val="250"/>
        </w:numPr>
        <w:rPr>
          <w:rFonts w:ascii="Arial" w:cs="Arial" w:eastAsia="Arial" w:hAnsi="Arial"/>
          <w:sz w:val="17"/>
          <w:szCs w:val="17"/>
          <w:color w:val="auto"/>
        </w:rPr>
      </w:pPr>
      <w:r>
        <w:rPr>
          <w:rFonts w:ascii="Arial" w:cs="Arial" w:eastAsia="Arial" w:hAnsi="Arial"/>
          <w:sz w:val="17"/>
          <w:szCs w:val="17"/>
          <w:color w:val="auto"/>
        </w:rPr>
        <w:t>For purposes of litigating any dispute that arises directly or indirectly from the relationship of the parties evidenced by the grant of the Restricted Share Units or these Award Terms, the parties submit and consent to the exclusive jurisdiction of the State of California and agree that such litigation shall be conducted only in the courts of Los Angeles County, California or the federal courts of the United States for the Central District of California, and no other courts, regardless of where the grant of the Restricted Share Units is made and/or to be performed.</w:t>
      </w:r>
    </w:p>
    <w:p>
      <w:pPr>
        <w:spacing w:after="0" w:line="171" w:lineRule="exact"/>
        <w:rPr>
          <w:rFonts w:ascii="Arial" w:cs="Arial" w:eastAsia="Arial" w:hAnsi="Arial"/>
          <w:sz w:val="17"/>
          <w:szCs w:val="17"/>
          <w:color w:val="auto"/>
        </w:rPr>
      </w:pPr>
    </w:p>
    <w:p>
      <w:pPr>
        <w:ind w:right="280" w:firstLine="1305"/>
        <w:spacing w:after="0" w:line="342" w:lineRule="auto"/>
        <w:tabs>
          <w:tab w:leader="none" w:pos="1952" w:val="left"/>
        </w:tabs>
        <w:numPr>
          <w:ilvl w:val="1"/>
          <w:numId w:val="250"/>
        </w:numPr>
        <w:rPr>
          <w:rFonts w:ascii="Arial" w:cs="Arial" w:eastAsia="Arial" w:hAnsi="Arial"/>
          <w:sz w:val="16"/>
          <w:szCs w:val="16"/>
          <w:color w:val="auto"/>
        </w:rPr>
      </w:pPr>
      <w:r>
        <w:rPr>
          <w:rFonts w:ascii="Arial" w:cs="Arial" w:eastAsia="Arial" w:hAnsi="Arial"/>
          <w:sz w:val="16"/>
          <w:szCs w:val="16"/>
          <w:color w:val="auto"/>
        </w:rPr>
        <w:t>To the extent that federal law does not otherwise control, the validity, interpretation, performance and enforcement of the Grant Notice and these Award Terms shall be governed by the laws of the State of Delaware, without giving effect to principles of conflicts of laws thereof.</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both"/>
        <w:ind w:right="200" w:firstLine="656"/>
        <w:spacing w:after="0" w:line="264" w:lineRule="auto"/>
        <w:tabs>
          <w:tab w:leader="none" w:pos="1323"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The provisions of the Grant Notice and these Award Terms shall be binding upon and inure to the benefit of the Company, its successors and assigns, and Grantee and, to the extent applicable, Grantee’s permitted assigns under Section 12 hereof and Grantee’s estate or beneficiaries as determined by will or the laws of descent and distribution.</w:t>
      </w:r>
    </w:p>
    <w:p>
      <w:pPr>
        <w:spacing w:after="0" w:line="181" w:lineRule="exact"/>
        <w:rPr>
          <w:rFonts w:ascii="Arial" w:cs="Arial" w:eastAsia="Arial" w:hAnsi="Arial"/>
          <w:sz w:val="18"/>
          <w:szCs w:val="18"/>
          <w:color w:val="auto"/>
        </w:rPr>
      </w:pPr>
    </w:p>
    <w:p>
      <w:pPr>
        <w:ind w:left="1340" w:hanging="684"/>
        <w:spacing w:after="0"/>
        <w:tabs>
          <w:tab w:leader="none" w:pos="1340" w:val="left"/>
        </w:tabs>
        <w:numPr>
          <w:ilvl w:val="0"/>
          <w:numId w:val="25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firstLine="1305"/>
        <w:spacing w:after="0" w:line="279" w:lineRule="auto"/>
        <w:tabs>
          <w:tab w:leader="none" w:pos="1991" w:val="left"/>
        </w:tabs>
        <w:numPr>
          <w:ilvl w:val="1"/>
          <w:numId w:val="251"/>
        </w:numPr>
        <w:rPr>
          <w:rFonts w:ascii="Arial" w:cs="Arial" w:eastAsia="Arial" w:hAnsi="Arial"/>
          <w:sz w:val="17"/>
          <w:szCs w:val="17"/>
          <w:color w:val="auto"/>
        </w:rPr>
      </w:pPr>
      <w:r>
        <w:rPr>
          <w:rFonts w:ascii="Arial" w:cs="Arial" w:eastAsia="Arial" w:hAnsi="Arial"/>
          <w:sz w:val="17"/>
          <w:szCs w:val="17"/>
          <w:color w:val="auto"/>
        </w:rPr>
        <w:t>Any notice or other document which Grantee may be required or permitted to deliver to the Company pursuant to or in connection with the Grant Notice or these Award Terms shall be in writing, and may be delivered personally or by mail, postage prepaid, or overnight courier, addressed to the Company, at its office at 3100 Ocean Park Boulevard, Santa Monica, California 90405, Attn: Stock Plan Administration, or such other address as the Company by notice to Grantee may designate in writing from time to time. Notices shall be effective upon delivery.</w:t>
      </w:r>
    </w:p>
    <w:p>
      <w:pPr>
        <w:spacing w:after="0" w:line="171" w:lineRule="exact"/>
        <w:rPr>
          <w:rFonts w:ascii="Arial" w:cs="Arial" w:eastAsia="Arial" w:hAnsi="Arial"/>
          <w:sz w:val="17"/>
          <w:szCs w:val="17"/>
          <w:color w:val="auto"/>
        </w:rPr>
      </w:pPr>
    </w:p>
    <w:p>
      <w:pPr>
        <w:ind w:firstLine="1305"/>
        <w:spacing w:after="0" w:line="302" w:lineRule="auto"/>
        <w:tabs>
          <w:tab w:leader="none" w:pos="2001"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Any notice or other document which the Company may be required or permitted to deliver to Grantee pursuant to or in connection with the Grant Notice or these Award Terms shall be in writing, and may be delivered personally or by mail, postage prepaid, or overnight courier, addressed to Grantee at the address shown on any employment agreement or offer letter between Grantee and any entity in the Company Group in effect at the time, or such other address as Grantee by notice to the Company may designate in writing from time to time. The Company may also, in its sole discretion, deliver</w:t>
      </w:r>
    </w:p>
    <w:p>
      <w:pPr>
        <w:sectPr>
          <w:pgSz w:w="11900" w:h="16918" w:orient="portrait"/>
          <w:cols w:equalWidth="0" w:num="1">
            <w:col w:w="11400"/>
          </w:cols>
          <w:pgMar w:left="240" w:top="125" w:right="259" w:bottom="0" w:gutter="0" w:footer="0" w:header="0"/>
        </w:sectPr>
      </w:pPr>
    </w:p>
    <w:bookmarkStart w:id="233" w:name="page234"/>
    <w:bookmarkEnd w:id="233"/>
    <w:p>
      <w:pPr>
        <w:jc w:val="both"/>
        <w:ind w:right="120"/>
        <w:spacing w:after="0" w:line="286" w:lineRule="auto"/>
        <w:rPr>
          <w:sz w:val="20"/>
          <w:szCs w:val="20"/>
          <w:color w:val="auto"/>
        </w:rPr>
      </w:pPr>
      <w:r>
        <w:rPr>
          <w:rFonts w:ascii="Arial" w:cs="Arial" w:eastAsia="Arial" w:hAnsi="Arial"/>
          <w:sz w:val="17"/>
          <w:szCs w:val="17"/>
          <w:color w:val="auto"/>
        </w:rPr>
        <w:t>any such document to Grantee electronically via an e-mail to Grantee at his or her Company-provided email address or through a notice delivered to such e-mail address that such document is available on a website established and maintained on behalf of the Company or a third party designated by the Company, including, without limitation, the Equity Account Administrator. Notices shall be effective upon delivery.</w:t>
      </w:r>
    </w:p>
    <w:p>
      <w:pPr>
        <w:spacing w:after="0" w:line="166" w:lineRule="exact"/>
        <w:rPr>
          <w:sz w:val="20"/>
          <w:szCs w:val="20"/>
          <w:color w:val="auto"/>
        </w:rPr>
      </w:pPr>
    </w:p>
    <w:p>
      <w:pPr>
        <w:ind w:firstLine="656"/>
        <w:spacing w:after="0" w:line="257" w:lineRule="auto"/>
        <w:tabs>
          <w:tab w:leader="none" w:pos="1323"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Conflict with Employment Agreement or Plan</w:t>
      </w:r>
      <w:r>
        <w:rPr>
          <w:rFonts w:ascii="Arial" w:cs="Arial" w:eastAsia="Arial" w:hAnsi="Arial"/>
          <w:sz w:val="18"/>
          <w:szCs w:val="18"/>
          <w:color w:val="auto"/>
        </w:rPr>
        <w:t>. In the event of any conflict between the terms of any employment agreement or offer letter between Grantee and any entity in the Company Group in effect at the time and the terms of the Grant Notice or these Award Terms, the terms of the Grant Notice or these Award Terms, as the case may be, shall control. In the event of any conflict between the terms of any employment agreement or offer letter between Grantee and any entity in the Company Group in effect at the time, the Grant Notice or these Award Terms and the terms of the Plan, the terms of the Plan shall control.</w:t>
      </w:r>
    </w:p>
    <w:p>
      <w:pPr>
        <w:spacing w:after="0" w:line="188" w:lineRule="exact"/>
        <w:rPr>
          <w:rFonts w:ascii="Arial" w:cs="Arial" w:eastAsia="Arial" w:hAnsi="Arial"/>
          <w:sz w:val="18"/>
          <w:szCs w:val="18"/>
          <w:color w:val="auto"/>
        </w:rPr>
      </w:pPr>
    </w:p>
    <w:p>
      <w:pPr>
        <w:ind w:firstLine="656"/>
        <w:spacing w:after="0" w:line="259" w:lineRule="auto"/>
        <w:tabs>
          <w:tab w:leader="none" w:pos="1323"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Imposition of Other Requirements</w:t>
      </w:r>
      <w:r>
        <w:rPr>
          <w:rFonts w:ascii="Arial" w:cs="Arial" w:eastAsia="Arial" w:hAnsi="Arial"/>
          <w:sz w:val="18"/>
          <w:szCs w:val="18"/>
          <w:color w:val="auto"/>
        </w:rPr>
        <w:t>. The Company reserves the right to impose other requirements on Grantee’s participation in the Plan, on the Restricted Share Units and on any Common Shares acquired under the Plan, to the extent the Company determines it is necessary or advisable in order to facilitate the administration of the Plan, and to require Grantee to sign any additional agreements or undertakings that may be necessary to accomplish the foregoing.</w:t>
      </w:r>
    </w:p>
    <w:p>
      <w:pPr>
        <w:spacing w:after="0" w:line="186" w:lineRule="exact"/>
        <w:rPr>
          <w:rFonts w:ascii="Arial" w:cs="Arial" w:eastAsia="Arial" w:hAnsi="Arial"/>
          <w:sz w:val="18"/>
          <w:szCs w:val="18"/>
          <w:color w:val="auto"/>
        </w:rPr>
      </w:pPr>
    </w:p>
    <w:p>
      <w:pPr>
        <w:ind w:right="240" w:firstLine="656"/>
        <w:spacing w:after="0" w:line="277" w:lineRule="auto"/>
        <w:tabs>
          <w:tab w:leader="none" w:pos="1323" w:val="left"/>
        </w:tabs>
        <w:numPr>
          <w:ilvl w:val="0"/>
          <w:numId w:val="252"/>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Grantee acknowledges that a waiver by the Company of a breach of any provision of these Award Terms shall not operate or be construed as a waiver of any other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provision of these Award Terms, or of any subsequent breach by Grantee or any other grantee of an equity award from the Company.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4" w:name="page235"/>
    <w:bookmarkEnd w:id="234"/>
    <w:p>
      <w:pPr>
        <w:jc w:val="right"/>
        <w:spacing w:after="0"/>
        <w:rPr>
          <w:sz w:val="20"/>
          <w:szCs w:val="20"/>
          <w:color w:val="auto"/>
        </w:rPr>
      </w:pPr>
      <w:r>
        <w:rPr>
          <w:rFonts w:ascii="Arial" w:cs="Arial" w:eastAsia="Arial" w:hAnsi="Arial"/>
          <w:sz w:val="18"/>
          <w:szCs w:val="18"/>
          <w:b w:val="1"/>
          <w:bCs w:val="1"/>
          <w:color w:val="auto"/>
        </w:rPr>
        <w:t>Exhibit 10.90</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As adopted by the Board of Directors on</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November 22,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18005" cy="48895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818005" cy="48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720" w:type="dxa"/>
            <w:vAlign w:val="bottom"/>
            <w:gridSpan w:val="2"/>
          </w:tcPr>
          <w:p>
            <w:pPr>
              <w:jc w:val="center"/>
              <w:ind w:right="2190"/>
              <w:spacing w:after="0"/>
              <w:rPr>
                <w:sz w:val="20"/>
                <w:szCs w:val="20"/>
                <w:color w:val="auto"/>
              </w:rPr>
            </w:pPr>
            <w:r>
              <w:rPr>
                <w:rFonts w:ascii="Arial" w:cs="Arial" w:eastAsia="Arial" w:hAnsi="Arial"/>
                <w:sz w:val="18"/>
                <w:szCs w:val="18"/>
                <w:b w:val="1"/>
                <w:bCs w:val="1"/>
                <w:color w:val="auto"/>
              </w:rPr>
              <w:t>NON-AFFILIATED DIRECTOR COMPENSATION PROGRAM</w:t>
            </w:r>
          </w:p>
        </w:tc>
      </w:tr>
      <w:tr>
        <w:trPr>
          <w:trHeight w:val="432"/>
        </w:trPr>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380" w:type="dxa"/>
            <w:vAlign w:val="bottom"/>
          </w:tcPr>
          <w:p>
            <w:pPr>
              <w:jc w:val="center"/>
              <w:ind w:right="3550"/>
              <w:spacing w:after="0"/>
              <w:rPr>
                <w:sz w:val="20"/>
                <w:szCs w:val="20"/>
                <w:color w:val="auto"/>
              </w:rPr>
            </w:pPr>
            <w:r>
              <w:rPr>
                <w:rFonts w:ascii="Arial" w:cs="Arial" w:eastAsia="Arial" w:hAnsi="Arial"/>
                <w:sz w:val="18"/>
                <w:szCs w:val="18"/>
                <w:b w:val="1"/>
                <w:bCs w:val="1"/>
                <w:color w:val="auto"/>
                <w:w w:val="97"/>
              </w:rPr>
              <w:t>AND</w:t>
            </w:r>
          </w:p>
        </w:tc>
      </w:tr>
      <w:tr>
        <w:trPr>
          <w:trHeight w:val="432"/>
        </w:trPr>
        <w:tc>
          <w:tcPr>
            <w:tcW w:w="2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380" w:type="dxa"/>
            <w:vAlign w:val="bottom"/>
          </w:tcPr>
          <w:p>
            <w:pPr>
              <w:jc w:val="center"/>
              <w:ind w:right="3530"/>
              <w:spacing w:after="0"/>
              <w:rPr>
                <w:sz w:val="20"/>
                <w:szCs w:val="20"/>
                <w:color w:val="auto"/>
              </w:rPr>
            </w:pPr>
            <w:r>
              <w:rPr>
                <w:rFonts w:ascii="Arial" w:cs="Arial" w:eastAsia="Arial" w:hAnsi="Arial"/>
                <w:sz w:val="18"/>
                <w:szCs w:val="18"/>
                <w:b w:val="1"/>
                <w:bCs w:val="1"/>
                <w:color w:val="auto"/>
              </w:rPr>
              <w:t>STOCK OWNERSHIP GUIDELINES</w:t>
            </w:r>
          </w:p>
        </w:tc>
      </w:tr>
      <w:tr>
        <w:trPr>
          <w:trHeight w:val="414"/>
        </w:trPr>
        <w:tc>
          <w:tcPr>
            <w:tcW w:w="2020" w:type="dxa"/>
            <w:vAlign w:val="bottom"/>
          </w:tcPr>
          <w:p>
            <w:pPr>
              <w:spacing w:after="0"/>
              <w:rPr>
                <w:sz w:val="20"/>
                <w:szCs w:val="20"/>
                <w:color w:val="auto"/>
              </w:rPr>
            </w:pPr>
            <w:r>
              <w:rPr>
                <w:rFonts w:ascii="Arial" w:cs="Arial" w:eastAsia="Arial" w:hAnsi="Arial"/>
                <w:sz w:val="18"/>
                <w:szCs w:val="18"/>
                <w:b w:val="1"/>
                <w:bCs w:val="1"/>
                <w:color w:val="auto"/>
              </w:rPr>
              <w:t>Non-Affiliated</w:t>
            </w:r>
          </w:p>
        </w:tc>
        <w:tc>
          <w:tcPr>
            <w:tcW w:w="9200" w:type="dxa"/>
            <w:vAlign w:val="bottom"/>
            <w:gridSpan w:val="3"/>
          </w:tcPr>
          <w:p>
            <w:pPr>
              <w:ind w:left="480"/>
              <w:spacing w:after="0"/>
              <w:rPr>
                <w:sz w:val="20"/>
                <w:szCs w:val="20"/>
                <w:color w:val="auto"/>
              </w:rPr>
            </w:pPr>
            <w:r>
              <w:rPr>
                <w:rFonts w:ascii="Arial" w:cs="Arial" w:eastAsia="Arial" w:hAnsi="Arial"/>
                <w:sz w:val="18"/>
                <w:szCs w:val="18"/>
                <w:color w:val="auto"/>
                <w:w w:val="90"/>
              </w:rPr>
              <w:t>For purposes of this program, a “</w:t>
            </w:r>
            <w:r>
              <w:rPr>
                <w:rFonts w:ascii="Arial" w:cs="Arial" w:eastAsia="Arial" w:hAnsi="Arial"/>
                <w:sz w:val="18"/>
                <w:szCs w:val="18"/>
                <w:b w:val="1"/>
                <w:bCs w:val="1"/>
                <w:i w:val="1"/>
                <w:iCs w:val="1"/>
                <w:color w:val="auto"/>
                <w:w w:val="90"/>
              </w:rPr>
              <w:t>Non-Affiliated Director</w:t>
            </w:r>
            <w:r>
              <w:rPr>
                <w:rFonts w:ascii="Arial" w:cs="Arial" w:eastAsia="Arial" w:hAnsi="Arial"/>
                <w:sz w:val="18"/>
                <w:szCs w:val="18"/>
                <w:color w:val="auto"/>
                <w:w w:val="90"/>
              </w:rPr>
              <w:t>” is any director of the Company that is not also an employee of</w:t>
            </w:r>
          </w:p>
        </w:tc>
      </w:tr>
      <w:tr>
        <w:trPr>
          <w:trHeight w:val="234"/>
        </w:trPr>
        <w:tc>
          <w:tcPr>
            <w:tcW w:w="2020" w:type="dxa"/>
            <w:vAlign w:val="bottom"/>
          </w:tcPr>
          <w:p>
            <w:pPr>
              <w:spacing w:after="0"/>
              <w:rPr>
                <w:sz w:val="20"/>
                <w:szCs w:val="20"/>
                <w:color w:val="auto"/>
              </w:rPr>
            </w:pPr>
            <w:r>
              <w:rPr>
                <w:rFonts w:ascii="Arial" w:cs="Arial" w:eastAsia="Arial" w:hAnsi="Arial"/>
                <w:sz w:val="18"/>
                <w:szCs w:val="18"/>
                <w:b w:val="1"/>
                <w:bCs w:val="1"/>
                <w:color w:val="auto"/>
              </w:rPr>
              <w:t>Director</w:t>
            </w:r>
          </w:p>
        </w:tc>
        <w:tc>
          <w:tcPr>
            <w:tcW w:w="9200" w:type="dxa"/>
            <w:vAlign w:val="bottom"/>
            <w:gridSpan w:val="3"/>
          </w:tcPr>
          <w:p>
            <w:pPr>
              <w:ind w:left="480"/>
              <w:spacing w:after="0"/>
              <w:rPr>
                <w:sz w:val="20"/>
                <w:szCs w:val="20"/>
                <w:color w:val="auto"/>
              </w:rPr>
            </w:pPr>
            <w:r>
              <w:rPr>
                <w:rFonts w:ascii="Arial" w:cs="Arial" w:eastAsia="Arial" w:hAnsi="Arial"/>
                <w:sz w:val="18"/>
                <w:szCs w:val="18"/>
                <w:color w:val="auto"/>
              </w:rPr>
              <w:t>the Company or any of its subsidiaries.</w:t>
            </w:r>
          </w:p>
        </w:tc>
      </w:tr>
      <w:tr>
        <w:trPr>
          <w:trHeight w:val="392"/>
        </w:trPr>
        <w:tc>
          <w:tcPr>
            <w:tcW w:w="2020" w:type="dxa"/>
            <w:vAlign w:val="bottom"/>
          </w:tcPr>
          <w:p>
            <w:pPr>
              <w:spacing w:after="0"/>
              <w:rPr>
                <w:sz w:val="20"/>
                <w:szCs w:val="20"/>
                <w:color w:val="auto"/>
              </w:rPr>
            </w:pPr>
            <w:r>
              <w:rPr>
                <w:rFonts w:ascii="Arial" w:cs="Arial" w:eastAsia="Arial" w:hAnsi="Arial"/>
                <w:sz w:val="18"/>
                <w:szCs w:val="18"/>
                <w:b w:val="1"/>
                <w:bCs w:val="1"/>
                <w:color w:val="auto"/>
              </w:rPr>
              <w:t>Cash Compensation</w:t>
            </w:r>
          </w:p>
        </w:tc>
        <w:tc>
          <w:tcPr>
            <w:tcW w:w="9200" w:type="dxa"/>
            <w:vAlign w:val="bottom"/>
            <w:gridSpan w:val="3"/>
          </w:tcPr>
          <w:p>
            <w:pPr>
              <w:ind w:left="480"/>
              <w:spacing w:after="0"/>
              <w:rPr>
                <w:sz w:val="20"/>
                <w:szCs w:val="20"/>
                <w:color w:val="auto"/>
              </w:rPr>
            </w:pPr>
            <w:r>
              <w:rPr>
                <w:rFonts w:ascii="Arial" w:cs="Arial" w:eastAsia="Arial" w:hAnsi="Arial"/>
                <w:sz w:val="18"/>
                <w:szCs w:val="18"/>
                <w:b w:val="1"/>
                <w:bCs w:val="1"/>
                <w:color w:val="auto"/>
              </w:rPr>
              <w:t>Annual Retainers</w:t>
            </w:r>
          </w:p>
        </w:tc>
      </w:tr>
      <w:tr>
        <w:trPr>
          <w:trHeight w:val="20"/>
        </w:trPr>
        <w:tc>
          <w:tcPr>
            <w:tcW w:w="20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r>
      <w:tr>
        <w:trPr>
          <w:trHeight w:val="222"/>
        </w:trPr>
        <w:tc>
          <w:tcPr>
            <w:tcW w:w="20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   Board Member</w:t>
            </w:r>
          </w:p>
        </w:tc>
      </w:tr>
      <w:tr>
        <w:trPr>
          <w:trHeight w:val="216"/>
        </w:trPr>
        <w:tc>
          <w:tcPr>
            <w:tcW w:w="2020" w:type="dxa"/>
            <w:vAlign w:val="bottom"/>
          </w:tcPr>
          <w:p>
            <w:pPr>
              <w:spacing w:after="0"/>
              <w:rPr>
                <w:sz w:val="18"/>
                <w:szCs w:val="18"/>
                <w:color w:val="auto"/>
              </w:rPr>
            </w:pPr>
          </w:p>
        </w:tc>
        <w:tc>
          <w:tcPr>
            <w:tcW w:w="1820" w:type="dxa"/>
            <w:vAlign w:val="bottom"/>
            <w:gridSpan w:val="2"/>
          </w:tcPr>
          <w:p>
            <w:pPr>
              <w:ind w:left="1120"/>
              <w:spacing w:after="0"/>
              <w:rPr>
                <w:sz w:val="20"/>
                <w:szCs w:val="20"/>
                <w:color w:val="auto"/>
              </w:rPr>
            </w:pPr>
            <w:r>
              <w:rPr>
                <w:rFonts w:ascii="Arial" w:cs="Arial" w:eastAsia="Arial" w:hAnsi="Arial"/>
                <w:sz w:val="18"/>
                <w:szCs w:val="18"/>
                <w:color w:val="auto"/>
              </w:rPr>
              <w:t>$90,000</w:t>
            </w:r>
          </w:p>
        </w:tc>
        <w:tc>
          <w:tcPr>
            <w:tcW w:w="738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   Chair of the Board</w:t>
            </w:r>
          </w:p>
        </w:tc>
      </w:tr>
      <w:tr>
        <w:trPr>
          <w:trHeight w:val="216"/>
        </w:trPr>
        <w:tc>
          <w:tcPr>
            <w:tcW w:w="2020" w:type="dxa"/>
            <w:vAlign w:val="bottom"/>
          </w:tcPr>
          <w:p>
            <w:pPr>
              <w:spacing w:after="0"/>
              <w:rPr>
                <w:sz w:val="18"/>
                <w:szCs w:val="18"/>
                <w:color w:val="auto"/>
              </w:rPr>
            </w:pPr>
          </w:p>
        </w:tc>
        <w:tc>
          <w:tcPr>
            <w:tcW w:w="1820" w:type="dxa"/>
            <w:vAlign w:val="bottom"/>
            <w:gridSpan w:val="2"/>
          </w:tcPr>
          <w:p>
            <w:pPr>
              <w:ind w:left="1120"/>
              <w:spacing w:after="0"/>
              <w:rPr>
                <w:sz w:val="20"/>
                <w:szCs w:val="20"/>
                <w:color w:val="auto"/>
              </w:rPr>
            </w:pPr>
            <w:r>
              <w:rPr>
                <w:rFonts w:ascii="Arial" w:cs="Arial" w:eastAsia="Arial" w:hAnsi="Arial"/>
                <w:sz w:val="18"/>
                <w:szCs w:val="18"/>
                <w:color w:val="auto"/>
                <w:w w:val="90"/>
              </w:rPr>
              <w:t>$150,000</w:t>
            </w:r>
          </w:p>
        </w:tc>
        <w:tc>
          <w:tcPr>
            <w:tcW w:w="738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   Chair of the Audit Committee</w:t>
            </w:r>
          </w:p>
        </w:tc>
      </w:tr>
      <w:tr>
        <w:trPr>
          <w:trHeight w:val="216"/>
        </w:trPr>
        <w:tc>
          <w:tcPr>
            <w:tcW w:w="2020" w:type="dxa"/>
            <w:vAlign w:val="bottom"/>
          </w:tcPr>
          <w:p>
            <w:pPr>
              <w:spacing w:after="0"/>
              <w:rPr>
                <w:sz w:val="18"/>
                <w:szCs w:val="18"/>
                <w:color w:val="auto"/>
              </w:rPr>
            </w:pPr>
          </w:p>
        </w:tc>
        <w:tc>
          <w:tcPr>
            <w:tcW w:w="1820" w:type="dxa"/>
            <w:vAlign w:val="bottom"/>
            <w:gridSpan w:val="2"/>
          </w:tcPr>
          <w:p>
            <w:pPr>
              <w:ind w:left="1120"/>
              <w:spacing w:after="0"/>
              <w:rPr>
                <w:sz w:val="20"/>
                <w:szCs w:val="20"/>
                <w:color w:val="auto"/>
              </w:rPr>
            </w:pPr>
            <w:r>
              <w:rPr>
                <w:rFonts w:ascii="Arial" w:cs="Arial" w:eastAsia="Arial" w:hAnsi="Arial"/>
                <w:sz w:val="18"/>
                <w:szCs w:val="18"/>
                <w:color w:val="auto"/>
              </w:rPr>
              <w:t>$40,000</w:t>
            </w:r>
          </w:p>
        </w:tc>
        <w:tc>
          <w:tcPr>
            <w:tcW w:w="738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   Chair of the Compensation Committee</w:t>
            </w:r>
          </w:p>
        </w:tc>
      </w:tr>
      <w:tr>
        <w:trPr>
          <w:trHeight w:val="216"/>
        </w:trPr>
        <w:tc>
          <w:tcPr>
            <w:tcW w:w="2020" w:type="dxa"/>
            <w:vAlign w:val="bottom"/>
          </w:tcPr>
          <w:p>
            <w:pPr>
              <w:spacing w:after="0"/>
              <w:rPr>
                <w:sz w:val="18"/>
                <w:szCs w:val="18"/>
                <w:color w:val="auto"/>
              </w:rPr>
            </w:pPr>
          </w:p>
        </w:tc>
        <w:tc>
          <w:tcPr>
            <w:tcW w:w="1820" w:type="dxa"/>
            <w:vAlign w:val="bottom"/>
            <w:gridSpan w:val="2"/>
          </w:tcPr>
          <w:p>
            <w:pPr>
              <w:ind w:left="1120"/>
              <w:spacing w:after="0"/>
              <w:rPr>
                <w:sz w:val="20"/>
                <w:szCs w:val="20"/>
                <w:color w:val="auto"/>
              </w:rPr>
            </w:pPr>
            <w:r>
              <w:rPr>
                <w:rFonts w:ascii="Arial" w:cs="Arial" w:eastAsia="Arial" w:hAnsi="Arial"/>
                <w:sz w:val="18"/>
                <w:szCs w:val="18"/>
                <w:color w:val="auto"/>
              </w:rPr>
              <w:t>$40,000</w:t>
            </w:r>
          </w:p>
        </w:tc>
        <w:tc>
          <w:tcPr>
            <w:tcW w:w="738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   Chair of the Nominating and Corporate Governance Committee</w:t>
            </w:r>
          </w:p>
        </w:tc>
      </w:tr>
      <w:tr>
        <w:trPr>
          <w:trHeight w:val="216"/>
        </w:trPr>
        <w:tc>
          <w:tcPr>
            <w:tcW w:w="2020" w:type="dxa"/>
            <w:vAlign w:val="bottom"/>
          </w:tcPr>
          <w:p>
            <w:pPr>
              <w:spacing w:after="0"/>
              <w:rPr>
                <w:sz w:val="18"/>
                <w:szCs w:val="18"/>
                <w:color w:val="auto"/>
              </w:rPr>
            </w:pPr>
          </w:p>
        </w:tc>
        <w:tc>
          <w:tcPr>
            <w:tcW w:w="1820" w:type="dxa"/>
            <w:vAlign w:val="bottom"/>
            <w:gridSpan w:val="2"/>
          </w:tcPr>
          <w:p>
            <w:pPr>
              <w:ind w:left="1120"/>
              <w:spacing w:after="0"/>
              <w:rPr>
                <w:sz w:val="20"/>
                <w:szCs w:val="20"/>
                <w:color w:val="auto"/>
              </w:rPr>
            </w:pPr>
            <w:r>
              <w:rPr>
                <w:rFonts w:ascii="Arial" w:cs="Arial" w:eastAsia="Arial" w:hAnsi="Arial"/>
                <w:sz w:val="18"/>
                <w:szCs w:val="18"/>
                <w:color w:val="auto"/>
              </w:rPr>
              <w:t>$30,000</w:t>
            </w:r>
          </w:p>
        </w:tc>
        <w:tc>
          <w:tcPr>
            <w:tcW w:w="738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   Audit Committee Member (other than the Chair)</w:t>
            </w:r>
          </w:p>
        </w:tc>
      </w:tr>
      <w:tr>
        <w:trPr>
          <w:trHeight w:val="216"/>
        </w:trPr>
        <w:tc>
          <w:tcPr>
            <w:tcW w:w="2020" w:type="dxa"/>
            <w:vAlign w:val="bottom"/>
          </w:tcPr>
          <w:p>
            <w:pPr>
              <w:spacing w:after="0"/>
              <w:rPr>
                <w:sz w:val="18"/>
                <w:szCs w:val="18"/>
                <w:color w:val="auto"/>
              </w:rPr>
            </w:pPr>
          </w:p>
        </w:tc>
        <w:tc>
          <w:tcPr>
            <w:tcW w:w="1820" w:type="dxa"/>
            <w:vAlign w:val="bottom"/>
            <w:gridSpan w:val="2"/>
          </w:tcPr>
          <w:p>
            <w:pPr>
              <w:ind w:left="1120"/>
              <w:spacing w:after="0"/>
              <w:rPr>
                <w:sz w:val="20"/>
                <w:szCs w:val="20"/>
                <w:color w:val="auto"/>
              </w:rPr>
            </w:pPr>
            <w:r>
              <w:rPr>
                <w:rFonts w:ascii="Arial" w:cs="Arial" w:eastAsia="Arial" w:hAnsi="Arial"/>
                <w:sz w:val="18"/>
                <w:szCs w:val="18"/>
                <w:color w:val="auto"/>
              </w:rPr>
              <w:t>$11,000</w:t>
            </w:r>
          </w:p>
        </w:tc>
        <w:tc>
          <w:tcPr>
            <w:tcW w:w="738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   Compensation Committee Member (other than the Chair)</w:t>
            </w:r>
          </w:p>
        </w:tc>
      </w:tr>
      <w:tr>
        <w:trPr>
          <w:trHeight w:val="216"/>
        </w:trPr>
        <w:tc>
          <w:tcPr>
            <w:tcW w:w="2020" w:type="dxa"/>
            <w:vAlign w:val="bottom"/>
          </w:tcPr>
          <w:p>
            <w:pPr>
              <w:spacing w:after="0"/>
              <w:rPr>
                <w:sz w:val="18"/>
                <w:szCs w:val="18"/>
                <w:color w:val="auto"/>
              </w:rPr>
            </w:pPr>
          </w:p>
        </w:tc>
        <w:tc>
          <w:tcPr>
            <w:tcW w:w="1820" w:type="dxa"/>
            <w:vAlign w:val="bottom"/>
            <w:gridSpan w:val="2"/>
          </w:tcPr>
          <w:p>
            <w:pPr>
              <w:ind w:left="1120"/>
              <w:spacing w:after="0"/>
              <w:rPr>
                <w:sz w:val="20"/>
                <w:szCs w:val="20"/>
                <w:color w:val="auto"/>
              </w:rPr>
            </w:pPr>
            <w:r>
              <w:rPr>
                <w:rFonts w:ascii="Arial" w:cs="Arial" w:eastAsia="Arial" w:hAnsi="Arial"/>
                <w:sz w:val="18"/>
                <w:szCs w:val="18"/>
                <w:color w:val="auto"/>
              </w:rPr>
              <w:t>$5,500</w:t>
            </w:r>
          </w:p>
        </w:tc>
        <w:tc>
          <w:tcPr>
            <w:tcW w:w="7380" w:type="dxa"/>
            <w:vAlign w:val="bottom"/>
          </w:tcPr>
          <w:p>
            <w:pPr>
              <w:spacing w:after="0"/>
              <w:rPr>
                <w:sz w:val="18"/>
                <w:szCs w:val="18"/>
                <w:color w:val="auto"/>
              </w:rPr>
            </w:pPr>
          </w:p>
        </w:tc>
      </w:tr>
      <w:tr>
        <w:trPr>
          <w:trHeight w:val="216"/>
        </w:trPr>
        <w:tc>
          <w:tcPr>
            <w:tcW w:w="2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720" w:type="dxa"/>
            <w:vAlign w:val="bottom"/>
            <w:gridSpan w:val="2"/>
          </w:tcPr>
          <w:p>
            <w:pPr>
              <w:ind w:left="320"/>
              <w:spacing w:after="0"/>
              <w:rPr>
                <w:sz w:val="20"/>
                <w:szCs w:val="20"/>
                <w:color w:val="auto"/>
              </w:rPr>
            </w:pPr>
            <w:r>
              <w:rPr>
                <w:rFonts w:ascii="Arial" w:cs="Arial" w:eastAsia="Arial" w:hAnsi="Arial"/>
                <w:sz w:val="18"/>
                <w:szCs w:val="18"/>
                <w:color w:val="auto"/>
              </w:rPr>
              <w:t>·   Nominating and Corporate Governance Committee Member (other than the Chair)</w:t>
            </w:r>
          </w:p>
        </w:tc>
      </w:tr>
      <w:tr>
        <w:trPr>
          <w:trHeight w:val="230"/>
        </w:trPr>
        <w:tc>
          <w:tcPr>
            <w:tcW w:w="2020" w:type="dxa"/>
            <w:vAlign w:val="bottom"/>
          </w:tcPr>
          <w:p>
            <w:pPr>
              <w:spacing w:after="0"/>
              <w:rPr>
                <w:sz w:val="20"/>
                <w:szCs w:val="20"/>
                <w:color w:val="auto"/>
              </w:rPr>
            </w:pPr>
          </w:p>
        </w:tc>
        <w:tc>
          <w:tcPr>
            <w:tcW w:w="1820" w:type="dxa"/>
            <w:vAlign w:val="bottom"/>
            <w:gridSpan w:val="2"/>
          </w:tcPr>
          <w:p>
            <w:pPr>
              <w:ind w:left="1120"/>
              <w:spacing w:after="0"/>
              <w:rPr>
                <w:sz w:val="20"/>
                <w:szCs w:val="20"/>
                <w:color w:val="auto"/>
              </w:rPr>
            </w:pPr>
            <w:r>
              <w:rPr>
                <w:rFonts w:ascii="Arial" w:cs="Arial" w:eastAsia="Arial" w:hAnsi="Arial"/>
                <w:sz w:val="18"/>
                <w:szCs w:val="18"/>
                <w:color w:val="auto"/>
              </w:rPr>
              <w:t>$5,500</w:t>
            </w:r>
          </w:p>
        </w:tc>
        <w:tc>
          <w:tcPr>
            <w:tcW w:w="7380" w:type="dxa"/>
            <w:vAlign w:val="bottom"/>
          </w:tcPr>
          <w:p>
            <w:pPr>
              <w:spacing w:after="0"/>
              <w:rPr>
                <w:sz w:val="20"/>
                <w:szCs w:val="20"/>
                <w:color w:val="auto"/>
              </w:rPr>
            </w:pPr>
          </w:p>
        </w:tc>
      </w:tr>
    </w:tbl>
    <w:p>
      <w:pPr>
        <w:spacing w:after="0" w:line="198"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Special Assignment Fees</w:t>
      </w:r>
    </w:p>
    <w:p>
      <w:pPr>
        <w:spacing w:after="0" w:line="27" w:lineRule="exact"/>
        <w:rPr>
          <w:sz w:val="20"/>
          <w:szCs w:val="20"/>
          <w:color w:val="auto"/>
        </w:rPr>
      </w:pPr>
    </w:p>
    <w:p>
      <w:pPr>
        <w:ind w:left="3140" w:right="120" w:hanging="323"/>
        <w:spacing w:after="0" w:line="265" w:lineRule="auto"/>
        <w:tabs>
          <w:tab w:leader="none" w:pos="3104" w:val="left"/>
        </w:tabs>
        <w:numPr>
          <w:ilvl w:val="0"/>
          <w:numId w:val="253"/>
        </w:numPr>
        <w:rPr>
          <w:rFonts w:ascii="Arial" w:cs="Arial" w:eastAsia="Arial" w:hAnsi="Arial"/>
          <w:sz w:val="17"/>
          <w:szCs w:val="17"/>
          <w:color w:val="auto"/>
        </w:rPr>
      </w:pPr>
      <w:r>
        <w:rPr>
          <w:rFonts w:ascii="Arial" w:cs="Arial" w:eastAsia="Arial" w:hAnsi="Arial"/>
          <w:sz w:val="17"/>
          <w:szCs w:val="17"/>
          <w:color w:val="auto"/>
        </w:rPr>
        <w:t>Per day for special assignments required in connection with board duties (including, without limitation, litigation-related matters, but excluding days on which a director is required to travel to attend meetings)</w:t>
      </w:r>
    </w:p>
    <w:p>
      <w:pPr>
        <w:ind w:left="3140"/>
        <w:spacing w:after="0"/>
        <w:rPr>
          <w:rFonts w:ascii="Arial" w:cs="Arial" w:eastAsia="Arial" w:hAnsi="Arial"/>
          <w:sz w:val="17"/>
          <w:szCs w:val="17"/>
          <w:color w:val="auto"/>
        </w:rPr>
      </w:pPr>
      <w:r>
        <w:rPr>
          <w:rFonts w:ascii="Arial" w:cs="Arial" w:eastAsia="Arial" w:hAnsi="Arial"/>
          <w:sz w:val="18"/>
          <w:szCs w:val="18"/>
          <w:color w:val="auto"/>
        </w:rPr>
        <w:t>$5,500</w:t>
      </w:r>
    </w:p>
    <w:p>
      <w:pPr>
        <w:spacing w:after="0" w:line="207"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Payment Terms</w:t>
      </w:r>
    </w:p>
    <w:p>
      <w:pPr>
        <w:spacing w:after="0" w:line="27" w:lineRule="exact"/>
        <w:rPr>
          <w:sz w:val="20"/>
          <w:szCs w:val="20"/>
          <w:color w:val="auto"/>
        </w:rPr>
      </w:pPr>
    </w:p>
    <w:p>
      <w:pPr>
        <w:ind w:left="3140" w:right="240" w:hanging="323"/>
        <w:spacing w:after="0" w:line="269" w:lineRule="auto"/>
        <w:tabs>
          <w:tab w:leader="none" w:pos="310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All cash retainers will generally be paid in arrears in equal quarterly installments no later than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last date of the applicable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fees be paid later than the date that is 2½ months following the last date of the Company’s fiscal year for which the retainer relates.</w:t>
      </w:r>
    </w:p>
    <w:p>
      <w:pPr>
        <w:spacing w:after="0" w:line="179" w:lineRule="exact"/>
        <w:rPr>
          <w:rFonts w:ascii="Arial" w:cs="Arial" w:eastAsia="Arial" w:hAnsi="Arial"/>
          <w:sz w:val="16"/>
          <w:szCs w:val="16"/>
          <w:color w:val="auto"/>
        </w:rPr>
      </w:pPr>
    </w:p>
    <w:p>
      <w:pPr>
        <w:ind w:left="3140" w:right="120" w:hanging="323"/>
        <w:spacing w:after="0" w:line="277" w:lineRule="auto"/>
        <w:tabs>
          <w:tab w:leader="none" w:pos="3104" w:val="left"/>
        </w:tabs>
        <w:numPr>
          <w:ilvl w:val="0"/>
          <w:numId w:val="254"/>
        </w:numPr>
        <w:rPr>
          <w:rFonts w:ascii="Arial" w:cs="Arial" w:eastAsia="Arial" w:hAnsi="Arial"/>
          <w:sz w:val="16"/>
          <w:szCs w:val="16"/>
          <w:color w:val="auto"/>
        </w:rPr>
      </w:pPr>
      <w:r>
        <w:rPr>
          <w:rFonts w:ascii="Arial" w:cs="Arial" w:eastAsia="Arial" w:hAnsi="Arial"/>
          <w:sz w:val="16"/>
          <w:szCs w:val="16"/>
          <w:color w:val="auto"/>
        </w:rPr>
        <w:t>Special Assignment Fees will generally be paid in arrears in equal quarterly installments no later than the 60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last date of the applicable quarter;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no event shall fees be paid later than the date that is 2½ months following the last date of the Company’s fiscal year for which the retainer relates.</w:t>
      </w:r>
    </w:p>
    <w:p>
      <w:pPr>
        <w:spacing w:after="0" w:line="174" w:lineRule="exact"/>
        <w:rPr>
          <w:rFonts w:ascii="Arial" w:cs="Arial" w:eastAsia="Arial" w:hAnsi="Arial"/>
          <w:sz w:val="16"/>
          <w:szCs w:val="16"/>
          <w:color w:val="auto"/>
        </w:rPr>
      </w:pPr>
    </w:p>
    <w:p>
      <w:pPr>
        <w:ind w:left="3100" w:hanging="283"/>
        <w:spacing w:after="0"/>
        <w:tabs>
          <w:tab w:leader="none" w:pos="31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Fees will be prorated for partial years of service, with partial months of service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credited for full months.</w:t>
      </w:r>
    </w:p>
    <w:p>
      <w:pPr>
        <w:spacing w:after="0" w:line="221"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b w:val="1"/>
          <w:bCs w:val="1"/>
          <w:color w:val="auto"/>
        </w:rPr>
        <w:t>Restricted Stock Units</w:t>
      </w:r>
      <w:r>
        <w:rPr>
          <w:sz w:val="20"/>
          <w:szCs w:val="20"/>
          <w:color w:val="auto"/>
        </w:rPr>
        <w:tab/>
      </w:r>
      <w:r>
        <w:rPr>
          <w:rFonts w:ascii="Arial" w:cs="Arial" w:eastAsia="Arial" w:hAnsi="Arial"/>
          <w:sz w:val="16"/>
          <w:szCs w:val="16"/>
          <w:b w:val="1"/>
          <w:bCs w:val="1"/>
          <w:u w:val="single" w:color="auto"/>
          <w:color w:val="auto"/>
        </w:rPr>
        <w:t>New Appointment/Election RSU Grant</w:t>
      </w:r>
    </w:p>
    <w:p>
      <w:pPr>
        <w:spacing w:after="0" w:line="27" w:lineRule="exact"/>
        <w:rPr>
          <w:sz w:val="20"/>
          <w:szCs w:val="20"/>
          <w:color w:val="auto"/>
        </w:rPr>
      </w:pPr>
    </w:p>
    <w:p>
      <w:pPr>
        <w:ind w:left="3140" w:right="60" w:hanging="323"/>
        <w:spacing w:after="0" w:line="252" w:lineRule="auto"/>
        <w:tabs>
          <w:tab w:leader="none" w:pos="3104" w:val="left"/>
        </w:tabs>
        <w:numPr>
          <w:ilvl w:val="0"/>
          <w:numId w:val="255"/>
        </w:numPr>
        <w:rPr>
          <w:rFonts w:ascii="Arial" w:cs="Arial" w:eastAsia="Arial" w:hAnsi="Arial"/>
          <w:sz w:val="18"/>
          <w:szCs w:val="18"/>
          <w:color w:val="auto"/>
        </w:rPr>
      </w:pPr>
      <w:r>
        <w:rPr>
          <w:rFonts w:ascii="Arial" w:cs="Arial" w:eastAsia="Arial" w:hAnsi="Arial"/>
          <w:sz w:val="18"/>
          <w:szCs w:val="18"/>
          <w:color w:val="auto"/>
        </w:rPr>
        <w:t>Each newly elected or appointed Non-Affiliated Director will receive a grant of RSUs with a grant date value of $250,000 (the exact number of RSUs to be determined by dividing $250,000 by the NASDAQ Official Closing Price of the Company’s stock on the date of grant) upon initial election or appointment to the Board. If a Non-Affiliated Director is newly elected or appointed at any time other than at the Board meeting immediately following the annual meeting of shareholders, then the $250,000 grant date value will be pro-rated by reference to the expected amount of time from the date of such appointment or election until the Company’s next annual meeting of stockholders.</w:t>
      </w:r>
    </w:p>
    <w:p>
      <w:pPr>
        <w:spacing w:after="0" w:line="189"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Annual RSU Grant</w:t>
      </w:r>
    </w:p>
    <w:p>
      <w:pPr>
        <w:spacing w:after="0" w:line="27" w:lineRule="exact"/>
        <w:rPr>
          <w:sz w:val="20"/>
          <w:szCs w:val="20"/>
          <w:color w:val="auto"/>
        </w:rPr>
      </w:pPr>
    </w:p>
    <w:p>
      <w:pPr>
        <w:ind w:left="3140" w:right="140" w:hanging="323"/>
        <w:spacing w:after="0" w:line="255" w:lineRule="auto"/>
        <w:tabs>
          <w:tab w:leader="none" w:pos="3104" w:val="left"/>
        </w:tabs>
        <w:numPr>
          <w:ilvl w:val="0"/>
          <w:numId w:val="256"/>
        </w:numPr>
        <w:rPr>
          <w:rFonts w:ascii="Arial" w:cs="Arial" w:eastAsia="Arial" w:hAnsi="Arial"/>
          <w:sz w:val="18"/>
          <w:szCs w:val="18"/>
          <w:color w:val="auto"/>
        </w:rPr>
      </w:pPr>
      <w:r>
        <w:rPr>
          <w:rFonts w:ascii="Arial" w:cs="Arial" w:eastAsia="Arial" w:hAnsi="Arial"/>
          <w:sz w:val="18"/>
          <w:szCs w:val="18"/>
          <w:color w:val="auto"/>
        </w:rPr>
        <w:t>Each Non-Affiliated Director will receive an annual grant of RSUs with a grant date value of $250,000 (the exact number of RSUs to be determined by dividing $250,000 by the NASDAQ Official Closing Price of the Company’s stock on the date of grant) upon re-election to the Board.</w:t>
      </w:r>
    </w:p>
    <w:p>
      <w:pPr>
        <w:spacing w:after="0" w:line="186"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Grant Date</w:t>
      </w:r>
    </w:p>
    <w:p>
      <w:pPr>
        <w:sectPr>
          <w:pgSz w:w="11900" w:h="16838" w:orient="portrait"/>
          <w:cols w:equalWidth="0" w:num="1">
            <w:col w:w="11420"/>
          </w:cols>
          <w:pgMar w:left="240" w:top="364" w:right="239" w:bottom="0" w:gutter="0" w:footer="0" w:header="0"/>
        </w:sectPr>
      </w:pPr>
    </w:p>
    <w:bookmarkStart w:id="235" w:name="page236"/>
    <w:bookmarkEnd w:id="235"/>
    <w:p>
      <w:pPr>
        <w:ind w:left="3140" w:right="300" w:hanging="323"/>
        <w:spacing w:after="0" w:line="308" w:lineRule="auto"/>
        <w:tabs>
          <w:tab w:leader="none" w:pos="3104" w:val="left"/>
        </w:tabs>
        <w:numPr>
          <w:ilvl w:val="0"/>
          <w:numId w:val="257"/>
        </w:numPr>
        <w:rPr>
          <w:rFonts w:ascii="Arial" w:cs="Arial" w:eastAsia="Arial" w:hAnsi="Arial"/>
          <w:sz w:val="17"/>
          <w:szCs w:val="17"/>
          <w:color w:val="auto"/>
        </w:rPr>
      </w:pPr>
      <w:r>
        <w:rPr>
          <w:rFonts w:ascii="Arial" w:cs="Arial" w:eastAsia="Arial" w:hAnsi="Arial"/>
          <w:sz w:val="17"/>
          <w:szCs w:val="17"/>
          <w:color w:val="auto"/>
        </w:rPr>
        <w:t>RSU grants will be approved by the Board promptly following election, appointment or re-election to the Board and will be made three business days following the date of the Board’s approval of such grant.</w:t>
      </w:r>
    </w:p>
    <w:p>
      <w:pPr>
        <w:spacing w:after="0" w:line="143"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Vesting</w:t>
      </w:r>
    </w:p>
    <w:p>
      <w:pPr>
        <w:spacing w:after="0" w:line="27" w:lineRule="exact"/>
        <w:rPr>
          <w:sz w:val="20"/>
          <w:szCs w:val="20"/>
          <w:color w:val="auto"/>
        </w:rPr>
      </w:pPr>
    </w:p>
    <w:p>
      <w:pPr>
        <w:ind w:left="3100" w:hanging="283"/>
        <w:spacing w:after="0"/>
        <w:tabs>
          <w:tab w:leader="none" w:pos="3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All RSUs will vest ratably on a quarterly basis over the one-year period from the date of grant.</w:t>
      </w:r>
    </w:p>
    <w:p>
      <w:pPr>
        <w:spacing w:after="0" w:line="210" w:lineRule="exact"/>
        <w:rPr>
          <w:rFonts w:ascii="Arial" w:cs="Arial" w:eastAsia="Arial" w:hAnsi="Arial"/>
          <w:sz w:val="18"/>
          <w:szCs w:val="18"/>
          <w:color w:val="auto"/>
        </w:rPr>
      </w:pPr>
    </w:p>
    <w:p>
      <w:pPr>
        <w:ind w:left="3100" w:hanging="283"/>
        <w:spacing w:after="0"/>
        <w:tabs>
          <w:tab w:leader="none" w:pos="3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A director must be in continuous active service on each applicable vesting date.</w:t>
      </w:r>
    </w:p>
    <w:p>
      <w:pPr>
        <w:spacing w:after="0" w:line="225" w:lineRule="exact"/>
        <w:rPr>
          <w:rFonts w:ascii="Arial" w:cs="Arial" w:eastAsia="Arial" w:hAnsi="Arial"/>
          <w:sz w:val="18"/>
          <w:szCs w:val="18"/>
          <w:color w:val="auto"/>
        </w:rPr>
      </w:pPr>
    </w:p>
    <w:p>
      <w:pPr>
        <w:ind w:left="3100" w:hanging="283"/>
        <w:spacing w:after="0"/>
        <w:tabs>
          <w:tab w:leader="none" w:pos="3100" w:val="left"/>
        </w:tabs>
        <w:numPr>
          <w:ilvl w:val="0"/>
          <w:numId w:val="258"/>
        </w:numPr>
        <w:rPr>
          <w:rFonts w:ascii="Arial" w:cs="Arial" w:eastAsia="Arial" w:hAnsi="Arial"/>
          <w:sz w:val="18"/>
          <w:szCs w:val="18"/>
          <w:color w:val="auto"/>
        </w:rPr>
      </w:pPr>
      <w:r>
        <w:rPr>
          <w:rFonts w:ascii="Arial" w:cs="Arial" w:eastAsia="Arial" w:hAnsi="Arial"/>
          <w:sz w:val="18"/>
          <w:szCs w:val="18"/>
          <w:color w:val="auto"/>
        </w:rPr>
        <w:t>Vesting will accelerate on the date of a director’s cessation of service due to death or Disability.</w:t>
      </w:r>
    </w:p>
    <w:p>
      <w:pPr>
        <w:spacing w:after="0" w:line="221"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Change of Control</w:t>
      </w:r>
    </w:p>
    <w:p>
      <w:pPr>
        <w:spacing w:after="0" w:line="27" w:lineRule="exact"/>
        <w:rPr>
          <w:sz w:val="20"/>
          <w:szCs w:val="20"/>
          <w:color w:val="auto"/>
        </w:rPr>
      </w:pPr>
    </w:p>
    <w:p>
      <w:pPr>
        <w:ind w:left="3140" w:right="80" w:hanging="323"/>
        <w:spacing w:after="0" w:line="277" w:lineRule="auto"/>
        <w:tabs>
          <w:tab w:leader="none" w:pos="3104" w:val="left"/>
        </w:tabs>
        <w:numPr>
          <w:ilvl w:val="0"/>
          <w:numId w:val="259"/>
        </w:numPr>
        <w:rPr>
          <w:rFonts w:ascii="Arial" w:cs="Arial" w:eastAsia="Arial" w:hAnsi="Arial"/>
          <w:sz w:val="17"/>
          <w:szCs w:val="17"/>
          <w:color w:val="auto"/>
        </w:rPr>
      </w:pPr>
      <w:r>
        <w:rPr>
          <w:rFonts w:ascii="Arial" w:cs="Arial" w:eastAsia="Arial" w:hAnsi="Arial"/>
          <w:sz w:val="17"/>
          <w:szCs w:val="17"/>
          <w:color w:val="auto"/>
        </w:rPr>
        <w:t>In the event that the director ceases to serve as a member of the Board of Directors pursuant to the terms of any business combination or similar transaction involving the Company, the RSUs will immediately vest as of the date on which the business combination or similar transaction is consummated.</w:t>
      </w:r>
    </w:p>
    <w:p>
      <w:pPr>
        <w:spacing w:after="0" w:line="169"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Dividend Equivalents</w:t>
      </w:r>
    </w:p>
    <w:p>
      <w:pPr>
        <w:spacing w:after="0" w:line="27" w:lineRule="exact"/>
        <w:rPr>
          <w:sz w:val="20"/>
          <w:szCs w:val="20"/>
          <w:color w:val="auto"/>
        </w:rPr>
      </w:pPr>
    </w:p>
    <w:p>
      <w:pPr>
        <w:ind w:left="3140" w:right="180" w:hanging="323"/>
        <w:spacing w:after="0" w:line="261" w:lineRule="auto"/>
        <w:tabs>
          <w:tab w:leader="none" w:pos="3104" w:val="left"/>
        </w:tabs>
        <w:numPr>
          <w:ilvl w:val="0"/>
          <w:numId w:val="260"/>
        </w:numPr>
        <w:rPr>
          <w:rFonts w:ascii="Arial" w:cs="Arial" w:eastAsia="Arial" w:hAnsi="Arial"/>
          <w:sz w:val="18"/>
          <w:szCs w:val="18"/>
          <w:color w:val="auto"/>
        </w:rPr>
      </w:pPr>
      <w:r>
        <w:rPr>
          <w:rFonts w:ascii="Arial" w:cs="Arial" w:eastAsia="Arial" w:hAnsi="Arial"/>
          <w:sz w:val="18"/>
          <w:szCs w:val="18"/>
          <w:color w:val="auto"/>
        </w:rPr>
        <w:t>The RSUs will not be entitled to receive any payment, payment-in-kind or any equivalent with regard to any cash or other dividends that are declared and paid on the Company’s common stock.</w:t>
      </w:r>
    </w:p>
    <w:p>
      <w:pPr>
        <w:spacing w:after="0" w:line="180" w:lineRule="exact"/>
        <w:rPr>
          <w:sz w:val="20"/>
          <w:szCs w:val="20"/>
          <w:color w:val="auto"/>
        </w:rPr>
      </w:pPr>
    </w:p>
    <w:p>
      <w:pPr>
        <w:ind w:left="2500"/>
        <w:spacing w:after="0"/>
        <w:rPr>
          <w:sz w:val="20"/>
          <w:szCs w:val="20"/>
          <w:color w:val="auto"/>
        </w:rPr>
      </w:pPr>
      <w:r>
        <w:rPr>
          <w:rFonts w:ascii="Arial" w:cs="Arial" w:eastAsia="Arial" w:hAnsi="Arial"/>
          <w:sz w:val="18"/>
          <w:szCs w:val="18"/>
          <w:b w:val="1"/>
          <w:bCs w:val="1"/>
          <w:u w:val="single" w:color="auto"/>
          <w:color w:val="auto"/>
        </w:rPr>
        <w:t>Award Agreement</w:t>
      </w:r>
    </w:p>
    <w:p>
      <w:pPr>
        <w:spacing w:after="0" w:line="27" w:lineRule="exact"/>
        <w:rPr>
          <w:sz w:val="20"/>
          <w:szCs w:val="20"/>
          <w:color w:val="auto"/>
        </w:rPr>
      </w:pPr>
    </w:p>
    <w:p>
      <w:pPr>
        <w:ind w:left="3140" w:right="600" w:hanging="323"/>
        <w:spacing w:after="0" w:line="290" w:lineRule="auto"/>
        <w:tabs>
          <w:tab w:leader="none" w:pos="3104" w:val="left"/>
        </w:tabs>
        <w:numPr>
          <w:ilvl w:val="0"/>
          <w:numId w:val="261"/>
        </w:numPr>
        <w:rPr>
          <w:rFonts w:ascii="Arial" w:cs="Arial" w:eastAsia="Arial" w:hAnsi="Arial"/>
          <w:sz w:val="17"/>
          <w:szCs w:val="17"/>
          <w:color w:val="auto"/>
        </w:rPr>
      </w:pPr>
      <w:r>
        <w:rPr>
          <w:rFonts w:ascii="Arial" w:cs="Arial" w:eastAsia="Arial" w:hAnsi="Arial"/>
          <w:sz w:val="17"/>
          <w:szCs w:val="17"/>
          <w:color w:val="auto"/>
        </w:rPr>
        <w:t>RSUs will be granted pursuant to the Company’s 2014 Incentive Plan and will be subject to the terms of the applicable Non-Affiliated Director stock RSU agreement as in effect at the time of grant.</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40" w:type="dxa"/>
            <w:vAlign w:val="bottom"/>
          </w:tcPr>
          <w:p>
            <w:pPr>
              <w:ind w:left="1840"/>
              <w:spacing w:after="0"/>
              <w:rPr>
                <w:sz w:val="20"/>
                <w:szCs w:val="20"/>
                <w:color w:val="auto"/>
              </w:rPr>
            </w:pPr>
            <w:r>
              <w:rPr>
                <w:rFonts w:ascii="Arial" w:cs="Arial" w:eastAsia="Arial" w:hAnsi="Arial"/>
                <w:sz w:val="18"/>
                <w:szCs w:val="18"/>
                <w:color w:val="auto"/>
              </w:rPr>
              <w:t>2</w:t>
            </w:r>
          </w:p>
        </w:tc>
      </w:tr>
      <w:tr>
        <w:trPr>
          <w:trHeight w:val="132"/>
        </w:trPr>
        <w:tc>
          <w:tcPr>
            <w:tcW w:w="2100" w:type="dxa"/>
            <w:vAlign w:val="bottom"/>
            <w:tcBorders>
              <w:bottom w:val="single" w:sz="8" w:color="808080"/>
            </w:tcBorders>
          </w:tcPr>
          <w:p>
            <w:pPr>
              <w:spacing w:after="0"/>
              <w:rPr>
                <w:sz w:val="11"/>
                <w:szCs w:val="11"/>
                <w:color w:val="auto"/>
              </w:rPr>
            </w:pPr>
          </w:p>
        </w:tc>
        <w:tc>
          <w:tcPr>
            <w:tcW w:w="9360" w:type="dxa"/>
            <w:vAlign w:val="bottom"/>
            <w:tcBorders>
              <w:bottom w:val="single" w:sz="8" w:color="808080"/>
            </w:tcBorders>
            <w:gridSpan w:val="3"/>
          </w:tcPr>
          <w:p>
            <w:pPr>
              <w:spacing w:after="0"/>
              <w:rPr>
                <w:sz w:val="11"/>
                <w:szCs w:val="11"/>
                <w:color w:val="auto"/>
              </w:rPr>
            </w:pPr>
          </w:p>
        </w:tc>
      </w:tr>
      <w:tr>
        <w:trPr>
          <w:trHeight w:val="766"/>
        </w:trPr>
        <w:tc>
          <w:tcPr>
            <w:tcW w:w="210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9360" w:type="dxa"/>
            <w:vAlign w:val="bottom"/>
            <w:gridSpan w:val="3"/>
          </w:tcPr>
          <w:p>
            <w:pPr>
              <w:ind w:left="280"/>
              <w:spacing w:after="0"/>
              <w:rPr>
                <w:sz w:val="20"/>
                <w:szCs w:val="20"/>
                <w:color w:val="auto"/>
              </w:rPr>
            </w:pPr>
            <w:r>
              <w:rPr>
                <w:rFonts w:ascii="Arial" w:cs="Arial" w:eastAsia="Arial" w:hAnsi="Arial"/>
                <w:sz w:val="18"/>
                <w:szCs w:val="18"/>
                <w:color w:val="auto"/>
              </w:rPr>
              <w:t>Directors receive reimbursement of business and travel expenses from time to time in accordance with</w:t>
            </w:r>
          </w:p>
        </w:tc>
      </w:tr>
      <w:tr>
        <w:trPr>
          <w:trHeight w:val="230"/>
        </w:trPr>
        <w:tc>
          <w:tcPr>
            <w:tcW w:w="2100" w:type="dxa"/>
            <w:vAlign w:val="bottom"/>
          </w:tcPr>
          <w:p>
            <w:pPr>
              <w:spacing w:after="0"/>
              <w:rPr>
                <w:sz w:val="20"/>
                <w:szCs w:val="20"/>
                <w:color w:val="auto"/>
              </w:rPr>
            </w:pP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rPr>
              <w:t>Company policy.</w:t>
            </w:r>
          </w:p>
        </w:tc>
        <w:tc>
          <w:tcPr>
            <w:tcW w:w="7640" w:type="dxa"/>
            <w:vAlign w:val="bottom"/>
          </w:tcPr>
          <w:p>
            <w:pPr>
              <w:spacing w:after="0"/>
              <w:rPr>
                <w:sz w:val="20"/>
                <w:szCs w:val="20"/>
                <w:color w:val="auto"/>
              </w:rPr>
            </w:pPr>
          </w:p>
        </w:tc>
      </w:tr>
      <w:tr>
        <w:trPr>
          <w:trHeight w:val="432"/>
        </w:trPr>
        <w:tc>
          <w:tcPr>
            <w:tcW w:w="2100" w:type="dxa"/>
            <w:vAlign w:val="bottom"/>
          </w:tcPr>
          <w:p>
            <w:pPr>
              <w:spacing w:after="0"/>
              <w:rPr>
                <w:sz w:val="20"/>
                <w:szCs w:val="20"/>
                <w:color w:val="auto"/>
              </w:rPr>
            </w:pPr>
            <w:r>
              <w:rPr>
                <w:rFonts w:ascii="Arial" w:cs="Arial" w:eastAsia="Arial" w:hAnsi="Arial"/>
                <w:sz w:val="18"/>
                <w:szCs w:val="18"/>
                <w:b w:val="1"/>
                <w:bCs w:val="1"/>
                <w:color w:val="auto"/>
              </w:rPr>
              <w:t>Other Benefits</w:t>
            </w:r>
          </w:p>
        </w:tc>
        <w:tc>
          <w:tcPr>
            <w:tcW w:w="9360" w:type="dxa"/>
            <w:vAlign w:val="bottom"/>
            <w:gridSpan w:val="3"/>
          </w:tcPr>
          <w:p>
            <w:pPr>
              <w:ind w:left="280"/>
              <w:spacing w:after="0"/>
              <w:rPr>
                <w:sz w:val="20"/>
                <w:szCs w:val="20"/>
                <w:color w:val="auto"/>
              </w:rPr>
            </w:pPr>
            <w:r>
              <w:rPr>
                <w:rFonts w:ascii="Arial" w:cs="Arial" w:eastAsia="Arial" w:hAnsi="Arial"/>
                <w:sz w:val="18"/>
                <w:szCs w:val="18"/>
                <w:color w:val="auto"/>
              </w:rPr>
              <w:t>As determined by the Board from time-to-time.</w:t>
            </w:r>
          </w:p>
        </w:tc>
      </w:tr>
      <w:tr>
        <w:trPr>
          <w:trHeight w:val="432"/>
        </w:trPr>
        <w:tc>
          <w:tcPr>
            <w:tcW w:w="2100" w:type="dxa"/>
            <w:vAlign w:val="bottom"/>
          </w:tcPr>
          <w:p>
            <w:pPr>
              <w:spacing w:after="0"/>
              <w:rPr>
                <w:sz w:val="20"/>
                <w:szCs w:val="20"/>
                <w:color w:val="auto"/>
              </w:rPr>
            </w:pPr>
            <w:r>
              <w:rPr>
                <w:rFonts w:ascii="Arial" w:cs="Arial" w:eastAsia="Arial" w:hAnsi="Arial"/>
                <w:sz w:val="18"/>
                <w:szCs w:val="18"/>
                <w:b w:val="1"/>
                <w:bCs w:val="1"/>
                <w:color w:val="auto"/>
              </w:rPr>
              <w:t>Affiliated Directors</w:t>
            </w:r>
          </w:p>
        </w:tc>
        <w:tc>
          <w:tcPr>
            <w:tcW w:w="9360" w:type="dxa"/>
            <w:vAlign w:val="bottom"/>
            <w:gridSpan w:val="3"/>
          </w:tcPr>
          <w:p>
            <w:pPr>
              <w:ind w:left="280"/>
              <w:spacing w:after="0"/>
              <w:rPr>
                <w:sz w:val="20"/>
                <w:szCs w:val="20"/>
                <w:color w:val="auto"/>
              </w:rPr>
            </w:pPr>
            <w:r>
              <w:rPr>
                <w:rFonts w:ascii="Arial" w:cs="Arial" w:eastAsia="Arial" w:hAnsi="Arial"/>
                <w:sz w:val="18"/>
                <w:szCs w:val="18"/>
                <w:color w:val="auto"/>
                <w:w w:val="94"/>
              </w:rPr>
              <w:t>Directors who are employees of the Company or any of its subsidiaries will not be entitled to compensation as a director.</w:t>
            </w:r>
          </w:p>
        </w:tc>
      </w:tr>
      <w:tr>
        <w:trPr>
          <w:trHeight w:val="432"/>
        </w:trPr>
        <w:tc>
          <w:tcPr>
            <w:tcW w:w="2100" w:type="dxa"/>
            <w:vAlign w:val="bottom"/>
          </w:tcPr>
          <w:p>
            <w:pPr>
              <w:spacing w:after="0"/>
              <w:rPr>
                <w:sz w:val="20"/>
                <w:szCs w:val="20"/>
                <w:color w:val="auto"/>
              </w:rPr>
            </w:pPr>
            <w:r>
              <w:rPr>
                <w:rFonts w:ascii="Arial" w:cs="Arial" w:eastAsia="Arial" w:hAnsi="Arial"/>
                <w:sz w:val="18"/>
                <w:szCs w:val="18"/>
                <w:b w:val="1"/>
                <w:bCs w:val="1"/>
                <w:color w:val="auto"/>
              </w:rPr>
              <w:t>Plan Administration</w:t>
            </w:r>
          </w:p>
        </w:tc>
        <w:tc>
          <w:tcPr>
            <w:tcW w:w="9360" w:type="dxa"/>
            <w:vAlign w:val="bottom"/>
            <w:gridSpan w:val="3"/>
          </w:tcPr>
          <w:p>
            <w:pPr>
              <w:ind w:left="280"/>
              <w:spacing w:after="0"/>
              <w:rPr>
                <w:sz w:val="20"/>
                <w:szCs w:val="20"/>
                <w:color w:val="auto"/>
              </w:rPr>
            </w:pPr>
            <w:r>
              <w:rPr>
                <w:rFonts w:ascii="Arial" w:cs="Arial" w:eastAsia="Arial" w:hAnsi="Arial"/>
                <w:sz w:val="18"/>
                <w:szCs w:val="18"/>
                <w:color w:val="auto"/>
                <w:w w:val="98"/>
              </w:rPr>
              <w:t>The human resources and the legal departments will administer the Non-Affiliated Directors’ compensation program.</w:t>
            </w:r>
          </w:p>
        </w:tc>
      </w:tr>
      <w:tr>
        <w:trPr>
          <w:trHeight w:val="414"/>
        </w:trPr>
        <w:tc>
          <w:tcPr>
            <w:tcW w:w="2100" w:type="dxa"/>
            <w:vAlign w:val="bottom"/>
          </w:tcPr>
          <w:p>
            <w:pPr>
              <w:spacing w:after="0"/>
              <w:rPr>
                <w:sz w:val="20"/>
                <w:szCs w:val="20"/>
                <w:color w:val="auto"/>
              </w:rPr>
            </w:pPr>
            <w:r>
              <w:rPr>
                <w:rFonts w:ascii="Arial" w:cs="Arial" w:eastAsia="Arial" w:hAnsi="Arial"/>
                <w:sz w:val="18"/>
                <w:szCs w:val="18"/>
                <w:b w:val="1"/>
                <w:bCs w:val="1"/>
                <w:color w:val="auto"/>
              </w:rPr>
              <w:t>Non-Affiliated Director</w:t>
            </w: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8760" w:type="dxa"/>
            <w:vAlign w:val="bottom"/>
            <w:gridSpan w:val="2"/>
          </w:tcPr>
          <w:p>
            <w:pPr>
              <w:ind w:left="280"/>
              <w:spacing w:after="0"/>
              <w:rPr>
                <w:sz w:val="20"/>
                <w:szCs w:val="20"/>
                <w:color w:val="auto"/>
              </w:rPr>
            </w:pPr>
            <w:r>
              <w:rPr>
                <w:rFonts w:ascii="Arial" w:cs="Arial" w:eastAsia="Arial" w:hAnsi="Arial"/>
                <w:sz w:val="18"/>
                <w:szCs w:val="18"/>
                <w:color w:val="auto"/>
              </w:rPr>
              <w:t>Each Non-Affiliated Director is required, within four years following his or her first election to the Board, to</w:t>
            </w:r>
          </w:p>
        </w:tc>
      </w:tr>
      <w:tr>
        <w:trPr>
          <w:trHeight w:val="216"/>
        </w:trPr>
        <w:tc>
          <w:tcPr>
            <w:tcW w:w="2100" w:type="dxa"/>
            <w:vAlign w:val="bottom"/>
          </w:tcPr>
          <w:p>
            <w:pPr>
              <w:spacing w:after="0"/>
              <w:rPr>
                <w:sz w:val="20"/>
                <w:szCs w:val="20"/>
                <w:color w:val="auto"/>
              </w:rPr>
            </w:pPr>
            <w:r>
              <w:rPr>
                <w:rFonts w:ascii="Arial" w:cs="Arial" w:eastAsia="Arial" w:hAnsi="Arial"/>
                <w:sz w:val="18"/>
                <w:szCs w:val="18"/>
                <w:b w:val="1"/>
                <w:bCs w:val="1"/>
                <w:color w:val="auto"/>
              </w:rPr>
              <w:t>Stock Ownership</w:t>
            </w:r>
          </w:p>
        </w:tc>
        <w:tc>
          <w:tcPr>
            <w:tcW w:w="6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5"/>
              </w:rPr>
              <w:t>beneficially own (within the meaning of Rule 13d-3 promulgated under the Securities Exchange Act of 1934, as</w:t>
            </w:r>
          </w:p>
        </w:tc>
      </w:tr>
      <w:tr>
        <w:trPr>
          <w:trHeight w:val="220"/>
        </w:trPr>
        <w:tc>
          <w:tcPr>
            <w:tcW w:w="2100" w:type="dxa"/>
            <w:vAlign w:val="bottom"/>
          </w:tcPr>
          <w:p>
            <w:pPr>
              <w:spacing w:after="0"/>
              <w:rPr>
                <w:sz w:val="20"/>
                <w:szCs w:val="20"/>
                <w:color w:val="auto"/>
              </w:rPr>
            </w:pPr>
            <w:r>
              <w:rPr>
                <w:rFonts w:ascii="Arial" w:cs="Arial" w:eastAsia="Arial" w:hAnsi="Arial"/>
                <w:sz w:val="18"/>
                <w:szCs w:val="18"/>
                <w:b w:val="1"/>
                <w:bCs w:val="1"/>
                <w:color w:val="auto"/>
              </w:rPr>
              <w:t>Guidelines</w:t>
            </w:r>
          </w:p>
        </w:tc>
        <w:tc>
          <w:tcPr>
            <w:tcW w:w="600" w:type="dxa"/>
            <w:vAlign w:val="bottom"/>
          </w:tcPr>
          <w:p>
            <w:pPr>
              <w:spacing w:after="0"/>
              <w:rPr>
                <w:sz w:val="19"/>
                <w:szCs w:val="19"/>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3"/>
              </w:rPr>
              <w:t>amended) shares of the Company’s common stock (including any restricted shares of common stock or restricted</w:t>
            </w:r>
          </w:p>
        </w:tc>
      </w:tr>
      <w:tr>
        <w:trPr>
          <w:trHeight w:val="216"/>
        </w:trPr>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4"/>
              </w:rPr>
              <w:t>share units payable in shares of the Company’s common stock) having an aggregate value at least equal to five</w:t>
            </w:r>
          </w:p>
        </w:tc>
      </w:tr>
      <w:tr>
        <w:trPr>
          <w:trHeight w:val="230"/>
        </w:trPr>
        <w:tc>
          <w:tcPr>
            <w:tcW w:w="2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1"/>
              </w:rPr>
              <w:t>times the amount of the annual cash Board retainer that we then pay such director for regular service on the Board.</w:t>
            </w:r>
          </w:p>
        </w:tc>
      </w:tr>
      <w:tr>
        <w:trPr>
          <w:trHeight w:val="418"/>
        </w:trPr>
        <w:tc>
          <w:tcPr>
            <w:tcW w:w="210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8760" w:type="dxa"/>
            <w:vAlign w:val="bottom"/>
            <w:gridSpan w:val="2"/>
          </w:tcPr>
          <w:p>
            <w:pPr>
              <w:ind w:left="280"/>
              <w:spacing w:after="0"/>
              <w:rPr>
                <w:sz w:val="20"/>
                <w:szCs w:val="20"/>
                <w:color w:val="auto"/>
              </w:rPr>
            </w:pPr>
            <w:r>
              <w:rPr>
                <w:rFonts w:ascii="Arial" w:cs="Arial" w:eastAsia="Arial" w:hAnsi="Arial"/>
                <w:sz w:val="18"/>
                <w:szCs w:val="18"/>
                <w:color w:val="auto"/>
                <w:w w:val="95"/>
              </w:rPr>
              <w:t>For purposes of determining compliance with the share ownership guidelines, the aggregate value of the shares</w:t>
            </w:r>
          </w:p>
        </w:tc>
      </w:tr>
      <w:tr>
        <w:trPr>
          <w:trHeight w:val="216"/>
        </w:trPr>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w w:val="92"/>
              </w:rPr>
              <w:t>owned by the director is calculated as of January 2nd of each applicable year (or if such date is not a trading date,</w:t>
            </w:r>
          </w:p>
        </w:tc>
      </w:tr>
      <w:tr>
        <w:trPr>
          <w:trHeight w:val="230"/>
        </w:trPr>
        <w:tc>
          <w:tcPr>
            <w:tcW w:w="2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760" w:type="dxa"/>
            <w:vAlign w:val="bottom"/>
            <w:gridSpan w:val="2"/>
          </w:tcPr>
          <w:p>
            <w:pPr>
              <w:ind w:left="320"/>
              <w:spacing w:after="0"/>
              <w:rPr>
                <w:sz w:val="20"/>
                <w:szCs w:val="20"/>
                <w:color w:val="auto"/>
              </w:rPr>
            </w:pPr>
            <w:r>
              <w:rPr>
                <w:rFonts w:ascii="Arial" w:cs="Arial" w:eastAsia="Arial" w:hAnsi="Arial"/>
                <w:sz w:val="18"/>
                <w:szCs w:val="18"/>
                <w:color w:val="auto"/>
              </w:rPr>
              <w:t>the next trading date) based on the higher of:</w:t>
            </w:r>
          </w:p>
        </w:tc>
      </w:tr>
      <w:tr>
        <w:trPr>
          <w:trHeight w:val="432"/>
        </w:trPr>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w:t>
            </w:r>
          </w:p>
        </w:tc>
        <w:tc>
          <w:tcPr>
            <w:tcW w:w="7640" w:type="dxa"/>
            <w:vAlign w:val="bottom"/>
          </w:tcPr>
          <w:p>
            <w:pPr>
              <w:ind w:left="200"/>
              <w:spacing w:after="0"/>
              <w:rPr>
                <w:sz w:val="20"/>
                <w:szCs w:val="20"/>
                <w:color w:val="auto"/>
              </w:rPr>
            </w:pPr>
            <w:r>
              <w:rPr>
                <w:rFonts w:ascii="Arial" w:cs="Arial" w:eastAsia="Arial" w:hAnsi="Arial"/>
                <w:sz w:val="18"/>
                <w:szCs w:val="18"/>
                <w:color w:val="auto"/>
              </w:rPr>
              <w:t>the NASDAQ Official Closing Price of the Company’s common stock on that day; and</w:t>
            </w:r>
          </w:p>
        </w:tc>
      </w:tr>
      <w:tr>
        <w:trPr>
          <w:trHeight w:val="418"/>
        </w:trPr>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ind w:left="700"/>
              <w:spacing w:after="0"/>
              <w:rPr>
                <w:sz w:val="20"/>
                <w:szCs w:val="20"/>
                <w:color w:val="auto"/>
              </w:rPr>
            </w:pPr>
            <w:r>
              <w:rPr>
                <w:rFonts w:ascii="Arial" w:cs="Arial" w:eastAsia="Arial" w:hAnsi="Arial"/>
                <w:sz w:val="18"/>
                <w:szCs w:val="18"/>
                <w:color w:val="auto"/>
              </w:rPr>
              <w:t>·</w:t>
            </w:r>
          </w:p>
        </w:tc>
        <w:tc>
          <w:tcPr>
            <w:tcW w:w="7640" w:type="dxa"/>
            <w:vAlign w:val="bottom"/>
          </w:tcPr>
          <w:p>
            <w:pPr>
              <w:ind w:left="200"/>
              <w:spacing w:after="0"/>
              <w:rPr>
                <w:sz w:val="20"/>
                <w:szCs w:val="20"/>
                <w:color w:val="auto"/>
              </w:rPr>
            </w:pPr>
            <w:r>
              <w:rPr>
                <w:rFonts w:ascii="Arial" w:cs="Arial" w:eastAsia="Arial" w:hAnsi="Arial"/>
                <w:sz w:val="18"/>
                <w:szCs w:val="18"/>
                <w:color w:val="auto"/>
                <w:w w:val="94"/>
              </w:rPr>
              <w:t>the NASDAQ Official Closing Price of the Company’s common stock on the date of grant (or if such</w:t>
            </w:r>
          </w:p>
        </w:tc>
      </w:tr>
      <w:tr>
        <w:trPr>
          <w:trHeight w:val="216"/>
        </w:trPr>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w w:val="98"/>
              </w:rPr>
              <w:t>date is not a trading date, the next trading date), for any shares awarded to the director by the</w:t>
            </w:r>
          </w:p>
        </w:tc>
      </w:tr>
      <w:tr>
        <w:trPr>
          <w:trHeight w:val="216"/>
        </w:trPr>
        <w:tc>
          <w:tcPr>
            <w:tcW w:w="2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w w:val="89"/>
              </w:rPr>
              <w:t>Company, and the actual cost to the director, for any other shares (e.g., with respect to shares acquired</w:t>
            </w:r>
          </w:p>
        </w:tc>
      </w:tr>
      <w:tr>
        <w:trPr>
          <w:trHeight w:val="230"/>
        </w:trPr>
        <w:tc>
          <w:tcPr>
            <w:tcW w:w="2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640" w:type="dxa"/>
            <w:vAlign w:val="bottom"/>
          </w:tcPr>
          <w:p>
            <w:pPr>
              <w:ind w:left="240"/>
              <w:spacing w:after="0"/>
              <w:rPr>
                <w:sz w:val="20"/>
                <w:szCs w:val="20"/>
                <w:color w:val="auto"/>
              </w:rPr>
            </w:pPr>
            <w:r>
              <w:rPr>
                <w:rFonts w:ascii="Arial" w:cs="Arial" w:eastAsia="Arial" w:hAnsi="Arial"/>
                <w:sz w:val="18"/>
                <w:szCs w:val="18"/>
                <w:color w:val="auto"/>
              </w:rPr>
              <w:t>through the exercise of stock options, the exercise price).</w:t>
            </w:r>
          </w:p>
        </w:tc>
      </w:tr>
      <w:tr>
        <w:trPr>
          <w:trHeight w:val="432"/>
        </w:trPr>
        <w:tc>
          <w:tcPr>
            <w:tcW w:w="2100" w:type="dxa"/>
            <w:vAlign w:val="bottom"/>
          </w:tcPr>
          <w:p>
            <w:pPr>
              <w:spacing w:after="0"/>
              <w:rPr>
                <w:sz w:val="24"/>
                <w:szCs w:val="24"/>
                <w:color w:val="auto"/>
              </w:rPr>
            </w:pPr>
          </w:p>
        </w:tc>
        <w:tc>
          <w:tcPr>
            <w:tcW w:w="600" w:type="dxa"/>
            <w:vAlign w:val="bottom"/>
          </w:tcPr>
          <w:p>
            <w:pPr>
              <w:ind w:left="280"/>
              <w:spacing w:after="0"/>
              <w:rPr>
                <w:sz w:val="20"/>
                <w:szCs w:val="20"/>
                <w:color w:val="auto"/>
              </w:rPr>
            </w:pPr>
            <w:r>
              <w:rPr>
                <w:rFonts w:ascii="Arial" w:cs="Arial" w:eastAsia="Arial" w:hAnsi="Arial"/>
                <w:sz w:val="18"/>
                <w:szCs w:val="18"/>
                <w:color w:val="auto"/>
              </w:rPr>
              <w:t>·</w:t>
            </w:r>
          </w:p>
        </w:tc>
        <w:tc>
          <w:tcPr>
            <w:tcW w:w="8760" w:type="dxa"/>
            <w:vAlign w:val="bottom"/>
            <w:gridSpan w:val="2"/>
          </w:tcPr>
          <w:p>
            <w:pPr>
              <w:ind w:left="280"/>
              <w:spacing w:after="0"/>
              <w:rPr>
                <w:sz w:val="20"/>
                <w:szCs w:val="20"/>
                <w:color w:val="auto"/>
              </w:rPr>
            </w:pPr>
            <w:r>
              <w:rPr>
                <w:rFonts w:ascii="Arial" w:cs="Arial" w:eastAsia="Arial" w:hAnsi="Arial"/>
                <w:sz w:val="18"/>
                <w:szCs w:val="18"/>
                <w:color w:val="auto"/>
              </w:rPr>
              <w:t>Non-Affiliated Directors are subject to these guidelines for as long as they continue to serve on the Board.</w:t>
            </w:r>
          </w:p>
        </w:tc>
      </w:tr>
      <w:tr>
        <w:trPr>
          <w:trHeight w:val="432"/>
        </w:trPr>
        <w:tc>
          <w:tcPr>
            <w:tcW w:w="2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640" w:type="dxa"/>
            <w:vAlign w:val="bottom"/>
          </w:tcPr>
          <w:p>
            <w:pPr>
              <w:ind w:left="1840"/>
              <w:spacing w:after="0"/>
              <w:rPr>
                <w:sz w:val="20"/>
                <w:szCs w:val="20"/>
                <w:color w:val="auto"/>
              </w:rPr>
            </w:pPr>
            <w:r>
              <w:rPr>
                <w:rFonts w:ascii="Arial" w:cs="Arial" w:eastAsia="Arial" w:hAnsi="Arial"/>
                <w:sz w:val="18"/>
                <w:szCs w:val="18"/>
                <w:color w:val="auto"/>
              </w:rPr>
              <w:t>3</w:t>
            </w:r>
          </w:p>
        </w:tc>
      </w:tr>
      <w:tr>
        <w:trPr>
          <w:trHeight w:val="132"/>
        </w:trPr>
        <w:tc>
          <w:tcPr>
            <w:tcW w:w="2100" w:type="dxa"/>
            <w:vAlign w:val="bottom"/>
            <w:tcBorders>
              <w:bottom w:val="single" w:sz="8" w:color="808080"/>
            </w:tcBorders>
          </w:tcPr>
          <w:p>
            <w:pPr>
              <w:spacing w:after="0"/>
              <w:rPr>
                <w:sz w:val="11"/>
                <w:szCs w:val="11"/>
                <w:color w:val="auto"/>
              </w:rPr>
            </w:pPr>
          </w:p>
        </w:tc>
        <w:tc>
          <w:tcPr>
            <w:tcW w:w="600" w:type="dxa"/>
            <w:vAlign w:val="bottom"/>
            <w:tcBorders>
              <w:bottom w:val="single" w:sz="8" w:color="808080"/>
            </w:tcBorders>
          </w:tcPr>
          <w:p>
            <w:pPr>
              <w:spacing w:after="0"/>
              <w:rPr>
                <w:sz w:val="11"/>
                <w:szCs w:val="11"/>
                <w:color w:val="auto"/>
              </w:rPr>
            </w:pPr>
          </w:p>
        </w:tc>
        <w:tc>
          <w:tcPr>
            <w:tcW w:w="1120" w:type="dxa"/>
            <w:vAlign w:val="bottom"/>
            <w:tcBorders>
              <w:bottom w:val="single" w:sz="8" w:color="808080"/>
            </w:tcBorders>
          </w:tcPr>
          <w:p>
            <w:pPr>
              <w:spacing w:after="0"/>
              <w:rPr>
                <w:sz w:val="11"/>
                <w:szCs w:val="11"/>
                <w:color w:val="auto"/>
              </w:rPr>
            </w:pPr>
          </w:p>
        </w:tc>
        <w:tc>
          <w:tcPr>
            <w:tcW w:w="76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-4462780</wp:posOffset>
            </wp:positionV>
            <wp:extent cx="12700"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-4462780</wp:posOffset>
            </wp:positionV>
            <wp:extent cx="12700"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36" w:name="page237"/>
    <w:bookmarkEnd w:id="236"/>
    <w:p>
      <w:pPr>
        <w:spacing w:after="0"/>
        <w:rPr>
          <w:rFonts w:ascii="Arial" w:cs="Arial" w:eastAsia="Arial" w:hAnsi="Arial"/>
          <w:sz w:val="22"/>
          <w:szCs w:val="22"/>
          <w:color w:val="0000EE"/>
        </w:rPr>
      </w:pPr>
      <w:hyperlink w:anchor="page23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ind w:left="10460"/>
        <w:spacing w:after="0"/>
        <w:rPr>
          <w:sz w:val="20"/>
          <w:szCs w:val="20"/>
          <w:color w:val="auto"/>
        </w:rPr>
      </w:pPr>
      <w:r>
        <w:rPr>
          <w:rFonts w:ascii="Arial" w:cs="Arial" w:eastAsia="Arial" w:hAnsi="Arial"/>
          <w:sz w:val="16"/>
          <w:szCs w:val="16"/>
          <w:b w:val="1"/>
          <w:bCs w:val="1"/>
          <w:color w:val="auto"/>
        </w:rPr>
        <w:t>Exhibit 21.1</w:t>
      </w: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MAJOR SUBSIDIARIES OF THE REGISTRANT AT DECEMBER 31, 2016</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8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State or Other Jurisdiction</w:t>
            </w:r>
          </w:p>
        </w:tc>
        <w:tc>
          <w:tcPr>
            <w:tcW w:w="0" w:type="dxa"/>
            <w:vAlign w:val="bottom"/>
          </w:tcPr>
          <w:p>
            <w:pPr>
              <w:spacing w:after="0"/>
              <w:rPr>
                <w:sz w:val="1"/>
                <w:szCs w:val="1"/>
                <w:color w:val="auto"/>
              </w:rPr>
            </w:pPr>
          </w:p>
        </w:tc>
      </w:tr>
      <w:tr>
        <w:trPr>
          <w:trHeight w:val="149"/>
        </w:trPr>
        <w:tc>
          <w:tcPr>
            <w:tcW w:w="6160" w:type="dxa"/>
            <w:vAlign w:val="bottom"/>
            <w:gridSpan w:val="3"/>
          </w:tcPr>
          <w:p>
            <w:pPr>
              <w:ind w:left="1140"/>
              <w:spacing w:after="0" w:line="149" w:lineRule="exact"/>
              <w:rPr>
                <w:sz w:val="20"/>
                <w:szCs w:val="20"/>
                <w:color w:val="auto"/>
              </w:rPr>
            </w:pPr>
            <w:r>
              <w:rPr>
                <w:rFonts w:ascii="Arial" w:cs="Arial" w:eastAsia="Arial" w:hAnsi="Arial"/>
                <w:sz w:val="14"/>
                <w:szCs w:val="14"/>
                <w:b w:val="1"/>
                <w:bCs w:val="1"/>
                <w:color w:val="auto"/>
              </w:rPr>
              <w:t>Name of</w:t>
            </w:r>
          </w:p>
        </w:tc>
        <w:tc>
          <w:tcPr>
            <w:tcW w:w="2440" w:type="dxa"/>
            <w:vAlign w:val="bottom"/>
          </w:tcPr>
          <w:p>
            <w:pPr>
              <w:spacing w:after="0"/>
              <w:rPr>
                <w:sz w:val="12"/>
                <w:szCs w:val="12"/>
                <w:color w:val="auto"/>
              </w:rPr>
            </w:pPr>
          </w:p>
        </w:tc>
        <w:tc>
          <w:tcPr>
            <w:tcW w:w="2820" w:type="dxa"/>
            <w:vAlign w:val="bottom"/>
            <w:gridSpan w:val="2"/>
          </w:tcPr>
          <w:p>
            <w:pPr>
              <w:jc w:val="center"/>
              <w:ind w:right="1140"/>
              <w:spacing w:after="0" w:line="149" w:lineRule="exact"/>
              <w:rPr>
                <w:sz w:val="20"/>
                <w:szCs w:val="20"/>
                <w:color w:val="auto"/>
              </w:rPr>
            </w:pPr>
            <w:r>
              <w:rPr>
                <w:rFonts w:ascii="Arial" w:cs="Arial" w:eastAsia="Arial" w:hAnsi="Arial"/>
                <w:sz w:val="14"/>
                <w:szCs w:val="14"/>
                <w:b w:val="1"/>
                <w:bCs w:val="1"/>
                <w:color w:val="auto"/>
                <w:w w:val="89"/>
              </w:rPr>
              <w:t>of Incorporation or</w:t>
            </w:r>
          </w:p>
        </w:tc>
        <w:tc>
          <w:tcPr>
            <w:tcW w:w="0" w:type="dxa"/>
            <w:vAlign w:val="bottom"/>
          </w:tcPr>
          <w:p>
            <w:pPr>
              <w:spacing w:after="0"/>
              <w:rPr>
                <w:sz w:val="1"/>
                <w:szCs w:val="1"/>
                <w:color w:val="auto"/>
              </w:rPr>
            </w:pPr>
          </w:p>
        </w:tc>
      </w:tr>
      <w:tr>
        <w:trPr>
          <w:trHeight w:val="161"/>
        </w:trPr>
        <w:tc>
          <w:tcPr>
            <w:tcW w:w="6160" w:type="dxa"/>
            <w:vAlign w:val="bottom"/>
            <w:gridSpan w:val="3"/>
          </w:tcPr>
          <w:p>
            <w:pPr>
              <w:ind w:left="1140"/>
              <w:spacing w:after="0"/>
              <w:rPr>
                <w:sz w:val="20"/>
                <w:szCs w:val="20"/>
                <w:color w:val="auto"/>
              </w:rPr>
            </w:pPr>
            <w:r>
              <w:rPr>
                <w:rFonts w:ascii="Arial" w:cs="Arial" w:eastAsia="Arial" w:hAnsi="Arial"/>
                <w:sz w:val="14"/>
                <w:szCs w:val="14"/>
                <w:b w:val="1"/>
                <w:bCs w:val="1"/>
                <w:color w:val="auto"/>
              </w:rPr>
              <w:t>Subsidiary</w:t>
            </w:r>
          </w:p>
        </w:tc>
        <w:tc>
          <w:tcPr>
            <w:tcW w:w="2440" w:type="dxa"/>
            <w:vAlign w:val="bottom"/>
          </w:tcPr>
          <w:p>
            <w:pPr>
              <w:spacing w:after="0"/>
              <w:rPr>
                <w:sz w:val="14"/>
                <w:szCs w:val="14"/>
                <w:color w:val="auto"/>
              </w:rPr>
            </w:pPr>
          </w:p>
        </w:tc>
        <w:tc>
          <w:tcPr>
            <w:tcW w:w="2820" w:type="dxa"/>
            <w:vAlign w:val="bottom"/>
            <w:gridSpan w:val="2"/>
          </w:tcPr>
          <w:p>
            <w:pPr>
              <w:jc w:val="center"/>
              <w:ind w:right="1140"/>
              <w:spacing w:after="0"/>
              <w:rPr>
                <w:sz w:val="20"/>
                <w:szCs w:val="20"/>
                <w:color w:val="auto"/>
              </w:rPr>
            </w:pPr>
            <w:r>
              <w:rPr>
                <w:rFonts w:ascii="Arial" w:cs="Arial" w:eastAsia="Arial" w:hAnsi="Arial"/>
                <w:sz w:val="14"/>
                <w:szCs w:val="14"/>
                <w:b w:val="1"/>
                <w:bCs w:val="1"/>
                <w:color w:val="auto"/>
                <w:w w:val="88"/>
              </w:rPr>
              <w:t>Organization</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1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Activision Blizzard International BV</w:t>
            </w:r>
          </w:p>
        </w:tc>
        <w:tc>
          <w:tcPr>
            <w:tcW w:w="41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Netherlands</w:t>
            </w: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6160" w:type="dxa"/>
            <w:vAlign w:val="bottom"/>
            <w:gridSpan w:val="3"/>
          </w:tcPr>
          <w:p>
            <w:pPr>
              <w:ind w:left="1140"/>
              <w:spacing w:after="0"/>
              <w:rPr>
                <w:sz w:val="20"/>
                <w:szCs w:val="20"/>
                <w:color w:val="auto"/>
              </w:rPr>
            </w:pPr>
            <w:r>
              <w:rPr>
                <w:rFonts w:ascii="Arial" w:cs="Arial" w:eastAsia="Arial" w:hAnsi="Arial"/>
                <w:sz w:val="18"/>
                <w:szCs w:val="18"/>
                <w:color w:val="auto"/>
              </w:rPr>
              <w:t>Activision Publishing, Inc.</w:t>
            </w:r>
          </w:p>
        </w:tc>
        <w:tc>
          <w:tcPr>
            <w:tcW w:w="5260" w:type="dxa"/>
            <w:vAlign w:val="bottom"/>
            <w:gridSpan w:val="3"/>
          </w:tcPr>
          <w:p>
            <w:pPr>
              <w:ind w:left="2440"/>
              <w:spacing w:after="0"/>
              <w:rPr>
                <w:sz w:val="20"/>
                <w:szCs w:val="20"/>
                <w:color w:val="auto"/>
              </w:rPr>
            </w:pPr>
            <w:r>
              <w:rPr>
                <w:rFonts w:ascii="Arial" w:cs="Arial" w:eastAsia="Arial" w:hAnsi="Arial"/>
                <w:sz w:val="18"/>
                <w:szCs w:val="18"/>
                <w:color w:val="auto"/>
              </w:rPr>
              <w:t>U.S.—Delaware</w:t>
            </w: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ATVI C.V.</w:t>
            </w:r>
          </w:p>
        </w:tc>
        <w:tc>
          <w:tcPr>
            <w:tcW w:w="41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Netherlands</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160" w:type="dxa"/>
            <w:vAlign w:val="bottom"/>
            <w:gridSpan w:val="3"/>
          </w:tcPr>
          <w:p>
            <w:pPr>
              <w:ind w:left="1140"/>
              <w:spacing w:after="0"/>
              <w:rPr>
                <w:sz w:val="20"/>
                <w:szCs w:val="20"/>
                <w:color w:val="auto"/>
              </w:rPr>
            </w:pPr>
            <w:r>
              <w:rPr>
                <w:rFonts w:ascii="Arial" w:cs="Arial" w:eastAsia="Arial" w:hAnsi="Arial"/>
                <w:sz w:val="18"/>
                <w:szCs w:val="18"/>
                <w:color w:val="auto"/>
              </w:rPr>
              <w:t>Blizzard Entertainment, Inc.</w:t>
            </w:r>
          </w:p>
        </w:tc>
        <w:tc>
          <w:tcPr>
            <w:tcW w:w="5260" w:type="dxa"/>
            <w:vAlign w:val="bottom"/>
            <w:gridSpan w:val="3"/>
          </w:tcPr>
          <w:p>
            <w:pPr>
              <w:ind w:left="2440"/>
              <w:spacing w:after="0"/>
              <w:rPr>
                <w:sz w:val="20"/>
                <w:szCs w:val="20"/>
                <w:color w:val="auto"/>
              </w:rPr>
            </w:pPr>
            <w:r>
              <w:rPr>
                <w:rFonts w:ascii="Arial" w:cs="Arial" w:eastAsia="Arial" w:hAnsi="Arial"/>
                <w:sz w:val="18"/>
                <w:szCs w:val="18"/>
                <w:color w:val="auto"/>
              </w:rPr>
              <w:t>U.S.—Delaware</w:t>
            </w: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Blizzard Entertainment SAS</w:t>
            </w:r>
          </w:p>
        </w:tc>
        <w:tc>
          <w:tcPr>
            <w:tcW w:w="41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France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160" w:type="dxa"/>
            <w:vAlign w:val="bottom"/>
            <w:gridSpan w:val="3"/>
          </w:tcPr>
          <w:p>
            <w:pPr>
              <w:ind w:left="1140"/>
              <w:spacing w:after="0"/>
              <w:rPr>
                <w:sz w:val="20"/>
                <w:szCs w:val="20"/>
                <w:color w:val="auto"/>
              </w:rPr>
            </w:pPr>
            <w:r>
              <w:rPr>
                <w:rFonts w:ascii="Arial" w:cs="Arial" w:eastAsia="Arial" w:hAnsi="Arial"/>
                <w:sz w:val="18"/>
                <w:szCs w:val="18"/>
                <w:color w:val="auto"/>
              </w:rPr>
              <w:t>CDH Consolidated</w:t>
            </w:r>
          </w:p>
        </w:tc>
        <w:tc>
          <w:tcPr>
            <w:tcW w:w="5260" w:type="dxa"/>
            <w:vAlign w:val="bottom"/>
            <w:gridSpan w:val="3"/>
          </w:tcPr>
          <w:p>
            <w:pPr>
              <w:ind w:left="2440"/>
              <w:spacing w:after="0"/>
              <w:rPr>
                <w:sz w:val="20"/>
                <w:szCs w:val="20"/>
                <w:color w:val="auto"/>
              </w:rPr>
            </w:pPr>
            <w:r>
              <w:rPr>
                <w:rFonts w:ascii="Arial" w:cs="Arial" w:eastAsia="Arial" w:hAnsi="Arial"/>
                <w:sz w:val="18"/>
                <w:szCs w:val="18"/>
                <w:color w:val="auto"/>
              </w:rPr>
              <w:t>U.K.</w:t>
            </w: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Infinity Ward®, Inc.</w:t>
            </w:r>
          </w:p>
        </w:tc>
        <w:tc>
          <w:tcPr>
            <w:tcW w:w="41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U.S.—Delaware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160" w:type="dxa"/>
            <w:vAlign w:val="bottom"/>
            <w:gridSpan w:val="3"/>
          </w:tcPr>
          <w:p>
            <w:pPr>
              <w:ind w:left="1140"/>
              <w:spacing w:after="0"/>
              <w:rPr>
                <w:sz w:val="20"/>
                <w:szCs w:val="20"/>
                <w:color w:val="auto"/>
              </w:rPr>
            </w:pPr>
            <w:r>
              <w:rPr>
                <w:rFonts w:ascii="Arial" w:cs="Arial" w:eastAsia="Arial" w:hAnsi="Arial"/>
                <w:sz w:val="18"/>
                <w:szCs w:val="18"/>
                <w:color w:val="auto"/>
              </w:rPr>
              <w:t>King.com (US) LLC</w:t>
            </w:r>
          </w:p>
        </w:tc>
        <w:tc>
          <w:tcPr>
            <w:tcW w:w="5260" w:type="dxa"/>
            <w:vAlign w:val="bottom"/>
            <w:gridSpan w:val="3"/>
          </w:tcPr>
          <w:p>
            <w:pPr>
              <w:ind w:left="2440"/>
              <w:spacing w:after="0"/>
              <w:rPr>
                <w:sz w:val="20"/>
                <w:szCs w:val="20"/>
                <w:color w:val="auto"/>
              </w:rPr>
            </w:pPr>
            <w:r>
              <w:rPr>
                <w:rFonts w:ascii="Arial" w:cs="Arial" w:eastAsia="Arial" w:hAnsi="Arial"/>
                <w:sz w:val="18"/>
                <w:szCs w:val="18"/>
                <w:color w:val="auto"/>
              </w:rPr>
              <w:t>U.S.—Delaware</w:t>
            </w: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King.com Limited</w:t>
            </w:r>
          </w:p>
        </w:tc>
        <w:tc>
          <w:tcPr>
            <w:tcW w:w="41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U.S.—Delaware</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6160" w:type="dxa"/>
            <w:vAlign w:val="bottom"/>
            <w:gridSpan w:val="3"/>
          </w:tcPr>
          <w:p>
            <w:pPr>
              <w:ind w:left="1140"/>
              <w:spacing w:after="0"/>
              <w:rPr>
                <w:sz w:val="20"/>
                <w:szCs w:val="20"/>
                <w:color w:val="auto"/>
              </w:rPr>
            </w:pPr>
            <w:r>
              <w:rPr>
                <w:rFonts w:ascii="Arial" w:cs="Arial" w:eastAsia="Arial" w:hAnsi="Arial"/>
                <w:sz w:val="18"/>
                <w:szCs w:val="18"/>
                <w:color w:val="auto"/>
              </w:rPr>
              <w:t>Midasplayer AB</w:t>
            </w:r>
          </w:p>
        </w:tc>
        <w:tc>
          <w:tcPr>
            <w:tcW w:w="5260" w:type="dxa"/>
            <w:vAlign w:val="bottom"/>
            <w:gridSpan w:val="3"/>
          </w:tcPr>
          <w:p>
            <w:pPr>
              <w:ind w:left="2440"/>
              <w:spacing w:after="0"/>
              <w:rPr>
                <w:sz w:val="20"/>
                <w:szCs w:val="20"/>
                <w:color w:val="auto"/>
              </w:rPr>
            </w:pPr>
            <w:r>
              <w:rPr>
                <w:rFonts w:ascii="Arial" w:cs="Arial" w:eastAsia="Arial" w:hAnsi="Arial"/>
                <w:sz w:val="18"/>
                <w:szCs w:val="18"/>
                <w:color w:val="auto"/>
              </w:rPr>
              <w:t>Sweden</w:t>
            </w:r>
          </w:p>
        </w:tc>
        <w:tc>
          <w:tcPr>
            <w:tcW w:w="0" w:type="dxa"/>
            <w:vAlign w:val="bottom"/>
          </w:tcPr>
          <w:p>
            <w:pPr>
              <w:spacing w:after="0"/>
              <w:rPr>
                <w:sz w:val="1"/>
                <w:szCs w:val="1"/>
                <w:color w:val="auto"/>
              </w:rPr>
            </w:pPr>
          </w:p>
        </w:tc>
      </w:tr>
      <w:tr>
        <w:trPr>
          <w:trHeight w:val="433"/>
        </w:trPr>
        <w:tc>
          <w:tcPr>
            <w:tcW w:w="1160" w:type="dxa"/>
            <w:vAlign w:val="bottom"/>
          </w:tcPr>
          <w:p>
            <w:pPr>
              <w:spacing w:after="0"/>
              <w:rPr>
                <w:sz w:val="24"/>
                <w:szCs w:val="24"/>
                <w:color w:val="auto"/>
              </w:rPr>
            </w:pPr>
          </w:p>
        </w:tc>
        <w:tc>
          <w:tcPr>
            <w:tcW w:w="5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Midasplayer.com Limited</w:t>
            </w:r>
          </w:p>
        </w:tc>
        <w:tc>
          <w:tcPr>
            <w:tcW w:w="41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U.K.</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6160" w:type="dxa"/>
            <w:vAlign w:val="bottom"/>
            <w:gridSpan w:val="3"/>
          </w:tcPr>
          <w:p>
            <w:pPr>
              <w:ind w:left="1140"/>
              <w:spacing w:after="0"/>
              <w:rPr>
                <w:sz w:val="20"/>
                <w:szCs w:val="20"/>
                <w:color w:val="auto"/>
              </w:rPr>
            </w:pPr>
            <w:r>
              <w:rPr>
                <w:rFonts w:ascii="Arial" w:cs="Arial" w:eastAsia="Arial" w:hAnsi="Arial"/>
                <w:sz w:val="18"/>
                <w:szCs w:val="18"/>
                <w:color w:val="auto"/>
              </w:rPr>
              <w:t>Treyarch® Corporation</w:t>
            </w:r>
          </w:p>
        </w:tc>
        <w:tc>
          <w:tcPr>
            <w:tcW w:w="5260" w:type="dxa"/>
            <w:vAlign w:val="bottom"/>
            <w:gridSpan w:val="3"/>
          </w:tcPr>
          <w:p>
            <w:pPr>
              <w:ind w:left="2440"/>
              <w:spacing w:after="0"/>
              <w:rPr>
                <w:sz w:val="20"/>
                <w:szCs w:val="20"/>
                <w:color w:val="auto"/>
              </w:rPr>
            </w:pPr>
            <w:r>
              <w:rPr>
                <w:rFonts w:ascii="Arial" w:cs="Arial" w:eastAsia="Arial" w:hAnsi="Arial"/>
                <w:sz w:val="18"/>
                <w:szCs w:val="18"/>
                <w:color w:val="auto"/>
              </w:rPr>
              <w:t>U.S.—Delaware</w:t>
            </w:r>
          </w:p>
        </w:tc>
        <w:tc>
          <w:tcPr>
            <w:tcW w:w="0" w:type="dxa"/>
            <w:vAlign w:val="bottom"/>
          </w:tcPr>
          <w:p>
            <w:pPr>
              <w:spacing w:after="0"/>
              <w:rPr>
                <w:sz w:val="1"/>
                <w:szCs w:val="1"/>
                <w:color w:val="auto"/>
              </w:rPr>
            </w:pPr>
          </w:p>
        </w:tc>
      </w:tr>
      <w:tr>
        <w:trPr>
          <w:trHeight w:val="120"/>
        </w:trPr>
        <w:tc>
          <w:tcPr>
            <w:tcW w:w="116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4380" w:type="dxa"/>
            <w:vAlign w:val="bottom"/>
            <w:tcBorders>
              <w:bottom w:val="single" w:sz="8" w:color="808080"/>
            </w:tcBorders>
          </w:tcPr>
          <w:p>
            <w:pPr>
              <w:spacing w:after="0"/>
              <w:rPr>
                <w:sz w:val="10"/>
                <w:szCs w:val="10"/>
                <w:color w:val="auto"/>
              </w:rPr>
            </w:pPr>
          </w:p>
        </w:tc>
        <w:tc>
          <w:tcPr>
            <w:tcW w:w="2440" w:type="dxa"/>
            <w:vAlign w:val="bottom"/>
            <w:tcBorders>
              <w:bottom w:val="single" w:sz="8" w:color="808080"/>
            </w:tcBorders>
          </w:tcPr>
          <w:p>
            <w:pPr>
              <w:spacing w:after="0"/>
              <w:rPr>
                <w:sz w:val="10"/>
                <w:szCs w:val="10"/>
                <w:color w:val="auto"/>
              </w:rPr>
            </w:pPr>
          </w:p>
        </w:tc>
        <w:tc>
          <w:tcPr>
            <w:tcW w:w="16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7" w:name="page238"/>
    <w:bookmarkEnd w:id="23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7">
        <w:r>
          <w:rPr>
            <w:rFonts w:ascii="Arial" w:cs="Arial" w:eastAsia="Arial" w:hAnsi="Arial"/>
            <w:sz w:val="18"/>
            <w:szCs w:val="18"/>
            <w:u w:val="single" w:color="auto"/>
            <w:color w:val="0000EE"/>
          </w:rPr>
          <w:t>Exhibit 21.1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37">
        <w:r>
          <w:rPr>
            <w:rFonts w:ascii="Arial" w:cs="Arial" w:eastAsia="Arial" w:hAnsi="Arial"/>
            <w:sz w:val="16"/>
            <w:szCs w:val="16"/>
            <w:u w:val="single" w:color="auto"/>
            <w:color w:val="0000EE"/>
          </w:rPr>
          <w:t>MAJOR SUBSIDIARIES OF THE REGISTRANT AT DECEMBER 31, 2016</w:t>
        </w:r>
      </w:hyperlink>
    </w:p>
    <w:p>
      <w:pPr>
        <w:sectPr>
          <w:pgSz w:w="11900" w:h="16838" w:orient="portrait"/>
          <w:cols w:equalWidth="0" w:num="1">
            <w:col w:w="10219"/>
          </w:cols>
          <w:pgMar w:left="240" w:top="821" w:right="1440" w:bottom="1440" w:gutter="0" w:footer="0" w:header="0"/>
        </w:sectPr>
      </w:pPr>
    </w:p>
    <w:bookmarkStart w:id="238" w:name="page239"/>
    <w:bookmarkEnd w:id="238"/>
    <w:p>
      <w:pPr>
        <w:spacing w:after="0"/>
        <w:rPr>
          <w:rFonts w:ascii="Arial" w:cs="Arial" w:eastAsia="Arial" w:hAnsi="Arial"/>
          <w:sz w:val="22"/>
          <w:szCs w:val="22"/>
          <w:color w:val="0000EE"/>
        </w:rPr>
      </w:pPr>
      <w:hyperlink w:anchor="page24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100" w:firstLine="348"/>
        <w:spacing w:after="0" w:line="298" w:lineRule="auto"/>
        <w:rPr>
          <w:sz w:val="20"/>
          <w:szCs w:val="20"/>
          <w:color w:val="auto"/>
        </w:rPr>
      </w:pPr>
      <w:r>
        <w:rPr>
          <w:rFonts w:ascii="Arial" w:cs="Arial" w:eastAsia="Arial" w:hAnsi="Arial"/>
          <w:sz w:val="16"/>
          <w:szCs w:val="16"/>
          <w:color w:val="auto"/>
        </w:rPr>
        <w:t>We hereby consent to the incorporation by reference in the Registration Statements on Form S-3 (Nos. 333-211836 and 333-213520), Form S-4 (No. 333-101304) and Form S-8 (Nos. 333-58922, 333-61573, 333-72014, 333-85383, 333-87810, 333-100114, 333-100115, 333-106487, 333-111131, 333-146431, 333-153661, 333-165123, 333-167428, 333-196956, 333-209825, and 333-209864) of Activision Blizzard, Inc. of our report dated February 28, 2017 relating to the financial statements, financial statement schedule and the effectiveness of internal control over financial reporting, which appears in this Form 10-K.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39" w:name="page240"/>
    <w:bookmarkEnd w:id="23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39">
        <w:r>
          <w:rPr>
            <w:rFonts w:ascii="Arial" w:cs="Arial" w:eastAsia="Arial" w:hAnsi="Arial"/>
            <w:sz w:val="18"/>
            <w:szCs w:val="18"/>
            <w:u w:val="single" w:color="auto"/>
            <w:color w:val="0000EE"/>
          </w:rPr>
          <w:t>Exhibit 23.1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39">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240" w:name="page241"/>
    <w:bookmarkEnd w:id="240"/>
    <w:p>
      <w:pPr>
        <w:spacing w:after="0"/>
        <w:rPr>
          <w:rFonts w:ascii="Arial" w:cs="Arial" w:eastAsia="Arial" w:hAnsi="Arial"/>
          <w:sz w:val="22"/>
          <w:szCs w:val="22"/>
          <w:color w:val="0000EE"/>
        </w:rPr>
      </w:pPr>
      <w:hyperlink w:anchor="page242">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We hereby consent to the incorporation by reference in the Registration Statement on Form S-3 (333-211836) of Activision Blizzard, Inc. of our report dated February 8, 2016 relating to the financial statements of King Digital Entertainment PLC for the year ended December 31, 2015, which appears in Activision Blizzard Inc.'s Current Report on Form 8-K/A dated May 9, 2016.</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London, England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28,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142240</wp:posOffset>
            </wp:positionV>
            <wp:extent cx="7250430" cy="215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41" w:name="page242"/>
    <w:bookmarkEnd w:id="241"/>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41">
        <w:r>
          <w:rPr>
            <w:rFonts w:ascii="Arial" w:cs="Arial" w:eastAsia="Arial" w:hAnsi="Arial"/>
            <w:sz w:val="18"/>
            <w:szCs w:val="18"/>
            <w:u w:val="single" w:color="auto"/>
            <w:color w:val="0000EE"/>
          </w:rPr>
          <w:t>Exhibit 23.2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41">
        <w:r>
          <w:rPr>
            <w:rFonts w:ascii="Arial" w:cs="Arial" w:eastAsia="Arial" w:hAnsi="Arial"/>
            <w:sz w:val="16"/>
            <w:szCs w:val="16"/>
            <w:u w:val="single" w:color="auto"/>
            <w:color w:val="0000EE"/>
          </w:rPr>
          <w:t>CONSENT OF INDEPENDENT REGISTERED PUBLIC ACCOUNTING FIRM</w:t>
        </w:r>
      </w:hyperlink>
    </w:p>
    <w:p>
      <w:pPr>
        <w:sectPr>
          <w:pgSz w:w="11900" w:h="16838" w:orient="portrait"/>
          <w:cols w:equalWidth="0" w:num="1">
            <w:col w:w="10219"/>
          </w:cols>
          <w:pgMar w:left="240" w:top="820" w:right="1440" w:bottom="1440" w:gutter="0" w:footer="0" w:header="0"/>
        </w:sectPr>
      </w:pPr>
    </w:p>
    <w:bookmarkStart w:id="242" w:name="page243"/>
    <w:bookmarkEnd w:id="242"/>
    <w:p>
      <w:pPr>
        <w:spacing w:after="0"/>
        <w:rPr>
          <w:rFonts w:ascii="Arial" w:cs="Arial" w:eastAsia="Arial" w:hAnsi="Arial"/>
          <w:sz w:val="22"/>
          <w:szCs w:val="22"/>
          <w:color w:val="0000EE"/>
        </w:rPr>
      </w:pPr>
      <w:hyperlink w:anchor="page244">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Robert A. Kotick, certify that:</w:t>
      </w:r>
    </w:p>
    <w:p>
      <w:pPr>
        <w:spacing w:after="0" w:line="239" w:lineRule="exact"/>
        <w:rPr>
          <w:sz w:val="20"/>
          <w:szCs w:val="20"/>
          <w:color w:val="auto"/>
        </w:rPr>
      </w:pPr>
    </w:p>
    <w:p>
      <w:pPr>
        <w:ind w:left="540" w:hanging="532"/>
        <w:spacing w:after="0"/>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Activision Blizzard,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26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262"/>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360" w:hanging="532"/>
        <w:spacing w:after="0" w:line="259"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26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2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225"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3752850</wp:posOffset>
            </wp:positionH>
            <wp:positionV relativeFrom="paragraph">
              <wp:posOffset>62230</wp:posOffset>
            </wp:positionV>
            <wp:extent cx="279590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95905" cy="8890"/>
                    </a:xfrm>
                    <a:prstGeom prst="rect">
                      <a:avLst/>
                    </a:prstGeom>
                    <a:noFill/>
                  </pic:spPr>
                </pic:pic>
              </a:graphicData>
            </a:graphic>
          </wp:anchor>
        </w:drawing>
      </w:r>
    </w:p>
    <w:p>
      <w:pPr>
        <w:spacing w:after="0" w:line="178"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Robert A. Kotick</w:t>
      </w:r>
    </w:p>
    <w:p>
      <w:pPr>
        <w:spacing w:after="0" w:line="15"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Chief Executive Officer and Principal Executive Officer of</w:t>
      </w:r>
    </w:p>
    <w:p>
      <w:pPr>
        <w:spacing w:after="0" w:line="9" w:lineRule="exact"/>
        <w:rPr>
          <w:sz w:val="20"/>
          <w:szCs w:val="20"/>
          <w:color w:val="auto"/>
        </w:rPr>
      </w:pPr>
    </w:p>
    <w:p>
      <w:pPr>
        <w:ind w:left="5900"/>
        <w:spacing w:after="0"/>
        <w:rPr>
          <w:sz w:val="20"/>
          <w:szCs w:val="20"/>
          <w:color w:val="auto"/>
        </w:rPr>
      </w:pPr>
      <w:r>
        <w:rPr>
          <w:rFonts w:ascii="Arial" w:cs="Arial" w:eastAsia="Arial" w:hAnsi="Arial"/>
          <w:sz w:val="18"/>
          <w:szCs w:val="18"/>
          <w:i w:val="1"/>
          <w:iCs w:val="1"/>
          <w:color w:val="auto"/>
        </w:rPr>
        <w:t>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50430" cy="215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43" w:name="page244"/>
    <w:bookmarkEnd w:id="243"/>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243">
        <w:r>
          <w:rPr>
            <w:rFonts w:ascii="Arial" w:cs="Arial" w:eastAsia="Arial" w:hAnsi="Arial"/>
            <w:sz w:val="16"/>
            <w:szCs w:val="16"/>
            <w:u w:val="single" w:color="auto"/>
            <w:color w:val="0000EE"/>
          </w:rPr>
          <w:t>Exhibit 31.1</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244" w:name="page245"/>
    <w:bookmarkEnd w:id="244"/>
    <w:p>
      <w:pPr>
        <w:spacing w:after="0"/>
        <w:rPr>
          <w:rFonts w:ascii="Arial" w:cs="Arial" w:eastAsia="Arial" w:hAnsi="Arial"/>
          <w:sz w:val="22"/>
          <w:szCs w:val="22"/>
          <w:color w:val="0000EE"/>
        </w:rPr>
      </w:pPr>
      <w:hyperlink w:anchor="page246">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Dennis Durkin, certify that:</w:t>
      </w:r>
    </w:p>
    <w:p>
      <w:pPr>
        <w:spacing w:after="0" w:line="239" w:lineRule="exact"/>
        <w:rPr>
          <w:sz w:val="20"/>
          <w:szCs w:val="20"/>
          <w:color w:val="auto"/>
        </w:rPr>
      </w:pPr>
    </w:p>
    <w:p>
      <w:pPr>
        <w:ind w:left="540" w:hanging="532"/>
        <w:spacing w:after="0"/>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Activision Blizzard, Inc.;</w:t>
      </w:r>
    </w:p>
    <w:p>
      <w:pPr>
        <w:spacing w:after="0" w:line="252" w:lineRule="exact"/>
        <w:rPr>
          <w:rFonts w:ascii="Arial" w:cs="Arial" w:eastAsia="Arial" w:hAnsi="Arial"/>
          <w:sz w:val="18"/>
          <w:szCs w:val="18"/>
          <w:color w:val="auto"/>
        </w:rPr>
      </w:pPr>
    </w:p>
    <w:p>
      <w:pPr>
        <w:ind w:left="540" w:right="120" w:hanging="532"/>
        <w:spacing w:after="0" w:line="370" w:lineRule="auto"/>
        <w:tabs>
          <w:tab w:leader="none" w:pos="540" w:val="left"/>
        </w:tabs>
        <w:numPr>
          <w:ilvl w:val="0"/>
          <w:numId w:val="263"/>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5"/>
          <w:szCs w:val="15"/>
          <w:color w:val="auto"/>
        </w:rPr>
      </w:pPr>
    </w:p>
    <w:p>
      <w:pPr>
        <w:ind w:left="540" w:right="580" w:hanging="532"/>
        <w:spacing w:after="0" w:line="332" w:lineRule="auto"/>
        <w:tabs>
          <w:tab w:leader="none" w:pos="5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2" w:lineRule="exact"/>
        <w:rPr>
          <w:rFonts w:ascii="Arial" w:cs="Arial" w:eastAsia="Arial" w:hAnsi="Arial"/>
          <w:sz w:val="16"/>
          <w:szCs w:val="16"/>
          <w:color w:val="auto"/>
        </w:rPr>
      </w:pPr>
    </w:p>
    <w:p>
      <w:pPr>
        <w:ind w:left="540" w:right="80" w:hanging="532"/>
        <w:spacing w:after="0" w:line="259" w:lineRule="auto"/>
        <w:tabs>
          <w:tab w:leader="none" w:pos="54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1080" w:right="320" w:hanging="532"/>
        <w:spacing w:after="0" w:line="259" w:lineRule="auto"/>
        <w:tabs>
          <w:tab w:leader="none" w:pos="10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7" w:lineRule="exact"/>
        <w:rPr>
          <w:rFonts w:ascii="Arial" w:cs="Arial" w:eastAsia="Arial" w:hAnsi="Arial"/>
          <w:sz w:val="18"/>
          <w:szCs w:val="18"/>
          <w:color w:val="auto"/>
        </w:rPr>
      </w:pPr>
    </w:p>
    <w:p>
      <w:pPr>
        <w:jc w:val="both"/>
        <w:ind w:left="1080" w:right="800" w:hanging="532"/>
        <w:spacing w:after="0" w:line="370" w:lineRule="auto"/>
        <w:tabs>
          <w:tab w:leader="none" w:pos="1080" w:val="left"/>
        </w:tabs>
        <w:numPr>
          <w:ilvl w:val="1"/>
          <w:numId w:val="263"/>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3" w:lineRule="exact"/>
        <w:rPr>
          <w:rFonts w:ascii="Arial" w:cs="Arial" w:eastAsia="Arial" w:hAnsi="Arial"/>
          <w:sz w:val="15"/>
          <w:szCs w:val="15"/>
          <w:color w:val="auto"/>
        </w:rPr>
      </w:pPr>
    </w:p>
    <w:p>
      <w:pPr>
        <w:ind w:left="1080" w:right="360" w:hanging="532"/>
        <w:spacing w:after="0" w:line="259" w:lineRule="auto"/>
        <w:tabs>
          <w:tab w:leader="none" w:pos="10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0" w:lineRule="exact"/>
        <w:rPr>
          <w:rFonts w:ascii="Arial" w:cs="Arial" w:eastAsia="Arial" w:hAnsi="Arial"/>
          <w:sz w:val="18"/>
          <w:szCs w:val="18"/>
          <w:color w:val="auto"/>
        </w:rPr>
      </w:pPr>
    </w:p>
    <w:p>
      <w:pPr>
        <w:spacing w:after="0" w:line="223" w:lineRule="exact"/>
        <w:rPr>
          <w:rFonts w:ascii="Arial" w:cs="Arial" w:eastAsia="Arial" w:hAnsi="Arial"/>
          <w:sz w:val="18"/>
          <w:szCs w:val="18"/>
          <w:color w:val="auto"/>
        </w:rPr>
      </w:pPr>
    </w:p>
    <w:p>
      <w:pPr>
        <w:ind w:left="540" w:right="520" w:hanging="532"/>
        <w:spacing w:after="0" w:line="332" w:lineRule="auto"/>
        <w:tabs>
          <w:tab w:leader="none" w:pos="540"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68" w:lineRule="exact"/>
        <w:rPr>
          <w:rFonts w:ascii="Arial" w:cs="Arial" w:eastAsia="Arial" w:hAnsi="Arial"/>
          <w:sz w:val="16"/>
          <w:szCs w:val="16"/>
          <w:color w:val="auto"/>
        </w:rPr>
      </w:pPr>
    </w:p>
    <w:p>
      <w:pPr>
        <w:ind w:left="1080" w:right="240" w:hanging="532"/>
        <w:spacing w:after="0" w:line="332" w:lineRule="auto"/>
        <w:tabs>
          <w:tab w:leader="none" w:pos="1080" w:val="left"/>
        </w:tabs>
        <w:numPr>
          <w:ilvl w:val="1"/>
          <w:numId w:val="26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6" w:lineRule="exact"/>
        <w:rPr>
          <w:rFonts w:ascii="Arial" w:cs="Arial" w:eastAsia="Arial" w:hAnsi="Arial"/>
          <w:sz w:val="16"/>
          <w:szCs w:val="16"/>
          <w:color w:val="auto"/>
        </w:rPr>
      </w:pPr>
    </w:p>
    <w:p>
      <w:pPr>
        <w:ind w:left="1080" w:right="220" w:hanging="532"/>
        <w:spacing w:after="0" w:line="268" w:lineRule="auto"/>
        <w:tabs>
          <w:tab w:leader="none" w:pos="1080" w:val="left"/>
        </w:tabs>
        <w:numPr>
          <w:ilvl w:val="1"/>
          <w:numId w:val="26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28, 2017</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62230</wp:posOffset>
            </wp:positionV>
            <wp:extent cx="378206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17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Dennis Durkin</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6"/>
          <w:szCs w:val="16"/>
          <w:i w:val="1"/>
          <w:iCs w:val="1"/>
          <w:color w:val="auto"/>
        </w:rPr>
        <w:t>Chief Financial Officer and Principal Financial Officer of Activision Blizzard,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88265</wp:posOffset>
            </wp:positionV>
            <wp:extent cx="7250430" cy="215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45" w:name="page246"/>
    <w:bookmarkEnd w:id="245"/>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6"/>
          <w:szCs w:val="16"/>
          <w:u w:val="single" w:color="auto"/>
          <w:color w:val="0000EE"/>
        </w:rPr>
      </w:pPr>
      <w:hyperlink w:anchor="page245">
        <w:r>
          <w:rPr>
            <w:rFonts w:ascii="Arial" w:cs="Arial" w:eastAsia="Arial" w:hAnsi="Arial"/>
            <w:sz w:val="16"/>
            <w:szCs w:val="16"/>
            <w:u w:val="single" w:color="auto"/>
            <w:color w:val="0000EE"/>
          </w:rPr>
          <w:t>Exhibit 31.2</w:t>
        </w:r>
      </w:hyperlink>
    </w:p>
    <w:p>
      <w:pPr>
        <w:spacing w:after="0" w:line="248" w:lineRule="exact"/>
        <w:rPr>
          <w:sz w:val="20"/>
          <w:szCs w:val="20"/>
          <w:color w:val="auto"/>
        </w:rPr>
      </w:pPr>
    </w:p>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CERTIFICATION</w:t>
        </w:r>
      </w:hyperlink>
    </w:p>
    <w:p>
      <w:pPr>
        <w:sectPr>
          <w:pgSz w:w="11900" w:h="16838" w:orient="portrait"/>
          <w:cols w:equalWidth="0" w:num="1">
            <w:col w:w="10219"/>
          </w:cols>
          <w:pgMar w:left="240" w:top="820" w:right="1440" w:bottom="1440" w:gutter="0" w:footer="0" w:header="0"/>
        </w:sectPr>
      </w:pPr>
    </w:p>
    <w:bookmarkStart w:id="246" w:name="page247"/>
    <w:bookmarkEnd w:id="246"/>
    <w:p>
      <w:pPr>
        <w:spacing w:after="0"/>
        <w:rPr>
          <w:rFonts w:ascii="Arial" w:cs="Arial" w:eastAsia="Arial" w:hAnsi="Arial"/>
          <w:sz w:val="22"/>
          <w:szCs w:val="22"/>
          <w:color w:val="0000EE"/>
        </w:rPr>
      </w:pPr>
      <w:hyperlink w:anchor="page248">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connection with the Annual Report of Activision Blizzard, Inc. (the "Company") on Form 10-K for the year ended December 31, 2016 as filed with the Securities and Exchange Commission on the date hereof (the "Report"), I, Robert A. Kotick, Chief Executive Officer and Principal Executive Officer of the Company, certify, to my knowledge, pursuant to 18 U.S.C. § 1350, as adopted pursuant to § 906 of the Sarbanes-Oxley Act of 2002, that:</w:t>
      </w:r>
    </w:p>
    <w:p>
      <w:pPr>
        <w:spacing w:after="0" w:line="174" w:lineRule="exact"/>
        <w:rPr>
          <w:sz w:val="20"/>
          <w:szCs w:val="20"/>
          <w:color w:val="auto"/>
        </w:rPr>
      </w:pPr>
    </w:p>
    <w:p>
      <w:pPr>
        <w:ind w:left="1080" w:hanging="532"/>
        <w:spacing w:after="0"/>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28, 2017</w:t>
      </w:r>
    </w:p>
    <w:p>
      <w:pPr>
        <w:ind w:left="5500"/>
        <w:spacing w:after="0"/>
        <w:rPr>
          <w:sz w:val="20"/>
          <w:szCs w:val="20"/>
          <w:color w:val="auto"/>
        </w:rPr>
      </w:pPr>
      <w:r>
        <w:rPr>
          <w:rFonts w:ascii="Arial" w:cs="Arial" w:eastAsia="Arial" w:hAnsi="Arial"/>
          <w:sz w:val="18"/>
          <w:szCs w:val="18"/>
          <w:color w:val="auto"/>
        </w:rPr>
        <w:t>/s/ ROBERT A. KOTICK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62865</wp:posOffset>
            </wp:positionV>
            <wp:extent cx="378206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17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Robert A. Kotick</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6"/>
          <w:szCs w:val="16"/>
          <w:i w:val="1"/>
          <w:iCs w:val="1"/>
          <w:color w:val="auto"/>
        </w:rPr>
        <w:t>Chief Executive Officer and Principal Executive Officer of Activision Blizzard, Inc.</w:t>
      </w:r>
    </w:p>
    <w:p>
      <w:pPr>
        <w:spacing w:after="0" w:line="24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47" w:name="page248"/>
    <w:bookmarkEnd w:id="247"/>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Exhibit 32.1</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47">
        <w:r>
          <w:rPr>
            <w:rFonts w:ascii="Arial" w:cs="Arial" w:eastAsia="Arial" w:hAnsi="Arial"/>
            <w:sz w:val="16"/>
            <w:szCs w:val="16"/>
            <w:u w:val="single" w:color="auto"/>
            <w:color w:val="0000EE"/>
          </w:rPr>
          <w:t>CERTIFICATION PURSUANT TO 18 U.S.C. SECTION 1350, AS ADOPTED PURSUANT TO SECTION 906 OF THE SARBANES-OXLEY ACT OF 2002</w:t>
        </w:r>
      </w:hyperlink>
    </w:p>
    <w:p>
      <w:pPr>
        <w:sectPr>
          <w:pgSz w:w="11900" w:h="16838" w:orient="portrait"/>
          <w:cols w:equalWidth="0" w:num="1">
            <w:col w:w="11300"/>
          </w:cols>
          <w:pgMar w:left="240" w:top="821" w:right="359" w:bottom="1440" w:gutter="0" w:footer="0" w:header="0"/>
        </w:sectPr>
      </w:pPr>
    </w:p>
    <w:bookmarkStart w:id="248" w:name="page249"/>
    <w:bookmarkEnd w:id="248"/>
    <w:p>
      <w:pPr>
        <w:spacing w:after="0"/>
        <w:rPr>
          <w:rFonts w:ascii="Arial" w:cs="Arial" w:eastAsia="Arial" w:hAnsi="Arial"/>
          <w:sz w:val="22"/>
          <w:szCs w:val="22"/>
          <w:color w:val="0000EE"/>
        </w:rPr>
      </w:pPr>
      <w:hyperlink w:anchor="page250">
        <w:r>
          <w:rPr>
            <w:rFonts w:ascii="Arial" w:cs="Arial" w:eastAsia="Arial" w:hAnsi="Arial"/>
            <w:sz w:val="22"/>
            <w:szCs w:val="22"/>
            <w:u w:val="single" w:color="auto"/>
            <w:color w:val="0000EE"/>
          </w:rPr>
          <w:t>QuickLinks</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22"/>
          <w:szCs w:val="22"/>
          <w:color w:val="000000"/>
        </w:rPr>
        <w:t>Click here to rapidly navigate through this document</w:t>
      </w:r>
    </w:p>
    <w:p>
      <w:pPr>
        <w:spacing w:after="0" w:line="200" w:lineRule="exact"/>
        <w:rPr>
          <w:sz w:val="20"/>
          <w:szCs w:val="20"/>
          <w:color w:val="auto"/>
        </w:rPr>
      </w:pP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In connection with the Annual Report of Activision Blizzard, Inc. (the "Company") on Form 10-K for the year ended December 31, 2016 as filed with the Securities and Exchange Commission on the date hereof (the "Report"), I, Dennis Durkin, Chief Financial Officer and Principal Financial Officer of the Company, certify, to my knowledge, pursuant to 18 U.S.C. § 1350, as adopted pursuant to § 906 of the Sarbanes-Oxley Act of 2002, that:</w:t>
      </w:r>
    </w:p>
    <w:p>
      <w:pPr>
        <w:spacing w:after="0" w:line="174" w:lineRule="exact"/>
        <w:rPr>
          <w:sz w:val="20"/>
          <w:szCs w:val="20"/>
          <w:color w:val="auto"/>
        </w:rPr>
      </w:pPr>
    </w:p>
    <w:p>
      <w:pPr>
        <w:ind w:left="1080" w:hanging="532"/>
        <w:spacing w:after="0"/>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right="100" w:firstLine="548"/>
        <w:spacing w:after="0" w:line="501" w:lineRule="auto"/>
        <w:tabs>
          <w:tab w:leader="none" w:pos="1080" w:val="left"/>
        </w:tabs>
        <w:numPr>
          <w:ilvl w:val="0"/>
          <w:numId w:val="26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February 28, 2017</w:t>
      </w:r>
    </w:p>
    <w:p>
      <w:pPr>
        <w:ind w:left="5500"/>
        <w:spacing w:after="0"/>
        <w:rPr>
          <w:sz w:val="20"/>
          <w:szCs w:val="20"/>
          <w:color w:val="auto"/>
        </w:rPr>
      </w:pPr>
      <w:r>
        <w:rPr>
          <w:rFonts w:ascii="Arial" w:cs="Arial" w:eastAsia="Arial" w:hAnsi="Arial"/>
          <w:sz w:val="18"/>
          <w:szCs w:val="18"/>
          <w:color w:val="auto"/>
        </w:rPr>
        <w:t>/s/ DENNIS DURKIN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62230</wp:posOffset>
            </wp:positionV>
            <wp:extent cx="378206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782060" cy="8890"/>
                    </a:xfrm>
                    <a:prstGeom prst="rect">
                      <a:avLst/>
                    </a:prstGeom>
                    <a:noFill/>
                  </pic:spPr>
                </pic:pic>
              </a:graphicData>
            </a:graphic>
          </wp:anchor>
        </w:drawing>
      </w:r>
    </w:p>
    <w:p>
      <w:pPr>
        <w:spacing w:after="0" w:line="17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Dennis Durkin</w:t>
      </w:r>
    </w:p>
    <w:p>
      <w:pPr>
        <w:spacing w:after="0" w:line="15" w:lineRule="exact"/>
        <w:rPr>
          <w:sz w:val="20"/>
          <w:szCs w:val="20"/>
          <w:color w:val="auto"/>
        </w:rPr>
      </w:pPr>
    </w:p>
    <w:p>
      <w:pPr>
        <w:ind w:left="5500"/>
        <w:spacing w:after="0"/>
        <w:rPr>
          <w:sz w:val="20"/>
          <w:szCs w:val="20"/>
          <w:color w:val="auto"/>
        </w:rPr>
      </w:pPr>
      <w:r>
        <w:rPr>
          <w:rFonts w:ascii="Arial" w:cs="Arial" w:eastAsia="Arial" w:hAnsi="Arial"/>
          <w:sz w:val="16"/>
          <w:szCs w:val="16"/>
          <w:i w:val="1"/>
          <w:iCs w:val="1"/>
          <w:color w:val="auto"/>
        </w:rPr>
        <w:t>Chief Financial Officer and Principal Financial Officer of Activision Blizzard, Inc.</w:t>
      </w:r>
    </w:p>
    <w:p>
      <w:pPr>
        <w:spacing w:after="0" w:line="242" w:lineRule="exact"/>
        <w:rPr>
          <w:sz w:val="20"/>
          <w:szCs w:val="20"/>
          <w:color w:val="auto"/>
        </w:rPr>
      </w:pPr>
    </w:p>
    <w:p>
      <w:pPr>
        <w:ind w:right="40" w:firstLine="341"/>
        <w:spacing w:after="0" w:line="268"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61" w:right="279" w:bottom="1440" w:gutter="0" w:footer="0" w:header="0"/>
        </w:sectPr>
      </w:pPr>
    </w:p>
    <w:bookmarkStart w:id="249" w:name="page250"/>
    <w:bookmarkEnd w:id="249"/>
    <w:p>
      <w:pPr>
        <w:spacing w:after="0"/>
        <w:rPr>
          <w:sz w:val="20"/>
          <w:szCs w:val="20"/>
          <w:color w:val="auto"/>
        </w:rPr>
      </w:pPr>
      <w:r>
        <w:rPr>
          <w:rFonts w:ascii="Arial" w:cs="Arial" w:eastAsia="Arial" w:hAnsi="Arial"/>
          <w:sz w:val="22"/>
          <w:szCs w:val="22"/>
          <w:color w:val="auto"/>
        </w:rPr>
        <w:t>QuickLinks</w:t>
      </w:r>
    </w:p>
    <w:p>
      <w:pPr>
        <w:spacing w:after="0" w:line="219" w:lineRule="exact"/>
        <w:rPr>
          <w:sz w:val="20"/>
          <w:szCs w:val="20"/>
          <w:color w:val="auto"/>
        </w:rPr>
      </w:pPr>
    </w:p>
    <w:p>
      <w:pPr>
        <w:ind w:left="540"/>
        <w:spacing w:after="0"/>
        <w:rPr>
          <w:rFonts w:ascii="Arial" w:cs="Arial" w:eastAsia="Arial" w:hAnsi="Arial"/>
          <w:sz w:val="18"/>
          <w:szCs w:val="18"/>
          <w:u w:val="single" w:color="auto"/>
          <w:color w:val="0000EE"/>
        </w:rPr>
      </w:pPr>
      <w:hyperlink w:anchor="page249">
        <w:r>
          <w:rPr>
            <w:rFonts w:ascii="Arial" w:cs="Arial" w:eastAsia="Arial" w:hAnsi="Arial"/>
            <w:sz w:val="18"/>
            <w:szCs w:val="18"/>
            <w:u w:val="single" w:color="auto"/>
            <w:color w:val="0000EE"/>
          </w:rPr>
          <w:t>Exhibit 32.2</w:t>
        </w:r>
      </w:hyperlink>
    </w:p>
    <w:p>
      <w:pPr>
        <w:spacing w:after="0" w:line="225" w:lineRule="exact"/>
        <w:rPr>
          <w:sz w:val="20"/>
          <w:szCs w:val="20"/>
          <w:color w:val="auto"/>
        </w:rPr>
      </w:pPr>
    </w:p>
    <w:p>
      <w:pPr>
        <w:spacing w:after="0"/>
        <w:rPr>
          <w:rFonts w:ascii="Arial" w:cs="Arial" w:eastAsia="Arial" w:hAnsi="Arial"/>
          <w:sz w:val="16"/>
          <w:szCs w:val="16"/>
          <w:u w:val="single" w:color="auto"/>
          <w:color w:val="0000EE"/>
        </w:rPr>
      </w:pPr>
      <w:hyperlink w:anchor="page249">
        <w:r>
          <w:rPr>
            <w:rFonts w:ascii="Arial" w:cs="Arial" w:eastAsia="Arial" w:hAnsi="Arial"/>
            <w:sz w:val="16"/>
            <w:szCs w:val="16"/>
            <w:u w:val="single" w:color="auto"/>
            <w:color w:val="0000EE"/>
          </w:rPr>
          <w:t>CERTIFICATION PURSUANT TO 18 U.S.C. SECTION 1350, AS ADOPTED PURSUANT TO SECTION 906 OF THE SARBANES-OXLEY ACT OF 2002</w:t>
        </w:r>
      </w:hyperlink>
    </w:p>
    <w:sectPr>
      <w:pgSz w:w="11900" w:h="16838" w:orient="portrait"/>
      <w:cols w:equalWidth="0" w:num="1">
        <w:col w:w="11300"/>
      </w:cols>
      <w:pgMar w:left="240" w:top="8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37E80A"/>
    <w:multiLevelType w:val="hybridMultilevel"/>
    <w:lvl w:ilvl="0">
      <w:lvlJc w:val="left"/>
      <w:lvlText w:val="☒"/>
      <w:numFmt w:val="bullet"/>
      <w:start w:val="1"/>
    </w:lvl>
  </w:abstractNum>
  <w:abstractNum w:abstractNumId="1">
    <w:nsid w:val="2157F6BC"/>
    <w:multiLevelType w:val="hybridMultilevel"/>
    <w:lvl w:ilvl="0">
      <w:lvlJc w:val="left"/>
      <w:lvlText w:val="o"/>
      <w:numFmt w:val="bullet"/>
      <w:start w:val="1"/>
    </w:lvl>
  </w:abstractNum>
  <w:abstractNum w:abstractNumId="2">
    <w:nsid w:val="704E1DD5"/>
    <w:multiLevelType w:val="hybridMultilevel"/>
    <w:lvl w:ilvl="0">
      <w:lvlJc w:val="left"/>
      <w:lvlText w:val="(%1)"/>
      <w:numFmt w:val="decimal"/>
      <w:start w:val="1"/>
    </w:lvl>
  </w:abstractNum>
  <w:abstractNum w:abstractNumId="3">
    <w:nsid w:val="57D2F10E"/>
    <w:multiLevelType w:val="hybridMultilevel"/>
    <w:lvl w:ilvl="0">
      <w:lvlJc w:val="left"/>
      <w:lvlText w:val="(%1)"/>
      <w:numFmt w:val="lowerRoman"/>
      <w:start w:val="4"/>
    </w:lvl>
  </w:abstractNum>
  <w:abstractNum w:abstractNumId="4">
    <w:nsid w:val="BFFAE18"/>
    <w:multiLevelType w:val="hybridMultilevel"/>
    <w:lvl w:ilvl="0">
      <w:lvlJc w:val="left"/>
      <w:lvlText w:val="•"/>
      <w:numFmt w:val="bullet"/>
      <w:start w:val="1"/>
    </w:lvl>
  </w:abstractNum>
  <w:abstractNum w:abstractNumId="5">
    <w:nsid w:val="E3E47A8"/>
    <w:multiLevelType w:val="hybridMultilevel"/>
    <w:lvl w:ilvl="0">
      <w:lvlJc w:val="left"/>
      <w:lvlText w:val="•"/>
      <w:numFmt w:val="bullet"/>
      <w:start w:val="1"/>
    </w:lvl>
  </w:abstractNum>
  <w:abstractNum w:abstractNumId="6">
    <w:nsid w:val="2E48F044"/>
    <w:multiLevelType w:val="hybridMultilevel"/>
    <w:lvl w:ilvl="0">
      <w:lvlJc w:val="left"/>
      <w:lvlText w:val="•"/>
      <w:numFmt w:val="bullet"/>
      <w:start w:val="1"/>
    </w:lvl>
  </w:abstractNum>
  <w:abstractNum w:abstractNumId="7">
    <w:nsid w:val="49D0FEAC"/>
    <w:multiLevelType w:val="hybridMultilevel"/>
    <w:lvl w:ilvl="0">
      <w:lvlJc w:val="left"/>
      <w:lvlText w:val="•"/>
      <w:numFmt w:val="bullet"/>
      <w:start w:val="1"/>
    </w:lvl>
  </w:abstractNum>
  <w:abstractNum w:abstractNumId="8">
    <w:nsid w:val="4BEE5A5B"/>
    <w:multiLevelType w:val="hybridMultilevel"/>
    <w:lvl w:ilvl="0">
      <w:lvlJc w:val="left"/>
      <w:lvlText w:val="•"/>
      <w:numFmt w:val="bullet"/>
      <w:start w:val="1"/>
    </w:lvl>
  </w:abstractNum>
  <w:abstractNum w:abstractNumId="9">
    <w:nsid w:val="5551B9F3"/>
    <w:multiLevelType w:val="hybridMultilevel"/>
    <w:lvl w:ilvl="0">
      <w:lvlJc w:val="left"/>
      <w:lvlText w:val="•"/>
      <w:numFmt w:val="bullet"/>
      <w:start w:val="1"/>
    </w:lvl>
  </w:abstractNum>
  <w:abstractNum w:abstractNumId="10">
    <w:nsid w:val="24F6AB8E"/>
    <w:multiLevelType w:val="hybridMultilevel"/>
    <w:lvl w:ilvl="0">
      <w:lvlJc w:val="left"/>
      <w:lvlText w:val="•"/>
      <w:numFmt w:val="bullet"/>
      <w:start w:val="1"/>
    </w:lvl>
  </w:abstractNum>
  <w:abstractNum w:abstractNumId="11">
    <w:nsid w:val="634C574C"/>
    <w:multiLevelType w:val="hybridMultilevel"/>
    <w:lvl w:ilvl="0">
      <w:lvlJc w:val="left"/>
      <w:lvlText w:val="(%1)"/>
      <w:numFmt w:val="decimal"/>
      <w:start w:val="1"/>
    </w:lvl>
  </w:abstractNum>
  <w:abstractNum w:abstractNumId="12">
    <w:nsid w:val="24E99DD7"/>
    <w:multiLevelType w:val="hybridMultilevel"/>
    <w:lvl w:ilvl="0">
      <w:lvlJc w:val="left"/>
      <w:lvlText w:val="(%1)"/>
      <w:numFmt w:val="decimal"/>
      <w:start w:val="1"/>
    </w:lvl>
  </w:abstractNum>
  <w:abstractNum w:abstractNumId="13">
    <w:nsid w:val="2A31B62D"/>
    <w:multiLevelType w:val="hybridMultilevel"/>
    <w:lvl w:ilvl="0">
      <w:lvlJc w:val="left"/>
      <w:lvlText w:val="(%1)"/>
      <w:numFmt w:val="lowerRoman"/>
      <w:start w:val="4"/>
    </w:lvl>
    <w:lvl w:ilvl="1">
      <w:lvlJc w:val="left"/>
      <w:lvlText w:val="•"/>
      <w:numFmt w:val="bullet"/>
      <w:start w:val="1"/>
    </w:lvl>
  </w:abstractNum>
  <w:abstractNum w:abstractNumId="14">
    <w:nsid w:val="1849C29B"/>
    <w:multiLevelType w:val="hybridMultilevel"/>
    <w:lvl w:ilvl="0">
      <w:lvlJc w:val="left"/>
      <w:lvlText w:val="•"/>
      <w:numFmt w:val="bullet"/>
      <w:start w:val="1"/>
    </w:lvl>
  </w:abstractNum>
  <w:abstractNum w:abstractNumId="15">
    <w:nsid w:val="7DFF9D09"/>
    <w:multiLevelType w:val="hybridMultilevel"/>
    <w:lvl w:ilvl="0">
      <w:lvlJc w:val="left"/>
      <w:lvlText w:val="•"/>
      <w:numFmt w:val="bullet"/>
      <w:start w:val="1"/>
    </w:lvl>
  </w:abstractNum>
  <w:abstractNum w:abstractNumId="16">
    <w:nsid w:val="754342"/>
    <w:multiLevelType w:val="hybridMultilevel"/>
    <w:lvl w:ilvl="0">
      <w:lvlJc w:val="left"/>
      <w:lvlText w:val="•"/>
      <w:numFmt w:val="bullet"/>
      <w:start w:val="1"/>
    </w:lvl>
  </w:abstractNum>
  <w:abstractNum w:abstractNumId="17">
    <w:nsid w:val="69E7F3E5"/>
    <w:multiLevelType w:val="hybridMultilevel"/>
    <w:lvl w:ilvl="0">
      <w:lvlJc w:val="left"/>
      <w:lvlText w:val="•"/>
      <w:numFmt w:val="bullet"/>
      <w:start w:val="1"/>
    </w:lvl>
  </w:abstractNum>
  <w:abstractNum w:abstractNumId="18">
    <w:nsid w:val="2A6DE806"/>
    <w:multiLevelType w:val="hybridMultilevel"/>
    <w:lvl w:ilvl="0">
      <w:lvlJc w:val="left"/>
      <w:lvlText w:val="(%1)"/>
      <w:numFmt w:val="decimal"/>
      <w:start w:val="1"/>
    </w:lvl>
    <w:lvl w:ilvl="1">
      <w:lvlJc w:val="left"/>
      <w:lvlText w:val="(%2)"/>
      <w:numFmt w:val="lowerRoman"/>
      <w:start w:val="1"/>
    </w:lvl>
  </w:abstractNum>
  <w:abstractNum w:abstractNumId="19">
    <w:nsid w:val="1816F8C4"/>
    <w:multiLevelType w:val="hybridMultilevel"/>
    <w:lvl w:ilvl="0">
      <w:lvlJc w:val="left"/>
      <w:lvlText w:val="(%1)"/>
      <w:numFmt w:val="lowerRoman"/>
      <w:start w:val="1"/>
    </w:lvl>
  </w:abstractNum>
  <w:abstractNum w:abstractNumId="20">
    <w:nsid w:val="37DF2233"/>
    <w:multiLevelType w:val="hybridMultilevel"/>
    <w:lvl w:ilvl="0">
      <w:lvlJc w:val="left"/>
      <w:lvlText w:val="(%1)"/>
      <w:numFmt w:val="decimal"/>
      <w:start w:val="2"/>
    </w:lvl>
  </w:abstractNum>
  <w:abstractNum w:abstractNumId="21">
    <w:nsid w:val="7AB49DAF"/>
    <w:multiLevelType w:val="hybridMultilevel"/>
    <w:lvl w:ilvl="0">
      <w:lvlJc w:val="left"/>
      <w:lvlText w:val="•"/>
      <w:numFmt w:val="bullet"/>
      <w:start w:val="1"/>
    </w:lvl>
  </w:abstractNum>
  <w:abstractNum w:abstractNumId="22">
    <w:nsid w:val="759F82CD"/>
    <w:multiLevelType w:val="hybridMultilevel"/>
    <w:lvl w:ilvl="0">
      <w:lvlJc w:val="left"/>
      <w:lvlText w:val="•"/>
      <w:numFmt w:val="bullet"/>
      <w:start w:val="1"/>
    </w:lvl>
  </w:abstractNum>
  <w:abstractNum w:abstractNumId="23">
    <w:nsid w:val="61E74EA3"/>
    <w:multiLevelType w:val="hybridMultilevel"/>
    <w:lvl w:ilvl="0">
      <w:lvlJc w:val="left"/>
      <w:lvlText w:val="•"/>
      <w:numFmt w:val="bullet"/>
      <w:start w:val="1"/>
    </w:lvl>
  </w:abstractNum>
  <w:abstractNum w:abstractNumId="24">
    <w:nsid w:val="597B4D84"/>
    <w:multiLevelType w:val="hybridMultilevel"/>
    <w:lvl w:ilvl="0">
      <w:lvlJc w:val="left"/>
      <w:lvlText w:val="•"/>
      <w:numFmt w:val="bullet"/>
      <w:start w:val="1"/>
    </w:lvl>
  </w:abstractNum>
  <w:abstractNum w:abstractNumId="25">
    <w:nsid w:val="F819E7F"/>
    <w:multiLevelType w:val="hybridMultilevel"/>
    <w:lvl w:ilvl="0">
      <w:lvlJc w:val="left"/>
      <w:lvlText w:val="•"/>
      <w:numFmt w:val="bullet"/>
      <w:start w:val="1"/>
    </w:lvl>
  </w:abstractNum>
  <w:abstractNum w:abstractNumId="26">
    <w:nsid w:val="57C7D42D"/>
    <w:multiLevelType w:val="hybridMultilevel"/>
    <w:lvl w:ilvl="0">
      <w:lvlJc w:val="left"/>
      <w:lvlText w:val="•"/>
      <w:numFmt w:val="bullet"/>
      <w:start w:val="1"/>
    </w:lvl>
  </w:abstractNum>
  <w:abstractNum w:abstractNumId="27">
    <w:nsid w:val="312167AD"/>
    <w:multiLevelType w:val="hybridMultilevel"/>
    <w:lvl w:ilvl="0">
      <w:lvlJc w:val="left"/>
      <w:lvlText w:val="•"/>
      <w:numFmt w:val="bullet"/>
      <w:start w:val="1"/>
    </w:lvl>
  </w:abstractNum>
  <w:abstractNum w:abstractNumId="28">
    <w:nsid w:val="631B64D4"/>
    <w:multiLevelType w:val="hybridMultilevel"/>
    <w:lvl w:ilvl="0">
      <w:lvlJc w:val="left"/>
      <w:lvlText w:val="(%1)"/>
      <w:numFmt w:val="decimal"/>
      <w:start w:val="1"/>
    </w:lvl>
  </w:abstractNum>
  <w:abstractNum w:abstractNumId="29">
    <w:nsid w:val="78B5E776"/>
    <w:multiLevelType w:val="hybridMultilevel"/>
    <w:lvl w:ilvl="0">
      <w:lvlJc w:val="left"/>
      <w:lvlText w:val="(%1)"/>
      <w:numFmt w:val="decimal"/>
      <w:start w:val="3"/>
    </w:lvl>
  </w:abstractNum>
  <w:abstractNum w:abstractNumId="30">
    <w:nsid w:val="75486E47"/>
    <w:multiLevelType w:val="hybridMultilevel"/>
    <w:lvl w:ilvl="0">
      <w:lvlJc w:val="left"/>
      <w:lvlText w:val="•"/>
      <w:numFmt w:val="bullet"/>
      <w:start w:val="1"/>
    </w:lvl>
  </w:abstractNum>
  <w:abstractNum w:abstractNumId="31">
    <w:nsid w:val="6E534CDE"/>
    <w:multiLevelType w:val="hybridMultilevel"/>
    <w:lvl w:ilvl="0">
      <w:lvlJc w:val="left"/>
      <w:lvlText w:val="•"/>
      <w:numFmt w:val="bullet"/>
      <w:start w:val="1"/>
    </w:lvl>
  </w:abstractNum>
  <w:abstractNum w:abstractNumId="32">
    <w:nsid w:val="1A0DDE32"/>
    <w:multiLevelType w:val="hybridMultilevel"/>
    <w:lvl w:ilvl="0">
      <w:lvlJc w:val="left"/>
      <w:lvlText w:val="•"/>
      <w:numFmt w:val="bullet"/>
      <w:start w:val="1"/>
    </w:lvl>
  </w:abstractNum>
  <w:abstractNum w:abstractNumId="33">
    <w:nsid w:val="65968C1C"/>
    <w:multiLevelType w:val="hybridMultilevel"/>
    <w:lvl w:ilvl="0">
      <w:lvlJc w:val="left"/>
      <w:lvlText w:val="•"/>
      <w:numFmt w:val="bullet"/>
      <w:start w:val="1"/>
    </w:lvl>
  </w:abstractNum>
  <w:abstractNum w:abstractNumId="34">
    <w:nsid w:val="46263DEC"/>
    <w:multiLevelType w:val="hybridMultilevel"/>
    <w:lvl w:ilvl="0">
      <w:lvlJc w:val="left"/>
      <w:lvlText w:val="•"/>
      <w:numFmt w:val="bullet"/>
      <w:start w:val="1"/>
    </w:lvl>
  </w:abstractNum>
  <w:abstractNum w:abstractNumId="35">
    <w:nsid w:val="260D8C4A"/>
    <w:multiLevelType w:val="hybridMultilevel"/>
    <w:lvl w:ilvl="0">
      <w:lvlJc w:val="left"/>
      <w:lvlText w:val="•"/>
      <w:numFmt w:val="bullet"/>
      <w:start w:val="1"/>
    </w:lvl>
  </w:abstractNum>
  <w:abstractNum w:abstractNumId="36">
    <w:nsid w:val="73D4D3C4"/>
    <w:multiLevelType w:val="hybridMultilevel"/>
    <w:lvl w:ilvl="0">
      <w:lvlJc w:val="left"/>
      <w:lvlText w:val="•"/>
      <w:numFmt w:val="bullet"/>
      <w:start w:val="1"/>
    </w:lvl>
  </w:abstractNum>
  <w:abstractNum w:abstractNumId="37">
    <w:nsid w:val="746F2E30"/>
    <w:multiLevelType w:val="hybridMultilevel"/>
    <w:lvl w:ilvl="0">
      <w:lvlJc w:val="left"/>
      <w:lvlText w:val="•"/>
      <w:numFmt w:val="bullet"/>
      <w:start w:val="1"/>
    </w:lvl>
  </w:abstractNum>
  <w:abstractNum w:abstractNumId="38">
    <w:nsid w:val="6FDE8AF6"/>
    <w:multiLevelType w:val="hybridMultilevel"/>
    <w:lvl w:ilvl="0">
      <w:lvlJc w:val="left"/>
      <w:lvlText w:val="•"/>
      <w:numFmt w:val="bullet"/>
      <w:start w:val="1"/>
    </w:lvl>
  </w:abstractNum>
  <w:abstractNum w:abstractNumId="39">
    <w:nsid w:val="3FC32E20"/>
    <w:multiLevelType w:val="hybridMultilevel"/>
    <w:lvl w:ilvl="0">
      <w:lvlJc w:val="left"/>
      <w:lvlText w:val="•"/>
      <w:numFmt w:val="bullet"/>
      <w:start w:val="1"/>
    </w:lvl>
  </w:abstractNum>
  <w:abstractNum w:abstractNumId="40">
    <w:nsid w:val="49C0E823"/>
    <w:multiLevelType w:val="hybridMultilevel"/>
    <w:lvl w:ilvl="0">
      <w:lvlJc w:val="left"/>
      <w:lvlText w:val="•"/>
      <w:numFmt w:val="bullet"/>
      <w:start w:val="1"/>
    </w:lvl>
  </w:abstractNum>
  <w:abstractNum w:abstractNumId="41">
    <w:nsid w:val="14D53685"/>
    <w:multiLevelType w:val="hybridMultilevel"/>
    <w:lvl w:ilvl="0">
      <w:lvlJc w:val="left"/>
      <w:lvlText w:val="•"/>
      <w:numFmt w:val="bullet"/>
      <w:start w:val="1"/>
    </w:lvl>
  </w:abstractNum>
  <w:abstractNum w:abstractNumId="42">
    <w:nsid w:val="230F856C"/>
    <w:multiLevelType w:val="hybridMultilevel"/>
    <w:lvl w:ilvl="0">
      <w:lvlJc w:val="left"/>
      <w:lvlText w:val="(%1)"/>
      <w:numFmt w:val="decimal"/>
      <w:start w:val="1"/>
    </w:lvl>
  </w:abstractNum>
  <w:abstractNum w:abstractNumId="43">
    <w:nsid w:val="6EAA85FB"/>
    <w:multiLevelType w:val="hybridMultilevel"/>
    <w:lvl w:ilvl="0">
      <w:lvlJc w:val="left"/>
      <w:lvlText w:val="•"/>
      <w:numFmt w:val="bullet"/>
      <w:start w:val="1"/>
    </w:lvl>
  </w:abstractNum>
  <w:abstractNum w:abstractNumId="44">
    <w:nsid w:val="3F06ECB2"/>
    <w:multiLevelType w:val="hybridMultilevel"/>
    <w:lvl w:ilvl="0">
      <w:lvlJc w:val="left"/>
      <w:lvlText w:val="•"/>
      <w:numFmt w:val="bullet"/>
      <w:start w:val="1"/>
    </w:lvl>
  </w:abstractNum>
  <w:abstractNum w:abstractNumId="45">
    <w:nsid w:val="3B594807"/>
    <w:multiLevelType w:val="hybridMultilevel"/>
    <w:lvl w:ilvl="0">
      <w:lvlJc w:val="left"/>
      <w:lvlText w:val="•"/>
      <w:numFmt w:val="bullet"/>
      <w:start w:val="1"/>
    </w:lvl>
  </w:abstractNum>
  <w:abstractNum w:abstractNumId="46">
    <w:nsid w:val="6CAA2304"/>
    <w:multiLevelType w:val="hybridMultilevel"/>
    <w:lvl w:ilvl="0">
      <w:lvlJc w:val="left"/>
      <w:lvlText w:val="•"/>
      <w:numFmt w:val="bullet"/>
      <w:start w:val="1"/>
    </w:lvl>
  </w:abstractNum>
  <w:abstractNum w:abstractNumId="47">
    <w:nsid w:val="3F7C2FF4"/>
    <w:multiLevelType w:val="hybridMultilevel"/>
    <w:lvl w:ilvl="0">
      <w:lvlJc w:val="left"/>
      <w:lvlText w:val="•"/>
      <w:numFmt w:val="bullet"/>
      <w:start w:val="1"/>
    </w:lvl>
  </w:abstractNum>
  <w:abstractNum w:abstractNumId="48">
    <w:nsid w:val="25413BEC"/>
    <w:multiLevelType w:val="hybridMultilevel"/>
    <w:lvl w:ilvl="0">
      <w:lvlJc w:val="left"/>
      <w:lvlText w:val="•"/>
      <w:numFmt w:val="bullet"/>
      <w:start w:val="1"/>
    </w:lvl>
  </w:abstractNum>
  <w:abstractNum w:abstractNumId="49">
    <w:nsid w:val="17180B0B"/>
    <w:multiLevelType w:val="hybridMultilevel"/>
    <w:lvl w:ilvl="0">
      <w:lvlJc w:val="left"/>
      <w:lvlText w:val="•"/>
      <w:numFmt w:val="bullet"/>
      <w:start w:val="1"/>
    </w:lvl>
  </w:abstractNum>
  <w:abstractNum w:abstractNumId="50">
    <w:nsid w:val="579328B9"/>
    <w:multiLevelType w:val="hybridMultilevel"/>
    <w:lvl w:ilvl="0">
      <w:lvlJc w:val="left"/>
      <w:lvlText w:val="•"/>
      <w:numFmt w:val="bullet"/>
      <w:start w:val="1"/>
    </w:lvl>
  </w:abstractNum>
  <w:abstractNum w:abstractNumId="51">
    <w:nsid w:val="5D205E20"/>
    <w:multiLevelType w:val="hybridMultilevel"/>
    <w:lvl w:ilvl="0">
      <w:lvlJc w:val="left"/>
      <w:lvlText w:val="•"/>
      <w:numFmt w:val="bullet"/>
      <w:start w:val="1"/>
    </w:lvl>
  </w:abstractNum>
  <w:abstractNum w:abstractNumId="52">
    <w:nsid w:val="11CCA8BA"/>
    <w:multiLevelType w:val="hybridMultilevel"/>
    <w:lvl w:ilvl="0">
      <w:lvlJc w:val="left"/>
      <w:lvlText w:val="(%1)"/>
      <w:numFmt w:val="decimal"/>
      <w:start w:val="1"/>
    </w:lvl>
  </w:abstractNum>
  <w:abstractNum w:abstractNumId="53">
    <w:nsid w:val="4D32AB86"/>
    <w:multiLevelType w:val="hybridMultilevel"/>
    <w:lvl w:ilvl="0">
      <w:lvlJc w:val="left"/>
      <w:lvlText w:val="•"/>
      <w:numFmt w:val="bullet"/>
      <w:start w:val="1"/>
    </w:lvl>
  </w:abstractNum>
  <w:abstractNum w:abstractNumId="54">
    <w:nsid w:val="3F07ACC3"/>
    <w:multiLevelType w:val="hybridMultilevel"/>
    <w:lvl w:ilvl="0">
      <w:lvlJc w:val="left"/>
      <w:lvlText w:val="•"/>
      <w:numFmt w:val="bullet"/>
      <w:start w:val="1"/>
    </w:lvl>
  </w:abstractNum>
  <w:abstractNum w:abstractNumId="55">
    <w:nsid w:val="6B47F63E"/>
    <w:multiLevelType w:val="hybridMultilevel"/>
    <w:lvl w:ilvl="0">
      <w:lvlJc w:val="left"/>
      <w:lvlText w:val="•"/>
      <w:numFmt w:val="bullet"/>
      <w:start w:val="1"/>
    </w:lvl>
  </w:abstractNum>
  <w:abstractNum w:abstractNumId="56">
    <w:nsid w:val="5CB44A05"/>
    <w:multiLevelType w:val="hybridMultilevel"/>
    <w:lvl w:ilvl="0">
      <w:lvlJc w:val="left"/>
      <w:lvlText w:val="•"/>
      <w:numFmt w:val="bullet"/>
      <w:start w:val="1"/>
    </w:lvl>
  </w:abstractNum>
  <w:abstractNum w:abstractNumId="57">
    <w:nsid w:val="16CF80F1"/>
    <w:multiLevelType w:val="hybridMultilevel"/>
    <w:lvl w:ilvl="0">
      <w:lvlJc w:val="left"/>
      <w:lvlText w:val="•"/>
      <w:numFmt w:val="bullet"/>
      <w:start w:val="1"/>
    </w:lvl>
  </w:abstractNum>
  <w:abstractNum w:abstractNumId="58">
    <w:nsid w:val="1C695DEC"/>
    <w:multiLevelType w:val="hybridMultilevel"/>
    <w:lvl w:ilvl="0">
      <w:lvlJc w:val="left"/>
      <w:lvlText w:val="•"/>
      <w:numFmt w:val="bullet"/>
      <w:start w:val="1"/>
    </w:lvl>
  </w:abstractNum>
  <w:abstractNum w:abstractNumId="59">
    <w:nsid w:val="3FCFAED9"/>
    <w:multiLevelType w:val="hybridMultilevel"/>
    <w:lvl w:ilvl="0">
      <w:lvlJc w:val="left"/>
      <w:lvlText w:val="•"/>
      <w:numFmt w:val="bullet"/>
      <w:start w:val="1"/>
    </w:lvl>
  </w:abstractNum>
  <w:abstractNum w:abstractNumId="60">
    <w:nsid w:val="F856867"/>
    <w:multiLevelType w:val="hybridMultilevel"/>
    <w:lvl w:ilvl="0">
      <w:lvlJc w:val="left"/>
      <w:lvlText w:val="•"/>
      <w:numFmt w:val="bullet"/>
      <w:start w:val="1"/>
    </w:lvl>
  </w:abstractNum>
  <w:abstractNum w:abstractNumId="61">
    <w:nsid w:val="11B1CC33"/>
    <w:multiLevelType w:val="hybridMultilevel"/>
    <w:lvl w:ilvl="0">
      <w:lvlJc w:val="left"/>
      <w:lvlText w:val="(%1)"/>
      <w:numFmt w:val="decimal"/>
      <w:start w:val="1"/>
    </w:lvl>
  </w:abstractNum>
  <w:abstractNum w:abstractNumId="62">
    <w:nsid w:val="2E22FBB7"/>
    <w:multiLevelType w:val="hybridMultilevel"/>
    <w:lvl w:ilvl="0">
      <w:lvlJc w:val="left"/>
      <w:lvlText w:val="•"/>
      <w:numFmt w:val="bullet"/>
      <w:start w:val="1"/>
    </w:lvl>
  </w:abstractNum>
  <w:abstractNum w:abstractNumId="63">
    <w:nsid w:val="29934699"/>
    <w:multiLevelType w:val="hybridMultilevel"/>
    <w:lvl w:ilvl="0">
      <w:lvlJc w:val="left"/>
      <w:lvlText w:val="•"/>
      <w:numFmt w:val="bullet"/>
      <w:start w:val="1"/>
    </w:lvl>
  </w:abstractNum>
  <w:abstractNum w:abstractNumId="64">
    <w:nsid w:val="77485850"/>
    <w:multiLevelType w:val="hybridMultilevel"/>
    <w:lvl w:ilvl="0">
      <w:lvlJc w:val="left"/>
      <w:lvlText w:val="•"/>
      <w:numFmt w:val="bullet"/>
      <w:start w:val="1"/>
    </w:lvl>
  </w:abstractNum>
  <w:abstractNum w:abstractNumId="65">
    <w:nsid w:val="744939A3"/>
    <w:multiLevelType w:val="hybridMultilevel"/>
    <w:lvl w:ilvl="0">
      <w:lvlJc w:val="left"/>
      <w:lvlText w:val="•"/>
      <w:numFmt w:val="bullet"/>
      <w:start w:val="1"/>
    </w:lvl>
  </w:abstractNum>
  <w:abstractNum w:abstractNumId="66">
    <w:nsid w:val="4FA0D2E3"/>
    <w:multiLevelType w:val="hybridMultilevel"/>
    <w:lvl w:ilvl="0">
      <w:lvlJc w:val="left"/>
      <w:lvlText w:val="•"/>
      <w:numFmt w:val="bullet"/>
      <w:start w:val="1"/>
    </w:lvl>
  </w:abstractNum>
  <w:abstractNum w:abstractNumId="67">
    <w:nsid w:val="6B1D2C14"/>
    <w:multiLevelType w:val="hybridMultilevel"/>
    <w:lvl w:ilvl="0">
      <w:lvlJc w:val="left"/>
      <w:lvlText w:val="•"/>
      <w:numFmt w:val="bullet"/>
      <w:start w:val="1"/>
    </w:lvl>
  </w:abstractNum>
  <w:abstractNum w:abstractNumId="68">
    <w:nsid w:val="68B867D3"/>
    <w:multiLevelType w:val="hybridMultilevel"/>
    <w:lvl w:ilvl="0">
      <w:lvlJc w:val="left"/>
      <w:lvlText w:val="•"/>
      <w:numFmt w:val="bullet"/>
      <w:start w:val="1"/>
    </w:lvl>
  </w:abstractNum>
  <w:abstractNum w:abstractNumId="69">
    <w:nsid w:val="3F7F5DD9"/>
    <w:multiLevelType w:val="hybridMultilevel"/>
    <w:lvl w:ilvl="0">
      <w:lvlJc w:val="left"/>
      <w:lvlText w:val="•"/>
      <w:numFmt w:val="bullet"/>
      <w:start w:val="1"/>
    </w:lvl>
  </w:abstractNum>
  <w:abstractNum w:abstractNumId="70">
    <w:nsid w:val="2AE05A34"/>
    <w:multiLevelType w:val="hybridMultilevel"/>
    <w:lvl w:ilvl="0">
      <w:lvlJc w:val="left"/>
      <w:lvlText w:val="•"/>
      <w:numFmt w:val="bullet"/>
      <w:start w:val="1"/>
    </w:lvl>
  </w:abstractNum>
  <w:abstractNum w:abstractNumId="71">
    <w:nsid w:val="32794FF7"/>
    <w:multiLevelType w:val="hybridMultilevel"/>
    <w:lvl w:ilvl="0">
      <w:lvlJc w:val="left"/>
      <w:lvlText w:val="•"/>
      <w:numFmt w:val="bullet"/>
      <w:start w:val="1"/>
    </w:lvl>
  </w:abstractNum>
  <w:abstractNum w:abstractNumId="72">
    <w:nsid w:val="5454945E"/>
    <w:multiLevelType w:val="hybridMultilevel"/>
    <w:lvl w:ilvl="0">
      <w:lvlJc w:val="left"/>
      <w:lvlText w:val="•"/>
      <w:numFmt w:val="bullet"/>
      <w:start w:val="1"/>
    </w:lvl>
  </w:abstractNum>
  <w:abstractNum w:abstractNumId="73">
    <w:nsid w:val="4DEFDFA0"/>
    <w:multiLevelType w:val="hybridMultilevel"/>
    <w:lvl w:ilvl="0">
      <w:lvlJc w:val="left"/>
      <w:lvlText w:val="•"/>
      <w:numFmt w:val="bullet"/>
      <w:start w:val="1"/>
    </w:lvl>
  </w:abstractNum>
  <w:abstractNum w:abstractNumId="74">
    <w:nsid w:val="2123D5F2"/>
    <w:multiLevelType w:val="hybridMultilevel"/>
    <w:lvl w:ilvl="0">
      <w:lvlJc w:val="left"/>
      <w:lvlText w:val="•"/>
      <w:numFmt w:val="bullet"/>
      <w:start w:val="1"/>
    </w:lvl>
  </w:abstractNum>
  <w:abstractNum w:abstractNumId="75">
    <w:nsid w:val="135B8110"/>
    <w:multiLevelType w:val="hybridMultilevel"/>
    <w:lvl w:ilvl="0">
      <w:lvlJc w:val="left"/>
      <w:lvlText w:val="•"/>
      <w:numFmt w:val="bullet"/>
      <w:start w:val="1"/>
    </w:lvl>
  </w:abstractNum>
  <w:abstractNum w:abstractNumId="76">
    <w:nsid w:val="94927A8"/>
    <w:multiLevelType w:val="hybridMultilevel"/>
    <w:lvl w:ilvl="0">
      <w:lvlJc w:val="left"/>
      <w:lvlText w:val="•"/>
      <w:numFmt w:val="bullet"/>
      <w:start w:val="1"/>
    </w:lvl>
  </w:abstractNum>
  <w:abstractNum w:abstractNumId="77">
    <w:nsid w:val="DCDF8F6"/>
    <w:multiLevelType w:val="hybridMultilevel"/>
    <w:lvl w:ilvl="0">
      <w:lvlJc w:val="left"/>
      <w:lvlText w:val="•"/>
      <w:numFmt w:val="bullet"/>
      <w:start w:val="1"/>
    </w:lvl>
  </w:abstractNum>
  <w:abstractNum w:abstractNumId="78">
    <w:nsid w:val="52D7B105"/>
    <w:multiLevelType w:val="hybridMultilevel"/>
    <w:lvl w:ilvl="0">
      <w:lvlJc w:val="left"/>
      <w:lvlText w:val="•"/>
      <w:numFmt w:val="bullet"/>
      <w:start w:val="1"/>
    </w:lvl>
  </w:abstractNum>
  <w:abstractNum w:abstractNumId="79">
    <w:nsid w:val="2E8A6394"/>
    <w:multiLevelType w:val="hybridMultilevel"/>
    <w:lvl w:ilvl="0">
      <w:lvlJc w:val="left"/>
      <w:lvlText w:val="•"/>
      <w:numFmt w:val="bullet"/>
      <w:start w:val="1"/>
    </w:lvl>
  </w:abstractNum>
  <w:abstractNum w:abstractNumId="80">
    <w:nsid w:val="24E60401"/>
    <w:multiLevelType w:val="hybridMultilevel"/>
    <w:lvl w:ilvl="0">
      <w:lvlJc w:val="left"/>
      <w:lvlText w:val="•"/>
      <w:numFmt w:val="bullet"/>
      <w:start w:val="1"/>
    </w:lvl>
  </w:abstractNum>
  <w:abstractNum w:abstractNumId="81">
    <w:nsid w:val="2A6AD9BE"/>
    <w:multiLevelType w:val="hybridMultilevel"/>
    <w:lvl w:ilvl="0">
      <w:lvlJc w:val="left"/>
      <w:lvlText w:val="%1."/>
      <w:numFmt w:val="decimal"/>
      <w:start w:val="605"/>
    </w:lvl>
  </w:abstractNum>
  <w:abstractNum w:abstractNumId="82">
    <w:nsid w:val="BAAC1B4"/>
    <w:multiLevelType w:val="hybridMultilevel"/>
    <w:lvl w:ilvl="0">
      <w:lvlJc w:val="left"/>
      <w:lvlText w:val="(%1)"/>
      <w:numFmt w:val="decimal"/>
      <w:start w:val="2"/>
    </w:lvl>
  </w:abstractNum>
  <w:abstractNum w:abstractNumId="83">
    <w:nsid w:val="36B2ACBC"/>
    <w:multiLevelType w:val="hybridMultilevel"/>
    <w:lvl w:ilvl="0">
      <w:lvlJc w:val="left"/>
      <w:lvlText w:val="•"/>
      <w:numFmt w:val="bullet"/>
      <w:start w:val="1"/>
    </w:lvl>
  </w:abstractNum>
  <w:abstractNum w:abstractNumId="84">
    <w:nsid w:val="779D8544"/>
    <w:multiLevelType w:val="hybridMultilevel"/>
    <w:lvl w:ilvl="0">
      <w:lvlJc w:val="left"/>
      <w:lvlText w:val="•"/>
      <w:numFmt w:val="bullet"/>
      <w:start w:val="1"/>
    </w:lvl>
  </w:abstractNum>
  <w:abstractNum w:abstractNumId="85">
    <w:nsid w:val="4AB26E78"/>
    <w:multiLevelType w:val="hybridMultilevel"/>
    <w:lvl w:ilvl="0">
      <w:lvlJc w:val="left"/>
      <w:lvlText w:val="(%1)"/>
      <w:numFmt w:val="lowerLetter"/>
      <w:start w:val="1"/>
    </w:lvl>
  </w:abstractNum>
  <w:abstractNum w:abstractNumId="86">
    <w:nsid w:val="21FAA2FA"/>
    <w:multiLevelType w:val="hybridMultilevel"/>
    <w:lvl w:ilvl="0">
      <w:lvlJc w:val="left"/>
      <w:lvlText w:val="2"/>
      <w:numFmt w:val="bullet"/>
      <w:start w:val="1"/>
    </w:lvl>
  </w:abstractNum>
  <w:abstractNum w:abstractNumId="87">
    <w:nsid w:val="5451CF49"/>
    <w:multiLevelType w:val="hybridMultilevel"/>
    <w:lvl w:ilvl="0">
      <w:lvlJc w:val="left"/>
      <w:lvlText w:val="3"/>
      <w:numFmt w:val="bullet"/>
      <w:start w:val="1"/>
    </w:lvl>
  </w:abstractNum>
  <w:abstractNum w:abstractNumId="88">
    <w:nsid w:val="6181EF69"/>
    <w:multiLevelType w:val="hybridMultilevel"/>
    <w:lvl w:ilvl="0">
      <w:lvlJc w:val="left"/>
      <w:lvlText w:val="%1."/>
      <w:numFmt w:val="decimal"/>
      <w:start w:val="1"/>
    </w:lvl>
    <w:lvl w:ilvl="1">
      <w:lvlJc w:val="left"/>
      <w:lvlText w:val="•"/>
      <w:numFmt w:val="bullet"/>
      <w:start w:val="1"/>
    </w:lvl>
  </w:abstractNum>
  <w:abstractNum w:abstractNumId="89">
    <w:nsid w:val="3E6400E6"/>
    <w:multiLevelType w:val="hybridMultilevel"/>
    <w:lvl w:ilvl="0">
      <w:lvlJc w:val="left"/>
      <w:lvlText w:val="(%1)"/>
      <w:numFmt w:val="lowerRoman"/>
      <w:start w:val="1"/>
    </w:lvl>
  </w:abstractNum>
  <w:abstractNum w:abstractNumId="90">
    <w:nsid w:val="14217E23"/>
    <w:multiLevelType w:val="hybridMultilevel"/>
    <w:lvl w:ilvl="0">
      <w:lvlJc w:val="left"/>
      <w:lvlText w:val="(%1)"/>
      <w:numFmt w:val="lowerRoman"/>
      <w:start w:val="1"/>
    </w:lvl>
  </w:abstractNum>
  <w:abstractNum w:abstractNumId="91">
    <w:nsid w:val="710757D0"/>
    <w:multiLevelType w:val="hybridMultilevel"/>
    <w:lvl w:ilvl="0">
      <w:lvlJc w:val="left"/>
      <w:lvlText w:val="•"/>
      <w:numFmt w:val="bullet"/>
      <w:start w:val="1"/>
    </w:lvl>
  </w:abstractNum>
  <w:abstractNum w:abstractNumId="92">
    <w:nsid w:val="5015CD1A"/>
    <w:multiLevelType w:val="hybridMultilevel"/>
    <w:lvl w:ilvl="0">
      <w:lvlJc w:val="left"/>
      <w:lvlText w:val="(%1)"/>
      <w:numFmt w:val="decimal"/>
      <w:start w:val="1"/>
    </w:lvl>
  </w:abstractNum>
  <w:abstractNum w:abstractNumId="93">
    <w:nsid w:val="424479DA"/>
    <w:multiLevelType w:val="hybridMultilevel"/>
    <w:lvl w:ilvl="0">
      <w:lvlJc w:val="left"/>
      <w:lvlText w:val="%1."/>
      <w:numFmt w:val="decimal"/>
      <w:start w:val="13"/>
    </w:lvl>
    <w:lvl w:ilvl="1">
      <w:lvlJc w:val="left"/>
      <w:lvlText w:val="(%2)"/>
      <w:numFmt w:val="decimal"/>
      <w:start w:val="2"/>
    </w:lvl>
  </w:abstractNum>
  <w:abstractNum w:abstractNumId="94">
    <w:nsid w:val="1A9A9E69"/>
    <w:multiLevelType w:val="hybridMultilevel"/>
    <w:lvl w:ilvl="0">
      <w:lvlJc w:val="left"/>
      <w:lvlText w:val="(%1)"/>
      <w:numFmt w:val="decimal"/>
      <w:start w:val="1"/>
    </w:lvl>
  </w:abstractNum>
  <w:abstractNum w:abstractNumId="95">
    <w:nsid w:val="475E256A"/>
    <w:multiLevelType w:val="hybridMultilevel"/>
    <w:lvl w:ilvl="0">
      <w:lvlJc w:val="left"/>
      <w:lvlText w:val="(%1)"/>
      <w:numFmt w:val="decimal"/>
      <w:start w:val="1"/>
    </w:lvl>
  </w:abstractNum>
  <w:abstractNum w:abstractNumId="96">
    <w:nsid w:val="368DB37E"/>
    <w:multiLevelType w:val="hybridMultilevel"/>
    <w:lvl w:ilvl="0">
      <w:lvlJc w:val="left"/>
      <w:lvlText w:val="%1."/>
      <w:numFmt w:val="decimal"/>
      <w:start w:val="13"/>
    </w:lvl>
    <w:lvl w:ilvl="1">
      <w:lvlJc w:val="left"/>
      <w:lvlText w:val="(%2)"/>
      <w:numFmt w:val="decimal"/>
      <w:start w:val="2"/>
    </w:lvl>
  </w:abstractNum>
  <w:abstractNum w:abstractNumId="97">
    <w:nsid w:val="6A3B714C"/>
    <w:multiLevelType w:val="hybridMultilevel"/>
    <w:lvl w:ilvl="0">
      <w:lvlJc w:val="left"/>
      <w:lvlText w:val="*"/>
      <w:numFmt w:val="bullet"/>
      <w:start w:val="1"/>
    </w:lvl>
  </w:abstractNum>
  <w:abstractNum w:abstractNumId="98">
    <w:nsid w:val="327B517E"/>
    <w:multiLevelType w:val="hybridMultilevel"/>
    <w:lvl w:ilvl="0">
      <w:lvlJc w:val="left"/>
      <w:lvlText w:val="(%1)"/>
      <w:numFmt w:val="lowerLetter"/>
      <w:start w:val="3"/>
    </w:lvl>
  </w:abstractNum>
  <w:abstractNum w:abstractNumId="99">
    <w:nsid w:val="1F461B51"/>
    <w:multiLevelType w:val="hybridMultilevel"/>
    <w:lvl w:ilvl="0">
      <w:lvlJc w:val="left"/>
      <w:lvlText w:val="(%1)"/>
      <w:numFmt w:val="decimal"/>
      <w:start w:val="1"/>
    </w:lvl>
  </w:abstractNum>
  <w:abstractNum w:abstractNumId="100">
    <w:nsid w:val="29BACF25"/>
    <w:multiLevelType w:val="hybridMultilevel"/>
    <w:lvl w:ilvl="0">
      <w:lvlJc w:val="left"/>
      <w:lvlText w:val="(%1)"/>
      <w:numFmt w:val="decimal"/>
      <w:start w:val="1"/>
    </w:lvl>
  </w:abstractNum>
  <w:abstractNum w:abstractNumId="101">
    <w:nsid w:val="5D5BABB3"/>
    <w:multiLevelType w:val="hybridMultilevel"/>
    <w:lvl w:ilvl="0">
      <w:lvlJc w:val="left"/>
      <w:lvlText w:val="•"/>
      <w:numFmt w:val="bullet"/>
      <w:start w:val="1"/>
    </w:lvl>
  </w:abstractNum>
  <w:abstractNum w:abstractNumId="102">
    <w:nsid w:val="51BF6B48"/>
    <w:multiLevelType w:val="hybridMultilevel"/>
    <w:lvl w:ilvl="0">
      <w:lvlJc w:val="left"/>
      <w:lvlText w:val="•"/>
      <w:numFmt w:val="bullet"/>
      <w:start w:val="1"/>
    </w:lvl>
  </w:abstractNum>
  <w:abstractNum w:abstractNumId="103">
    <w:nsid w:val="7E0F6384"/>
    <w:multiLevelType w:val="hybridMultilevel"/>
    <w:lvl w:ilvl="0">
      <w:lvlJc w:val="left"/>
      <w:lvlText w:val="(%1)"/>
      <w:numFmt w:val="decimal"/>
      <w:start w:val="1"/>
    </w:lvl>
  </w:abstractNum>
  <w:abstractNum w:abstractNumId="104">
    <w:nsid w:val="2B4B8B53"/>
    <w:multiLevelType w:val="hybridMultilevel"/>
    <w:lvl w:ilvl="0">
      <w:lvlJc w:val="left"/>
      <w:lvlText w:val="(%1)"/>
      <w:numFmt w:val="upperLetter"/>
      <w:start w:val="1"/>
    </w:lvl>
  </w:abstractNum>
  <w:abstractNum w:abstractNumId="105">
    <w:nsid w:val="72E3413A"/>
    <w:multiLevelType w:val="hybridMultilevel"/>
    <w:lvl w:ilvl="0">
      <w:lvlJc w:val="left"/>
      <w:lvlText w:val="*"/>
      <w:numFmt w:val="bullet"/>
      <w:start w:val="1"/>
    </w:lvl>
  </w:abstractNum>
  <w:abstractNum w:abstractNumId="106">
    <w:nsid w:val="116AE494"/>
    <w:multiLevelType w:val="hybridMultilevel"/>
    <w:lvl w:ilvl="0">
      <w:lvlJc w:val="left"/>
      <w:lvlText w:val="(%1)"/>
      <w:numFmt w:val="lowerRoman"/>
      <w:start w:val="2"/>
    </w:lvl>
  </w:abstractNum>
  <w:abstractNum w:abstractNumId="107">
    <w:nsid w:val="3494B2FB"/>
    <w:multiLevelType w:val="hybridMultilevel"/>
    <w:lvl w:ilvl="0">
      <w:lvlJc w:val="left"/>
      <w:lvlText w:val="(%1)"/>
      <w:numFmt w:val="lowerLetter"/>
      <w:start w:val="2"/>
    </w:lvl>
  </w:abstractNum>
  <w:abstractNum w:abstractNumId="108">
    <w:nsid w:val="B13A31"/>
    <w:multiLevelType w:val="hybridMultilevel"/>
    <w:lvl w:ilvl="0">
      <w:lvlJc w:val="left"/>
      <w:lvlText w:val="(%1)"/>
      <w:numFmt w:val="decimal"/>
      <w:start w:val="10"/>
    </w:lvl>
  </w:abstractNum>
  <w:abstractNum w:abstractNumId="109">
    <w:nsid w:val="64429599"/>
    <w:multiLevelType w:val="hybridMultilevel"/>
    <w:lvl w:ilvl="0">
      <w:lvlJc w:val="left"/>
      <w:lvlText w:val="(%1)"/>
      <w:numFmt w:val="lowerLetter"/>
      <w:start w:val="3"/>
    </w:lvl>
  </w:abstractNum>
  <w:abstractNum w:abstractNumId="110">
    <w:nsid w:val="631F1690"/>
    <w:multiLevelType w:val="hybridMultilevel"/>
    <w:lvl w:ilvl="0">
      <w:lvlJc w:val="left"/>
      <w:lvlText w:val="(%1)"/>
      <w:numFmt w:val="lowerLetter"/>
      <w:start w:val="2"/>
    </w:lvl>
  </w:abstractNum>
  <w:abstractNum w:abstractNumId="111">
    <w:nsid w:val="25973E32"/>
    <w:multiLevelType w:val="hybridMultilevel"/>
    <w:lvl w:ilvl="0">
      <w:lvlJc w:val="left"/>
      <w:lvlText w:val="(%1)"/>
      <w:numFmt w:val="lowerLetter"/>
      <w:start w:val="1"/>
    </w:lvl>
  </w:abstractNum>
  <w:abstractNum w:abstractNumId="112">
    <w:nsid w:val="EAD6F57"/>
    <w:multiLevelType w:val="hybridMultilevel"/>
    <w:lvl w:ilvl="0">
      <w:lvlJc w:val="left"/>
      <w:lvlText w:val="(%1)"/>
      <w:numFmt w:val="lowerLetter"/>
      <w:start w:val="1"/>
    </w:lvl>
  </w:abstractNum>
  <w:abstractNum w:abstractNumId="113">
    <w:nsid w:val="6EC9D844"/>
    <w:multiLevelType w:val="hybridMultilevel"/>
    <w:lvl w:ilvl="0">
      <w:lvlJc w:val="left"/>
      <w:lvlText w:val="(%1)"/>
      <w:numFmt w:val="lowerLetter"/>
      <w:start w:val="12"/>
    </w:lvl>
  </w:abstractNum>
  <w:abstractNum w:abstractNumId="114">
    <w:nsid w:val="5C49EAEE"/>
    <w:multiLevelType w:val="hybridMultilevel"/>
    <w:lvl w:ilvl="0">
      <w:lvlJc w:val="left"/>
      <w:lvlText w:val="(%1)"/>
      <w:numFmt w:val="lowerRoman"/>
      <w:start w:val="1"/>
    </w:lvl>
  </w:abstractNum>
  <w:abstractNum w:abstractNumId="115">
    <w:nsid w:val="64AF49B"/>
    <w:multiLevelType w:val="hybridMultilevel"/>
    <w:lvl w:ilvl="0">
      <w:lvlJc w:val="left"/>
      <w:lvlText w:val="(%1)"/>
      <w:numFmt w:val="lowerLetter"/>
      <w:start w:val="1"/>
    </w:lvl>
  </w:abstractNum>
  <w:abstractNum w:abstractNumId="116">
    <w:nsid w:val="397C46BC"/>
    <w:multiLevelType w:val="hybridMultilevel"/>
    <w:lvl w:ilvl="0">
      <w:lvlJc w:val="left"/>
      <w:lvlText w:val="(%1)"/>
      <w:numFmt w:val="lowerLetter"/>
      <w:start w:val="2"/>
    </w:lvl>
    <w:lvl w:ilvl="1">
      <w:lvlJc w:val="left"/>
      <w:lvlText w:val="(%2)"/>
      <w:numFmt w:val="lowerRoman"/>
      <w:start w:val="1"/>
    </w:lvl>
  </w:abstractNum>
  <w:abstractNum w:abstractNumId="117">
    <w:nsid w:val="7E448DE9"/>
    <w:multiLevelType w:val="hybridMultilevel"/>
    <w:lvl w:ilvl="0">
      <w:lvlJc w:val="left"/>
      <w:lvlText w:val="(%1)"/>
      <w:numFmt w:val="lowerLetter"/>
      <w:start w:val="1"/>
    </w:lvl>
  </w:abstractNum>
  <w:abstractNum w:abstractNumId="118">
    <w:nsid w:val="5A9CC3E5"/>
    <w:multiLevelType w:val="hybridMultilevel"/>
    <w:lvl w:ilvl="0">
      <w:lvlJc w:val="left"/>
      <w:lvlText w:val="(%1)"/>
      <w:numFmt w:val="lowerLetter"/>
      <w:start w:val="3"/>
    </w:lvl>
  </w:abstractNum>
  <w:abstractNum w:abstractNumId="119">
    <w:nsid w:val="1AFE3625"/>
    <w:multiLevelType w:val="hybridMultilevel"/>
    <w:lvl w:ilvl="0">
      <w:lvlJc w:val="left"/>
      <w:lvlText w:val="(%1)"/>
      <w:numFmt w:val="lowerLetter"/>
      <w:start w:val="1"/>
    </w:lvl>
    <w:lvl w:ilvl="1">
      <w:lvlJc w:val="left"/>
      <w:lvlText w:val="(%2)"/>
      <w:numFmt w:val="lowerRoman"/>
      <w:start w:val="1"/>
    </w:lvl>
  </w:abstractNum>
  <w:abstractNum w:abstractNumId="120">
    <w:nsid w:val="3CA88ECF"/>
    <w:multiLevelType w:val="hybridMultilevel"/>
    <w:lvl w:ilvl="0">
      <w:lvlJc w:val="left"/>
      <w:lvlText w:val="(%1)"/>
      <w:numFmt w:val="lowerLetter"/>
      <w:start w:val="1"/>
    </w:lvl>
  </w:abstractNum>
  <w:abstractNum w:abstractNumId="121">
    <w:nsid w:val="6EBE4208"/>
    <w:multiLevelType w:val="hybridMultilevel"/>
    <w:lvl w:ilvl="0">
      <w:lvlJc w:val="left"/>
      <w:lvlText w:val="(%1)"/>
      <w:numFmt w:val="lowerLetter"/>
      <w:start w:val="7"/>
    </w:lvl>
  </w:abstractNum>
  <w:abstractNum w:abstractNumId="122">
    <w:nsid w:val="C058DF5"/>
    <w:multiLevelType w:val="hybridMultilevel"/>
    <w:lvl w:ilvl="0">
      <w:lvlJc w:val="left"/>
      <w:lvlText w:val="(%1)"/>
      <w:numFmt w:val="lowerLetter"/>
      <w:start w:val="10"/>
    </w:lvl>
  </w:abstractNum>
  <w:abstractNum w:abstractNumId="123">
    <w:nsid w:val="CBE5BE9"/>
    <w:multiLevelType w:val="hybridMultilevel"/>
    <w:lvl w:ilvl="0">
      <w:lvlJc w:val="left"/>
      <w:lvlText w:val="(%1)"/>
      <w:numFmt w:val="lowerLetter"/>
      <w:start w:val="27"/>
    </w:lvl>
  </w:abstractNum>
  <w:abstractNum w:abstractNumId="124">
    <w:nsid w:val="3102BBE2"/>
    <w:multiLevelType w:val="hybridMultilevel"/>
    <w:lvl w:ilvl="0">
      <w:lvlJc w:val="left"/>
      <w:lvlText w:val="(%1)"/>
      <w:numFmt w:val="lowerLetter"/>
      <w:start w:val="30"/>
    </w:lvl>
  </w:abstractNum>
  <w:abstractNum w:abstractNumId="125">
    <w:nsid w:val="26A02C5E"/>
    <w:multiLevelType w:val="hybridMultilevel"/>
    <w:lvl w:ilvl="0">
      <w:lvlJc w:val="left"/>
      <w:lvlText w:val="%1."/>
      <w:numFmt w:val="decimal"/>
      <w:start w:val="1"/>
    </w:lvl>
  </w:abstractNum>
  <w:abstractNum w:abstractNumId="126">
    <w:nsid w:val="541C8153"/>
    <w:multiLevelType w:val="hybridMultilevel"/>
    <w:lvl w:ilvl="0">
      <w:lvlJc w:val="left"/>
      <w:lvlText w:val="%1."/>
      <w:numFmt w:val="decimal"/>
      <w:start w:val="2"/>
    </w:lvl>
  </w:abstractNum>
  <w:abstractNum w:abstractNumId="127">
    <w:nsid w:val="67906F60"/>
    <w:multiLevelType w:val="hybridMultilevel"/>
    <w:lvl w:ilvl="0">
      <w:lvlJc w:val="left"/>
      <w:lvlText w:val="%1."/>
      <w:numFmt w:val="decimal"/>
      <w:start w:val="1"/>
    </w:lvl>
  </w:abstractNum>
  <w:abstractNum w:abstractNumId="128">
    <w:nsid w:val="10DB9DAA"/>
    <w:multiLevelType w:val="hybridMultilevel"/>
    <w:lvl w:ilvl="0">
      <w:lvlJc w:val="left"/>
      <w:lvlText w:val="·"/>
      <w:numFmt w:val="bullet"/>
      <w:start w:val="1"/>
    </w:lvl>
    <w:lvl w:ilvl="1">
      <w:lvlJc w:val="left"/>
      <w:lvlText w:val="·"/>
      <w:numFmt w:val="bullet"/>
      <w:start w:val="1"/>
    </w:lvl>
  </w:abstractNum>
  <w:abstractNum w:abstractNumId="129">
    <w:nsid w:val="697D2D2"/>
    <w:multiLevelType w:val="hybridMultilevel"/>
    <w:lvl w:ilvl="0">
      <w:lvlJc w:val="left"/>
      <w:lvlText w:val="·"/>
      <w:numFmt w:val="bullet"/>
      <w:start w:val="1"/>
    </w:lvl>
  </w:abstractNum>
  <w:abstractNum w:abstractNumId="130">
    <w:nsid w:val="6D68AB2"/>
    <w:multiLevelType w:val="hybridMultilevel"/>
    <w:lvl w:ilvl="0">
      <w:lvlJc w:val="left"/>
      <w:lvlText w:val="·"/>
      <w:numFmt w:val="bullet"/>
      <w:start w:val="1"/>
    </w:lvl>
  </w:abstractNum>
  <w:abstractNum w:abstractNumId="131">
    <w:nsid w:val="3A966CD0"/>
    <w:multiLevelType w:val="hybridMultilevel"/>
    <w:lvl w:ilvl="0">
      <w:lvlJc w:val="left"/>
      <w:lvlText w:val="%1."/>
      <w:numFmt w:val="decimal"/>
      <w:start w:val="1"/>
    </w:lvl>
  </w:abstractNum>
  <w:abstractNum w:abstractNumId="132">
    <w:nsid w:val="63F37E85"/>
    <w:multiLevelType w:val="hybridMultilevel"/>
    <w:lvl w:ilvl="0">
      <w:lvlJc w:val="left"/>
      <w:lvlText w:val="(%1)"/>
      <w:numFmt w:val="lowerLetter"/>
      <w:start w:val="1"/>
    </w:lvl>
  </w:abstractNum>
  <w:abstractNum w:abstractNumId="133">
    <w:nsid w:val="5895F5FA"/>
    <w:multiLevelType w:val="hybridMultilevel"/>
    <w:lvl w:ilvl="0">
      <w:lvlJc w:val="left"/>
      <w:lvlText w:val="(%1)"/>
      <w:numFmt w:val="lowerRoman"/>
      <w:start w:val="1"/>
    </w:lvl>
  </w:abstractNum>
  <w:abstractNum w:abstractNumId="134">
    <w:nsid w:val="38A5D054"/>
    <w:multiLevelType w:val="hybridMultilevel"/>
    <w:lvl w:ilvl="0">
      <w:lvlJc w:val="left"/>
      <w:lvlText w:val="(%1)"/>
      <w:numFmt w:val="lowerRoman"/>
      <w:start w:val="2"/>
    </w:lvl>
  </w:abstractNum>
  <w:abstractNum w:abstractNumId="135">
    <w:nsid w:val="F3F09D8"/>
    <w:multiLevelType w:val="hybridMultilevel"/>
    <w:lvl w:ilvl="0">
      <w:lvlJc w:val="left"/>
      <w:lvlText w:val="%1"/>
      <w:numFmt w:val="decimal"/>
      <w:start w:val="1"/>
    </w:lvl>
    <w:lvl w:ilvl="1">
      <w:lvlJc w:val="left"/>
      <w:lvlText w:val="(%2)"/>
      <w:numFmt w:val="lowerLetter"/>
      <w:start w:val="2"/>
    </w:lvl>
  </w:abstractNum>
  <w:abstractNum w:abstractNumId="136">
    <w:nsid w:val="4B793735"/>
    <w:multiLevelType w:val="hybridMultilevel"/>
    <w:lvl w:ilvl="0">
      <w:lvlJc w:val="left"/>
      <w:lvlText w:val="%1."/>
      <w:numFmt w:val="decimal"/>
      <w:start w:val="2"/>
    </w:lvl>
    <w:lvl w:ilvl="1">
      <w:lvlJc w:val="left"/>
      <w:lvlText w:val="(%2)"/>
      <w:numFmt w:val="lowerLetter"/>
      <w:start w:val="1"/>
    </w:lvl>
  </w:abstractNum>
  <w:abstractNum w:abstractNumId="137">
    <w:nsid w:val="4A10B4E8"/>
    <w:multiLevelType w:val="hybridMultilevel"/>
    <w:lvl w:ilvl="0">
      <w:lvlJc w:val="left"/>
      <w:lvlText w:val="%1"/>
      <w:numFmt w:val="lowerRoman"/>
      <w:start w:val="1"/>
    </w:lvl>
    <w:lvl w:ilvl="1">
      <w:lvlJc w:val="left"/>
      <w:lvlText w:val="(%2)"/>
      <w:numFmt w:val="lowerLetter"/>
      <w:start w:val="4"/>
    </w:lvl>
  </w:abstractNum>
  <w:abstractNum w:abstractNumId="138">
    <w:nsid w:val="43D3BCD4"/>
    <w:multiLevelType w:val="hybridMultilevel"/>
    <w:lvl w:ilvl="0">
      <w:lvlJc w:val="left"/>
      <w:lvlText w:val="(%1)"/>
      <w:numFmt w:val="lowerRoman"/>
      <w:start w:val="4"/>
    </w:lvl>
    <w:lvl w:ilvl="1">
      <w:lvlJc w:val="left"/>
      <w:lvlText w:val="(%2)"/>
      <w:numFmt w:val="lowerLetter"/>
      <w:start w:val="5"/>
    </w:lvl>
  </w:abstractNum>
  <w:abstractNum w:abstractNumId="139">
    <w:nsid w:val="4C2A7166"/>
    <w:multiLevelType w:val="hybridMultilevel"/>
    <w:lvl w:ilvl="0">
      <w:lvlJc w:val="left"/>
      <w:lvlText w:val="%1"/>
      <w:numFmt w:val="decimal"/>
      <w:start w:val="1"/>
    </w:lvl>
    <w:lvl w:ilvl="1">
      <w:lvlJc w:val="left"/>
      <w:lvlText w:val="(%2)"/>
      <w:numFmt w:val="lowerLetter"/>
      <w:start w:val="8"/>
    </w:lvl>
  </w:abstractNum>
  <w:abstractNum w:abstractNumId="140">
    <w:nsid w:val="2E534A82"/>
    <w:multiLevelType w:val="hybridMultilevel"/>
    <w:lvl w:ilvl="0">
      <w:lvlJc w:val="left"/>
      <w:lvlText w:val="%1."/>
      <w:numFmt w:val="decimal"/>
      <w:start w:val="4"/>
    </w:lvl>
    <w:lvl w:ilvl="1">
      <w:lvlJc w:val="left"/>
      <w:lvlText w:val="(%2)"/>
      <w:numFmt w:val="lowerLetter"/>
      <w:start w:val="1"/>
    </w:lvl>
  </w:abstractNum>
  <w:abstractNum w:abstractNumId="141">
    <w:nsid w:val="26F2D36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142">
    <w:nsid w:val="71C1AF98"/>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3"/>
    </w:lvl>
  </w:abstractNum>
  <w:abstractNum w:abstractNumId="143">
    <w:nsid w:val="3D00B9D9"/>
    <w:multiLevelType w:val="hybridMultilevel"/>
    <w:lvl w:ilvl="0">
      <w:lvlJc w:val="left"/>
      <w:lvlText w:val="%1."/>
      <w:numFmt w:val="decimal"/>
      <w:start w:val="6"/>
    </w:lvl>
  </w:abstractNum>
  <w:abstractNum w:abstractNumId="144">
    <w:nsid w:val="15BCABA8"/>
    <w:multiLevelType w:val="hybridMultilevel"/>
    <w:lvl w:ilvl="0">
      <w:lvlJc w:val="left"/>
      <w:lvlText w:val="%1."/>
      <w:numFmt w:val="decimal"/>
      <w:start w:val="9"/>
    </w:lvl>
  </w:abstractNum>
  <w:abstractNum w:abstractNumId="145">
    <w:nsid w:val="4E0B9A87"/>
    <w:multiLevelType w:val="hybridMultilevel"/>
    <w:lvl w:ilvl="0">
      <w:lvlJc w:val="left"/>
      <w:lvlText w:val="%1."/>
      <w:numFmt w:val="decimal"/>
      <w:start w:val="10"/>
    </w:lvl>
    <w:lvl w:ilvl="1">
      <w:lvlJc w:val="left"/>
      <w:lvlText w:val="(%2)"/>
      <w:numFmt w:val="lowerLetter"/>
      <w:start w:val="1"/>
    </w:lvl>
  </w:abstractNum>
  <w:abstractNum w:abstractNumId="146">
    <w:nsid w:val="434BAE75"/>
    <w:multiLevelType w:val="hybridMultilevel"/>
    <w:lvl w:ilvl="0">
      <w:lvlJc w:val="left"/>
      <w:lvlText w:val="%1"/>
      <w:numFmt w:val="decimal"/>
      <w:start w:val="1"/>
    </w:lvl>
    <w:lvl w:ilvl="1">
      <w:lvlJc w:val="left"/>
      <w:lvlText w:val="(%2)"/>
      <w:numFmt w:val="lowerLetter"/>
      <w:start w:val="2"/>
    </w:lvl>
  </w:abstractNum>
  <w:abstractNum w:abstractNumId="147">
    <w:nsid w:val="4F38F265"/>
    <w:multiLevelType w:val="hybridMultilevel"/>
    <w:lvl w:ilvl="0">
      <w:lvlJc w:val="left"/>
      <w:lvlText w:val="%1."/>
      <w:numFmt w:val="decimal"/>
      <w:start w:val="14"/>
    </w:lvl>
    <w:lvl w:ilvl="1">
      <w:lvlJc w:val="left"/>
      <w:lvlText w:val="%2"/>
      <w:numFmt w:val="lowerLetter"/>
      <w:start w:val="1"/>
    </w:lvl>
  </w:abstractNum>
  <w:abstractNum w:abstractNumId="148">
    <w:nsid w:val="4C502870"/>
    <w:multiLevelType w:val="hybridMultilevel"/>
    <w:lvl w:ilvl="0">
      <w:lvlJc w:val="left"/>
      <w:lvlText w:val="%1."/>
      <w:numFmt w:val="decimal"/>
      <w:start w:val="16"/>
    </w:lvl>
  </w:abstractNum>
  <w:abstractNum w:abstractNumId="149">
    <w:nsid w:val="1DE8725A"/>
    <w:multiLevelType w:val="hybridMultilevel"/>
    <w:lvl w:ilvl="0">
      <w:lvlJc w:val="left"/>
      <w:lvlText w:val="%1."/>
      <w:numFmt w:val="decimal"/>
      <w:start w:val="17"/>
    </w:lvl>
  </w:abstractNum>
  <w:abstractNum w:abstractNumId="150">
    <w:nsid w:val="6A37288A"/>
    <w:multiLevelType w:val="hybridMultilevel"/>
    <w:lvl w:ilvl="0">
      <w:lvlJc w:val="left"/>
      <w:lvlText w:val="%1."/>
      <w:numFmt w:val="decimal"/>
      <w:start w:val="19"/>
    </w:lvl>
    <w:lvl w:ilvl="1">
      <w:lvlJc w:val="left"/>
      <w:lvlText w:val="(%2)"/>
      <w:numFmt w:val="lowerLetter"/>
      <w:start w:val="1"/>
    </w:lvl>
  </w:abstractNum>
  <w:abstractNum w:abstractNumId="151">
    <w:nsid w:val="8F8B73F"/>
    <w:multiLevelType w:val="hybridMultilevel"/>
    <w:lvl w:ilvl="0">
      <w:lvlJc w:val="left"/>
      <w:lvlText w:val="%1."/>
      <w:numFmt w:val="decimal"/>
      <w:start w:val="22"/>
    </w:lvl>
  </w:abstractNum>
  <w:abstractNum w:abstractNumId="152">
    <w:nsid w:val="CA6B462"/>
    <w:multiLevelType w:val="hybridMultilevel"/>
    <w:lvl w:ilvl="0">
      <w:lvlJc w:val="left"/>
      <w:lvlText w:val="·"/>
      <w:numFmt w:val="bullet"/>
      <w:start w:val="1"/>
    </w:lvl>
    <w:lvl w:ilvl="1">
      <w:lvlJc w:val="left"/>
      <w:lvlText w:val="·"/>
      <w:numFmt w:val="bullet"/>
      <w:start w:val="1"/>
    </w:lvl>
  </w:abstractNum>
  <w:abstractNum w:abstractNumId="153">
    <w:nsid w:val="763CB680"/>
    <w:multiLevelType w:val="hybridMultilevel"/>
    <w:lvl w:ilvl="0">
      <w:lvlJc w:val="left"/>
      <w:lvlText w:val="·"/>
      <w:numFmt w:val="bullet"/>
      <w:start w:val="1"/>
    </w:lvl>
  </w:abstractNum>
  <w:abstractNum w:abstractNumId="154">
    <w:nsid w:val="15B71329"/>
    <w:multiLevelType w:val="hybridMultilevel"/>
    <w:lvl w:ilvl="0">
      <w:lvlJc w:val="left"/>
      <w:lvlText w:val="%1."/>
      <w:numFmt w:val="decimal"/>
      <w:start w:val="1"/>
    </w:lvl>
  </w:abstractNum>
  <w:abstractNum w:abstractNumId="155">
    <w:nsid w:val="3DA97044"/>
    <w:multiLevelType w:val="hybridMultilevel"/>
    <w:lvl w:ilvl="0">
      <w:lvlJc w:val="left"/>
      <w:lvlText w:val="(%1)"/>
      <w:numFmt w:val="lowerLetter"/>
      <w:start w:val="1"/>
    </w:lvl>
  </w:abstractNum>
  <w:abstractNum w:abstractNumId="156">
    <w:nsid w:val="1CDCE2DE"/>
    <w:multiLevelType w:val="hybridMultilevel"/>
    <w:lvl w:ilvl="0">
      <w:lvlJc w:val="left"/>
      <w:lvlText w:val="%1"/>
      <w:numFmt w:val="decimal"/>
      <w:start w:val="1"/>
    </w:lvl>
    <w:lvl w:ilvl="1">
      <w:lvlJc w:val="left"/>
      <w:lvlText w:val="(%2)"/>
      <w:numFmt w:val="lowerLetter"/>
      <w:start w:val="2"/>
    </w:lvl>
  </w:abstractNum>
  <w:abstractNum w:abstractNumId="157">
    <w:nsid w:val="69D3947C"/>
    <w:multiLevelType w:val="hybridMultilevel"/>
    <w:lvl w:ilvl="0">
      <w:lvlJc w:val="left"/>
      <w:lvlText w:val="%1."/>
      <w:numFmt w:val="decimal"/>
      <w:start w:val="2"/>
    </w:lvl>
    <w:lvl w:ilvl="1">
      <w:lvlJc w:val="left"/>
      <w:lvlText w:val="(%2)"/>
      <w:numFmt w:val="lowerLetter"/>
      <w:start w:val="1"/>
    </w:lvl>
  </w:abstractNum>
  <w:abstractNum w:abstractNumId="158">
    <w:nsid w:val="2539DFA5"/>
    <w:multiLevelType w:val="hybridMultilevel"/>
    <w:lvl w:ilvl="0">
      <w:lvlJc w:val="left"/>
      <w:lvlText w:val="%1"/>
      <w:numFmt w:val="lowerRoman"/>
      <w:start w:val="1"/>
    </w:lvl>
    <w:lvl w:ilvl="1">
      <w:lvlJc w:val="left"/>
      <w:lvlText w:val="(%2)"/>
      <w:numFmt w:val="lowerLetter"/>
      <w:start w:val="3"/>
    </w:lvl>
  </w:abstractNum>
  <w:abstractNum w:abstractNumId="159">
    <w:nsid w:val="2DB88089"/>
    <w:multiLevelType w:val="hybridMultilevel"/>
    <w:lvl w:ilvl="0">
      <w:lvlJc w:val="left"/>
      <w:lvlText w:val="(%1)"/>
      <w:numFmt w:val="lowerRoman"/>
      <w:start w:val="4"/>
    </w:lvl>
    <w:lvl w:ilvl="1">
      <w:lvlJc w:val="left"/>
      <w:lvlText w:val="(%2)"/>
      <w:numFmt w:val="lowerLetter"/>
      <w:start w:val="5"/>
    </w:lvl>
  </w:abstractNum>
  <w:abstractNum w:abstractNumId="160">
    <w:nsid w:val="706B674E"/>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8"/>
    </w:lvl>
  </w:abstractNum>
  <w:abstractNum w:abstractNumId="161">
    <w:nsid w:val="2C106A57"/>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1"/>
    </w:lvl>
  </w:abstractNum>
  <w:abstractNum w:abstractNumId="162">
    <w:nsid w:val="684EED59"/>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3"/>
    </w:lvl>
  </w:abstractNum>
  <w:abstractNum w:abstractNumId="163">
    <w:nsid w:val="545EE5D3"/>
    <w:multiLevelType w:val="hybridMultilevel"/>
    <w:lvl w:ilvl="0">
      <w:lvlJc w:val="left"/>
      <w:lvlText w:val="%1."/>
      <w:numFmt w:val="decimal"/>
      <w:start w:val="5"/>
    </w:lvl>
    <w:lvl w:ilvl="1">
      <w:lvlJc w:val="left"/>
      <w:lvlText w:val="(%2)"/>
      <w:numFmt w:val="lowerLetter"/>
      <w:start w:val="1"/>
    </w:lvl>
  </w:abstractNum>
  <w:abstractNum w:abstractNumId="164">
    <w:nsid w:val="4A66051"/>
    <w:multiLevelType w:val="hybridMultilevel"/>
    <w:lvl w:ilvl="0">
      <w:lvlJc w:val="left"/>
      <w:lvlText w:val="(%1)"/>
      <w:numFmt w:val="lowerLetter"/>
      <w:start w:val="2"/>
    </w:lvl>
  </w:abstractNum>
  <w:abstractNum w:abstractNumId="165">
    <w:nsid w:val="20F4BDAD"/>
    <w:multiLevelType w:val="hybridMultilevel"/>
    <w:lvl w:ilvl="0">
      <w:lvlJc w:val="left"/>
      <w:lvlText w:val="%1."/>
      <w:numFmt w:val="decimal"/>
      <w:start w:val="6"/>
    </w:lvl>
  </w:abstractNum>
  <w:abstractNum w:abstractNumId="166">
    <w:nsid w:val="639DEFAC"/>
    <w:multiLevelType w:val="hybridMultilevel"/>
    <w:lvl w:ilvl="0">
      <w:lvlJc w:val="left"/>
      <w:lvlText w:val="%1."/>
      <w:numFmt w:val="decimal"/>
      <w:start w:val="11"/>
    </w:lvl>
  </w:abstractNum>
  <w:abstractNum w:abstractNumId="167">
    <w:nsid w:val="501F9786"/>
    <w:multiLevelType w:val="hybridMultilevel"/>
    <w:lvl w:ilvl="0">
      <w:lvlJc w:val="left"/>
      <w:lvlText w:val="%1."/>
      <w:numFmt w:val="decimal"/>
      <w:start w:val="12"/>
    </w:lvl>
    <w:lvl w:ilvl="1">
      <w:lvlJc w:val="left"/>
      <w:lvlText w:val="(%2)"/>
      <w:numFmt w:val="lowerLetter"/>
      <w:start w:val="1"/>
    </w:lvl>
  </w:abstractNum>
  <w:abstractNum w:abstractNumId="168">
    <w:nsid w:val="6B057295"/>
    <w:multiLevelType w:val="hybridMultilevel"/>
    <w:lvl w:ilvl="0">
      <w:lvlJc w:val="left"/>
      <w:lvlText w:val="%1."/>
      <w:numFmt w:val="decimal"/>
      <w:start w:val="14"/>
    </w:lvl>
  </w:abstractNum>
  <w:abstractNum w:abstractNumId="169">
    <w:nsid w:val="2771AC80"/>
    <w:multiLevelType w:val="hybridMultilevel"/>
    <w:lvl w:ilvl="0">
      <w:lvlJc w:val="left"/>
      <w:lvlText w:val="%1."/>
      <w:numFmt w:val="decimal"/>
      <w:start w:val="15"/>
    </w:lvl>
    <w:lvl w:ilvl="1">
      <w:lvlJc w:val="left"/>
      <w:lvlText w:val="(%2)"/>
      <w:numFmt w:val="lowerLetter"/>
      <w:start w:val="1"/>
    </w:lvl>
  </w:abstractNum>
  <w:abstractNum w:abstractNumId="170">
    <w:nsid w:val="1C4A08EC"/>
    <w:multiLevelType w:val="hybridMultilevel"/>
    <w:lvl w:ilvl="0">
      <w:lvlJc w:val="left"/>
      <w:lvlText w:val="(%1)"/>
      <w:numFmt w:val="lowerLetter"/>
      <w:start w:val="10"/>
    </w:lvl>
  </w:abstractNum>
  <w:abstractNum w:abstractNumId="171">
    <w:nsid w:val="1958BD17"/>
    <w:multiLevelType w:val="hybridMultilevel"/>
    <w:lvl w:ilvl="0">
      <w:lvlJc w:val="left"/>
      <w:lvlText w:val="(%1)"/>
      <w:numFmt w:val="lowerLetter"/>
      <w:start w:val="12"/>
    </w:lvl>
  </w:abstractNum>
  <w:abstractNum w:abstractNumId="172">
    <w:nsid w:val="4E647FE4"/>
    <w:multiLevelType w:val="hybridMultilevel"/>
    <w:lvl w:ilvl="0">
      <w:lvlJc w:val="left"/>
      <w:lvlText w:val="(%1)"/>
      <w:numFmt w:val="lowerLetter"/>
      <w:start w:val="17"/>
    </w:lvl>
  </w:abstractNum>
  <w:abstractNum w:abstractNumId="173">
    <w:nsid w:val="E0BB885"/>
    <w:multiLevelType w:val="hybridMultilevel"/>
    <w:lvl w:ilvl="0">
      <w:lvlJc w:val="left"/>
      <w:lvlText w:val="%1."/>
      <w:numFmt w:val="decimal"/>
      <w:start w:val="16"/>
    </w:lvl>
  </w:abstractNum>
  <w:abstractNum w:abstractNumId="174">
    <w:nsid w:val="565976F1"/>
    <w:multiLevelType w:val="hybridMultilevel"/>
    <w:lvl w:ilvl="0">
      <w:lvlJc w:val="left"/>
      <w:lvlText w:val="%1."/>
      <w:numFmt w:val="decimal"/>
      <w:start w:val="17"/>
    </w:lvl>
  </w:abstractNum>
  <w:abstractNum w:abstractNumId="175">
    <w:nsid w:val="64212B8C"/>
    <w:multiLevelType w:val="hybridMultilevel"/>
    <w:lvl w:ilvl="0">
      <w:lvlJc w:val="left"/>
      <w:lvlText w:val="%1."/>
      <w:numFmt w:val="decimal"/>
      <w:start w:val="18"/>
    </w:lvl>
    <w:lvl w:ilvl="1">
      <w:lvlJc w:val="left"/>
      <w:lvlText w:val="(%2)"/>
      <w:numFmt w:val="lowerLetter"/>
      <w:start w:val="1"/>
    </w:lvl>
  </w:abstractNum>
  <w:abstractNum w:abstractNumId="176">
    <w:nsid w:val="5C17530C"/>
    <w:multiLevelType w:val="hybridMultilevel"/>
    <w:lvl w:ilvl="0">
      <w:lvlJc w:val="left"/>
      <w:lvlText w:val="%1."/>
      <w:numFmt w:val="decimal"/>
      <w:start w:val="22"/>
    </w:lvl>
  </w:abstractNum>
  <w:abstractNum w:abstractNumId="177">
    <w:nsid w:val="19A52566"/>
    <w:multiLevelType w:val="hybridMultilevel"/>
    <w:lvl w:ilvl="0">
      <w:lvlJc w:val="left"/>
      <w:lvlText w:val="%1."/>
      <w:numFmt w:val="decimal"/>
      <w:start w:val="27"/>
    </w:lvl>
  </w:abstractNum>
  <w:abstractNum w:abstractNumId="178">
    <w:nsid w:val="335A1DF1"/>
    <w:multiLevelType w:val="hybridMultilevel"/>
    <w:lvl w:ilvl="0">
      <w:lvlJc w:val="left"/>
      <w:lvlText w:val="%1."/>
      <w:numFmt w:val="decimal"/>
      <w:start w:val="28"/>
    </w:lvl>
  </w:abstractNum>
  <w:abstractNum w:abstractNumId="179">
    <w:nsid w:val="28677B7C"/>
    <w:multiLevelType w:val="hybridMultilevel"/>
    <w:lvl w:ilvl="0">
      <w:lvlJc w:val="left"/>
      <w:lvlText w:val="(%1)"/>
      <w:numFmt w:val="lowerRoman"/>
      <w:start w:val="1"/>
    </w:lvl>
  </w:abstractNum>
  <w:abstractNum w:abstractNumId="180">
    <w:nsid w:val="378D97C0"/>
    <w:multiLevelType w:val="hybridMultilevel"/>
    <w:lvl w:ilvl="0">
      <w:lvlJc w:val="left"/>
      <w:lvlText w:val="(%1)"/>
      <w:numFmt w:val="decimal"/>
      <w:start w:val="1"/>
    </w:lvl>
  </w:abstractNum>
  <w:abstractNum w:abstractNumId="181">
    <w:nsid w:val="1D91467C"/>
    <w:multiLevelType w:val="hybridMultilevel"/>
    <w:lvl w:ilvl="0">
      <w:lvlJc w:val="left"/>
      <w:lvlText w:val="(%1)"/>
      <w:numFmt w:val="decimal"/>
      <w:start w:val="1"/>
    </w:lvl>
  </w:abstractNum>
  <w:abstractNum w:abstractNumId="182">
    <w:nsid w:val="316032BB"/>
    <w:multiLevelType w:val="hybridMultilevel"/>
    <w:lvl w:ilvl="0">
      <w:lvlJc w:val="left"/>
      <w:lvlText w:val="·"/>
      <w:numFmt w:val="bullet"/>
      <w:start w:val="1"/>
    </w:lvl>
    <w:lvl w:ilvl="1">
      <w:lvlJc w:val="left"/>
      <w:lvlText w:val="·"/>
      <w:numFmt w:val="bullet"/>
      <w:start w:val="1"/>
    </w:lvl>
  </w:abstractNum>
  <w:abstractNum w:abstractNumId="183">
    <w:nsid w:val="44344C22"/>
    <w:multiLevelType w:val="hybridMultilevel"/>
    <w:lvl w:ilvl="0">
      <w:lvlJc w:val="left"/>
      <w:lvlText w:val="·"/>
      <w:numFmt w:val="bullet"/>
      <w:start w:val="1"/>
    </w:lvl>
  </w:abstractNum>
  <w:abstractNum w:abstractNumId="184">
    <w:nsid w:val="13CDFCFC"/>
    <w:multiLevelType w:val="hybridMultilevel"/>
    <w:lvl w:ilvl="0">
      <w:lvlJc w:val="left"/>
      <w:lvlText w:val="%1."/>
      <w:numFmt w:val="decimal"/>
      <w:start w:val="1"/>
    </w:lvl>
    <w:lvl w:ilvl="1">
      <w:lvlJc w:val="left"/>
      <w:lvlText w:val="(%2)"/>
      <w:numFmt w:val="lowerLetter"/>
      <w:start w:val="1"/>
    </w:lvl>
  </w:abstractNum>
  <w:abstractNum w:abstractNumId="185">
    <w:nsid w:val="471745E4"/>
    <w:multiLevelType w:val="hybridMultilevel"/>
    <w:lvl w:ilvl="0">
      <w:lvlJc w:val="left"/>
      <w:lvlText w:val="%1"/>
      <w:numFmt w:val="decimal"/>
      <w:start w:val="1"/>
    </w:lvl>
    <w:lvl w:ilvl="1">
      <w:lvlJc w:val="left"/>
      <w:lvlText w:val="(%2)"/>
      <w:numFmt w:val="lowerLetter"/>
      <w:start w:val="2"/>
    </w:lvl>
  </w:abstractNum>
  <w:abstractNum w:abstractNumId="186">
    <w:nsid w:val="1DDBC66"/>
    <w:multiLevelType w:val="hybridMultilevel"/>
    <w:lvl w:ilvl="0">
      <w:lvlJc w:val="left"/>
      <w:lvlText w:val="%1."/>
      <w:numFmt w:val="decimal"/>
      <w:start w:val="2"/>
    </w:lvl>
    <w:lvl w:ilvl="1">
      <w:lvlJc w:val="left"/>
      <w:lvlText w:val="%2"/>
      <w:numFmt w:val="lowerLetter"/>
      <w:start w:val="1"/>
    </w:lvl>
  </w:abstractNum>
  <w:abstractNum w:abstractNumId="187">
    <w:nsid w:val="30AADFDA"/>
    <w:multiLevelType w:val="hybridMultilevel"/>
    <w:lvl w:ilvl="0">
      <w:lvlJc w:val="left"/>
      <w:lvlText w:val="%1."/>
      <w:numFmt w:val="decimal"/>
      <w:start w:val="3"/>
    </w:lvl>
    <w:lvl w:ilvl="1">
      <w:lvlJc w:val="left"/>
      <w:lvlText w:val="(%2)"/>
      <w:numFmt w:val="lowerLetter"/>
      <w:start w:val="1"/>
    </w:lvl>
  </w:abstractNum>
  <w:abstractNum w:abstractNumId="188">
    <w:nsid w:val="30EADA61"/>
    <w:multiLevelType w:val="hybridMultilevel"/>
    <w:lvl w:ilvl="0">
      <w:lvlJc w:val="left"/>
      <w:lvlText w:val="(%1)"/>
      <w:numFmt w:val="lowerLetter"/>
      <w:start w:val="1"/>
    </w:lvl>
  </w:abstractNum>
  <w:abstractNum w:abstractNumId="189">
    <w:nsid w:val="27179C0B"/>
    <w:multiLevelType w:val="hybridMultilevel"/>
    <w:lvl w:ilvl="0">
      <w:lvlJc w:val="left"/>
      <w:lvlText w:val="%1"/>
      <w:numFmt w:val="decimal"/>
      <w:start w:val="1"/>
    </w:lvl>
    <w:lvl w:ilvl="1">
      <w:lvlJc w:val="left"/>
      <w:lvlText w:val="(%2)"/>
      <w:numFmt w:val="lowerLetter"/>
      <w:start w:val="3"/>
    </w:lvl>
  </w:abstractNum>
  <w:abstractNum w:abstractNumId="190">
    <w:nsid w:val="5E636063"/>
    <w:multiLevelType w:val="hybridMultilevel"/>
    <w:lvl w:ilvl="0">
      <w:lvlJc w:val="left"/>
      <w:lvlText w:val="%1."/>
      <w:numFmt w:val="decimal"/>
      <w:start w:val="5"/>
    </w:lvl>
    <w:lvl w:ilvl="1">
      <w:lvlJc w:val="left"/>
      <w:lvlText w:val="%2"/>
      <w:numFmt w:val="lowerLetter"/>
      <w:start w:val="1"/>
    </w:lvl>
  </w:abstractNum>
  <w:abstractNum w:abstractNumId="191">
    <w:nsid w:val="215641AF"/>
    <w:multiLevelType w:val="hybridMultilevel"/>
    <w:lvl w:ilvl="0">
      <w:lvlJc w:val="left"/>
      <w:lvlText w:val="%1."/>
      <w:numFmt w:val="decimal"/>
      <w:start w:val="10"/>
    </w:lvl>
  </w:abstractNum>
  <w:abstractNum w:abstractNumId="192">
    <w:nsid w:val="53280662"/>
    <w:multiLevelType w:val="hybridMultilevel"/>
    <w:lvl w:ilvl="0">
      <w:lvlJc w:val="left"/>
      <w:lvlText w:val="%1."/>
      <w:numFmt w:val="decimal"/>
      <w:start w:val="11"/>
    </w:lvl>
  </w:abstractNum>
  <w:abstractNum w:abstractNumId="193">
    <w:nsid w:val="46B24DBC"/>
    <w:multiLevelType w:val="hybridMultilevel"/>
    <w:lvl w:ilvl="0">
      <w:lvlJc w:val="left"/>
      <w:lvlText w:val="%1."/>
      <w:numFmt w:val="decimal"/>
      <w:start w:val="13"/>
    </w:lvl>
    <w:lvl w:ilvl="1">
      <w:lvlJc w:val="left"/>
      <w:lvlText w:val="(%2)"/>
      <w:numFmt w:val="lowerLetter"/>
      <w:start w:val="1"/>
    </w:lvl>
  </w:abstractNum>
  <w:abstractNum w:abstractNumId="194">
    <w:nsid w:val="75B52783"/>
    <w:multiLevelType w:val="hybridMultilevel"/>
    <w:lvl w:ilvl="0">
      <w:lvlJc w:val="left"/>
      <w:lvlText w:val="(%1)"/>
      <w:numFmt w:val="upperLetter"/>
      <w:start w:val="2"/>
    </w:lvl>
    <w:lvl w:ilvl="1">
      <w:lvlJc w:val="left"/>
      <w:lvlText w:val="%2."/>
      <w:numFmt w:val="decimal"/>
      <w:start w:val="15"/>
    </w:lvl>
  </w:abstractNum>
  <w:abstractNum w:abstractNumId="195">
    <w:nsid w:val="57CE66B4"/>
    <w:multiLevelType w:val="hybridMultilevel"/>
    <w:lvl w:ilvl="0">
      <w:lvlJc w:val="left"/>
      <w:lvlText w:val="%1."/>
      <w:numFmt w:val="decimal"/>
      <w:start w:val="16"/>
    </w:lvl>
    <w:lvl w:ilvl="1">
      <w:lvlJc w:val="left"/>
      <w:lvlText w:val="(%2)"/>
      <w:numFmt w:val="lowerLetter"/>
      <w:start w:val="1"/>
    </w:lvl>
  </w:abstractNum>
  <w:abstractNum w:abstractNumId="196">
    <w:nsid w:val="67A70B69"/>
    <w:multiLevelType w:val="hybridMultilevel"/>
    <w:lvl w:ilvl="0">
      <w:lvlJc w:val="left"/>
      <w:lvlText w:val="(%1)"/>
      <w:numFmt w:val="lowerLetter"/>
      <w:start w:val="2"/>
    </w:lvl>
  </w:abstractNum>
  <w:abstractNum w:abstractNumId="197">
    <w:nsid w:val="5953172F"/>
    <w:multiLevelType w:val="hybridMultilevel"/>
    <w:lvl w:ilvl="0">
      <w:lvlJc w:val="left"/>
      <w:lvlText w:val="(%1)"/>
      <w:numFmt w:val="lowerLetter"/>
      <w:start w:val="7"/>
    </w:lvl>
  </w:abstractNum>
  <w:abstractNum w:abstractNumId="198">
    <w:nsid w:val="27EDFE3A"/>
    <w:multiLevelType w:val="hybridMultilevel"/>
    <w:lvl w:ilvl="0">
      <w:lvlJc w:val="left"/>
      <w:lvlText w:val="%1"/>
      <w:numFmt w:val="decimal"/>
      <w:start w:val="1"/>
    </w:lvl>
    <w:lvl w:ilvl="1">
      <w:lvlJc w:val="left"/>
      <w:lvlText w:val="(%2)"/>
      <w:numFmt w:val="lowerLetter"/>
      <w:start w:val="14"/>
    </w:lvl>
  </w:abstractNum>
  <w:abstractNum w:abstractNumId="199">
    <w:nsid w:val="52AC7DFF"/>
    <w:multiLevelType w:val="hybridMultilevel"/>
    <w:lvl w:ilvl="0">
      <w:lvlJc w:val="left"/>
      <w:lvlText w:val="%1."/>
      <w:numFmt w:val="decimal"/>
      <w:start w:val="17"/>
    </w:lvl>
    <w:lvl w:ilvl="1">
      <w:lvlJc w:val="left"/>
      <w:lvlText w:val="%2"/>
      <w:numFmt w:val="lowerLetter"/>
      <w:start w:val="1"/>
    </w:lvl>
  </w:abstractNum>
  <w:abstractNum w:abstractNumId="200">
    <w:nsid w:val="C4C3AF"/>
    <w:multiLevelType w:val="hybridMultilevel"/>
    <w:lvl w:ilvl="0">
      <w:lvlJc w:val="left"/>
      <w:lvlText w:val="%1."/>
      <w:numFmt w:val="decimal"/>
      <w:start w:val="18"/>
    </w:lvl>
    <w:lvl w:ilvl="1">
      <w:lvlJc w:val="left"/>
      <w:lvlText w:val="(%2)"/>
      <w:numFmt w:val="lowerLetter"/>
      <w:start w:val="1"/>
    </w:lvl>
  </w:abstractNum>
  <w:abstractNum w:abstractNumId="201">
    <w:nsid w:val="44380727"/>
    <w:multiLevelType w:val="hybridMultilevel"/>
    <w:lvl w:ilvl="0">
      <w:lvlJc w:val="left"/>
      <w:lvlText w:val="%1."/>
      <w:numFmt w:val="decimal"/>
      <w:start w:val="22"/>
    </w:lvl>
    <w:lvl w:ilvl="1">
      <w:lvlJc w:val="left"/>
      <w:lvlText w:val="(%2)"/>
      <w:numFmt w:val="lowerLetter"/>
      <w:start w:val="1"/>
    </w:lvl>
  </w:abstractNum>
  <w:abstractNum w:abstractNumId="202">
    <w:nsid w:val="6C053B16"/>
    <w:multiLevelType w:val="hybridMultilevel"/>
    <w:lvl w:ilvl="0">
      <w:lvlJc w:val="left"/>
      <w:lvlText w:val="%1."/>
      <w:numFmt w:val="decimal"/>
      <w:start w:val="24"/>
    </w:lvl>
  </w:abstractNum>
  <w:abstractNum w:abstractNumId="203">
    <w:nsid w:val="4F294393"/>
    <w:multiLevelType w:val="hybridMultilevel"/>
    <w:lvl w:ilvl="0">
      <w:lvlJc w:val="left"/>
      <w:lvlText w:val="%1."/>
      <w:numFmt w:val="decimal"/>
      <w:start w:val="26"/>
    </w:lvl>
  </w:abstractNum>
  <w:abstractNum w:abstractNumId="204">
    <w:nsid w:val="5243BFAC"/>
    <w:multiLevelType w:val="hybridMultilevel"/>
    <w:lvl w:ilvl="0">
      <w:lvlJc w:val="left"/>
      <w:lvlText w:val="(%1)"/>
      <w:numFmt w:val="lowerRoman"/>
      <w:start w:val="1"/>
    </w:lvl>
  </w:abstractNum>
  <w:abstractNum w:abstractNumId="205">
    <w:nsid w:val="425EB207"/>
    <w:multiLevelType w:val="hybridMultilevel"/>
    <w:lvl w:ilvl="0">
      <w:lvlJc w:val="left"/>
      <w:lvlText w:val="(%1)"/>
      <w:numFmt w:val="decimal"/>
      <w:start w:val="1"/>
    </w:lvl>
  </w:abstractNum>
  <w:abstractNum w:abstractNumId="206">
    <w:nsid w:val="334A6F1F"/>
    <w:multiLevelType w:val="hybridMultilevel"/>
    <w:lvl w:ilvl="0">
      <w:lvlJc w:val="left"/>
      <w:lvlText w:val="(%1)"/>
      <w:numFmt w:val="decimal"/>
      <w:start w:val="1"/>
    </w:lvl>
  </w:abstractNum>
  <w:abstractNum w:abstractNumId="207">
    <w:nsid w:val="2E5B12B8"/>
    <w:multiLevelType w:val="hybridMultilevel"/>
    <w:lvl w:ilvl="0">
      <w:lvlJc w:val="left"/>
      <w:lvlText w:val="(%1)"/>
      <w:numFmt w:val="lowerLetter"/>
      <w:start w:val="6"/>
    </w:lvl>
  </w:abstractNum>
  <w:abstractNum w:abstractNumId="208">
    <w:nsid w:val="5C03D76D"/>
    <w:multiLevelType w:val="hybridMultilevel"/>
    <w:lvl w:ilvl="0">
      <w:lvlJc w:val="left"/>
      <w:lvlText w:val="(%1)"/>
      <w:numFmt w:val="decimal"/>
      <w:start w:val="5"/>
    </w:lvl>
  </w:abstractNum>
  <w:abstractNum w:abstractNumId="209">
    <w:nsid w:val="66A48D11"/>
    <w:multiLevelType w:val="hybridMultilevel"/>
    <w:lvl w:ilvl="0">
      <w:lvlJc w:val="left"/>
      <w:lvlText w:val="%1."/>
      <w:numFmt w:val="decimal"/>
      <w:start w:val="1"/>
    </w:lvl>
    <w:lvl w:ilvl="1">
      <w:lvlJc w:val="left"/>
      <w:lvlText w:val="(%2)"/>
      <w:numFmt w:val="lowerLetter"/>
      <w:start w:val="1"/>
    </w:lvl>
  </w:abstractNum>
  <w:abstractNum w:abstractNumId="210">
    <w:nsid w:val="56C28E34"/>
    <w:multiLevelType w:val="hybridMultilevel"/>
    <w:lvl w:ilvl="0">
      <w:lvlJc w:val="left"/>
      <w:lvlText w:val="·"/>
      <w:numFmt w:val="bullet"/>
      <w:start w:val="1"/>
    </w:lvl>
    <w:lvl w:ilvl="1">
      <w:lvlJc w:val="left"/>
      <w:lvlText w:val="·"/>
      <w:numFmt w:val="bullet"/>
      <w:start w:val="1"/>
    </w:lvl>
  </w:abstractNum>
  <w:abstractNum w:abstractNumId="211">
    <w:nsid w:val="13916F2D"/>
    <w:multiLevelType w:val="hybridMultilevel"/>
    <w:lvl w:ilvl="0">
      <w:lvlJc w:val="left"/>
      <w:lvlText w:val="·"/>
      <w:numFmt w:val="bullet"/>
      <w:start w:val="1"/>
    </w:lvl>
  </w:abstractNum>
  <w:abstractNum w:abstractNumId="212">
    <w:nsid w:val="435D38D"/>
    <w:multiLevelType w:val="hybridMultilevel"/>
    <w:lvl w:ilvl="0">
      <w:lvlJc w:val="left"/>
      <w:lvlText w:val="·"/>
      <w:numFmt w:val="bullet"/>
      <w:start w:val="1"/>
    </w:lvl>
  </w:abstractNum>
  <w:abstractNum w:abstractNumId="213">
    <w:nsid w:val="822C0EF"/>
    <w:multiLevelType w:val="hybridMultilevel"/>
    <w:lvl w:ilvl="0">
      <w:lvlJc w:val="left"/>
      <w:lvlText w:val="%1."/>
      <w:numFmt w:val="decimal"/>
      <w:start w:val="1"/>
    </w:lvl>
  </w:abstractNum>
  <w:abstractNum w:abstractNumId="214">
    <w:nsid w:val="57C5BB4F"/>
    <w:multiLevelType w:val="hybridMultilevel"/>
    <w:lvl w:ilvl="0">
      <w:lvlJc w:val="left"/>
      <w:lvlText w:val="(%1)"/>
      <w:numFmt w:val="lowerLetter"/>
      <w:start w:val="1"/>
    </w:lvl>
  </w:abstractNum>
  <w:abstractNum w:abstractNumId="215">
    <w:nsid w:val="1803D089"/>
    <w:multiLevelType w:val="hybridMultilevel"/>
    <w:lvl w:ilvl="0">
      <w:lvlJc w:val="left"/>
      <w:lvlText w:val="(%1)"/>
      <w:numFmt w:val="lowerRoman"/>
      <w:start w:val="1"/>
    </w:lvl>
  </w:abstractNum>
  <w:abstractNum w:abstractNumId="216">
    <w:nsid w:val="4F3A06D4"/>
    <w:multiLevelType w:val="hybridMultilevel"/>
    <w:lvl w:ilvl="0">
      <w:lvlJc w:val="left"/>
      <w:lvlText w:val="(%1)"/>
      <w:numFmt w:val="lowerRoman"/>
      <w:start w:val="2"/>
    </w:lvl>
  </w:abstractNum>
  <w:abstractNum w:abstractNumId="217">
    <w:nsid w:val="59A377B6"/>
    <w:multiLevelType w:val="hybridMultilevel"/>
    <w:lvl w:ilvl="0">
      <w:lvlJc w:val="left"/>
      <w:lvlText w:val="%1"/>
      <w:numFmt w:val="decimal"/>
      <w:start w:val="1"/>
    </w:lvl>
    <w:lvl w:ilvl="1">
      <w:lvlJc w:val="left"/>
      <w:lvlText w:val="(%2)"/>
      <w:numFmt w:val="lowerLetter"/>
      <w:start w:val="2"/>
    </w:lvl>
  </w:abstractNum>
  <w:abstractNum w:abstractNumId="218">
    <w:nsid w:val="48AEB063"/>
    <w:multiLevelType w:val="hybridMultilevel"/>
    <w:lvl w:ilvl="0">
      <w:lvlJc w:val="left"/>
      <w:lvlText w:val="%1."/>
      <w:numFmt w:val="decimal"/>
      <w:start w:val="2"/>
    </w:lvl>
    <w:lvl w:ilvl="1">
      <w:lvlJc w:val="left"/>
      <w:lvlText w:val="(%2)"/>
      <w:numFmt w:val="lowerLetter"/>
      <w:start w:val="1"/>
    </w:lvl>
  </w:abstractNum>
  <w:abstractNum w:abstractNumId="219">
    <w:nsid w:val="24E135"/>
    <w:multiLevelType w:val="hybridMultilevel"/>
    <w:lvl w:ilvl="0">
      <w:lvlJc w:val="left"/>
      <w:lvlText w:val="%1"/>
      <w:numFmt w:val="lowerRoman"/>
      <w:start w:val="1"/>
    </w:lvl>
    <w:lvl w:ilvl="1">
      <w:lvlJc w:val="left"/>
      <w:lvlText w:val="(%2)"/>
      <w:numFmt w:val="lowerLetter"/>
      <w:start w:val="4"/>
    </w:lvl>
  </w:abstractNum>
  <w:abstractNum w:abstractNumId="220">
    <w:nsid w:val="BB13C1"/>
    <w:multiLevelType w:val="hybridMultilevel"/>
    <w:lvl w:ilvl="0">
      <w:lvlJc w:val="left"/>
      <w:lvlText w:val="(%1)"/>
      <w:numFmt w:val="lowerRoman"/>
      <w:start w:val="4"/>
    </w:lvl>
    <w:lvl w:ilvl="1">
      <w:lvlJc w:val="left"/>
      <w:lvlText w:val="(%2)"/>
      <w:numFmt w:val="lowerLetter"/>
      <w:start w:val="5"/>
    </w:lvl>
  </w:abstractNum>
  <w:abstractNum w:abstractNumId="221">
    <w:nsid w:val="271210C7"/>
    <w:multiLevelType w:val="hybridMultilevel"/>
    <w:lvl w:ilvl="0">
      <w:lvlJc w:val="left"/>
      <w:lvlText w:val="%1"/>
      <w:numFmt w:val="decimal"/>
      <w:start w:val="1"/>
    </w:lvl>
    <w:lvl w:ilvl="1">
      <w:lvlJc w:val="left"/>
      <w:lvlText w:val="(%2)"/>
      <w:numFmt w:val="lowerLetter"/>
      <w:start w:val="7"/>
    </w:lvl>
  </w:abstractNum>
  <w:abstractNum w:abstractNumId="222">
    <w:nsid w:val="217B22E4"/>
    <w:multiLevelType w:val="hybridMultilevel"/>
    <w:lvl w:ilvl="0">
      <w:lvlJc w:val="left"/>
      <w:lvlText w:val="%1."/>
      <w:numFmt w:val="decimal"/>
      <w:start w:val="4"/>
    </w:lvl>
    <w:lvl w:ilvl="1">
      <w:lvlJc w:val="left"/>
      <w:lvlText w:val="(%2)"/>
      <w:numFmt w:val="lowerLetter"/>
      <w:start w:val="1"/>
    </w:lvl>
  </w:abstractNum>
  <w:abstractNum w:abstractNumId="223">
    <w:nsid w:val="53E31A24"/>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2"/>
    </w:lvl>
  </w:abstractNum>
  <w:abstractNum w:abstractNumId="224">
    <w:nsid w:val="6DC45E83"/>
    <w:multiLevelType w:val="hybridMultilevel"/>
    <w:lvl w:ilvl="0">
      <w:lvlJc w:val="left"/>
      <w:lvlText w:val="(%1)"/>
      <w:numFmt w:val="lowerRoman"/>
      <w:start w:val="1"/>
    </w:lvl>
    <w:lvl w:ilvl="1">
      <w:lvlJc w:val="left"/>
      <w:lvlText w:val="%2."/>
      <w:numFmt w:val="decimal"/>
      <w:start w:val="4"/>
    </w:lvl>
    <w:lvl w:ilvl="2">
      <w:lvlJc w:val="left"/>
      <w:lvlText w:val="(%3)"/>
      <w:numFmt w:val="lowerLetter"/>
      <w:start w:val="3"/>
    </w:lvl>
  </w:abstractNum>
  <w:abstractNum w:abstractNumId="225">
    <w:nsid w:val="17304A67"/>
    <w:multiLevelType w:val="hybridMultilevel"/>
    <w:lvl w:ilvl="0">
      <w:lvlJc w:val="left"/>
      <w:lvlText w:val="%1."/>
      <w:numFmt w:val="decimal"/>
      <w:start w:val="6"/>
    </w:lvl>
  </w:abstractNum>
  <w:abstractNum w:abstractNumId="226">
    <w:nsid w:val="2BB180D8"/>
    <w:multiLevelType w:val="hybridMultilevel"/>
    <w:lvl w:ilvl="0">
      <w:lvlJc w:val="left"/>
      <w:lvlText w:val="%1."/>
      <w:numFmt w:val="decimal"/>
      <w:start w:val="9"/>
    </w:lvl>
  </w:abstractNum>
  <w:abstractNum w:abstractNumId="227">
    <w:nsid w:val="556B69ED"/>
    <w:multiLevelType w:val="hybridMultilevel"/>
    <w:lvl w:ilvl="0">
      <w:lvlJc w:val="left"/>
      <w:lvlText w:val="%1."/>
      <w:numFmt w:val="decimal"/>
      <w:start w:val="10"/>
    </w:lvl>
    <w:lvl w:ilvl="1">
      <w:lvlJc w:val="left"/>
      <w:lvlText w:val="(%2)"/>
      <w:numFmt w:val="lowerLetter"/>
      <w:start w:val="1"/>
    </w:lvl>
  </w:abstractNum>
  <w:abstractNum w:abstractNumId="228">
    <w:nsid w:val="70836196"/>
    <w:multiLevelType w:val="hybridMultilevel"/>
    <w:lvl w:ilvl="0">
      <w:lvlJc w:val="left"/>
      <w:lvlText w:val="%1"/>
      <w:numFmt w:val="decimal"/>
      <w:start w:val="1"/>
    </w:lvl>
    <w:lvl w:ilvl="1">
      <w:lvlJc w:val="left"/>
      <w:lvlText w:val="(%2)"/>
      <w:numFmt w:val="lowerLetter"/>
      <w:start w:val="2"/>
    </w:lvl>
  </w:abstractNum>
  <w:abstractNum w:abstractNumId="229">
    <w:nsid w:val="539F7F12"/>
    <w:multiLevelType w:val="hybridMultilevel"/>
    <w:lvl w:ilvl="0">
      <w:lvlJc w:val="left"/>
      <w:lvlText w:val="%1."/>
      <w:numFmt w:val="decimal"/>
      <w:start w:val="14"/>
    </w:lvl>
    <w:lvl w:ilvl="1">
      <w:lvlJc w:val="left"/>
      <w:lvlText w:val="%2"/>
      <w:numFmt w:val="lowerLetter"/>
      <w:start w:val="1"/>
    </w:lvl>
  </w:abstractNum>
  <w:abstractNum w:abstractNumId="230">
    <w:nsid w:val="2817E7EC"/>
    <w:multiLevelType w:val="hybridMultilevel"/>
    <w:lvl w:ilvl="0">
      <w:lvlJc w:val="left"/>
      <w:lvlText w:val="%1."/>
      <w:numFmt w:val="decimal"/>
      <w:start w:val="16"/>
    </w:lvl>
  </w:abstractNum>
  <w:abstractNum w:abstractNumId="231">
    <w:nsid w:val="71482545"/>
    <w:multiLevelType w:val="hybridMultilevel"/>
    <w:lvl w:ilvl="0">
      <w:lvlJc w:val="left"/>
      <w:lvlText w:val="%1."/>
      <w:numFmt w:val="decimal"/>
      <w:start w:val="19"/>
    </w:lvl>
    <w:lvl w:ilvl="1">
      <w:lvlJc w:val="left"/>
      <w:lvlText w:val="(%2)"/>
      <w:numFmt w:val="lowerLetter"/>
      <w:start w:val="1"/>
    </w:lvl>
  </w:abstractNum>
  <w:abstractNum w:abstractNumId="232">
    <w:nsid w:val="17D78639"/>
    <w:multiLevelType w:val="hybridMultilevel"/>
    <w:lvl w:ilvl="0">
      <w:lvlJc w:val="left"/>
      <w:lvlText w:val="%1."/>
      <w:numFmt w:val="decimal"/>
      <w:start w:val="22"/>
    </w:lvl>
  </w:abstractNum>
  <w:abstractNum w:abstractNumId="233">
    <w:nsid w:val="141D2302"/>
    <w:multiLevelType w:val="hybridMultilevel"/>
    <w:lvl w:ilvl="0">
      <w:lvlJc w:val="left"/>
      <w:lvlText w:val="·"/>
      <w:numFmt w:val="bullet"/>
      <w:start w:val="1"/>
    </w:lvl>
    <w:lvl w:ilvl="1">
      <w:lvlJc w:val="left"/>
      <w:lvlText w:val="·"/>
      <w:numFmt w:val="bullet"/>
      <w:start w:val="1"/>
    </w:lvl>
  </w:abstractNum>
  <w:abstractNum w:abstractNumId="234">
    <w:nsid w:val="407168D8"/>
    <w:multiLevelType w:val="hybridMultilevel"/>
    <w:lvl w:ilvl="0">
      <w:lvlJc w:val="left"/>
      <w:lvlText w:val="·"/>
      <w:numFmt w:val="bullet"/>
      <w:start w:val="1"/>
    </w:lvl>
  </w:abstractNum>
  <w:abstractNum w:abstractNumId="235">
    <w:nsid w:val="6A1B45E5"/>
    <w:multiLevelType w:val="hybridMultilevel"/>
    <w:lvl w:ilvl="0">
      <w:lvlJc w:val="left"/>
      <w:lvlText w:val="·"/>
      <w:numFmt w:val="bullet"/>
      <w:start w:val="1"/>
    </w:lvl>
  </w:abstractNum>
  <w:abstractNum w:abstractNumId="236">
    <w:nsid w:val="567BD50A"/>
    <w:multiLevelType w:val="hybridMultilevel"/>
    <w:lvl w:ilvl="0">
      <w:lvlJc w:val="left"/>
      <w:lvlText w:val="%1."/>
      <w:numFmt w:val="decimal"/>
      <w:start w:val="1"/>
    </w:lvl>
    <w:lvl w:ilvl="1">
      <w:lvlJc w:val="left"/>
      <w:lvlText w:val="(%2)"/>
      <w:numFmt w:val="lowerLetter"/>
      <w:start w:val="1"/>
    </w:lvl>
  </w:abstractNum>
  <w:abstractNum w:abstractNumId="237">
    <w:nsid w:val="73BBD7F8"/>
    <w:multiLevelType w:val="hybridMultilevel"/>
    <w:lvl w:ilvl="0">
      <w:lvlJc w:val="left"/>
      <w:lvlText w:val="(%1)"/>
      <w:numFmt w:val="upperLetter"/>
      <w:start w:val="1"/>
    </w:lvl>
  </w:abstractNum>
  <w:abstractNum w:abstractNumId="238">
    <w:nsid w:val="1876589D"/>
    <w:multiLevelType w:val="hybridMultilevel"/>
    <w:lvl w:ilvl="0">
      <w:lvlJc w:val="left"/>
      <w:lvlText w:val="(%1)"/>
      <w:numFmt w:val="lowerRoman"/>
      <w:start w:val="1"/>
    </w:lvl>
  </w:abstractNum>
  <w:abstractNum w:abstractNumId="239">
    <w:nsid w:val="327FAC77"/>
    <w:multiLevelType w:val="hybridMultilevel"/>
    <w:lvl w:ilvl="0">
      <w:lvlJc w:val="left"/>
      <w:lvlText w:val="%1"/>
      <w:numFmt w:val="decimal"/>
      <w:start w:val="1"/>
    </w:lvl>
    <w:lvl w:ilvl="1">
      <w:lvlJc w:val="left"/>
      <w:lvlText w:val="(%2)"/>
      <w:numFmt w:val="lowerLetter"/>
      <w:start w:val="2"/>
    </w:lvl>
  </w:abstractNum>
  <w:abstractNum w:abstractNumId="240">
    <w:nsid w:val="5A606509"/>
    <w:multiLevelType w:val="hybridMultilevel"/>
    <w:lvl w:ilvl="0">
      <w:lvlJc w:val="left"/>
      <w:lvlText w:val="%1."/>
      <w:numFmt w:val="decimal"/>
      <w:start w:val="2"/>
    </w:lvl>
    <w:lvl w:ilvl="1">
      <w:lvlJc w:val="left"/>
      <w:lvlText w:val="(%2)"/>
      <w:numFmt w:val="lowerLetter"/>
      <w:start w:val="1"/>
    </w:lvl>
  </w:abstractNum>
  <w:abstractNum w:abstractNumId="241">
    <w:nsid w:val="6F38E6D1"/>
    <w:multiLevelType w:val="hybridMultilevel"/>
    <w:lvl w:ilvl="0">
      <w:lvlJc w:val="left"/>
      <w:lvlText w:val="(%1)"/>
      <w:numFmt w:val="lowerRoman"/>
      <w:start w:val="1"/>
    </w:lvl>
    <w:lvl w:ilvl="1">
      <w:lvlJc w:val="left"/>
      <w:lvlText w:val="%2."/>
      <w:numFmt w:val="decimal"/>
      <w:start w:val="5"/>
    </w:lvl>
  </w:abstractNum>
  <w:abstractNum w:abstractNumId="242">
    <w:nsid w:val="46111BA5"/>
    <w:multiLevelType w:val="hybridMultilevel"/>
    <w:lvl w:ilvl="0">
      <w:lvlJc w:val="left"/>
      <w:lvlText w:val="%1."/>
      <w:numFmt w:val="decimal"/>
      <w:start w:val="9"/>
    </w:lvl>
  </w:abstractNum>
  <w:abstractNum w:abstractNumId="243">
    <w:nsid w:val="5E963896"/>
    <w:multiLevelType w:val="hybridMultilevel"/>
    <w:lvl w:ilvl="0">
      <w:lvlJc w:val="left"/>
      <w:lvlText w:val="%1."/>
      <w:numFmt w:val="decimal"/>
      <w:start w:val="10"/>
    </w:lvl>
  </w:abstractNum>
  <w:abstractNum w:abstractNumId="244">
    <w:nsid w:val="775BA7C1"/>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245">
    <w:nsid w:val="1DD6D6F4"/>
    <w:multiLevelType w:val="hybridMultilevel"/>
    <w:lvl w:ilvl="0">
      <w:lvlJc w:val="left"/>
      <w:lvlText w:val="(%1)"/>
      <w:numFmt w:val="lowerLetter"/>
      <w:start w:val="2"/>
    </w:lvl>
    <w:lvl w:ilvl="1">
      <w:lvlJc w:val="left"/>
      <w:lvlText w:val="%2."/>
      <w:numFmt w:val="decimal"/>
      <w:start w:val="14"/>
    </w:lvl>
    <w:lvl w:ilvl="2">
      <w:lvlJc w:val="left"/>
      <w:lvlText w:val="(%3)"/>
      <w:numFmt w:val="lowerLetter"/>
      <w:start w:val="1"/>
    </w:lvl>
  </w:abstractNum>
  <w:abstractNum w:abstractNumId="246">
    <w:nsid w:val="769A091F"/>
    <w:multiLevelType w:val="hybridMultilevel"/>
    <w:lvl w:ilvl="0">
      <w:lvlJc w:val="left"/>
      <w:lvlText w:val="%1"/>
      <w:numFmt w:val="lowerLetter"/>
      <w:start w:val="1"/>
    </w:lvl>
    <w:lvl w:ilvl="1">
      <w:lvlJc w:val="left"/>
      <w:lvlText w:val="%2."/>
      <w:numFmt w:val="decimal"/>
      <w:start w:val="15"/>
    </w:lvl>
    <w:lvl w:ilvl="2">
      <w:lvlJc w:val="left"/>
      <w:lvlText w:val="(%3)"/>
      <w:numFmt w:val="lowerLetter"/>
      <w:start w:val="1"/>
    </w:lvl>
  </w:abstractNum>
  <w:abstractNum w:abstractNumId="247">
    <w:nsid w:val="4695AE95"/>
    <w:multiLevelType w:val="hybridMultilevel"/>
    <w:lvl w:ilvl="0">
      <w:lvlJc w:val="left"/>
      <w:lvlText w:val="(%1)"/>
      <w:numFmt w:val="lowerLetter"/>
      <w:start w:val="61"/>
    </w:lvl>
    <w:lvl w:ilvl="1">
      <w:lvlJc w:val="left"/>
      <w:lvlText w:val="%2"/>
      <w:numFmt w:val="decimal"/>
      <w:start w:val="1"/>
    </w:lvl>
    <w:lvl w:ilvl="2">
      <w:lvlJc w:val="left"/>
      <w:lvlText w:val="%3"/>
      <w:numFmt w:val="lowerLetter"/>
      <w:start w:val="1"/>
    </w:lvl>
  </w:abstractNum>
  <w:abstractNum w:abstractNumId="248">
    <w:nsid w:val="777A4EAA"/>
    <w:multiLevelType w:val="hybridMultilevel"/>
    <w:lvl w:ilvl="0">
      <w:lvlJc w:val="left"/>
      <w:lvlText w:val="%1."/>
      <w:numFmt w:val="decimal"/>
      <w:start w:val="16"/>
    </w:lvl>
  </w:abstractNum>
  <w:abstractNum w:abstractNumId="249">
    <w:nsid w:val="3F48B982"/>
    <w:multiLevelType w:val="hybridMultilevel"/>
    <w:lvl w:ilvl="0">
      <w:lvlJc w:val="left"/>
      <w:lvlText w:val="%1."/>
      <w:numFmt w:val="decimal"/>
      <w:start w:val="17"/>
    </w:lvl>
    <w:lvl w:ilvl="1">
      <w:lvlJc w:val="left"/>
      <w:lvlText w:val="(%2)"/>
      <w:numFmt w:val="lowerLetter"/>
      <w:start w:val="1"/>
    </w:lvl>
  </w:abstractNum>
  <w:abstractNum w:abstractNumId="250">
    <w:nsid w:val="46BA8FCA"/>
    <w:multiLevelType w:val="hybridMultilevel"/>
    <w:lvl w:ilvl="0">
      <w:lvlJc w:val="left"/>
      <w:lvlText w:val="%1."/>
      <w:numFmt w:val="decimal"/>
      <w:start w:val="21"/>
    </w:lvl>
    <w:lvl w:ilvl="1">
      <w:lvlJc w:val="left"/>
      <w:lvlText w:val="(%2)"/>
      <w:numFmt w:val="lowerLetter"/>
      <w:start w:val="1"/>
    </w:lvl>
  </w:abstractNum>
  <w:abstractNum w:abstractNumId="251">
    <w:nsid w:val="7835626C"/>
    <w:multiLevelType w:val="hybridMultilevel"/>
    <w:lvl w:ilvl="0">
      <w:lvlJc w:val="left"/>
      <w:lvlText w:val="%1."/>
      <w:numFmt w:val="decimal"/>
      <w:start w:val="23"/>
    </w:lvl>
  </w:abstractNum>
  <w:abstractNum w:abstractNumId="252">
    <w:nsid w:val="665ACA49"/>
    <w:multiLevelType w:val="hybridMultilevel"/>
    <w:lvl w:ilvl="0">
      <w:lvlJc w:val="left"/>
      <w:lvlText w:val="·"/>
      <w:numFmt w:val="bullet"/>
      <w:start w:val="1"/>
    </w:lvl>
  </w:abstractNum>
  <w:abstractNum w:abstractNumId="253">
    <w:nsid w:val="6835B2AE"/>
    <w:multiLevelType w:val="hybridMultilevel"/>
    <w:lvl w:ilvl="0">
      <w:lvlJc w:val="left"/>
      <w:lvlText w:val="·"/>
      <w:numFmt w:val="bullet"/>
      <w:start w:val="1"/>
    </w:lvl>
  </w:abstractNum>
  <w:abstractNum w:abstractNumId="254">
    <w:nsid w:val="4C187C90"/>
    <w:multiLevelType w:val="hybridMultilevel"/>
    <w:lvl w:ilvl="0">
      <w:lvlJc w:val="left"/>
      <w:lvlText w:val="·"/>
      <w:numFmt w:val="bullet"/>
      <w:start w:val="1"/>
    </w:lvl>
  </w:abstractNum>
  <w:abstractNum w:abstractNumId="255">
    <w:nsid w:val="541F28CD"/>
    <w:multiLevelType w:val="hybridMultilevel"/>
    <w:lvl w:ilvl="0">
      <w:lvlJc w:val="left"/>
      <w:lvlText w:val="·"/>
      <w:numFmt w:val="bullet"/>
      <w:start w:val="1"/>
    </w:lvl>
  </w:abstractNum>
  <w:abstractNum w:abstractNumId="256">
    <w:nsid w:val="7F65FD16"/>
    <w:multiLevelType w:val="hybridMultilevel"/>
    <w:lvl w:ilvl="0">
      <w:lvlJc w:val="left"/>
      <w:lvlText w:val="·"/>
      <w:numFmt w:val="bullet"/>
      <w:start w:val="1"/>
    </w:lvl>
  </w:abstractNum>
  <w:abstractNum w:abstractNumId="257">
    <w:nsid w:val="77C9FD68"/>
    <w:multiLevelType w:val="hybridMultilevel"/>
    <w:lvl w:ilvl="0">
      <w:lvlJc w:val="left"/>
      <w:lvlText w:val="·"/>
      <w:numFmt w:val="bullet"/>
      <w:start w:val="1"/>
    </w:lvl>
  </w:abstractNum>
  <w:abstractNum w:abstractNumId="258">
    <w:nsid w:val="298A92BA"/>
    <w:multiLevelType w:val="hybridMultilevel"/>
    <w:lvl w:ilvl="0">
      <w:lvlJc w:val="left"/>
      <w:lvlText w:val="·"/>
      <w:numFmt w:val="bullet"/>
      <w:start w:val="1"/>
    </w:lvl>
  </w:abstractNum>
  <w:abstractNum w:abstractNumId="259">
    <w:nsid w:val="6FE95EAC"/>
    <w:multiLevelType w:val="hybridMultilevel"/>
    <w:lvl w:ilvl="0">
      <w:lvlJc w:val="left"/>
      <w:lvlText w:val="·"/>
      <w:numFmt w:val="bullet"/>
      <w:start w:val="1"/>
    </w:lvl>
  </w:abstractNum>
  <w:abstractNum w:abstractNumId="260">
    <w:nsid w:val="4B697C7A"/>
    <w:multiLevelType w:val="hybridMultilevel"/>
    <w:lvl w:ilvl="0">
      <w:lvlJc w:val="left"/>
      <w:lvlText w:val="·"/>
      <w:numFmt w:val="bullet"/>
      <w:start w:val="1"/>
    </w:lvl>
  </w:abstractNum>
  <w:abstractNum w:abstractNumId="261">
    <w:nsid w:val="51A27AA6"/>
    <w:multiLevelType w:val="hybridMultilevel"/>
    <w:lvl w:ilvl="0">
      <w:lvlJc w:val="left"/>
      <w:lvlText w:val="%1."/>
      <w:numFmt w:val="decimal"/>
      <w:start w:val="1"/>
    </w:lvl>
    <w:lvl w:ilvl="1">
      <w:lvlJc w:val="left"/>
      <w:lvlText w:val="(%2)"/>
      <w:numFmt w:val="lowerLetter"/>
      <w:start w:val="1"/>
    </w:lvl>
  </w:abstractNum>
  <w:abstractNum w:abstractNumId="262">
    <w:nsid w:val="613183F2"/>
    <w:multiLevelType w:val="hybridMultilevel"/>
    <w:lvl w:ilvl="0">
      <w:lvlJc w:val="left"/>
      <w:lvlText w:val="%1."/>
      <w:numFmt w:val="decimal"/>
      <w:start w:val="1"/>
    </w:lvl>
    <w:lvl w:ilvl="1">
      <w:lvlJc w:val="left"/>
      <w:lvlText w:val="(%2)"/>
      <w:numFmt w:val="lowerLetter"/>
      <w:start w:val="1"/>
    </w:lvl>
  </w:abstractNum>
  <w:abstractNum w:abstractNumId="263">
    <w:nsid w:val="634102B4"/>
    <w:multiLevelType w:val="hybridMultilevel"/>
    <w:lvl w:ilvl="0">
      <w:lvlJc w:val="left"/>
      <w:lvlText w:val="(%1)"/>
      <w:numFmt w:val="decimal"/>
      <w:start w:val="1"/>
    </w:lvl>
  </w:abstractNum>
  <w:abstractNum w:abstractNumId="264">
    <w:nsid w:val="65BF9DA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2019-12-29T07:13:07Z</dcterms:created>
  <dcterms:modified xsi:type="dcterms:W3CDTF">2019-12-29T07:13:07Z</dcterms:modified>
</cp:coreProperties>
</file>